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619125</wp:posOffset>
            </wp:positionH>
            <wp:positionV relativeFrom="page">
              <wp:posOffset>367030</wp:posOffset>
            </wp:positionV>
            <wp:extent cx="631063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0630" cy="27940"/>
                    </a:xfrm>
                    <a:prstGeom prst="rect">
                      <a:avLst/>
                    </a:prstGeom>
                    <a:noFill/>
                  </pic:spPr>
                </pic:pic>
              </a:graphicData>
            </a:graphic>
          </wp:anchor>
        </w:drawing>
        <w:drawing>
          <wp:anchor simplePos="0" relativeHeight="251657728" behindDoc="1" locked="0" layoutInCell="0" allowOverlap="1">
            <wp:simplePos x="0" y="0"/>
            <wp:positionH relativeFrom="page">
              <wp:posOffset>619125</wp:posOffset>
            </wp:positionH>
            <wp:positionV relativeFrom="page">
              <wp:posOffset>429260</wp:posOffset>
            </wp:positionV>
            <wp:extent cx="63106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0630" cy="698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192" w:lineRule="exact"/>
        <w:rPr>
          <w:sz w:val="24"/>
          <w:szCs w:val="24"/>
          <w:color w:val="auto"/>
        </w:rPr>
      </w:pPr>
    </w:p>
    <w:p>
      <w:pPr>
        <w:jc w:val="center"/>
        <w:ind w:left="40" w:right="59"/>
        <w:spacing w:after="0" w:line="29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 the month of August, 2024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Commission file number: 001-37891</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AC IMMUNE SA</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EPFL Innovation Park</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Building B</w:t>
      </w:r>
    </w:p>
    <w:p>
      <w:pPr>
        <w:jc w:val="center"/>
        <w:ind w:right="19"/>
        <w:spacing w:after="0" w:line="237" w:lineRule="auto"/>
        <w:rPr>
          <w:sz w:val="20"/>
          <w:szCs w:val="20"/>
          <w:color w:val="auto"/>
        </w:rPr>
      </w:pPr>
      <w:r>
        <w:rPr>
          <w:rFonts w:ascii="Times New Roman" w:cs="Times New Roman" w:eastAsia="Times New Roman" w:hAnsi="Times New Roman"/>
          <w:sz w:val="15"/>
          <w:szCs w:val="15"/>
          <w:b w:val="1"/>
          <w:bCs w:val="1"/>
          <w:color w:val="auto"/>
        </w:rPr>
        <w:t>1015 Lausanne, Switzerland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33" w:lineRule="exact"/>
        <w:rPr>
          <w:sz w:val="24"/>
          <w:szCs w:val="24"/>
          <w:color w:val="auto"/>
        </w:rPr>
      </w:pPr>
    </w:p>
    <w:p>
      <w:pPr>
        <w:jc w:val="center"/>
        <w:spacing w:after="0" w:line="173" w:lineRule="exact"/>
        <w:tabs>
          <w:tab w:leader="none" w:pos="160" w:val="left"/>
        </w:tabs>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wp:posOffset>
            </wp:positionH>
            <wp:positionV relativeFrom="paragraph">
              <wp:posOffset>601980</wp:posOffset>
            </wp:positionV>
            <wp:extent cx="631063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0630" cy="1397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254635</wp:posOffset>
            </wp:positionV>
            <wp:extent cx="631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0630" cy="6985"/>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296545</wp:posOffset>
            </wp:positionV>
            <wp:extent cx="631063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0630" cy="27940"/>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p>
      <w:pPr>
        <w:jc w:val="both"/>
        <w:ind w:firstLine="263"/>
        <w:spacing w:after="0" w:line="255" w:lineRule="auto"/>
        <w:rPr>
          <w:sz w:val="20"/>
          <w:szCs w:val="20"/>
          <w:color w:val="auto"/>
        </w:rPr>
      </w:pPr>
      <w:r>
        <w:rPr>
          <w:rFonts w:ascii="Times New Roman" w:cs="Times New Roman" w:eastAsia="Times New Roman" w:hAnsi="Times New Roman"/>
          <w:sz w:val="15"/>
          <w:szCs w:val="15"/>
          <w:color w:val="auto"/>
        </w:rPr>
        <w:t>This Report on Form 6-K (excluding Exhibit 99.3 hereto) shall be deemed to be incorporated by reference into the registration statements on Form F-3 (File Nos. 333-227016, 333-249655, 333-255576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675005</wp:posOffset>
            </wp:positionV>
            <wp:extent cx="631063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0630" cy="13970"/>
                    </a:xfrm>
                    <a:prstGeom prst="rect">
                      <a:avLst/>
                    </a:prstGeom>
                    <a:noFill/>
                  </pic:spPr>
                </pic:pic>
              </a:graphicData>
            </a:graphic>
          </wp:anchor>
        </w:drawing>
      </w:r>
    </w:p>
    <w:p>
      <w:pPr>
        <w:sectPr>
          <w:pgSz w:w="11900" w:h="16838" w:orient="portrait"/>
          <w:cols w:equalWidth="0" w:num="1">
            <w:col w:w="9940"/>
          </w:cols>
          <w:pgMar w:left="980" w:top="738" w:right="9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80" w:lineRule="exact"/>
        <w:rPr>
          <w:sz w:val="20"/>
          <w:szCs w:val="20"/>
          <w:color w:val="auto"/>
        </w:rPr>
      </w:pPr>
    </w:p>
    <w:p>
      <w:pPr>
        <w:ind w:firstLine="263"/>
        <w:spacing w:after="0" w:line="267"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b w:val="1"/>
          <w:bCs w:val="1"/>
          <w:color w:val="auto"/>
        </w:rPr>
        <w:t>AC IMMUNE SA</w:t>
      </w:r>
    </w:p>
    <w:p>
      <w:pPr>
        <w:spacing w:after="0" w:line="180" w:lineRule="exact"/>
        <w:rPr>
          <w:sz w:val="20"/>
          <w:szCs w:val="20"/>
          <w:color w:val="auto"/>
        </w:rPr>
      </w:pPr>
    </w:p>
    <w:p>
      <w:pPr>
        <w:ind w:left="4980"/>
        <w:spacing w:after="0"/>
        <w:tabs>
          <w:tab w:leader="none" w:pos="52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10795</wp:posOffset>
            </wp:positionV>
            <wp:extent cx="29400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0050" cy="698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5"/>
          <w:szCs w:val="15"/>
          <w:color w:val="auto"/>
        </w:rPr>
        <w:t>Name: Andrea Pfeifer</w:t>
      </w:r>
    </w:p>
    <w:p>
      <w:pPr>
        <w:spacing w:after="0" w:line="14" w:lineRule="exact"/>
        <w:rPr>
          <w:sz w:val="20"/>
          <w:szCs w:val="20"/>
          <w:color w:val="auto"/>
        </w:rPr>
      </w:pPr>
    </w:p>
    <w:p>
      <w:pPr>
        <w:ind w:left="5300"/>
        <w:spacing w:after="0"/>
        <w:tabs>
          <w:tab w:leader="none" w:pos="574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338" w:lineRule="exact"/>
        <w:rPr>
          <w:sz w:val="20"/>
          <w:szCs w:val="20"/>
          <w:color w:val="auto"/>
        </w:rPr>
      </w:pPr>
    </w:p>
    <w:p>
      <w:pPr>
        <w:ind w:left="4980"/>
        <w:spacing w:after="0"/>
        <w:tabs>
          <w:tab w:leader="none" w:pos="52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10795</wp:posOffset>
            </wp:positionV>
            <wp:extent cx="29400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40050" cy="698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5"/>
          <w:szCs w:val="15"/>
          <w:color w:val="auto"/>
        </w:rPr>
        <w:t>Name: Christopher Roberts</w:t>
      </w:r>
    </w:p>
    <w:p>
      <w:pPr>
        <w:spacing w:after="0" w:line="14" w:lineRule="exact"/>
        <w:rPr>
          <w:sz w:val="20"/>
          <w:szCs w:val="20"/>
          <w:color w:val="auto"/>
        </w:rPr>
      </w:pPr>
    </w:p>
    <w:p>
      <w:pPr>
        <w:ind w:left="5300"/>
        <w:spacing w:after="0"/>
        <w:tabs>
          <w:tab w:leader="none" w:pos="574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163" w:lineRule="exact"/>
        <w:rPr>
          <w:sz w:val="20"/>
          <w:szCs w:val="20"/>
          <w:color w:val="auto"/>
        </w:rPr>
      </w:pPr>
    </w:p>
    <w:p>
      <w:pPr>
        <w:ind w:left="260"/>
        <w:spacing w:after="0"/>
        <w:tabs>
          <w:tab w:leader="none" w:pos="720" w:val="left"/>
        </w:tabs>
        <w:rPr>
          <w:sz w:val="20"/>
          <w:szCs w:val="20"/>
          <w:color w:val="auto"/>
        </w:rPr>
      </w:pPr>
      <w:r>
        <w:rPr>
          <w:rFonts w:ascii="Times New Roman" w:cs="Times New Roman" w:eastAsia="Times New Roman" w:hAnsi="Times New Roman"/>
          <w:sz w:val="15"/>
          <w:szCs w:val="15"/>
          <w:color w:val="auto"/>
        </w:rPr>
        <w:t>Date:</w:t>
        <w:tab/>
        <w:t>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810260</wp:posOffset>
            </wp:positionV>
            <wp:extent cx="6310630"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0630" cy="13970"/>
                    </a:xfrm>
                    <a:prstGeom prst="rect">
                      <a:avLst/>
                    </a:prstGeom>
                    <a:noFill/>
                  </pic:spPr>
                </pic:pic>
              </a:graphicData>
            </a:graphic>
          </wp:anchor>
        </w:drawing>
      </w:r>
    </w:p>
    <w:p>
      <w:pPr>
        <w:sectPr>
          <w:pgSz w:w="11900" w:h="16838" w:orient="portrait"/>
          <w:cols w:equalWidth="0" w:num="1">
            <w:col w:w="9940"/>
          </w:cols>
          <w:pgMar w:left="980" w:top="736" w:right="97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76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298"/>
        </w:trPr>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3"/>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2"/>
        </w:trPr>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color w:val="auto"/>
                <w:w w:val="95"/>
              </w:rPr>
              <w:t>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20" w:type="dxa"/>
            <w:vAlign w:val="bottom"/>
            <w:gridSpan w:val="7"/>
          </w:tcPr>
          <w:p>
            <w:pPr>
              <w:spacing w:after="0" w:line="142" w:lineRule="exact"/>
              <w:rPr>
                <w:rFonts w:ascii="Times New Roman" w:cs="Times New Roman" w:eastAsia="Times New Roman" w:hAnsi="Times New Roman"/>
                <w:sz w:val="15"/>
                <w:szCs w:val="15"/>
                <w:color w:val="0000EE"/>
              </w:rPr>
            </w:pPr>
            <w:hyperlink r:id="rId17">
              <w:r>
                <w:rPr>
                  <w:rFonts w:ascii="Times New Roman" w:cs="Times New Roman" w:eastAsia="Times New Roman" w:hAnsi="Times New Roman"/>
                  <w:sz w:val="15"/>
                  <w:szCs w:val="15"/>
                  <w:color w:val="0000EE"/>
                </w:rPr>
                <w:t>Articles of Association (incorporated herein by reference to Exhibit 3.1 to the Company’s Registration Statement on Form F-3, filed with the U.S.</w:t>
              </w:r>
            </w:hyperlink>
          </w:p>
        </w:tc>
      </w:tr>
      <w:tr>
        <w:trPr>
          <w:trHeight w:val="144"/>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Borders>
              <w:top w:val="single" w:sz="8" w:color="0000EE"/>
              <w:bottom w:val="single" w:sz="8" w:color="0000EE"/>
            </w:tcBorders>
            <w:gridSpan w:val="3"/>
          </w:tcPr>
          <w:p>
            <w:pPr>
              <w:spacing w:after="0" w:line="144" w:lineRule="exact"/>
              <w:rPr>
                <w:rFonts w:ascii="Times New Roman" w:cs="Times New Roman" w:eastAsia="Times New Roman" w:hAnsi="Times New Roman"/>
                <w:sz w:val="15"/>
                <w:szCs w:val="15"/>
                <w:color w:val="0000EE"/>
                <w:w w:val="97"/>
              </w:rPr>
            </w:pPr>
            <w:hyperlink r:id="rId17">
              <w:r>
                <w:rPr>
                  <w:rFonts w:ascii="Times New Roman" w:cs="Times New Roman" w:eastAsia="Times New Roman" w:hAnsi="Times New Roman"/>
                  <w:sz w:val="15"/>
                  <w:szCs w:val="15"/>
                  <w:color w:val="0000EE"/>
                  <w:w w:val="97"/>
                </w:rPr>
                <w:t>Securities and Exchange Commission on July 26, 2024)</w:t>
              </w:r>
            </w:hyperlink>
          </w:p>
        </w:tc>
        <w:tc>
          <w:tcPr>
            <w:tcW w:w="5240" w:type="dxa"/>
            <w:vAlign w:val="bottom"/>
            <w:tcBorders>
              <w:top w:val="single" w:sz="8" w:color="0000EE"/>
            </w:tcBorders>
            <w:gridSpan w:val="4"/>
          </w:tcPr>
          <w:p>
            <w:pPr>
              <w:spacing w:after="0"/>
              <w:rPr>
                <w:sz w:val="12"/>
                <w:szCs w:val="12"/>
                <w:color w:val="auto"/>
              </w:rPr>
            </w:pPr>
          </w:p>
        </w:tc>
        <w:tc>
          <w:tcPr>
            <w:tcW w:w="520" w:type="dxa"/>
            <w:vAlign w:val="bottom"/>
          </w:tcPr>
          <w:p>
            <w:pPr>
              <w:spacing w:after="0"/>
              <w:rPr>
                <w:sz w:val="12"/>
                <w:szCs w:val="12"/>
                <w:color w:val="auto"/>
              </w:rPr>
            </w:pPr>
          </w:p>
        </w:tc>
      </w:tr>
      <w:tr>
        <w:trPr>
          <w:trHeight w:val="166"/>
        </w:trPr>
        <w:tc>
          <w:tcPr>
            <w:tcW w:w="700" w:type="dxa"/>
            <w:vAlign w:val="bottom"/>
          </w:tcPr>
          <w:p>
            <w:pPr>
              <w:jc w:val="center"/>
              <w:spacing w:after="0" w:line="155" w:lineRule="exact"/>
              <w:rPr>
                <w:sz w:val="20"/>
                <w:szCs w:val="20"/>
                <w:color w:val="auto"/>
              </w:rPr>
            </w:pPr>
            <w:r>
              <w:rPr>
                <w:rFonts w:ascii="Times New Roman" w:cs="Times New Roman" w:eastAsia="Times New Roman" w:hAnsi="Times New Roman"/>
                <w:sz w:val="12"/>
                <w:szCs w:val="12"/>
                <w:color w:val="auto"/>
              </w:rPr>
              <w:t>10.1</w:t>
            </w:r>
            <w:r>
              <w:rPr>
                <w:rFonts w:ascii="Times New Roman" w:cs="Times New Roman" w:eastAsia="Times New Roman" w:hAnsi="Times New Roman"/>
                <w:sz w:val="17"/>
                <w:szCs w:val="17"/>
                <w:u w:val="single" w:color="auto"/>
                <w:color w:val="0000EE"/>
                <w:vertAlign w:val="superscript"/>
              </w:rPr>
              <w:t>†</w:t>
            </w:r>
          </w:p>
        </w:tc>
        <w:tc>
          <w:tcPr>
            <w:tcW w:w="200" w:type="dxa"/>
            <w:vAlign w:val="bottom"/>
          </w:tcPr>
          <w:p>
            <w:pPr>
              <w:spacing w:after="0"/>
              <w:rPr>
                <w:sz w:val="14"/>
                <w:szCs w:val="14"/>
                <w:color w:val="auto"/>
              </w:rPr>
            </w:pPr>
          </w:p>
        </w:tc>
        <w:tc>
          <w:tcPr>
            <w:tcW w:w="6940" w:type="dxa"/>
            <w:vAlign w:val="bottom"/>
            <w:tcBorders>
              <w:bottom w:val="single" w:sz="8" w:color="0000EE"/>
            </w:tcBorders>
            <w:gridSpan w:val="5"/>
          </w:tcPr>
          <w:p>
            <w:pPr>
              <w:spacing w:after="0" w:line="155" w:lineRule="exact"/>
              <w:rPr>
                <w:sz w:val="20"/>
                <w:szCs w:val="20"/>
                <w:color w:val="auto"/>
              </w:rPr>
            </w:pPr>
            <w:r>
              <w:rPr>
                <w:rFonts w:ascii="Times New Roman" w:cs="Times New Roman" w:eastAsia="Times New Roman" w:hAnsi="Times New Roman"/>
                <w:sz w:val="15"/>
                <w:szCs w:val="15"/>
                <w:color w:val="0000EE"/>
                <w:w w:val="96"/>
              </w:rPr>
              <w:t>Option and License Agreement between AC Immune SA and Takeda Pharmaceuticals, USA, Inc., dated May 11, 2024</w:t>
            </w:r>
          </w:p>
        </w:tc>
        <w:tc>
          <w:tcPr>
            <w:tcW w:w="2100" w:type="dxa"/>
            <w:vAlign w:val="bottom"/>
            <w:gridSpan w:val="3"/>
          </w:tcPr>
          <w:p>
            <w:pPr>
              <w:spacing w:after="0"/>
              <w:rPr>
                <w:sz w:val="14"/>
                <w:szCs w:val="14"/>
                <w:color w:val="auto"/>
              </w:rPr>
            </w:pPr>
          </w:p>
        </w:tc>
      </w:tr>
      <w:tr>
        <w:trPr>
          <w:trHeight w:val="166"/>
        </w:trPr>
        <w:tc>
          <w:tcPr>
            <w:tcW w:w="70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99.1</w:t>
            </w:r>
          </w:p>
        </w:tc>
        <w:tc>
          <w:tcPr>
            <w:tcW w:w="200" w:type="dxa"/>
            <w:vAlign w:val="bottom"/>
          </w:tcPr>
          <w:p>
            <w:pPr>
              <w:spacing w:after="0"/>
              <w:rPr>
                <w:sz w:val="14"/>
                <w:szCs w:val="14"/>
                <w:color w:val="auto"/>
              </w:rPr>
            </w:pPr>
          </w:p>
        </w:tc>
        <w:tc>
          <w:tcPr>
            <w:tcW w:w="7840" w:type="dxa"/>
            <w:vAlign w:val="bottom"/>
            <w:tcBorders>
              <w:bottom w:val="single" w:sz="8" w:color="0000EE"/>
            </w:tcBorders>
            <w:gridSpan w:val="6"/>
          </w:tcPr>
          <w:p>
            <w:pPr>
              <w:spacing w:after="0" w:line="167" w:lineRule="exact"/>
              <w:rPr>
                <w:sz w:val="20"/>
                <w:szCs w:val="20"/>
                <w:color w:val="auto"/>
              </w:rPr>
            </w:pPr>
            <w:r>
              <w:rPr>
                <w:rFonts w:ascii="Times New Roman" w:cs="Times New Roman" w:eastAsia="Times New Roman" w:hAnsi="Times New Roman"/>
                <w:sz w:val="15"/>
                <w:szCs w:val="15"/>
                <w:color w:val="0000EE"/>
                <w:w w:val="97"/>
              </w:rPr>
              <w:t>Interim Condensed Consolidated Financial Statements (Unaudited) (IFRS) as of and for the three and six months ended June 30, 2024</w:t>
            </w:r>
          </w:p>
        </w:tc>
        <w:tc>
          <w:tcPr>
            <w:tcW w:w="1200" w:type="dxa"/>
            <w:vAlign w:val="bottom"/>
            <w:gridSpan w:val="2"/>
          </w:tcPr>
          <w:p>
            <w:pPr>
              <w:spacing w:after="0"/>
              <w:rPr>
                <w:sz w:val="14"/>
                <w:szCs w:val="14"/>
                <w:color w:val="auto"/>
              </w:rPr>
            </w:pPr>
          </w:p>
        </w:tc>
      </w:tr>
      <w:tr>
        <w:trPr>
          <w:trHeight w:val="155"/>
        </w:trPr>
        <w:tc>
          <w:tcPr>
            <w:tcW w:w="7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w w:val="98"/>
              </w:rPr>
              <w:t>99.2</w:t>
            </w:r>
          </w:p>
        </w:tc>
        <w:tc>
          <w:tcPr>
            <w:tcW w:w="200" w:type="dxa"/>
            <w:vAlign w:val="bottom"/>
          </w:tcPr>
          <w:p>
            <w:pPr>
              <w:spacing w:after="0"/>
              <w:rPr>
                <w:sz w:val="13"/>
                <w:szCs w:val="13"/>
                <w:color w:val="auto"/>
              </w:rPr>
            </w:pPr>
          </w:p>
        </w:tc>
        <w:tc>
          <w:tcPr>
            <w:tcW w:w="9040" w:type="dxa"/>
            <w:vAlign w:val="bottom"/>
            <w:gridSpan w:val="8"/>
          </w:tcPr>
          <w:p>
            <w:pPr>
              <w:spacing w:after="0" w:line="155"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r>
      <w:tr>
        <w:trPr>
          <w:trHeight w:val="155"/>
        </w:trPr>
        <w:tc>
          <w:tcPr>
            <w:tcW w:w="7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w w:val="98"/>
              </w:rPr>
              <w:t>99.3</w:t>
            </w:r>
          </w:p>
        </w:tc>
        <w:tc>
          <w:tcPr>
            <w:tcW w:w="200" w:type="dxa"/>
            <w:vAlign w:val="bottom"/>
          </w:tcPr>
          <w:p>
            <w:pPr>
              <w:spacing w:after="0"/>
              <w:rPr>
                <w:sz w:val="13"/>
                <w:szCs w:val="13"/>
                <w:color w:val="auto"/>
              </w:rPr>
            </w:pPr>
          </w:p>
        </w:tc>
        <w:tc>
          <w:tcPr>
            <w:tcW w:w="2100" w:type="dxa"/>
            <w:vAlign w:val="bottom"/>
            <w:tcBorders>
              <w:top w:val="single" w:sz="8" w:color="0000EE"/>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5"/>
                <w:szCs w:val="15"/>
                <w:color w:val="0000EE"/>
                <w:w w:val="97"/>
              </w:rPr>
              <w:t>Press Release dated August 6, 2024</w:t>
            </w:r>
          </w:p>
        </w:tc>
        <w:tc>
          <w:tcPr>
            <w:tcW w:w="3140" w:type="dxa"/>
            <w:vAlign w:val="bottom"/>
            <w:tcBorders>
              <w:top w:val="single" w:sz="8" w:color="0000EE"/>
            </w:tcBorders>
            <w:gridSpan w:val="2"/>
          </w:tcPr>
          <w:p>
            <w:pPr>
              <w:spacing w:after="0"/>
              <w:rPr>
                <w:sz w:val="13"/>
                <w:szCs w:val="13"/>
                <w:color w:val="auto"/>
              </w:rPr>
            </w:pPr>
          </w:p>
        </w:tc>
        <w:tc>
          <w:tcPr>
            <w:tcW w:w="3800" w:type="dxa"/>
            <w:vAlign w:val="bottom"/>
            <w:gridSpan w:val="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157734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577340" cy="6985"/>
                    </a:xfrm>
                    <a:prstGeom prst="rect">
                      <a:avLst/>
                    </a:prstGeom>
                    <a:noFill/>
                  </pic:spPr>
                </pic:pic>
              </a:graphicData>
            </a:graphic>
          </wp:anchor>
        </w:drawing>
      </w:r>
    </w:p>
    <w:p>
      <w:pPr>
        <w:spacing w:after="0" w:line="391" w:lineRule="exact"/>
        <w:rPr>
          <w:sz w:val="20"/>
          <w:szCs w:val="20"/>
          <w:color w:val="auto"/>
        </w:rPr>
      </w:pPr>
    </w:p>
    <w:p>
      <w:pPr>
        <w:ind w:left="90" w:hanging="90"/>
        <w:spacing w:after="0"/>
        <w:tabs>
          <w:tab w:leader="none" w:pos="9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Registrant has omitted portions of the exhibit as permitted under Item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391795</wp:posOffset>
            </wp:positionV>
            <wp:extent cx="631063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310630" cy="13970"/>
                    </a:xfrm>
                    <a:prstGeom prst="rect">
                      <a:avLst/>
                    </a:prstGeom>
                    <a:noFill/>
                  </pic:spPr>
                </pic:pic>
              </a:graphicData>
            </a:graphic>
          </wp:anchor>
        </w:drawing>
      </w:r>
    </w:p>
    <w:p>
      <w:pPr>
        <w:sectPr>
          <w:pgSz w:w="11900" w:h="16838" w:orient="portrait"/>
          <w:cols w:equalWidth="0" w:num="1">
            <w:col w:w="9950"/>
          </w:cols>
          <w:pgMar w:left="970" w:top="736" w:right="979" w:bottom="1440" w:gutter="0" w:footer="0" w:header="0"/>
        </w:sectPr>
      </w:pPr>
    </w:p>
    <w:bookmarkStart w:id="4" w:name="page5"/>
    <w:bookmarkEnd w:id="4"/>
    <w:p>
      <w:pPr>
        <w:jc w:val="right"/>
        <w:ind w:right="199"/>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186" w:lineRule="exact"/>
        <w:rPr>
          <w:sz w:val="20"/>
          <w:szCs w:val="20"/>
          <w:color w:val="auto"/>
        </w:rPr>
      </w:pPr>
    </w:p>
    <w:p>
      <w:pPr>
        <w:ind w:left="200" w:right="199" w:hanging="7"/>
        <w:spacing w:after="0" w:line="252" w:lineRule="auto"/>
        <w:tabs>
          <w:tab w:leader="none" w:pos="6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AND LICENSE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TAKEDA PHARMACEUTICALS, USA, INC.</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May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933450</wp:posOffset>
            </wp:positionV>
            <wp:extent cx="547624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tbl>
      <w:tblPr>
        <w:tblLayout w:type="fixed"/>
        <w:tblInd w:w="20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56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1</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JOINT DEVELOPMENT TEAM</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2</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Joint Development Team</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2.1.</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Specific Responsibilities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2.2.</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Working Groups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2.3.</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Meetings and Minutes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2.4.</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Procedural Rules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2.5.</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Decision-Making</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2.6.</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Limitations on Authority</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2.7.</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Discontinuation; Disbandment</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2.8.</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Alliance Managers</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93"/>
        </w:trPr>
        <w:tc>
          <w:tcPr>
            <w:tcW w:w="120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2.9.</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INITIAL DEVELOPMENT</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3</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Development Plan and CMC Development Plan</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3.1.</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ACI Performance; Costs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3.2.</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CMC Development</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3.3.</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Subcontracting</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3.4.</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Regulatory</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3.5.</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Records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3.6.</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Reports and Information Sharing</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193"/>
        </w:trPr>
        <w:tc>
          <w:tcPr>
            <w:tcW w:w="120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3.7.</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GRANT OF OPTION; OPTION EXERCISE</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4</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Option; Submission of Data Package</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4.1.</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Antitrust Clearance</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4.2.</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Tolling of Obligations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4.3.</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No Exercise of Option</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4.4.</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Transfers at Option Effective Date</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193"/>
        </w:trPr>
        <w:tc>
          <w:tcPr>
            <w:tcW w:w="120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4.5.</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GRANT OF RIGHTS</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5</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Grants to Takeda</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5.1.</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Sublicenses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5.2.</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Retention of Rights</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5.3.</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Confirmatory Patent License</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5.4.</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Exclusivity; Change of Control</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5.5.</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Existing Agreements; Product Agreements</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0" w:type="dxa"/>
            <w:vAlign w:val="bottom"/>
          </w:tcPr>
          <w:p>
            <w:pPr>
              <w:spacing w:after="0"/>
              <w:rPr>
                <w:sz w:val="1"/>
                <w:szCs w:val="1"/>
                <w:color w:val="auto"/>
              </w:rPr>
            </w:pPr>
          </w:p>
        </w:tc>
      </w:tr>
      <w:tr>
        <w:trPr>
          <w:trHeight w:val="193"/>
        </w:trPr>
        <w:tc>
          <w:tcPr>
            <w:tcW w:w="120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5.6.</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MANUFACTURING AND SUPPLY</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193"/>
        </w:trPr>
        <w:tc>
          <w:tcPr>
            <w:tcW w:w="120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6</w:t>
            </w:r>
          </w:p>
        </w:tc>
        <w:tc>
          <w:tcPr>
            <w:tcW w:w="564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Supply of Licensed Products and Materials</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6.1.</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line="197" w:lineRule="exact"/>
              <w:rPr>
                <w:sz w:val="20"/>
                <w:szCs w:val="20"/>
                <w:color w:val="auto"/>
              </w:rPr>
            </w:pPr>
            <w:r>
              <w:rPr>
                <w:rFonts w:ascii="Times New Roman" w:cs="Times New Roman" w:eastAsia="Times New Roman" w:hAnsi="Times New Roman"/>
                <w:sz w:val="18"/>
                <w:szCs w:val="18"/>
                <w:b w:val="1"/>
                <w:bCs w:val="1"/>
                <w:color w:val="auto"/>
              </w:rPr>
              <w:t>Manufacturing Technology Transfer</w:t>
            </w:r>
          </w:p>
        </w:tc>
        <w:tc>
          <w:tcPr>
            <w:tcW w:w="178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44"/>
        </w:trPr>
        <w:tc>
          <w:tcPr>
            <w:tcW w:w="120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6.2.</w:t>
            </w:r>
          </w:p>
        </w:tc>
        <w:tc>
          <w:tcPr>
            <w:tcW w:w="5640" w:type="dxa"/>
            <w:vAlign w:val="bottom"/>
            <w:vMerge w:val="continue"/>
          </w:tcPr>
          <w:p>
            <w:pPr>
              <w:spacing w:after="0"/>
              <w:rPr>
                <w:sz w:val="3"/>
                <w:szCs w:val="3"/>
                <w:color w:val="auto"/>
              </w:rPr>
            </w:pPr>
          </w:p>
        </w:tc>
        <w:tc>
          <w:tcPr>
            <w:tcW w:w="1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0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6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Manufacturing Improvements</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31"/>
        </w:trPr>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6.3.</w:t>
            </w:r>
          </w:p>
        </w:tc>
        <w:tc>
          <w:tcPr>
            <w:tcW w:w="564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-5706110</wp:posOffset>
            </wp:positionV>
            <wp:extent cx="5476240" cy="5615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476240" cy="5615305"/>
                    </a:xfrm>
                    <a:prstGeom prst="rect">
                      <a:avLst/>
                    </a:prstGeom>
                    <a:noFill/>
                  </pic:spPr>
                </pic:pic>
              </a:graphicData>
            </a:graphic>
          </wp:anchor>
        </w:drawing>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362585</wp:posOffset>
            </wp:positionV>
            <wp:extent cx="5476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6" w:name="page7"/>
    <w:bookmarkEnd w:id="6"/>
    <w:tbl>
      <w:tblPr>
        <w:tblLayout w:type="fixed"/>
        <w:tblInd w:w="20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7</w:t>
            </w:r>
          </w:p>
        </w:tc>
        <w:tc>
          <w:tcPr>
            <w:tcW w:w="70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POST-OPTION DEVELOPMENT, REGULATORY AND COMMERCIALIZATION</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highlight w:val="white"/>
              </w:rPr>
              <w:t>ACTIVITIES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276"/>
        </w:trPr>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Rights Generally</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7.1.</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Certain ACI Ongoing Activities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7.2.</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Regulatory</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7.3.</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Diligence</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7.4.</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Subcontracting</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193"/>
        </w:trPr>
        <w:tc>
          <w:tcPr>
            <w:tcW w:w="116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7.5.</w:t>
            </w:r>
          </w:p>
        </w:tc>
        <w:tc>
          <w:tcPr>
            <w:tcW w:w="70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PAYMENTS AND RECORDS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193"/>
        </w:trPr>
        <w:tc>
          <w:tcPr>
            <w:tcW w:w="116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8</w:t>
            </w:r>
          </w:p>
        </w:tc>
        <w:tc>
          <w:tcPr>
            <w:tcW w:w="70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Upfront Payment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8.1.</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Option Exercise Fee</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8.2.</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Development Milestones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8.3.</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Commercial Milestones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8.4.</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Royalties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8.5.</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Offset for Third Party Payments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8.6.</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Mechanics of Adjustments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8.7.</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Estimated Sales Levels; Diligence</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8.8.</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Mode of Payment</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8.9.</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Taxes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8.10.</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Interest on Late Payments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8.11.</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Financial Records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8.12.</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Audit</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8.13.</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Third Party Obligations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8.14.</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Apportionment of Compulsory License Revenue</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193"/>
        </w:trPr>
        <w:tc>
          <w:tcPr>
            <w:tcW w:w="116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8.15.</w:t>
            </w:r>
          </w:p>
        </w:tc>
        <w:tc>
          <w:tcPr>
            <w:tcW w:w="70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INTELLECTUAL PROPERTY</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193"/>
        </w:trPr>
        <w:tc>
          <w:tcPr>
            <w:tcW w:w="116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9</w:t>
            </w:r>
          </w:p>
        </w:tc>
        <w:tc>
          <w:tcPr>
            <w:tcW w:w="70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Intellectual Property</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9.1.</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Control of Intellectual Property</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9.2.</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Maintenance and Prosecution of Patents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9.3.</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Enforcement of Patents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9.4.</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Invalidity or Unenforceability Defenses or Actions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9.5.</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Infringement Claims by Third Parties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9.6.</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Third Party Rights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74</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9.7.</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Product Trademarks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193"/>
        </w:trPr>
        <w:tc>
          <w:tcPr>
            <w:tcW w:w="116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9.8.</w:t>
            </w:r>
          </w:p>
        </w:tc>
        <w:tc>
          <w:tcPr>
            <w:tcW w:w="70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CONFIDENTIALITY AND NON-DISCLOSURE</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193"/>
        </w:trPr>
        <w:tc>
          <w:tcPr>
            <w:tcW w:w="116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10</w:t>
            </w:r>
          </w:p>
        </w:tc>
        <w:tc>
          <w:tcPr>
            <w:tcW w:w="70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Confidentiality Obligations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10.1.</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Exceptions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10.2.</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Permitted Disclosures</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10.3.</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Additional Permitted Disclosures by Takeda</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10.4.</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Additional Permitted Disclosures by ACI</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10.5.</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Use of Name</w:t>
            </w:r>
          </w:p>
        </w:tc>
        <w:tc>
          <w:tcPr>
            <w:tcW w:w="40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44"/>
        </w:trPr>
        <w:tc>
          <w:tcPr>
            <w:tcW w:w="116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10.6.</w:t>
            </w:r>
          </w:p>
        </w:tc>
        <w:tc>
          <w:tcPr>
            <w:tcW w:w="70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70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Public Announcements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31"/>
        </w:trPr>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10.7.</w:t>
            </w:r>
          </w:p>
        </w:tc>
        <w:tc>
          <w:tcPr>
            <w:tcW w:w="706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-5748020</wp:posOffset>
            </wp:positionV>
            <wp:extent cx="5476240" cy="5657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476240" cy="5657215"/>
                    </a:xfrm>
                    <a:prstGeom prst="rect">
                      <a:avLst/>
                    </a:prstGeom>
                    <a:noFill/>
                  </pic:spPr>
                </pic:pic>
              </a:graphicData>
            </a:graphic>
          </wp:anchor>
        </w:drawing>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362585</wp:posOffset>
            </wp:positionV>
            <wp:extent cx="547624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49" w:right="1440" w:bottom="1440" w:gutter="0" w:footer="0" w:header="0"/>
        </w:sectPr>
      </w:pPr>
    </w:p>
    <w:bookmarkStart w:id="7" w:name="page8"/>
    <w:bookmarkEnd w:id="7"/>
    <w:tbl>
      <w:tblPr>
        <w:tblLayout w:type="fixed"/>
        <w:tblInd w:w="200" w:type="dxa"/>
        <w:tblCellMar>
          <w:top w:w="0" w:type="dxa"/>
          <w:left w:w="0" w:type="dxa"/>
          <w:bottom w:w="0" w:type="dxa"/>
          <w:right w:w="0" w:type="dxa"/>
        </w:tblCellMar>
      </w:tblPr>
      <w:tr>
        <w:trPr>
          <w:trHeight w:val="207"/>
        </w:trPr>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Publications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10.8.</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Return of Confidential Information</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10.9.</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Protection of Personal Data</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193"/>
        </w:trPr>
        <w:tc>
          <w:tcPr>
            <w:tcW w:w="124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10.10.</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193"/>
        </w:trPr>
        <w:tc>
          <w:tcPr>
            <w:tcW w:w="12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11</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Mutual Representations and Warranties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11.1.</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Additional Representations and Warranties of ACI</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11.2.</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Updated Disclosure Schedule</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86</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11.3.</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Anti-Bribery and Anti-Corruption Compliance</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11.4.</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Covenants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11.5.</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DISCLAIMER OF WARRANTIES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193"/>
        </w:trPr>
        <w:tc>
          <w:tcPr>
            <w:tcW w:w="124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11.6.</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193"/>
        </w:trPr>
        <w:tc>
          <w:tcPr>
            <w:tcW w:w="12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12</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Indemnification of ACI</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12.1.</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Indemnification of Takeda</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12.2.</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Indemnification Procedures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12.3.</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Special, Indirect and Other Losses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12.4.</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193"/>
        </w:trPr>
        <w:tc>
          <w:tcPr>
            <w:tcW w:w="124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12.5.</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TERM AND TERMINATION</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193"/>
        </w:trPr>
        <w:tc>
          <w:tcPr>
            <w:tcW w:w="12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13</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Term and Expiration</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13.1.</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Termination</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13.2.</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Rights in Bankruptcy</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13.3.</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Consequences of Termination Prior to Option Effective Date</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13.4.</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Consequences of Termination After Option Effective Date</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13.5.</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Modification In Lieu of Termination</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13.6.</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Remedies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100</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13.7.</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Accrued Rights; Surviving Obligations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100</w:t>
            </w:r>
          </w:p>
        </w:tc>
        <w:tc>
          <w:tcPr>
            <w:tcW w:w="0" w:type="dxa"/>
            <w:vAlign w:val="bottom"/>
          </w:tcPr>
          <w:p>
            <w:pPr>
              <w:spacing w:after="0"/>
              <w:rPr>
                <w:sz w:val="1"/>
                <w:szCs w:val="1"/>
                <w:color w:val="auto"/>
              </w:rPr>
            </w:pPr>
          </w:p>
        </w:tc>
      </w:tr>
      <w:tr>
        <w:trPr>
          <w:trHeight w:val="193"/>
        </w:trPr>
        <w:tc>
          <w:tcPr>
            <w:tcW w:w="1240" w:type="dxa"/>
            <w:vAlign w:val="bottom"/>
          </w:tcPr>
          <w:p>
            <w:pPr>
              <w:ind w:left="520"/>
              <w:spacing w:after="0" w:line="193" w:lineRule="exact"/>
              <w:rPr>
                <w:sz w:val="20"/>
                <w:szCs w:val="20"/>
                <w:color w:val="auto"/>
              </w:rPr>
            </w:pPr>
            <w:r>
              <w:rPr>
                <w:rFonts w:ascii="Times New Roman" w:cs="Times New Roman" w:eastAsia="Times New Roman" w:hAnsi="Times New Roman"/>
                <w:sz w:val="18"/>
                <w:szCs w:val="18"/>
                <w:b w:val="1"/>
                <w:bCs w:val="1"/>
                <w:color w:val="auto"/>
              </w:rPr>
              <w:t>13.8.</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101</w:t>
            </w:r>
          </w:p>
        </w:tc>
        <w:tc>
          <w:tcPr>
            <w:tcW w:w="0" w:type="dxa"/>
            <w:vAlign w:val="bottom"/>
          </w:tcPr>
          <w:p>
            <w:pPr>
              <w:spacing w:after="0"/>
              <w:rPr>
                <w:sz w:val="1"/>
                <w:szCs w:val="1"/>
                <w:color w:val="auto"/>
              </w:rPr>
            </w:pPr>
          </w:p>
        </w:tc>
      </w:tr>
      <w:tr>
        <w:trPr>
          <w:trHeight w:val="193"/>
        </w:trPr>
        <w:tc>
          <w:tcPr>
            <w:tcW w:w="12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ARTICLE 14</w:t>
            </w:r>
          </w:p>
        </w:tc>
        <w:tc>
          <w:tcPr>
            <w:tcW w:w="59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40" w:type="dxa"/>
            <w:vAlign w:val="bottom"/>
          </w:tcPr>
          <w:p>
            <w:pPr>
              <w:ind w:left="52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Force Majeure</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101</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Export Control</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101</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14.2.</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Assignment</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102</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14.3.</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Severability</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103</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14.4.</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Dispute Resolution</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103</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14.5.</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Governing Law, Jurisdiction and Service</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104</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14.6.</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Notices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104</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14.7.</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Entire Agreement; Amendments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105</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14.8.</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English Language</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105</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14.9.</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Equitable Relief</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105</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14.10.</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Waiver and Non-Exclusion of Remedies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106</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14.11.</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No Benefit to Third Parties</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106</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14.12.</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line="197" w:lineRule="exact"/>
              <w:rPr>
                <w:sz w:val="20"/>
                <w:szCs w:val="20"/>
                <w:color w:val="auto"/>
              </w:rPr>
            </w:pPr>
            <w:r>
              <w:rPr>
                <w:rFonts w:ascii="Times New Roman" w:cs="Times New Roman" w:eastAsia="Times New Roman" w:hAnsi="Times New Roman"/>
                <w:sz w:val="18"/>
                <w:szCs w:val="18"/>
                <w:b w:val="1"/>
                <w:bCs w:val="1"/>
                <w:color w:val="auto"/>
              </w:rPr>
              <w:t>Further Assurance</w:t>
            </w:r>
          </w:p>
        </w:tc>
        <w:tc>
          <w:tcPr>
            <w:tcW w:w="146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106</w:t>
            </w:r>
          </w:p>
        </w:tc>
        <w:tc>
          <w:tcPr>
            <w:tcW w:w="0" w:type="dxa"/>
            <w:vAlign w:val="bottom"/>
          </w:tcPr>
          <w:p>
            <w:pPr>
              <w:spacing w:after="0"/>
              <w:rPr>
                <w:sz w:val="1"/>
                <w:szCs w:val="1"/>
                <w:color w:val="auto"/>
              </w:rPr>
            </w:pPr>
          </w:p>
        </w:tc>
      </w:tr>
      <w:tr>
        <w:trPr>
          <w:trHeight w:val="44"/>
        </w:trPr>
        <w:tc>
          <w:tcPr>
            <w:tcW w:w="124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14.13.</w:t>
            </w:r>
          </w:p>
        </w:tc>
        <w:tc>
          <w:tcPr>
            <w:tcW w:w="592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Relationship of the Parties</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106</w:t>
            </w:r>
          </w:p>
        </w:tc>
        <w:tc>
          <w:tcPr>
            <w:tcW w:w="0" w:type="dxa"/>
            <w:vAlign w:val="bottom"/>
          </w:tcPr>
          <w:p>
            <w:pPr>
              <w:spacing w:after="0"/>
              <w:rPr>
                <w:sz w:val="1"/>
                <w:szCs w:val="1"/>
                <w:color w:val="auto"/>
              </w:rPr>
            </w:pPr>
          </w:p>
        </w:tc>
      </w:tr>
      <w:tr>
        <w:trPr>
          <w:trHeight w:val="231"/>
        </w:trPr>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14.14.</w:t>
            </w:r>
          </w:p>
        </w:tc>
        <w:tc>
          <w:tcPr>
            <w:tcW w:w="592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-5984240</wp:posOffset>
            </wp:positionV>
            <wp:extent cx="5476240" cy="5893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476240" cy="5893435"/>
                    </a:xfrm>
                    <a:prstGeom prst="rect">
                      <a:avLst/>
                    </a:prstGeom>
                    <a:noFill/>
                  </pic:spPr>
                </pic:pic>
              </a:graphicData>
            </a:graphic>
          </wp:anchor>
        </w:drawing>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362585</wp:posOffset>
            </wp:positionV>
            <wp:extent cx="547624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sectPr>
      </w:pPr>
    </w:p>
    <w:bookmarkStart w:id="8" w:name="page9"/>
    <w:bookmarkEnd w:id="8"/>
    <w:tbl>
      <w:tblPr>
        <w:tblLayout w:type="fixed"/>
        <w:tblInd w:w="200" w:type="dxa"/>
        <w:tblCellMar>
          <w:top w:w="0" w:type="dxa"/>
          <w:left w:w="0" w:type="dxa"/>
          <w:bottom w:w="0" w:type="dxa"/>
          <w:right w:w="0" w:type="dxa"/>
        </w:tblCellMar>
      </w:tblPr>
      <w:tr>
        <w:trPr>
          <w:trHeight w:val="207"/>
        </w:trPr>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5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Right to Offset</w:t>
            </w: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rPr>
              <w:t>107</w:t>
            </w:r>
          </w:p>
        </w:tc>
        <w:tc>
          <w:tcPr>
            <w:tcW w:w="0" w:type="dxa"/>
            <w:vAlign w:val="bottom"/>
          </w:tcPr>
          <w:p>
            <w:pPr>
              <w:spacing w:after="0"/>
              <w:rPr>
                <w:sz w:val="1"/>
                <w:szCs w:val="1"/>
                <w:color w:val="auto"/>
              </w:rPr>
            </w:pPr>
          </w:p>
        </w:tc>
      </w:tr>
      <w:tr>
        <w:trPr>
          <w:trHeight w:val="44"/>
        </w:trPr>
        <w:tc>
          <w:tcPr>
            <w:tcW w:w="128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14.15.</w:t>
            </w:r>
          </w:p>
        </w:tc>
        <w:tc>
          <w:tcPr>
            <w:tcW w:w="5020" w:type="dxa"/>
            <w:vAlign w:val="bottom"/>
            <w:vMerge w:val="continue"/>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020" w:type="dxa"/>
            <w:vAlign w:val="bottom"/>
            <w:vMerge w:val="restart"/>
          </w:tcPr>
          <w:p>
            <w:pPr>
              <w:ind w:left="200"/>
              <w:spacing w:after="0" w:line="197" w:lineRule="exact"/>
              <w:rPr>
                <w:sz w:val="20"/>
                <w:szCs w:val="20"/>
                <w:color w:val="auto"/>
              </w:rPr>
            </w:pPr>
            <w:r>
              <w:rPr>
                <w:rFonts w:ascii="Times New Roman" w:cs="Times New Roman" w:eastAsia="Times New Roman" w:hAnsi="Times New Roman"/>
                <w:sz w:val="18"/>
                <w:szCs w:val="18"/>
                <w:b w:val="1"/>
                <w:bCs w:val="1"/>
                <w:color w:val="auto"/>
              </w:rPr>
              <w:t>References</w:t>
            </w:r>
          </w:p>
        </w:tc>
        <w:tc>
          <w:tcPr>
            <w:tcW w:w="232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highlight w:val="white"/>
              </w:rPr>
              <w:t>107</w:t>
            </w:r>
          </w:p>
        </w:tc>
        <w:tc>
          <w:tcPr>
            <w:tcW w:w="0" w:type="dxa"/>
            <w:vAlign w:val="bottom"/>
          </w:tcPr>
          <w:p>
            <w:pPr>
              <w:spacing w:after="0"/>
              <w:rPr>
                <w:sz w:val="1"/>
                <w:szCs w:val="1"/>
                <w:color w:val="auto"/>
              </w:rPr>
            </w:pPr>
          </w:p>
        </w:tc>
      </w:tr>
      <w:tr>
        <w:trPr>
          <w:trHeight w:val="44"/>
        </w:trPr>
        <w:tc>
          <w:tcPr>
            <w:tcW w:w="128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14.16.</w:t>
            </w:r>
          </w:p>
        </w:tc>
        <w:tc>
          <w:tcPr>
            <w:tcW w:w="5020" w:type="dxa"/>
            <w:vAlign w:val="bottom"/>
            <w:vMerge w:val="continue"/>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020" w:type="dxa"/>
            <w:vAlign w:val="bottom"/>
            <w:vMerge w:val="restart"/>
          </w:tcPr>
          <w:p>
            <w:pPr>
              <w:ind w:left="200"/>
              <w:spacing w:after="0" w:line="197" w:lineRule="exact"/>
              <w:rPr>
                <w:sz w:val="20"/>
                <w:szCs w:val="20"/>
                <w:color w:val="auto"/>
              </w:rPr>
            </w:pPr>
            <w:r>
              <w:rPr>
                <w:rFonts w:ascii="Times New Roman" w:cs="Times New Roman" w:eastAsia="Times New Roman" w:hAnsi="Times New Roman"/>
                <w:sz w:val="18"/>
                <w:szCs w:val="18"/>
                <w:b w:val="1"/>
                <w:bCs w:val="1"/>
                <w:color w:val="auto"/>
              </w:rPr>
              <w:t>Construction</w:t>
            </w:r>
          </w:p>
        </w:tc>
        <w:tc>
          <w:tcPr>
            <w:tcW w:w="2320" w:type="dxa"/>
            <w:vAlign w:val="bottom"/>
            <w:vMerge w:val="restart"/>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44"/>
        </w:trPr>
        <w:tc>
          <w:tcPr>
            <w:tcW w:w="1280" w:type="dxa"/>
            <w:vAlign w:val="bottom"/>
          </w:tcPr>
          <w:p>
            <w:pPr>
              <w:ind w:left="520"/>
              <w:spacing w:after="0" w:line="44" w:lineRule="exact"/>
              <w:rPr>
                <w:sz w:val="20"/>
                <w:szCs w:val="20"/>
                <w:color w:val="auto"/>
              </w:rPr>
            </w:pPr>
            <w:r>
              <w:rPr>
                <w:rFonts w:ascii="Times New Roman" w:cs="Times New Roman" w:eastAsia="Times New Roman" w:hAnsi="Times New Roman"/>
                <w:sz w:val="5"/>
                <w:szCs w:val="5"/>
                <w:b w:val="1"/>
                <w:bCs w:val="1"/>
                <w:color w:val="auto"/>
              </w:rPr>
              <w:t>14.17.</w:t>
            </w:r>
          </w:p>
        </w:tc>
        <w:tc>
          <w:tcPr>
            <w:tcW w:w="5020" w:type="dxa"/>
            <w:vAlign w:val="bottom"/>
            <w:vMerge w:val="continue"/>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520"/>
              <w:spacing w:after="0" w:line="153" w:lineRule="exact"/>
              <w:rPr>
                <w:sz w:val="20"/>
                <w:szCs w:val="20"/>
                <w:color w:val="auto"/>
              </w:rPr>
            </w:pPr>
            <w:r>
              <w:rPr>
                <w:rFonts w:ascii="Times New Roman" w:cs="Times New Roman" w:eastAsia="Times New Roman" w:hAnsi="Times New Roman"/>
                <w:sz w:val="16"/>
                <w:szCs w:val="16"/>
                <w:b w:val="1"/>
                <w:bCs w:val="1"/>
                <w:color w:val="auto"/>
              </w:rPr>
              <w:t>‌</w:t>
            </w:r>
          </w:p>
        </w:tc>
        <w:tc>
          <w:tcPr>
            <w:tcW w:w="50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2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31"/>
        </w:trPr>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14.18.</w:t>
            </w:r>
          </w:p>
        </w:tc>
        <w:tc>
          <w:tcPr>
            <w:tcW w:w="502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5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1‎.8</w:t>
            </w:r>
          </w:p>
        </w:tc>
        <w:tc>
          <w:tcPr>
            <w:tcW w:w="5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ACI-24.060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Schedule 1‎.18</w:t>
            </w:r>
          </w:p>
        </w:tc>
        <w:tc>
          <w:tcPr>
            <w:tcW w:w="50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Amyloid Precursor Protein Sequences</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Schedule 1‎.39</w:t>
            </w:r>
          </w:p>
        </w:tc>
        <w:tc>
          <w:tcPr>
            <w:tcW w:w="50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CMC Development Plan</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Schedule 1.40</w:t>
            </w:r>
          </w:p>
        </w:tc>
        <w:tc>
          <w:tcPr>
            <w:tcW w:w="50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CMC Readiness Elements</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Schedule 1‎.58</w:t>
            </w:r>
          </w:p>
        </w:tc>
        <w:tc>
          <w:tcPr>
            <w:tcW w:w="50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Data Package</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Schedule 1‎.68</w:t>
            </w:r>
          </w:p>
        </w:tc>
        <w:tc>
          <w:tcPr>
            <w:tcW w:w="50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Development Plan</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Schedule 1‎.138</w:t>
            </w:r>
          </w:p>
        </w:tc>
        <w:tc>
          <w:tcPr>
            <w:tcW w:w="50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Other Licensed Patents</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Schedule 1‎.148</w:t>
            </w:r>
          </w:p>
        </w:tc>
        <w:tc>
          <w:tcPr>
            <w:tcW w:w="5020" w:type="dxa"/>
            <w:vAlign w:val="bottom"/>
          </w:tcPr>
          <w:p>
            <w:pPr>
              <w:ind w:left="280"/>
              <w:spacing w:after="0" w:line="197" w:lineRule="exact"/>
              <w:rPr>
                <w:sz w:val="20"/>
                <w:szCs w:val="20"/>
                <w:color w:val="auto"/>
              </w:rPr>
            </w:pPr>
            <w:r>
              <w:rPr>
                <w:rFonts w:ascii="Times New Roman" w:cs="Times New Roman" w:eastAsia="Times New Roman" w:hAnsi="Times New Roman"/>
                <w:sz w:val="18"/>
                <w:szCs w:val="18"/>
                <w:color w:val="auto"/>
              </w:rPr>
              <w:t>Phase 3 Process Elements</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Schedule 1.157</w:t>
            </w:r>
          </w:p>
        </w:tc>
        <w:tc>
          <w:tcPr>
            <w:tcW w:w="5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Patents</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-1985010</wp:posOffset>
            </wp:positionV>
            <wp:extent cx="5142865" cy="500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142865" cy="500380"/>
                    </a:xfrm>
                    <a:prstGeom prst="rect">
                      <a:avLst/>
                    </a:prstGeom>
                    <a:noFill/>
                  </pic:spPr>
                </pic:pic>
              </a:graphicData>
            </a:graphic>
          </wp:anchor>
        </w:drawing>
      </w:r>
    </w:p>
    <w:p>
      <w:pPr>
        <w:ind w:left="1760" w:hanging="1567"/>
        <w:spacing w:after="0"/>
        <w:tabs>
          <w:tab w:leader="none" w:pos="1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005" w:right="1440" w:bottom="1440" w:gutter="0" w:footer="0" w:header="0"/>
        </w:sectPr>
      </w:pPr>
    </w:p>
    <w:p>
      <w:pPr>
        <w:spacing w:after="0" w:line="1"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6"/>
          <w:szCs w:val="16"/>
          <w:color w:val="auto"/>
        </w:rPr>
        <w:t>Schedule 3‎.3.3 Schedule ‎3.4 Schedule 3‎.5.1 Schedule 6‎.1.2 Schedule 6‎.1.4 Schedule ‎10.7 Schedule 10‎.10 Schedule 11‎.2.2 Schedule 11‎.2.8 Schedule 11‎.2.14</w:t>
      </w:r>
    </w:p>
    <w:p>
      <w:pPr>
        <w:spacing w:after="0" w:line="20" w:lineRule="exact"/>
        <w:rPr>
          <w:sz w:val="20"/>
          <w:szCs w:val="20"/>
          <w:color w:val="auto"/>
        </w:rPr>
      </w:pPr>
      <w:r>
        <w:rPr>
          <w:sz w:val="20"/>
          <w:szCs w:val="20"/>
          <w:color w:val="auto"/>
        </w:rPr>
        <w:br w:type="column"/>
      </w:r>
    </w:p>
    <w:p>
      <w:pPr>
        <w:spacing w:after="0" w:line="216" w:lineRule="auto"/>
        <w:rPr>
          <w:sz w:val="20"/>
          <w:szCs w:val="20"/>
          <w:color w:val="auto"/>
        </w:rPr>
      </w:pPr>
      <w:r>
        <w:rPr>
          <w:rFonts w:ascii="Times New Roman" w:cs="Times New Roman" w:eastAsia="Times New Roman" w:hAnsi="Times New Roman"/>
          <w:sz w:val="18"/>
          <w:szCs w:val="18"/>
          <w:color w:val="auto"/>
        </w:rPr>
        <w:t>Clean Team Agreement</w:t>
      </w:r>
    </w:p>
    <w:p>
      <w:pPr>
        <w:spacing w:after="0" w:line="229" w:lineRule="auto"/>
        <w:rPr>
          <w:sz w:val="20"/>
          <w:szCs w:val="20"/>
          <w:color w:val="auto"/>
        </w:rPr>
      </w:pPr>
      <w:r>
        <w:rPr>
          <w:rFonts w:ascii="Times New Roman" w:cs="Times New Roman" w:eastAsia="Times New Roman" w:hAnsi="Times New Roman"/>
          <w:sz w:val="18"/>
          <w:szCs w:val="18"/>
          <w:color w:val="auto"/>
        </w:rPr>
        <w:t>Permitted Subcontractors</w:t>
      </w:r>
    </w:p>
    <w:p>
      <w:pPr>
        <w:spacing w:after="0" w:line="228" w:lineRule="auto"/>
        <w:rPr>
          <w:sz w:val="20"/>
          <w:szCs w:val="20"/>
          <w:color w:val="auto"/>
        </w:rPr>
      </w:pPr>
      <w:r>
        <w:rPr>
          <w:rFonts w:ascii="Times New Roman" w:cs="Times New Roman" w:eastAsia="Times New Roman" w:hAnsi="Times New Roman"/>
          <w:sz w:val="18"/>
          <w:szCs w:val="18"/>
          <w:color w:val="auto"/>
        </w:rPr>
        <w:t>FDA Question</w:t>
      </w:r>
    </w:p>
    <w:p>
      <w:pPr>
        <w:spacing w:after="0" w:line="229" w:lineRule="auto"/>
        <w:rPr>
          <w:sz w:val="20"/>
          <w:szCs w:val="20"/>
          <w:color w:val="auto"/>
        </w:rPr>
      </w:pPr>
      <w:r>
        <w:rPr>
          <w:rFonts w:ascii="Times New Roman" w:cs="Times New Roman" w:eastAsia="Times New Roman" w:hAnsi="Times New Roman"/>
          <w:sz w:val="18"/>
          <w:szCs w:val="18"/>
          <w:color w:val="auto"/>
        </w:rPr>
        <w:t>Pre-Option Effective Date Materials</w:t>
      </w:r>
    </w:p>
    <w:p>
      <w:pPr>
        <w:spacing w:after="0" w:line="228" w:lineRule="auto"/>
        <w:rPr>
          <w:sz w:val="20"/>
          <w:szCs w:val="20"/>
          <w:color w:val="auto"/>
        </w:rPr>
      </w:pPr>
      <w:r>
        <w:rPr>
          <w:rFonts w:ascii="Times New Roman" w:cs="Times New Roman" w:eastAsia="Times New Roman" w:hAnsi="Times New Roman"/>
          <w:sz w:val="18"/>
          <w:szCs w:val="18"/>
          <w:color w:val="auto"/>
        </w:rPr>
        <w:t>Supply Terms</w:t>
      </w:r>
    </w:p>
    <w:p>
      <w:pPr>
        <w:spacing w:after="0" w:line="228" w:lineRule="auto"/>
        <w:rPr>
          <w:sz w:val="20"/>
          <w:szCs w:val="20"/>
          <w:color w:val="auto"/>
        </w:rPr>
      </w:pPr>
      <w:r>
        <w:rPr>
          <w:rFonts w:ascii="Times New Roman" w:cs="Times New Roman" w:eastAsia="Times New Roman" w:hAnsi="Times New Roman"/>
          <w:sz w:val="18"/>
          <w:szCs w:val="18"/>
          <w:color w:val="auto"/>
        </w:rPr>
        <w:t>Press Release</w:t>
      </w:r>
    </w:p>
    <w:p>
      <w:pPr>
        <w:spacing w:after="0" w:line="229" w:lineRule="auto"/>
        <w:rPr>
          <w:sz w:val="20"/>
          <w:szCs w:val="20"/>
          <w:color w:val="auto"/>
        </w:rPr>
      </w:pPr>
      <w:r>
        <w:rPr>
          <w:rFonts w:ascii="Times New Roman" w:cs="Times New Roman" w:eastAsia="Times New Roman" w:hAnsi="Times New Roman"/>
          <w:sz w:val="18"/>
          <w:szCs w:val="18"/>
          <w:color w:val="auto"/>
        </w:rPr>
        <w:t>Standard Contractual Clauses</w:t>
      </w:r>
    </w:p>
    <w:p>
      <w:pPr>
        <w:spacing w:after="0" w:line="228" w:lineRule="auto"/>
        <w:rPr>
          <w:sz w:val="20"/>
          <w:szCs w:val="20"/>
          <w:color w:val="auto"/>
        </w:rPr>
      </w:pPr>
      <w:r>
        <w:rPr>
          <w:rFonts w:ascii="Times New Roman" w:cs="Times New Roman" w:eastAsia="Times New Roman" w:hAnsi="Times New Roman"/>
          <w:sz w:val="18"/>
          <w:szCs w:val="18"/>
          <w:color w:val="auto"/>
        </w:rPr>
        <w:t>Existing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Existing Inventions Funded by Governmental Authority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Third Party Obligations of ACI</w:t>
      </w:r>
    </w:p>
    <w:p>
      <w:pPr>
        <w:spacing w:after="0" w:line="208" w:lineRule="exact"/>
        <w:rPr>
          <w:sz w:val="20"/>
          <w:szCs w:val="20"/>
          <w:color w:val="auto"/>
        </w:rPr>
      </w:pPr>
    </w:p>
    <w:p>
      <w:pPr>
        <w:sectPr>
          <w:pgSz w:w="11900" w:h="16838" w:orient="portrait"/>
          <w:cols w:equalWidth="0" w:num="2">
            <w:col w:w="1400" w:space="360"/>
            <w:col w:w="7259"/>
          </w:cols>
          <w:pgMar w:left="1440" w:top="1005" w:right="1440"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384175</wp:posOffset>
            </wp:positionV>
            <wp:extent cx="547624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05"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OPTION AND LICENSE AGREEMENT</w:t>
      </w:r>
    </w:p>
    <w:p>
      <w:pPr>
        <w:spacing w:after="0" w:line="165" w:lineRule="exact"/>
        <w:rPr>
          <w:sz w:val="20"/>
          <w:szCs w:val="20"/>
          <w:color w:val="auto"/>
        </w:rPr>
      </w:pPr>
    </w:p>
    <w:p>
      <w:pPr>
        <w:jc w:val="both"/>
        <w:ind w:left="200" w:right="219" w:firstLine="1051"/>
        <w:spacing w:after="0" w:line="237" w:lineRule="auto"/>
        <w:rPr>
          <w:sz w:val="20"/>
          <w:szCs w:val="20"/>
          <w:color w:val="auto"/>
        </w:rPr>
      </w:pPr>
      <w:r>
        <w:rPr>
          <w:rFonts w:ascii="Times New Roman" w:cs="Times New Roman" w:eastAsia="Times New Roman" w:hAnsi="Times New Roman"/>
          <w:sz w:val="18"/>
          <w:szCs w:val="18"/>
          <w:color w:val="auto"/>
        </w:rPr>
        <w:t>This Option and License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May 11,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AC Immune SA, a Swiss company (“</w:t>
      </w:r>
      <w:r>
        <w:rPr>
          <w:rFonts w:ascii="Times New Roman" w:cs="Times New Roman" w:eastAsia="Times New Roman" w:hAnsi="Times New Roman"/>
          <w:sz w:val="18"/>
          <w:szCs w:val="18"/>
          <w:b w:val="1"/>
          <w:bCs w:val="1"/>
          <w:color w:val="auto"/>
        </w:rPr>
        <w:t>ACI</w:t>
      </w:r>
      <w:r>
        <w:rPr>
          <w:rFonts w:ascii="Times New Roman" w:cs="Times New Roman" w:eastAsia="Times New Roman" w:hAnsi="Times New Roman"/>
          <w:sz w:val="18"/>
          <w:szCs w:val="18"/>
          <w:color w:val="auto"/>
        </w:rPr>
        <w:t>”) and Takeda Pharmaceuticals, USA, Inc., a corporation organized under the laws of the State of Delaware (“</w:t>
      </w:r>
      <w:r>
        <w:rPr>
          <w:rFonts w:ascii="Times New Roman" w:cs="Times New Roman" w:eastAsia="Times New Roman" w:hAnsi="Times New Roman"/>
          <w:sz w:val="18"/>
          <w:szCs w:val="18"/>
          <w:b w:val="1"/>
          <w:bCs w:val="1"/>
          <w:color w:val="auto"/>
        </w:rPr>
        <w:t>Takeda</w:t>
      </w:r>
      <w:r>
        <w:rPr>
          <w:rFonts w:ascii="Times New Roman" w:cs="Times New Roman" w:eastAsia="Times New Roman" w:hAnsi="Times New Roman"/>
          <w:sz w:val="18"/>
          <w:szCs w:val="18"/>
          <w:color w:val="auto"/>
        </w:rPr>
        <w:t>”). ACI and Takeda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5"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ACI owns and controls certain intellectual property rights with respect to the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(as defined herein) and Licensed Products (as defined herein) in the Territory (as defined herein); and</w:t>
      </w:r>
    </w:p>
    <w:p>
      <w:pPr>
        <w:spacing w:after="0" w:line="129" w:lineRule="exact"/>
        <w:rPr>
          <w:sz w:val="20"/>
          <w:szCs w:val="20"/>
          <w:color w:val="auto"/>
        </w:rPr>
      </w:pPr>
    </w:p>
    <w:p>
      <w:pPr>
        <w:jc w:val="both"/>
        <w:ind w:left="200" w:right="199" w:firstLine="1051"/>
        <w:spacing w:after="0" w:line="28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ACI wishes to grant to Takeda, and Takeda wishes to take, an exclusive option to obtain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exclusive license under such intellectual property rights to develop, manufacture and commercialize Licensed Compounds and Licensed Products in the Territory, in each case, in accordance with the terms and conditions set forth below.</w:t>
      </w:r>
    </w:p>
    <w:p>
      <w:pPr>
        <w:spacing w:after="0" w:line="106" w:lineRule="exact"/>
        <w:rPr>
          <w:sz w:val="20"/>
          <w:szCs w:val="20"/>
          <w:color w:val="auto"/>
        </w:rPr>
      </w:pPr>
    </w:p>
    <w:p>
      <w:pPr>
        <w:jc w:val="both"/>
        <w:ind w:left="200" w:right="21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and conditions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and other good and valuable consideration, the receipt and sufficiency of which are hereby acknowledged, the Parties, intending to be legally bound, do hereby agree as follows:</w:t>
      </w:r>
    </w:p>
    <w:p>
      <w:pPr>
        <w:spacing w:after="0" w:line="14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Unless otherwise specifically provided herein, the following terms shall have the following meanings:</w:t>
      </w:r>
    </w:p>
    <w:p>
      <w:pPr>
        <w:spacing w:after="0" w:line="16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Abeta</w:t>
      </w:r>
      <w:r>
        <w:rPr>
          <w:rFonts w:ascii="Times New Roman" w:cs="Times New Roman" w:eastAsia="Times New Roman" w:hAnsi="Times New Roman"/>
          <w:sz w:val="16"/>
          <w:szCs w:val="16"/>
          <w:color w:val="auto"/>
        </w:rPr>
        <w:t>” means any of [***]</w:t>
      </w:r>
    </w:p>
    <w:p>
      <w:pPr>
        <w:spacing w:after="0" w:line="165"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Standards</w:t>
      </w:r>
      <w:r>
        <w:rPr>
          <w:rFonts w:ascii="Times New Roman" w:cs="Times New Roman" w:eastAsia="Times New Roman" w:hAnsi="Times New Roman"/>
          <w:sz w:val="18"/>
          <w:szCs w:val="18"/>
          <w:color w:val="auto"/>
        </w:rPr>
        <w:t>” means, with respect to a Party or its Affiliates or its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(sub)licensees/Sublicensees, International Financial Reporting Standards, generally accepted accounting principles as practiced in the United States, or such other internationally recognized accounting standards as may be used by such entity, in each case, as consistently applied.</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ACI</w:t>
      </w:r>
      <w:r>
        <w:rPr>
          <w:rFonts w:ascii="Times New Roman" w:cs="Times New Roman" w:eastAsia="Times New Roman" w:hAnsi="Times New Roman"/>
          <w:sz w:val="16"/>
          <w:szCs w:val="16"/>
          <w:color w:val="auto"/>
        </w:rPr>
        <w:t>” has the meaning set forth in the preamble hereto.</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ACI Indemnitees</w:t>
      </w:r>
      <w:r>
        <w:rPr>
          <w:rFonts w:ascii="Times New Roman" w:cs="Times New Roman" w:eastAsia="Times New Roman" w:hAnsi="Times New Roman"/>
          <w:sz w:val="16"/>
          <w:szCs w:val="16"/>
          <w:color w:val="auto"/>
        </w:rPr>
        <w:t>” has the meaning set forth in Section 12‎.1.</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ACI Ongoing Activities</w:t>
      </w:r>
      <w:r>
        <w:rPr>
          <w:rFonts w:ascii="Times New Roman" w:cs="Times New Roman" w:eastAsia="Times New Roman" w:hAnsi="Times New Roman"/>
          <w:sz w:val="16"/>
          <w:szCs w:val="16"/>
          <w:color w:val="auto"/>
        </w:rPr>
        <w:t>” has the meaning set forth in Section 5‎.3.2.</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362585</wp:posOffset>
            </wp:positionV>
            <wp:extent cx="547624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0" w:name="page11"/>
    <w:bookmarkEnd w:id="10"/>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ACI-24.060</w:t>
      </w:r>
      <w:r>
        <w:rPr>
          <w:rFonts w:ascii="Times New Roman" w:cs="Times New Roman" w:eastAsia="Times New Roman" w:hAnsi="Times New Roman"/>
          <w:sz w:val="18"/>
          <w:szCs w:val="18"/>
          <w:color w:val="auto"/>
        </w:rPr>
        <w:t>” means the Active Immunotherapy candidate referred to by ACI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as ACI-24.060, as further described on </w:t>
      </w:r>
      <w:r>
        <w:rPr>
          <w:rFonts w:ascii="Times New Roman" w:cs="Times New Roman" w:eastAsia="Times New Roman" w:hAnsi="Times New Roman"/>
          <w:sz w:val="18"/>
          <w:szCs w:val="18"/>
          <w:b w:val="1"/>
          <w:bCs w:val="1"/>
          <w:color w:val="auto"/>
        </w:rPr>
        <w:t>Schedule 1‎.8</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Acquirer Technology</w:t>
      </w:r>
      <w:r>
        <w:rPr>
          <w:rFonts w:ascii="Times New Roman" w:cs="Times New Roman" w:eastAsia="Times New Roman" w:hAnsi="Times New Roman"/>
          <w:sz w:val="18"/>
          <w:szCs w:val="18"/>
          <w:color w:val="auto"/>
        </w:rPr>
        <w:t>” means any Patents or Information Controlled (other than pursuant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the Party undergoing a Change of Control or any of its Affiliates) by a Pre-Existing Entity in a Change of Control of a Party immediately prior to the effective date of such Change of Control.</w:t>
      </w:r>
    </w:p>
    <w:p>
      <w:pPr>
        <w:spacing w:after="0" w:line="143" w:lineRule="exact"/>
        <w:rPr>
          <w:sz w:val="20"/>
          <w:szCs w:val="20"/>
          <w:color w:val="auto"/>
        </w:rPr>
      </w:pPr>
    </w:p>
    <w:p>
      <w:pPr>
        <w:jc w:val="both"/>
        <w:ind w:left="200" w:right="219" w:firstLine="1051"/>
        <w:spacing w:after="0" w:line="317" w:lineRule="auto"/>
        <w:rPr>
          <w:sz w:val="20"/>
          <w:szCs w:val="20"/>
          <w:color w:val="auto"/>
        </w:rPr>
      </w:pPr>
      <w:r>
        <w:rPr>
          <w:rFonts w:ascii="Times New Roman" w:cs="Times New Roman" w:eastAsia="Times New Roman" w:hAnsi="Times New Roman"/>
          <w:sz w:val="16"/>
          <w:szCs w:val="16"/>
          <w:b w:val="1"/>
          <w:bCs w:val="1"/>
          <w:color w:val="auto"/>
        </w:rPr>
        <w:t xml:space="preserve">1.10.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Active Immunotherapy</w:t>
      </w:r>
      <w:r>
        <w:rPr>
          <w:rFonts w:ascii="Times New Roman" w:cs="Times New Roman" w:eastAsia="Times New Roman" w:hAnsi="Times New Roman"/>
          <w:sz w:val="16"/>
          <w:szCs w:val="16"/>
          <w:color w:val="auto"/>
        </w:rPr>
        <w:t>” means any compound, modality, process or construct that exposes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individual to an antigen to generate an adaptive immune response by stimulating the B-cells or T-cells of such individual.</w:t>
      </w:r>
    </w:p>
    <w:p>
      <w:pPr>
        <w:spacing w:after="0" w:line="8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Development Proposal</w:t>
      </w:r>
      <w:r>
        <w:rPr>
          <w:rFonts w:ascii="Times New Roman" w:cs="Times New Roman" w:eastAsia="Times New Roman" w:hAnsi="Times New Roman"/>
          <w:sz w:val="16"/>
          <w:szCs w:val="16"/>
          <w:color w:val="auto"/>
        </w:rPr>
        <w:t>” has the meaning set forth in Section 7‎.2.4.</w:t>
      </w:r>
    </w:p>
    <w:p>
      <w:pPr>
        <w:spacing w:after="0" w:line="165"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Event</w:t>
      </w:r>
      <w:r>
        <w:rPr>
          <w:rFonts w:ascii="Times New Roman" w:cs="Times New Roman" w:eastAsia="Times New Roman" w:hAnsi="Times New Roman"/>
          <w:sz w:val="18"/>
          <w:szCs w:val="18"/>
          <w:color w:val="auto"/>
        </w:rPr>
        <w:t>” means any untoward medical occurrence in a patient or human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subject administered any Licensed Product pursuant to this Agreement, including occurrences which do not necessarily have a causal relationship with any Licensed Product.</w:t>
      </w:r>
    </w:p>
    <w:p>
      <w:pPr>
        <w:spacing w:after="0" w:line="143"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Person, any Person that, whether now or in the future,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through one (1) or more intermediaries, controls, is controlled by or is under common control with such first Person.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and, with correlative meanings, the terms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control with</w:t>
      </w:r>
      <w:r>
        <w:rPr>
          <w:rFonts w:ascii="Times New Roman" w:cs="Times New Roman" w:eastAsia="Times New Roman" w:hAnsi="Times New Roman"/>
          <w:sz w:val="18"/>
          <w:szCs w:val="18"/>
          <w:color w:val="auto"/>
        </w:rPr>
        <w:t>” mean: (a) the possession, directly or indirectly, of the power to direct the management or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business entity, whether through the ownership of voting securities, by contract relating to voting rights or corporate governance or otherwise; or (b) the ownership, directly or indirectly, of at least fifty percent (50%) of the voting securities or other ownership interest of a business entity (or, with respect to a limited partnership or other similar entity, its general partner or controlling entity).</w:t>
      </w:r>
    </w:p>
    <w:p>
      <w:pPr>
        <w:spacing w:after="0" w:line="144"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has the meaning set forth in the preamble hereto.</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Alliance Manager</w:t>
      </w:r>
      <w:r>
        <w:rPr>
          <w:rFonts w:ascii="Times New Roman" w:cs="Times New Roman" w:eastAsia="Times New Roman" w:hAnsi="Times New Roman"/>
          <w:sz w:val="16"/>
          <w:szCs w:val="16"/>
          <w:color w:val="auto"/>
        </w:rPr>
        <w:t>” has the meaning set forth in Section 2‎.9.</w:t>
      </w:r>
    </w:p>
    <w:p>
      <w:pPr>
        <w:spacing w:after="0" w:line="165" w:lineRule="exact"/>
        <w:rPr>
          <w:sz w:val="20"/>
          <w:szCs w:val="20"/>
          <w:color w:val="auto"/>
        </w:rPr>
      </w:pPr>
    </w:p>
    <w:p>
      <w:pPr>
        <w:jc w:val="both"/>
        <w:ind w:left="200" w:right="21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Alzheimer’s Disease Indication</w:t>
      </w:r>
      <w:r>
        <w:rPr>
          <w:rFonts w:ascii="Times New Roman" w:cs="Times New Roman" w:eastAsia="Times New Roman" w:hAnsi="Times New Roman"/>
          <w:sz w:val="18"/>
          <w:szCs w:val="18"/>
          <w:color w:val="auto"/>
        </w:rPr>
        <w:t>” means, with respect to a Licensed Product, the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prevention, mitigation or cure of Alzheimer’s disease, including prodromal and preclinical Alzheimer’s disease, and including in subjects with Down’s syndrome, in each case, as is reflected in the “Indications and Usage” section of labeling pursuant to 21 C.F.R. § 201.57(c)(2) if such Licensed Product is approved in the U.S. or, to the extent applicable, any comparable labeling section outside the U.S.</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Amyloid Precursor Protein</w:t>
      </w:r>
      <w:r>
        <w:rPr>
          <w:rFonts w:ascii="Times New Roman" w:cs="Times New Roman" w:eastAsia="Times New Roman" w:hAnsi="Times New Roman"/>
          <w:sz w:val="16"/>
          <w:szCs w:val="16"/>
          <w:color w:val="auto"/>
        </w:rPr>
        <w:t>” means [***]</w:t>
      </w:r>
    </w:p>
    <w:p>
      <w:pPr>
        <w:spacing w:after="0" w:line="165"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Authority</w:t>
      </w:r>
      <w:r>
        <w:rPr>
          <w:rFonts w:ascii="Times New Roman" w:cs="Times New Roman" w:eastAsia="Times New Roman" w:hAnsi="Times New Roman"/>
          <w:sz w:val="18"/>
          <w:szCs w:val="18"/>
          <w:color w:val="auto"/>
        </w:rPr>
        <w:t>” means any Governmental Authority having power or authority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antitrust matters, including the United States Federal Trade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1" w:name="page12"/>
    <w:bookmarkEnd w:id="11"/>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Commission, the Antitrust Division of the United States Department of Justice, any attorney general of any state of the United States, the European Commission or any other equivalent competition authority of any jurisdiction.</w:t>
      </w:r>
    </w:p>
    <w:p>
      <w:pPr>
        <w:spacing w:after="0" w:line="132" w:lineRule="exact"/>
        <w:rPr>
          <w:sz w:val="20"/>
          <w:szCs w:val="20"/>
          <w:color w:val="auto"/>
        </w:rPr>
      </w:pPr>
    </w:p>
    <w:p>
      <w:pPr>
        <w:jc w:val="both"/>
        <w:ind w:left="200" w:right="199" w:firstLine="1051"/>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1.20.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Antitrust Clearance</w:t>
      </w:r>
      <w:r>
        <w:rPr>
          <w:rFonts w:ascii="Times New Roman" w:cs="Times New Roman" w:eastAsia="Times New Roman" w:hAnsi="Times New Roman"/>
          <w:sz w:val="16"/>
          <w:szCs w:val="16"/>
          <w:color w:val="auto"/>
        </w:rPr>
        <w:t>” means the earlier of (a) notification to the Parties from each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Antitrust Authority of early termination of the applicable waiting period under the applicable Antitrust Laws with respect to an Antitrust Filing and (b) expiration of all applicable waiting periods under applicable Antitrust Laws with respect to any required Antitrust Filings;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any Antitrust Authority commences any investigation by means of a second request or otherwise, clause (b) shall be deemed to occur on the termination of such investigation without action to prevent the Parties from implementing the transactions contemplated by this Agreement.</w:t>
      </w:r>
    </w:p>
    <w:p>
      <w:pPr>
        <w:spacing w:after="0" w:line="124"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Filing</w:t>
      </w:r>
      <w:r>
        <w:rPr>
          <w:rFonts w:ascii="Times New Roman" w:cs="Times New Roman" w:eastAsia="Times New Roman" w:hAnsi="Times New Roman"/>
          <w:sz w:val="18"/>
          <w:szCs w:val="18"/>
          <w:color w:val="auto"/>
        </w:rPr>
        <w:t>” means any filings, notices, applications or other submissions by Takeda or ACI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Antitrust Authority under applicable Antitrust Laws that are necessary or advisable in connection with exercise of the Option, including any such required filings under the HSR Act.</w:t>
      </w:r>
    </w:p>
    <w:p>
      <w:pPr>
        <w:spacing w:after="0" w:line="143"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means any Applicable Law with respect to antitrust, competition or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that are designed or intended to prohibit, restrict or regulate actions having the purpose or effect of monopolization or restraint of trade or lessening competition, including the HSR Act.</w:t>
      </w:r>
    </w:p>
    <w:p>
      <w:pPr>
        <w:spacing w:after="0" w:line="143"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transnational, domestic or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or local laws, rules, regulations, constitution, treaty, order, judgment or other similar requirement of any Regulatory Authorities or Governmental Authorities that may be in effect from time to time and applicable to such Person, including Good Laboratory Practices, Good Manufacturing Practices and Good Clinical Practices and, if and as appropriate under the circumstances, International Conference on Harmonization (ICH) guidance or other comparable regulation and guidance of any applicable Regulatory Authority in the Territory.</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Rate</w:t>
      </w:r>
      <w:r>
        <w:rPr>
          <w:rFonts w:ascii="Times New Roman" w:cs="Times New Roman" w:eastAsia="Times New Roman" w:hAnsi="Times New Roman"/>
          <w:sz w:val="16"/>
          <w:szCs w:val="16"/>
          <w:color w:val="auto"/>
        </w:rPr>
        <w:t>” has the meaning set forth in Section 8‎.11.</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Assigned IP</w:t>
      </w:r>
      <w:r>
        <w:rPr>
          <w:rFonts w:ascii="Times New Roman" w:cs="Times New Roman" w:eastAsia="Times New Roman" w:hAnsi="Times New Roman"/>
          <w:sz w:val="16"/>
          <w:szCs w:val="16"/>
          <w:color w:val="auto"/>
        </w:rPr>
        <w:t>” means [***]</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Audit Decision</w:t>
      </w:r>
      <w:r>
        <w:rPr>
          <w:rFonts w:ascii="Times New Roman" w:cs="Times New Roman" w:eastAsia="Times New Roman" w:hAnsi="Times New Roman"/>
          <w:sz w:val="16"/>
          <w:szCs w:val="16"/>
          <w:color w:val="auto"/>
        </w:rPr>
        <w:t>” has the meaning set forth in Section 8‎.13.2.</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Audit Dispute</w:t>
      </w:r>
      <w:r>
        <w:rPr>
          <w:rFonts w:ascii="Times New Roman" w:cs="Times New Roman" w:eastAsia="Times New Roman" w:hAnsi="Times New Roman"/>
          <w:sz w:val="16"/>
          <w:szCs w:val="16"/>
          <w:color w:val="auto"/>
        </w:rPr>
        <w:t>” has the meaning set forth in Section 8‎.13.2.</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Auditor</w:t>
      </w:r>
      <w:r>
        <w:rPr>
          <w:rFonts w:ascii="Times New Roman" w:cs="Times New Roman" w:eastAsia="Times New Roman" w:hAnsi="Times New Roman"/>
          <w:sz w:val="16"/>
          <w:szCs w:val="16"/>
          <w:color w:val="auto"/>
        </w:rPr>
        <w:t>” has the meaning set forth in Section 8‎.13.2.</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Biosimilar Competition</w:t>
      </w:r>
      <w:r>
        <w:rPr>
          <w:rFonts w:ascii="Times New Roman" w:cs="Times New Roman" w:eastAsia="Times New Roman" w:hAnsi="Times New Roman"/>
          <w:sz w:val="16"/>
          <w:szCs w:val="16"/>
          <w:color w:val="auto"/>
        </w:rPr>
        <w:t>” has the meaning set forth in Section 8‎.5.3(b).</w:t>
      </w:r>
    </w:p>
    <w:p>
      <w:pPr>
        <w:spacing w:after="0" w:line="165"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Biosimilar Product</w:t>
      </w:r>
      <w:r>
        <w:rPr>
          <w:rFonts w:ascii="Times New Roman" w:cs="Times New Roman" w:eastAsia="Times New Roman" w:hAnsi="Times New Roman"/>
          <w:sz w:val="18"/>
          <w:szCs w:val="18"/>
          <w:color w:val="auto"/>
        </w:rPr>
        <w:t>” means, on a country-by-country basis, with respect to a Licensed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product (a) whose licensing, approval or marketing authorization references or relies on, in whole or in part, (i) a prior Regulatory Approval granted for such Licensed Product or (ii) any data generated in support of a prior Regulatory Approval granted for such Licensed Product; or (b) determined by the applicable Regulatory Authority in or for a</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12" w:name="page13"/>
    <w:bookmarkEnd w:id="12"/>
    <w:p>
      <w:pPr>
        <w:ind w:left="200"/>
        <w:spacing w:after="0"/>
        <w:rPr>
          <w:sz w:val="20"/>
          <w:szCs w:val="20"/>
          <w:color w:val="auto"/>
        </w:rPr>
      </w:pPr>
      <w:r>
        <w:rPr>
          <w:rFonts w:ascii="Times New Roman" w:cs="Times New Roman" w:eastAsia="Times New Roman" w:hAnsi="Times New Roman"/>
          <w:sz w:val="18"/>
          <w:szCs w:val="18"/>
          <w:color w:val="auto"/>
        </w:rPr>
        <w:t>country to be a generic, follow-on, hybrid, biosimilar or interchangeable product of such Licensed Product; [***]</w:t>
      </w:r>
    </w:p>
    <w:p>
      <w:pPr>
        <w:spacing w:after="0" w:line="16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Breaching Party</w:t>
      </w:r>
      <w:r>
        <w:rPr>
          <w:rFonts w:ascii="Times New Roman" w:cs="Times New Roman" w:eastAsia="Times New Roman" w:hAnsi="Times New Roman"/>
          <w:sz w:val="16"/>
          <w:szCs w:val="16"/>
          <w:color w:val="auto"/>
        </w:rPr>
        <w:t>” has the meaning set forth in Section 13‎.2.1.</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Bring Down Updated Disclosure Schedule</w:t>
      </w:r>
      <w:r>
        <w:rPr>
          <w:rFonts w:ascii="Times New Roman" w:cs="Times New Roman" w:eastAsia="Times New Roman" w:hAnsi="Times New Roman"/>
          <w:sz w:val="16"/>
          <w:szCs w:val="16"/>
          <w:color w:val="auto"/>
        </w:rPr>
        <w:t>” has the meaning set forth in Section 11‎.3.2.</w:t>
      </w:r>
    </w:p>
    <w:p>
      <w:pPr>
        <w:spacing w:after="0" w:line="165"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or a day on which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in New York, New York, Lausanne, Switzerland or Tokyo, Japan are permitted or required to be closed.</w:t>
      </w:r>
    </w:p>
    <w:p>
      <w:pPr>
        <w:spacing w:after="0" w:line="129"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each successive period of three (3) calendar months commencing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April 1, July 1 or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46"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means each successive period of twelve (12) calendar months commencing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46" w:lineRule="exact"/>
        <w:rPr>
          <w:sz w:val="20"/>
          <w:szCs w:val="20"/>
          <w:color w:val="auto"/>
        </w:rPr>
      </w:pPr>
    </w:p>
    <w:p>
      <w:pPr>
        <w:jc w:val="both"/>
        <w:ind w:left="200" w:right="199" w:firstLine="1051"/>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1.36.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means, with respect to a Party, any of the following events: (a) any Third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becomes the beneficial owner, directly or indirectly, as a result of a single transaction or a series of related transactions, of fifty percent (50%) or more of the total voting power of all classes of shares of capital stock or other interests of such Party (or, if applicable, a controlling Affiliate of such Party) then outstanding and normally entitled to vote in the general election of directors of such Party (“</w:t>
      </w:r>
      <w:r>
        <w:rPr>
          <w:rFonts w:ascii="Times New Roman" w:cs="Times New Roman" w:eastAsia="Times New Roman" w:hAnsi="Times New Roman"/>
          <w:sz w:val="16"/>
          <w:szCs w:val="16"/>
          <w:b w:val="1"/>
          <w:bCs w:val="1"/>
          <w:color w:val="auto"/>
        </w:rPr>
        <w:t>Voting Stock</w:t>
      </w:r>
      <w:r>
        <w:rPr>
          <w:rFonts w:ascii="Times New Roman" w:cs="Times New Roman" w:eastAsia="Times New Roman" w:hAnsi="Times New Roman"/>
          <w:sz w:val="16"/>
          <w:szCs w:val="16"/>
          <w:color w:val="auto"/>
        </w:rPr>
        <w:t>”); (b) such Party (or, if applicable, a controlling Affiliate of such Party) consolidates with or merges into a Third Party, or any such Third Party consolidates with or merges into such Party (or, if applicable, a controlling Affiliate of such Party), in either event pursuant to a transaction in which fifty percent (50%) or more of the total voting power of all Voting Stock of the surviving entity then outstanding is not held by the Persons holding at least fifty percent (50%) of the total voting power of all Voting Stock of such Party (or, if applicable, a controlling Affiliate of such Party) outstanding immediately prior to such consolidation or merger; or</w:t>
      </w:r>
    </w:p>
    <w:p>
      <w:pPr>
        <w:spacing w:after="0" w:line="184" w:lineRule="exact"/>
        <w:rPr>
          <w:sz w:val="20"/>
          <w:szCs w:val="20"/>
          <w:color w:val="auto"/>
        </w:rPr>
      </w:pPr>
    </w:p>
    <w:p>
      <w:pPr>
        <w:jc w:val="both"/>
        <w:ind w:left="200" w:right="199" w:hanging="7"/>
        <w:spacing w:after="0" w:line="229" w:lineRule="auto"/>
        <w:tabs>
          <w:tab w:leader="none" w:pos="4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and its Affiliates convey, transfer or lease all or substantially all of the assets relating to the subject matter of this Agreement to a Third Party. Notwithstanding the foregoing, Change of Control shall not include any of the following transactions: (x) the reincorporation of such Party in a different country or state or its change of name or reorganization in the same country or state;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Party will continue to be owned by the then-current stockholders of such Party, which will hold all of the outstanding shares of capital stock of such Party in substantially the same proportion (with respect to both voting power and economics) as such stockholders held in such Party immediately prior to such reincorporation, change of name or reorganization; or (y) the formation of a holding company that will be owned exclusively by the then-current stockholders of such Party, which will hold all of the outstanding shares of capital stock of such Party in substantially the same proportion (with</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13" w:name="page14"/>
    <w:bookmarkEnd w:id="13"/>
    <w:p>
      <w:pPr>
        <w:jc w:val="right"/>
        <w:ind w:left="200" w:right="219"/>
        <w:spacing w:after="0" w:line="341" w:lineRule="auto"/>
        <w:rPr>
          <w:sz w:val="20"/>
          <w:szCs w:val="20"/>
          <w:color w:val="auto"/>
        </w:rPr>
      </w:pPr>
      <w:r>
        <w:rPr>
          <w:rFonts w:ascii="Times New Roman" w:cs="Times New Roman" w:eastAsia="Times New Roman" w:hAnsi="Times New Roman"/>
          <w:sz w:val="18"/>
          <w:szCs w:val="18"/>
          <w:color w:val="auto"/>
        </w:rPr>
        <w:t xml:space="preserve">respect to both voting power and economics) as such stockholders held in such Party immediately prior to such formation. </w:t>
      </w: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Clinical and Regulatory Working Group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CRWG</w:t>
      </w:r>
      <w:r>
        <w:rPr>
          <w:rFonts w:ascii="Times New Roman" w:cs="Times New Roman" w:eastAsia="Times New Roman" w:hAnsi="Times New Roman"/>
          <w:sz w:val="18"/>
          <w:szCs w:val="18"/>
          <w:color w:val="auto"/>
        </w:rPr>
        <w:t>” has the meaning set forth in Section</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2‎.3.3.</w:t>
      </w:r>
    </w:p>
    <w:p>
      <w:pPr>
        <w:spacing w:after="0" w:line="143"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CMC Development</w:t>
      </w:r>
      <w:r>
        <w:rPr>
          <w:rFonts w:ascii="Times New Roman" w:cs="Times New Roman" w:eastAsia="Times New Roman" w:hAnsi="Times New Roman"/>
          <w:sz w:val="18"/>
          <w:szCs w:val="18"/>
          <w:color w:val="auto"/>
        </w:rPr>
        <w:t>” means, with respect to any Licensed Product, all process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characterization, manufacturing scale-up, qualification and validation and quality assurance/quality control with respect to such Licensed Product or any part or component thereof.</w:t>
      </w:r>
    </w:p>
    <w:p>
      <w:pPr>
        <w:spacing w:after="0" w:line="143" w:lineRule="exact"/>
        <w:rPr>
          <w:sz w:val="20"/>
          <w:szCs w:val="20"/>
          <w:color w:val="auto"/>
        </w:rPr>
      </w:pPr>
    </w:p>
    <w:p>
      <w:pPr>
        <w:jc w:val="both"/>
        <w:ind w:left="200" w:right="199" w:firstLine="1051"/>
        <w:spacing w:after="0" w:line="287" w:lineRule="auto"/>
        <w:rPr>
          <w:sz w:val="20"/>
          <w:szCs w:val="20"/>
          <w:color w:val="auto"/>
        </w:rPr>
      </w:pPr>
      <w:r>
        <w:rPr>
          <w:rFonts w:ascii="Times New Roman" w:cs="Times New Roman" w:eastAsia="Times New Roman" w:hAnsi="Times New Roman"/>
          <w:sz w:val="16"/>
          <w:szCs w:val="16"/>
          <w:b w:val="1"/>
          <w:bCs w:val="1"/>
          <w:color w:val="auto"/>
        </w:rPr>
        <w:t xml:space="preserve">1.39.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CMC Development Plan</w:t>
      </w:r>
      <w:r>
        <w:rPr>
          <w:rFonts w:ascii="Times New Roman" w:cs="Times New Roman" w:eastAsia="Times New Roman" w:hAnsi="Times New Roman"/>
          <w:sz w:val="16"/>
          <w:szCs w:val="16"/>
          <w:color w:val="auto"/>
        </w:rPr>
        <w:t>” means the plan setting forth in reasonable detail the CMC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Development activities to be performed by each Party or its Affiliates or designees with respect to the Licensed Compounds and Licensed Products. The initial CMC Development Plan is attached as </w:t>
      </w:r>
      <w:r>
        <w:rPr>
          <w:rFonts w:ascii="Times New Roman" w:cs="Times New Roman" w:eastAsia="Times New Roman" w:hAnsi="Times New Roman"/>
          <w:sz w:val="16"/>
          <w:szCs w:val="16"/>
          <w:b w:val="1"/>
          <w:bCs w:val="1"/>
          <w:color w:val="auto"/>
        </w:rPr>
        <w:t>Schedule 1‎.39</w:t>
      </w:r>
      <w:r>
        <w:rPr>
          <w:rFonts w:ascii="Times New Roman" w:cs="Times New Roman" w:eastAsia="Times New Roman" w:hAnsi="Times New Roman"/>
          <w:sz w:val="16"/>
          <w:szCs w:val="16"/>
          <w:color w:val="auto"/>
        </w:rPr>
        <w:t xml:space="preserve"> to this Agreement.</w:t>
      </w:r>
    </w:p>
    <w:p>
      <w:pPr>
        <w:spacing w:after="0" w:line="10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CMC Working Group</w:t>
      </w:r>
      <w:r>
        <w:rPr>
          <w:rFonts w:ascii="Times New Roman" w:cs="Times New Roman" w:eastAsia="Times New Roman" w:hAnsi="Times New Roman"/>
          <w:sz w:val="16"/>
          <w:szCs w:val="16"/>
          <w:color w:val="auto"/>
        </w:rPr>
        <w:t>” has the meaning set forth in Section 2‎.3.2.</w:t>
      </w:r>
    </w:p>
    <w:p>
      <w:pPr>
        <w:spacing w:after="0" w:line="165"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any pharmaceutical product that contains one (1) or more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as an active ingredient(s) together with one (1) or more other active ingredients that are not Licensed Compounds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that are co-formulated or co-packaged or otherwise sold together for one (1) price. [***]</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Commercial Milestone Event</w:t>
      </w:r>
      <w:r>
        <w:rPr>
          <w:rFonts w:ascii="Times New Roman" w:cs="Times New Roman" w:eastAsia="Times New Roman" w:hAnsi="Times New Roman"/>
          <w:sz w:val="16"/>
          <w:szCs w:val="16"/>
          <w:color w:val="auto"/>
        </w:rPr>
        <w:t>” has the meaning set forth in Section 8‎.4.</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Commercial Milestone Payment</w:t>
      </w:r>
      <w:r>
        <w:rPr>
          <w:rFonts w:ascii="Times New Roman" w:cs="Times New Roman" w:eastAsia="Times New Roman" w:hAnsi="Times New Roman"/>
          <w:sz w:val="16"/>
          <w:szCs w:val="16"/>
          <w:color w:val="auto"/>
        </w:rPr>
        <w:t>” has the meaning set forth in Section 8‎.4.</w:t>
      </w:r>
    </w:p>
    <w:p>
      <w:pPr>
        <w:spacing w:after="0" w:line="165"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Process</w:t>
      </w:r>
      <w:r>
        <w:rPr>
          <w:rFonts w:ascii="Times New Roman" w:cs="Times New Roman" w:eastAsia="Times New Roman" w:hAnsi="Times New Roman"/>
          <w:sz w:val="18"/>
          <w:szCs w:val="18"/>
          <w:color w:val="auto"/>
        </w:rPr>
        <w:t>” means the process for the Manufacture of Licensed Compounds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satisfies all of the elements set forth on </w:t>
      </w:r>
      <w:r>
        <w:rPr>
          <w:rFonts w:ascii="Times New Roman" w:cs="Times New Roman" w:eastAsia="Times New Roman" w:hAnsi="Times New Roman"/>
          <w:sz w:val="18"/>
          <w:szCs w:val="18"/>
          <w:b w:val="1"/>
          <w:bCs w:val="1"/>
          <w:color w:val="auto"/>
        </w:rPr>
        <w:t>Schedule 1.40</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means any and all activities directed to the preparation for sale of,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sale of or sale of any product, including activities related to marketing, promoting, distributing and importing such product, and interacting with Regulatory Authorities regarding any of the foregoing. When used as a verb,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means to engage in Commercialization and “</w:t>
      </w:r>
      <w:r>
        <w:rPr>
          <w:rFonts w:ascii="Times New Roman" w:cs="Times New Roman" w:eastAsia="Times New Roman" w:hAnsi="Times New Roman"/>
          <w:sz w:val="18"/>
          <w:szCs w:val="18"/>
          <w:b w:val="1"/>
          <w:bCs w:val="1"/>
          <w:color w:val="auto"/>
        </w:rPr>
        <w:t>Commercialized</w:t>
      </w:r>
      <w:r>
        <w:rPr>
          <w:rFonts w:ascii="Times New Roman" w:cs="Times New Roman" w:eastAsia="Times New Roman" w:hAnsi="Times New Roman"/>
          <w:sz w:val="18"/>
          <w:szCs w:val="18"/>
          <w:color w:val="auto"/>
        </w:rPr>
        <w:t>”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meaning.</w:t>
      </w:r>
    </w:p>
    <w:p>
      <w:pPr>
        <w:spacing w:after="0" w:line="142"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Commercially Reasonable Efforts</w:t>
      </w:r>
      <w:r>
        <w:rPr>
          <w:rFonts w:ascii="Times New Roman" w:cs="Times New Roman" w:eastAsia="Times New Roman" w:hAnsi="Times New Roman"/>
          <w:sz w:val="16"/>
          <w:szCs w:val="16"/>
          <w:color w:val="auto"/>
        </w:rPr>
        <w:t>” means, [***]</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Competing Program</w:t>
      </w:r>
      <w:r>
        <w:rPr>
          <w:rFonts w:ascii="Times New Roman" w:cs="Times New Roman" w:eastAsia="Times New Roman" w:hAnsi="Times New Roman"/>
          <w:sz w:val="16"/>
          <w:szCs w:val="16"/>
          <w:color w:val="auto"/>
        </w:rPr>
        <w:t>” has the meaning set forth in Section ‎5.5.2.</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Competitive Infringement</w:t>
      </w:r>
      <w:r>
        <w:rPr>
          <w:rFonts w:ascii="Times New Roman" w:cs="Times New Roman" w:eastAsia="Times New Roman" w:hAnsi="Times New Roman"/>
          <w:sz w:val="16"/>
          <w:szCs w:val="16"/>
          <w:color w:val="auto"/>
        </w:rPr>
        <w:t>” has the meaning set forth in Section 9‎.4.2(a).</w:t>
      </w:r>
    </w:p>
    <w:p>
      <w:pPr>
        <w:spacing w:after="0" w:line="2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14" w:name="page15"/>
    <w:bookmarkEnd w:id="14"/>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has the meaning set forth in Section 10‎.1.</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Confidentiality Agreement</w:t>
      </w:r>
      <w:r>
        <w:rPr>
          <w:rFonts w:ascii="Times New Roman" w:cs="Times New Roman" w:eastAsia="Times New Roman" w:hAnsi="Times New Roman"/>
          <w:sz w:val="16"/>
          <w:szCs w:val="16"/>
          <w:color w:val="auto"/>
        </w:rPr>
        <w:t>” has the meaning set forth in Section 10‎.1.</w:t>
      </w:r>
    </w:p>
    <w:p>
      <w:pPr>
        <w:spacing w:after="0" w:line="165"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any item of Information, Regulatory Documentation,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or other intellectual property right, possession of the right, whether directly or indirectly and whether by ownership, license or otherwise (other than by operation of the license grants in Section 5‎.1), to assign, grant a license, sublicense or other right (including the right to reference Regulatory Documentation) to or under such Information, Regulatory Documentation, material, Patent or other intellectual property right as provided for herein without [***]</w:t>
      </w:r>
    </w:p>
    <w:p>
      <w:pPr>
        <w:spacing w:after="0" w:line="142"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1.57.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with respect to a given subject matter (including any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and any claim of any Patent in any jurisdiction, that, in the absence of a license granted under, or ownership of, such Patent and in the absence of the benefit of the safe harbor provision under 35 U.S.C. Section 271(e)(1) or other Applicable Law, the making, use, offering for sale, sale or importation of such subject matter would infringe a Valid Claim (or, for any pending Valid Claim, infringe such Valid Claim as if it were issued) included in such Patent.</w:t>
      </w:r>
    </w:p>
    <w:p>
      <w:pPr>
        <w:spacing w:after="0" w:line="142"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Package</w:t>
      </w:r>
      <w:r>
        <w:rPr>
          <w:rFonts w:ascii="Times New Roman" w:cs="Times New Roman" w:eastAsia="Times New Roman" w:hAnsi="Times New Roman"/>
          <w:sz w:val="18"/>
          <w:szCs w:val="18"/>
          <w:color w:val="auto"/>
        </w:rPr>
        <w:t>” means all Information (including clinical data) with respect to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CMC Development) of Licensed Compounds and Licensed Products as set forth on </w:t>
      </w:r>
      <w:r>
        <w:rPr>
          <w:rFonts w:ascii="Times New Roman" w:cs="Times New Roman" w:eastAsia="Times New Roman" w:hAnsi="Times New Roman"/>
          <w:sz w:val="18"/>
          <w:szCs w:val="18"/>
          <w:b w:val="1"/>
          <w:bCs w:val="1"/>
          <w:color w:val="auto"/>
        </w:rPr>
        <w:t>Schedule 1‎.58</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Data Package Bring Down Date</w:t>
      </w:r>
      <w:r>
        <w:rPr>
          <w:rFonts w:ascii="Times New Roman" w:cs="Times New Roman" w:eastAsia="Times New Roman" w:hAnsi="Times New Roman"/>
          <w:sz w:val="16"/>
          <w:szCs w:val="16"/>
          <w:color w:val="auto"/>
        </w:rPr>
        <w:t>” has the meaning set forth in Section 11‎.3.1.</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Data Package Updated Disclosure Schedule</w:t>
      </w:r>
      <w:r>
        <w:rPr>
          <w:rFonts w:ascii="Times New Roman" w:cs="Times New Roman" w:eastAsia="Times New Roman" w:hAnsi="Times New Roman"/>
          <w:sz w:val="16"/>
          <w:szCs w:val="16"/>
          <w:color w:val="auto"/>
        </w:rPr>
        <w:t>” has the meaning set forth in Section 11‎.3.1.</w:t>
      </w:r>
    </w:p>
    <w:p>
      <w:pPr>
        <w:spacing w:after="0" w:line="165"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w:t>
      </w:r>
      <w:r>
        <w:rPr>
          <w:rFonts w:ascii="Times New Roman" w:cs="Times New Roman" w:eastAsia="Times New Roman" w:hAnsi="Times New Roman"/>
          <w:sz w:val="18"/>
          <w:szCs w:val="18"/>
          <w:color w:val="auto"/>
        </w:rPr>
        <w:t>” means, to the extent applicable, Regulation (EU) 2016/679 of the European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Parliament and of the Council of 27 April 2016 on the protection of natural persons with regard to the processing of personal data and on the free movement of such data, and repealing Directive 95/46/EC (General Data Protection Regulation) as well as, if applicable, any and all Applicable Laws of the United States relating to data protection, privacy or data security and any and all other Applicable Laws relating to data protection, privacy or data security laws applicable to either Party in connection with this Agreement, including the United States Health Insurance Portability and Accountability Act of 1996 and its implementing regulations and the California Consumer Privacy Act.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as used in this Agreement shall be defined as in the General Data Protection Regulation.</w:t>
      </w:r>
    </w:p>
    <w:p>
      <w:pPr>
        <w:spacing w:after="0" w:line="144"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Defense Proceeding</w:t>
      </w:r>
      <w:r>
        <w:rPr>
          <w:rFonts w:ascii="Times New Roman" w:cs="Times New Roman" w:eastAsia="Times New Roman" w:hAnsi="Times New Roman"/>
          <w:sz w:val="16"/>
          <w:szCs w:val="16"/>
          <w:color w:val="auto"/>
        </w:rPr>
        <w:t>” has the meaning set forth in Section 9‎.3.1.</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5" w:name="page16"/>
    <w:bookmarkEnd w:id="15"/>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Delivery System</w:t>
      </w:r>
      <w:r>
        <w:rPr>
          <w:rFonts w:ascii="Times New Roman" w:cs="Times New Roman" w:eastAsia="Times New Roman" w:hAnsi="Times New Roman"/>
          <w:sz w:val="18"/>
          <w:szCs w:val="18"/>
          <w:color w:val="auto"/>
        </w:rPr>
        <w:t>” means any delivery system comprising equipment, instrumentation, one (1)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devices or other components designed to assist in the administration of a Licensed Product.</w:t>
      </w:r>
    </w:p>
    <w:p>
      <w:pPr>
        <w:spacing w:after="0" w:line="129"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any and all activities related to research, pre-clinical and other non-clinical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test method development and stability testing, toxicology, formulation, translational (target engagement, biomarker) studies, CMC Development, clinical studies, including Manufacturing in support thereof, statistical analysis and report writing, the preparation and submission of applications for Regulatory Approval and regulatory affairs with respect to the foregoing and all other activities necessary or reasonably useful or otherwise requested or required by a Regulatory Authority as a condition or in support of obtaining or maintaining a Regulatory Approval. When used as a verb, “</w:t>
      </w:r>
      <w:r>
        <w:rPr>
          <w:rFonts w:ascii="Times New Roman" w:cs="Times New Roman" w:eastAsia="Times New Roman" w:hAnsi="Times New Roman"/>
          <w:sz w:val="18"/>
          <w:szCs w:val="18"/>
          <w:b w:val="1"/>
          <w:bCs w:val="1"/>
          <w:color w:val="auto"/>
        </w:rPr>
        <w:t>to 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means to engage in Development and “</w:t>
      </w:r>
      <w:r>
        <w:rPr>
          <w:rFonts w:ascii="Times New Roman" w:cs="Times New Roman" w:eastAsia="Times New Roman" w:hAnsi="Times New Roman"/>
          <w:sz w:val="18"/>
          <w:szCs w:val="18"/>
          <w:b w:val="1"/>
          <w:bCs w:val="1"/>
          <w:color w:val="auto"/>
        </w:rPr>
        <w:t>Developed</w:t>
      </w:r>
      <w:r>
        <w:rPr>
          <w:rFonts w:ascii="Times New Roman" w:cs="Times New Roman" w:eastAsia="Times New Roman" w:hAnsi="Times New Roman"/>
          <w:sz w:val="18"/>
          <w:szCs w:val="18"/>
          <w:color w:val="auto"/>
        </w:rPr>
        <w:t>” has a corresponding meaning.</w:t>
      </w:r>
    </w:p>
    <w:p>
      <w:pPr>
        <w:spacing w:after="0" w:line="147"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Development Budget</w:t>
      </w:r>
      <w:r>
        <w:rPr>
          <w:rFonts w:ascii="Times New Roman" w:cs="Times New Roman" w:eastAsia="Times New Roman" w:hAnsi="Times New Roman"/>
          <w:sz w:val="16"/>
          <w:szCs w:val="16"/>
          <w:color w:val="auto"/>
        </w:rPr>
        <w:t>” has the meaning set forth in the definition of “Development Plan”.</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Development Milestone Event</w:t>
      </w:r>
      <w:r>
        <w:rPr>
          <w:rFonts w:ascii="Times New Roman" w:cs="Times New Roman" w:eastAsia="Times New Roman" w:hAnsi="Times New Roman"/>
          <w:sz w:val="16"/>
          <w:szCs w:val="16"/>
          <w:color w:val="auto"/>
        </w:rPr>
        <w:t>” has the meaning set forth in Section 8‎.3.</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Development Milestone Payment</w:t>
      </w:r>
      <w:r>
        <w:rPr>
          <w:rFonts w:ascii="Times New Roman" w:cs="Times New Roman" w:eastAsia="Times New Roman" w:hAnsi="Times New Roman"/>
          <w:sz w:val="16"/>
          <w:szCs w:val="16"/>
          <w:color w:val="auto"/>
        </w:rPr>
        <w:t>” has the meaning set forth in Section 8‎.3.</w:t>
      </w:r>
    </w:p>
    <w:p>
      <w:pPr>
        <w:spacing w:after="0" w:line="165"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1.68.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means the plan setting forth in reasonable detail the Development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CMC Development) activities to be performed by or on behalf of ACI or its Affiliates with respect to the Licensed Compounds and Licensed Products, including a reasonably detailed budget of FTE Costs and Out-of-Pocket Costs to be incurred on a Fiscal Year basis with respect thereto (the “</w:t>
      </w:r>
      <w:r>
        <w:rPr>
          <w:rFonts w:ascii="Times New Roman" w:cs="Times New Roman" w:eastAsia="Times New Roman" w:hAnsi="Times New Roman"/>
          <w:sz w:val="18"/>
          <w:szCs w:val="18"/>
          <w:b w:val="1"/>
          <w:bCs w:val="1"/>
          <w:color w:val="auto"/>
        </w:rPr>
        <w:t>Development Budget</w:t>
      </w:r>
      <w:r>
        <w:rPr>
          <w:rFonts w:ascii="Times New Roman" w:cs="Times New Roman" w:eastAsia="Times New Roman" w:hAnsi="Times New Roman"/>
          <w:sz w:val="18"/>
          <w:szCs w:val="18"/>
          <w:color w:val="auto"/>
        </w:rPr>
        <w:t xml:space="preserve">”). The initial Development Plan (including the initial Development Budget) is attached as </w:t>
      </w:r>
      <w:r>
        <w:rPr>
          <w:rFonts w:ascii="Times New Roman" w:cs="Times New Roman" w:eastAsia="Times New Roman" w:hAnsi="Times New Roman"/>
          <w:sz w:val="18"/>
          <w:szCs w:val="18"/>
          <w:b w:val="1"/>
          <w:bCs w:val="1"/>
          <w:color w:val="auto"/>
        </w:rPr>
        <w:t>Schedule 1‎.68</w:t>
      </w:r>
      <w:r>
        <w:rPr>
          <w:rFonts w:ascii="Times New Roman" w:cs="Times New Roman" w:eastAsia="Times New Roman" w:hAnsi="Times New Roman"/>
          <w:sz w:val="18"/>
          <w:szCs w:val="18"/>
          <w:color w:val="auto"/>
        </w:rPr>
        <w:t xml:space="preserve"> to this Agreement. For clarity, the Development Plan shall not include any Development activities to be performed by or on behalf of Takeda from and after the Option Effective Date.</w:t>
      </w:r>
    </w:p>
    <w:p>
      <w:pPr>
        <w:spacing w:after="0" w:line="147" w:lineRule="exact"/>
        <w:rPr>
          <w:sz w:val="20"/>
          <w:szCs w:val="20"/>
          <w:color w:val="auto"/>
        </w:rPr>
      </w:pPr>
    </w:p>
    <w:p>
      <w:pPr>
        <w:jc w:val="both"/>
        <w:ind w:left="200" w:right="21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Directed To</w:t>
      </w:r>
      <w:r>
        <w:rPr>
          <w:rFonts w:ascii="Times New Roman" w:cs="Times New Roman" w:eastAsia="Times New Roman" w:hAnsi="Times New Roman"/>
          <w:sz w:val="18"/>
          <w:szCs w:val="18"/>
          <w:color w:val="auto"/>
        </w:rPr>
        <w:t>” means, with respect to any Active Immunotherapy and Abeta,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Active Immunotherapy binds to, inhibits, modulates, reduces aggregation of or induces immunogenicity against aggregates of, in each case, Abeta.</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Dispute</w:t>
      </w:r>
      <w:r>
        <w:rPr>
          <w:rFonts w:ascii="Times New Roman" w:cs="Times New Roman" w:eastAsia="Times New Roman" w:hAnsi="Times New Roman"/>
          <w:sz w:val="16"/>
          <w:szCs w:val="16"/>
          <w:color w:val="auto"/>
        </w:rPr>
        <w:t>” has the meaning set forth in Section 14‎.5.1.</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Divest</w:t>
      </w:r>
      <w:r>
        <w:rPr>
          <w:rFonts w:ascii="Times New Roman" w:cs="Times New Roman" w:eastAsia="Times New Roman" w:hAnsi="Times New Roman"/>
          <w:sz w:val="16"/>
          <w:szCs w:val="16"/>
          <w:color w:val="auto"/>
        </w:rPr>
        <w:t>” has the meaning set forth in Section 5‎.5.2(c).</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Dollars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 United States Dollars.</w:t>
      </w:r>
    </w:p>
    <w:p>
      <w:pPr>
        <w:spacing w:after="0" w:line="165"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Approval Application</w:t>
      </w:r>
      <w:r>
        <w:rPr>
          <w:rFonts w:ascii="Times New Roman" w:cs="Times New Roman" w:eastAsia="Times New Roman" w:hAnsi="Times New Roman"/>
          <w:sz w:val="18"/>
          <w:szCs w:val="18"/>
          <w:color w:val="auto"/>
        </w:rPr>
        <w:t>” means a New Drug Application or a Biologics License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as defined in the FFDCA, or any corresponding foreign application in the Territory, including, with respect to the European Union, a Marketing Authorization Application filed with the EMA pursuant to the centralized approval procedure or with the applicable Regulatory Authority of a country in Europe with respect to the mutual recognition or any other national approval procedure.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16" w:name="page17"/>
    <w:bookmarkEnd w:id="16"/>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Drug Price Negotiation Program</w:t>
      </w:r>
      <w:r>
        <w:rPr>
          <w:rFonts w:ascii="Times New Roman" w:cs="Times New Roman" w:eastAsia="Times New Roman" w:hAnsi="Times New Roman"/>
          <w:sz w:val="16"/>
          <w:szCs w:val="16"/>
          <w:color w:val="auto"/>
        </w:rPr>
        <w:t>” means the program described in 42 U.S.C. Part E (§§1320f et</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seq.).</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has the meaning set forth in the preamble.</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EMA</w:t>
      </w:r>
      <w:r>
        <w:rPr>
          <w:rFonts w:ascii="Times New Roman" w:cs="Times New Roman" w:eastAsia="Times New Roman" w:hAnsi="Times New Roman"/>
          <w:sz w:val="16"/>
          <w:szCs w:val="16"/>
          <w:color w:val="auto"/>
        </w:rPr>
        <w:t>” means the European Medicines Agency and any successor agency thereto.</w:t>
      </w:r>
    </w:p>
    <w:p>
      <w:pPr>
        <w:spacing w:after="0" w:line="165"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European Union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means the economic, scientific and political organization of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the European Union as its membership may be constituted from time to time.</w:t>
      </w:r>
    </w:p>
    <w:p>
      <w:pPr>
        <w:spacing w:after="0" w:line="129"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Exclusive License</w:t>
      </w:r>
      <w:r>
        <w:rPr>
          <w:rFonts w:ascii="Times New Roman" w:cs="Times New Roman" w:eastAsia="Times New Roman" w:hAnsi="Times New Roman"/>
          <w:sz w:val="16"/>
          <w:szCs w:val="16"/>
          <w:color w:val="auto"/>
        </w:rPr>
        <w:t>” has the meaning set forth in Section 5‎.1.1.</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Exclusivity Period</w:t>
      </w:r>
      <w:r>
        <w:rPr>
          <w:rFonts w:ascii="Times New Roman" w:cs="Times New Roman" w:eastAsia="Times New Roman" w:hAnsi="Times New Roman"/>
          <w:sz w:val="16"/>
          <w:szCs w:val="16"/>
          <w:color w:val="auto"/>
        </w:rPr>
        <w:t>” has the meaning set forth in Section 5‎.5.1.</w:t>
      </w:r>
    </w:p>
    <w:p>
      <w:pPr>
        <w:spacing w:after="0" w:line="165" w:lineRule="exact"/>
        <w:rPr>
          <w:sz w:val="20"/>
          <w:szCs w:val="20"/>
          <w:color w:val="auto"/>
        </w:rPr>
      </w:pPr>
    </w:p>
    <w:p>
      <w:pPr>
        <w:jc w:val="both"/>
        <w:ind w:left="200" w:right="199" w:firstLine="1051"/>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1.80.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Executive Officer</w:t>
      </w:r>
      <w:r>
        <w:rPr>
          <w:rFonts w:ascii="Times New Roman" w:cs="Times New Roman" w:eastAsia="Times New Roman" w:hAnsi="Times New Roman"/>
          <w:sz w:val="16"/>
          <w:szCs w:val="16"/>
          <w:color w:val="auto"/>
        </w:rPr>
        <w:t>” means, with respect to ACI, its Chief Executive Officer and with respect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Takeda, a senior executive officer responsible for research and discovery (or if the issue to be decided relates to Development or Commercialization, with responsibility for the applicable area), or, in either case, such executive officer’s designee with appropriate responsibilities, seniority and decision-making authority with respect to the issue to be decided.</w:t>
      </w:r>
    </w:p>
    <w:p>
      <w:pPr>
        <w:spacing w:after="0" w:line="117"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Exercise Notice</w:t>
      </w:r>
      <w:r>
        <w:rPr>
          <w:rFonts w:ascii="Times New Roman" w:cs="Times New Roman" w:eastAsia="Times New Roman" w:hAnsi="Times New Roman"/>
          <w:sz w:val="16"/>
          <w:szCs w:val="16"/>
          <w:color w:val="auto"/>
        </w:rPr>
        <w:t>” has the meaning set forth in Section 4‎.1.3.</w:t>
      </w:r>
    </w:p>
    <w:p>
      <w:pPr>
        <w:spacing w:after="0" w:line="165"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Agreements</w:t>
      </w:r>
      <w:r>
        <w:rPr>
          <w:rFonts w:ascii="Times New Roman" w:cs="Times New Roman" w:eastAsia="Times New Roman" w:hAnsi="Times New Roman"/>
          <w:sz w:val="18"/>
          <w:szCs w:val="18"/>
          <w:color w:val="auto"/>
        </w:rPr>
        <w:t>” means any agreement existing as of the Effective Date, the Data Package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 Down Date or the Option Effective Date, as applicable, by and between ACI or any of its Affiliates, on the one hand, and one (1) or more Third Parties, on the other hand, related to one (1) or more Licensed Compounds or Licensed Products or the Exploitation thereof.</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Existing Patents</w:t>
      </w:r>
      <w:r>
        <w:rPr>
          <w:rFonts w:ascii="Times New Roman" w:cs="Times New Roman" w:eastAsia="Times New Roman" w:hAnsi="Times New Roman"/>
          <w:sz w:val="16"/>
          <w:szCs w:val="16"/>
          <w:color w:val="auto"/>
        </w:rPr>
        <w:t>” has the meaning set forth in Section 11‎.2.1.</w:t>
      </w:r>
    </w:p>
    <w:p>
      <w:pPr>
        <w:spacing w:after="0" w:line="165"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Regulatory Documentation</w:t>
      </w:r>
      <w:r>
        <w:rPr>
          <w:rFonts w:ascii="Times New Roman" w:cs="Times New Roman" w:eastAsia="Times New Roman" w:hAnsi="Times New Roman"/>
          <w:sz w:val="18"/>
          <w:szCs w:val="18"/>
          <w:color w:val="auto"/>
        </w:rPr>
        <w:t>” means the Regulatory Documentation owned or 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ACI or any of its Affiliates as of the Effective Date, the Data Package Bring Down Date or the Option Effective Date, as applicable.</w:t>
      </w:r>
    </w:p>
    <w:p>
      <w:pPr>
        <w:spacing w:after="0" w:line="143"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import, use, sell or offer for sale, including to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Commercialize, register, Manufacture, have Manufactured, hold or keep (whether for disposal or otherwise), have used, export, transport, distribute, promote, market or have sold or otherwise dispose of.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the act of Exploiting.</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FDA</w:t>
      </w:r>
      <w:r>
        <w:rPr>
          <w:rFonts w:ascii="Times New Roman" w:cs="Times New Roman" w:eastAsia="Times New Roman" w:hAnsi="Times New Roman"/>
          <w:sz w:val="16"/>
          <w:szCs w:val="16"/>
          <w:color w:val="auto"/>
        </w:rPr>
        <w:t>” means the United States Food and Drug Administration and any successor agency thereto.</w:t>
      </w:r>
    </w:p>
    <w:p>
      <w:pPr>
        <w:spacing w:after="0" w:line="165"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means the United States Federal Food, Drug, and Cosmetic Act, as amended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together with any rules, regulations and requirements promulgated thereunder (including all additions, supplements, extensions and modifications thereto).</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17" w:name="page18"/>
    <w:bookmarkEnd w:id="17"/>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Field</w:t>
      </w:r>
      <w:r>
        <w:rPr>
          <w:rFonts w:ascii="Times New Roman" w:cs="Times New Roman" w:eastAsia="Times New Roman" w:hAnsi="Times New Roman"/>
          <w:sz w:val="16"/>
          <w:szCs w:val="16"/>
          <w:color w:val="auto"/>
        </w:rPr>
        <w:t>” [***]</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1.89.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Firewall Procedures</w:t>
      </w:r>
      <w:r>
        <w:rPr>
          <w:rFonts w:ascii="Times New Roman" w:cs="Times New Roman" w:eastAsia="Times New Roman" w:hAnsi="Times New Roman"/>
          <w:sz w:val="16"/>
          <w:szCs w:val="16"/>
          <w:color w:val="auto"/>
        </w:rPr>
        <w:t>” has the meaning set forth in Section 5‎.5.2(d).</w:t>
      </w:r>
    </w:p>
    <w:p>
      <w:pPr>
        <w:spacing w:after="0" w:line="165"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with respect to a Licensed Product and a country,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sale for monetary value of such Licensed Product in such country by Takeda, its Affiliates or its or their respective Sublicensees to a Third Party after all Regulatory Approvals for such Licensed Product have been obtained in such country. [***]</w:t>
      </w:r>
    </w:p>
    <w:p>
      <w:pPr>
        <w:spacing w:after="0" w:line="146"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1.91.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each successive period of twelve (12) calendar months commencing on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 and ending on March 31, except that the first Fiscal Year of the Term shall commence on the Effective Date and end on the following March 31 and the last Fiscal Year of the Term shall commence on the last April 1 before the Term ends and end on the last day of the Term.</w:t>
      </w:r>
    </w:p>
    <w:p>
      <w:pPr>
        <w:spacing w:after="0" w:line="146" w:lineRule="exact"/>
        <w:rPr>
          <w:sz w:val="20"/>
          <w:szCs w:val="20"/>
          <w:color w:val="auto"/>
        </w:rPr>
      </w:pPr>
    </w:p>
    <w:p>
      <w:pPr>
        <w:jc w:val="both"/>
        <w:ind w:left="200" w:right="199" w:firstLine="105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1.92.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FTE</w:t>
      </w:r>
      <w:r>
        <w:rPr>
          <w:rFonts w:ascii="Times New Roman" w:cs="Times New Roman" w:eastAsia="Times New Roman" w:hAnsi="Times New Roman"/>
          <w:sz w:val="16"/>
          <w:szCs w:val="16"/>
          <w:color w:val="auto"/>
        </w:rPr>
        <w:t xml:space="preserve">” means the equivalent of the work of one (1) full time employee (i.e., one (1) fully-committed or multiple partially-committed employees aggregating to one (1) full-time employee but for clarity, excluding any contract personnel) for one (1) Calendar Year (consisting of [***] hours per Calendar Year or such other number as may be agreed by the Parties in writing) employed by ACI (or its Affiliate) who directly performs activities under this Agreement. With respect to any employee who works fewer than [***] hours per Calendar Year (or such other number as may be agreed by the Parties), such employee shall be treated as an FTE on a pro rata basis based upon the actual number of hours worked in a Calendar Year divided by [***] hours;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any employee count as more</w:t>
      </w:r>
    </w:p>
    <w:p>
      <w:pPr>
        <w:spacing w:after="0" w:line="1" w:lineRule="exact"/>
        <w:rPr>
          <w:sz w:val="20"/>
          <w:szCs w:val="20"/>
          <w:color w:val="auto"/>
        </w:rPr>
      </w:pPr>
    </w:p>
    <w:p>
      <w:pPr>
        <w:jc w:val="both"/>
        <w:ind w:left="200" w:right="199"/>
        <w:spacing w:after="0" w:line="264" w:lineRule="auto"/>
        <w:rPr>
          <w:sz w:val="20"/>
          <w:szCs w:val="20"/>
          <w:color w:val="auto"/>
        </w:rPr>
      </w:pPr>
      <w:r>
        <w:rPr>
          <w:rFonts w:ascii="Times New Roman" w:cs="Times New Roman" w:eastAsia="Times New Roman" w:hAnsi="Times New Roman"/>
          <w:sz w:val="16"/>
          <w:szCs w:val="16"/>
          <w:color w:val="auto"/>
        </w:rPr>
        <w:t>than one (1) FTE regardless of the number of hours worked by such employee. For clarity, sixty (60) minutes of work performed by one (1) employee (or aggregated across multiple employees) on a relevant activity shall be considered one</w:t>
      </w:r>
    </w:p>
    <w:p>
      <w:pPr>
        <w:ind w:left="200" w:right="219" w:hanging="7"/>
        <w:spacing w:after="0" w:line="234" w:lineRule="auto"/>
        <w:tabs>
          <w:tab w:leader="none" w:pos="4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“FTE-hour.” In no event shall FTEs include any indirect personnel, including support functions such as managerial, financial, legal and business development.</w:t>
      </w:r>
    </w:p>
    <w:p>
      <w:pPr>
        <w:spacing w:after="0" w:line="143"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 Costs</w:t>
      </w:r>
      <w:r>
        <w:rPr>
          <w:rFonts w:ascii="Times New Roman" w:cs="Times New Roman" w:eastAsia="Times New Roman" w:hAnsi="Times New Roman"/>
          <w:sz w:val="18"/>
          <w:szCs w:val="18"/>
          <w:color w:val="auto"/>
        </w:rPr>
        <w:t>” means, with respect to ACI for any period, the applicable FTE Rate multiplied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number of FTEs of ACI or any of its Affiliates performing the relevant activities under this Agreement.</w:t>
      </w:r>
    </w:p>
    <w:p>
      <w:pPr>
        <w:spacing w:after="0" w:line="129"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means, as of the Effective Date, [***] such rate to be adjusted annually (with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adjustments to be made as of January 1, 2025 and each subsequent Calendar Year thereafter, but such adjustment determined no later than the preceding September 30) to correspond with the total percentage change in the Consumer Price Index for All Urban Consumers (CPI-U) for the U.S. City Average, 1982-84 = 100, calculated by the Bureau of Labor Statistics over the twelve (12)-month period preceding each such January 1. [***]</w:t>
      </w:r>
    </w:p>
    <w:p>
      <w:pPr>
        <w:spacing w:after="0" w:line="142"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means the then-current standards for clinical trials for pharmaceuticals,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set forth in 21 C.F.R. Parts 50, 54, 56 and 312, and such standards of good clinical practice as are required by the Regulatory Authorities of the United States and European Union and other organizations and Governmental Authorities in countries for which any</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8" w:name="page19"/>
    <w:bookmarkEnd w:id="18"/>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Licensed Product is intended to be Developed, to the extent such standards are not less stringent than United States Good Clinical Practices.</w:t>
      </w:r>
    </w:p>
    <w:p>
      <w:pPr>
        <w:spacing w:after="0" w:line="132"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means the then-current standards for nonclinical laboratory studies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pharmaceuticals, as set forth in the FDA’s Good Laboratory Practice regulations as defined in 21 C.F.R. Part 58 or the Good Laboratory Practice principles of the Organization for Economic Co-Operation and Development, and such standards of good laboratory practice as are required by the European Union and other organizations and Governmental Authorities in countries in which any Licensed Product is intended to be sold, to the extent such standards are not less stringent than United States Good Laboratory Practice.</w:t>
      </w:r>
    </w:p>
    <w:p>
      <w:pPr>
        <w:spacing w:after="0" w:line="146"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w:t>
      </w:r>
      <w:r>
        <w:rPr>
          <w:rFonts w:ascii="Times New Roman" w:cs="Times New Roman" w:eastAsia="Times New Roman" w:hAnsi="Times New Roman"/>
          <w:sz w:val="18"/>
          <w:szCs w:val="18"/>
          <w:color w:val="auto"/>
        </w:rPr>
        <w:t>s” means all applicable current Good Manufacturing Practices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as applicable, (a) the principles detailed in the U.S. Current Good Manufacturing Practices, 21 C.F.R. Parts 4, 210, 211, 600 and 610, (b) Commission Delegated Regulation (EU) 2017/1569, Commission Directive (EU) 2017/1572 and the European Commission’s Good Manufacturing Practice guidelines as set out in volume 4 of EudraLex, (c) the principles detailed in the ICH Q7 guidelines and (d) the equivalent applicable law in any relevant country, each as may be amended and applicable from time to time.</w:t>
      </w:r>
    </w:p>
    <w:p>
      <w:pPr>
        <w:spacing w:after="0" w:line="146"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means (a) any person employed by or acting on behalf of a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government-controlled agency or entity or public international organization, (b) any political party, party official or candidate or Person employed by or acting on behalf of any of the foregoing, (c) any person categorized as a government official under local law or (d) any person who holds themself out to be the authorized intermediary of any of the foregoing.</w:t>
      </w:r>
    </w:p>
    <w:p>
      <w:pPr>
        <w:spacing w:after="0" w:line="142"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national, international, federal, state, provincial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w:t>
      </w:r>
    </w:p>
    <w:p>
      <w:pPr>
        <w:spacing w:after="0" w:line="146"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codified at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U.S.C. §18a, as may be amended from time to time, and the rules and regulations promulgated thereunder, or foreign equivalent thereof under Applicable Law (including all additions, supplements, extensions and modifications thereto).</w:t>
      </w:r>
    </w:p>
    <w:p>
      <w:pPr>
        <w:spacing w:after="0" w:line="143"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1.101.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 means any invention, discovery, development or modification licensed,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conceived, reduced to practice, discovered, developed or otherwise made by or on behalf of Takeda or any of its Affiliates or its or their Sublicensees with respect to a Licensed Compound or a Licensed Product or relating to the Exploitation thereof, whether or not patented or patentable, including any enhancement in the efficiency, operation, Manufacture, ingredients, preparation, presentation, formulation, means of delivery (including the development of any Delivery System or enhancement thereto) or dosage of such Licensed Compound or Licensed Product, any discovery or development of any new or expanded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19" w:name="page20"/>
    <w:bookmarkEnd w:id="19"/>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indications for such Licensed Compound or Licensed Product, or any discovery or development that improves the stability, safety or efficacy of such Licensed Compound or Licensed Product.</w:t>
      </w:r>
    </w:p>
    <w:p>
      <w:pPr>
        <w:spacing w:after="0" w:line="132"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1.102.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 an investigational new drug application filed with the FDA for authorization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 clinical studies and its equivalent in other countries or regulatory jurisdictions and (b) all supplements and amendments that may be filed with respect to the foregoing.</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1.103.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Indemnification Claim Notice</w:t>
      </w:r>
      <w:r>
        <w:rPr>
          <w:rFonts w:ascii="Times New Roman" w:cs="Times New Roman" w:eastAsia="Times New Roman" w:hAnsi="Times New Roman"/>
          <w:sz w:val="18"/>
          <w:szCs w:val="18"/>
          <w:color w:val="auto"/>
        </w:rPr>
        <w:t>” has the meaning set forth in Section 12‎.3.1.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1.104.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forth in Section 12‎.3.1.</w:t>
      </w:r>
    </w:p>
    <w:p>
      <w:pPr>
        <w:spacing w:after="0" w:line="165"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Expert</w:t>
      </w:r>
      <w:r>
        <w:rPr>
          <w:rFonts w:ascii="Times New Roman" w:cs="Times New Roman" w:eastAsia="Times New Roman" w:hAnsi="Times New Roman"/>
          <w:sz w:val="18"/>
          <w:szCs w:val="18"/>
          <w:color w:val="auto"/>
        </w:rPr>
        <w:t>” means an impartial and conflicts-free Third Party expert that (a) has no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 of relevant business, financial, scientific or other experience in the pharmaceutical or biotechnology industry, with substantial experience in valuing intellectual property rights for the commercialization of pharmaceutical and biotechnology products, (b) is not a current or former director, officer, employee or consultant of any Party or any of its Affiliates or its or their (sub)licensees/Sublicensees, (c) has no known personal financial interest or benefit in the outcome or resolution of the applicable dispute and (d) is a native English speaker.</w:t>
      </w:r>
    </w:p>
    <w:p>
      <w:pPr>
        <w:spacing w:after="0" w:line="146"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1.106.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technical, scientific and other know-how and information, trade secrets,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technology, means, methods, processes, practices, formulae, instructions, skills, techniques, procedures, experiences, ideas, technical assistance, designs, drawings, assembly procedures, computer programs, apparatuses, specifications, data, results and other material,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proprietary, patented or patentable), in written, electronic or any other form now known or hereafter developed and that is not generally known to the public.</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1.107.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Disclosure Schedule</w:t>
      </w:r>
      <w:r>
        <w:rPr>
          <w:rFonts w:ascii="Times New Roman" w:cs="Times New Roman" w:eastAsia="Times New Roman" w:hAnsi="Times New Roman"/>
          <w:sz w:val="18"/>
          <w:szCs w:val="18"/>
          <w:color w:val="auto"/>
        </w:rPr>
        <w:t>” has the meaning set forth in Section 11‎.2.</w:t>
      </w:r>
    </w:p>
    <w:p>
      <w:pPr>
        <w:spacing w:after="0" w:line="165" w:lineRule="exact"/>
        <w:rPr>
          <w:sz w:val="20"/>
          <w:szCs w:val="20"/>
          <w:color w:val="auto"/>
        </w:rPr>
      </w:pPr>
    </w:p>
    <w:p>
      <w:pPr>
        <w:jc w:val="both"/>
        <w:ind w:left="200" w:right="199" w:firstLine="1051"/>
        <w:spacing w:after="0" w:line="317" w:lineRule="auto"/>
        <w:rPr>
          <w:sz w:val="20"/>
          <w:szCs w:val="20"/>
          <w:color w:val="auto"/>
        </w:rPr>
      </w:pPr>
      <w:r>
        <w:rPr>
          <w:rFonts w:ascii="Times New Roman" w:cs="Times New Roman" w:eastAsia="Times New Roman" w:hAnsi="Times New Roman"/>
          <w:sz w:val="16"/>
          <w:szCs w:val="16"/>
          <w:b w:val="1"/>
          <w:bCs w:val="1"/>
          <w:color w:val="auto"/>
        </w:rPr>
        <w:t xml:space="preserve">1.108.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Initiation</w:t>
      </w:r>
      <w:r>
        <w:rPr>
          <w:rFonts w:ascii="Times New Roman" w:cs="Times New Roman" w:eastAsia="Times New Roman" w:hAnsi="Times New Roman"/>
          <w:sz w:val="16"/>
          <w:szCs w:val="16"/>
          <w:color w:val="auto"/>
        </w:rPr>
        <w:t>” means, with respect to a clinical trial, the first dosing of the first human subject in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clinical trial. When used as a verb, “</w:t>
      </w:r>
      <w:r>
        <w:rPr>
          <w:rFonts w:ascii="Times New Roman" w:cs="Times New Roman" w:eastAsia="Times New Roman" w:hAnsi="Times New Roman"/>
          <w:sz w:val="16"/>
          <w:szCs w:val="16"/>
          <w:b w:val="1"/>
          <w:bCs w:val="1"/>
          <w:color w:val="auto"/>
        </w:rPr>
        <w:t>Initiate</w:t>
      </w:r>
      <w:r>
        <w:rPr>
          <w:rFonts w:ascii="Times New Roman" w:cs="Times New Roman" w:eastAsia="Times New Roman" w:hAnsi="Times New Roman"/>
          <w:sz w:val="16"/>
          <w:szCs w:val="16"/>
          <w:color w:val="auto"/>
        </w:rPr>
        <w:t>” means to engage in Initiation and “</w:t>
      </w:r>
      <w:r>
        <w:rPr>
          <w:rFonts w:ascii="Times New Roman" w:cs="Times New Roman" w:eastAsia="Times New Roman" w:hAnsi="Times New Roman"/>
          <w:sz w:val="16"/>
          <w:szCs w:val="16"/>
          <w:b w:val="1"/>
          <w:bCs w:val="1"/>
          <w:color w:val="auto"/>
        </w:rPr>
        <w:t>Initiated</w:t>
      </w:r>
      <w:r>
        <w:rPr>
          <w:rFonts w:ascii="Times New Roman" w:cs="Times New Roman" w:eastAsia="Times New Roman" w:hAnsi="Times New Roman"/>
          <w:sz w:val="16"/>
          <w:szCs w:val="16"/>
          <w:color w:val="auto"/>
        </w:rPr>
        <w:t>” has a corresponding meaning.</w:t>
      </w:r>
    </w:p>
    <w:p>
      <w:pPr>
        <w:spacing w:after="0" w:line="83"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means (a) the commencement of any bankruptcy, insolvency, moratorium,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judicial reorganization proceeding, dissolution, arrangement or proceeding under any creditors’ rights law or other similar proceeding by or against either Party, (b) any applications for, consent by either Party or acquiescence by such Party in, the appointment of any trustee, receiver or other custodian for either Party or a substantial part of its property, (c) any appointment of a trustee, receiver or other custodian for either Party or a substantial part of its property or (d) any assignment by either Party for the benefit of creditors.</w:t>
      </w:r>
    </w:p>
    <w:p>
      <w:pPr>
        <w:spacing w:after="0" w:line="146"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IRA</w:t>
      </w:r>
      <w:r>
        <w:rPr>
          <w:rFonts w:ascii="Times New Roman" w:cs="Times New Roman" w:eastAsia="Times New Roman" w:hAnsi="Times New Roman"/>
          <w:sz w:val="18"/>
          <w:szCs w:val="18"/>
          <w:color w:val="auto"/>
        </w:rPr>
        <w:t>” means 42 U.S.C. §§1320f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its subsequent amendments and replacements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promulgated thereunder.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20" w:name="page21"/>
    <w:bookmarkEnd w:id="20"/>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IRA Reduction Event</w:t>
      </w:r>
      <w:r>
        <w:rPr>
          <w:rFonts w:ascii="Times New Roman" w:cs="Times New Roman" w:eastAsia="Times New Roman" w:hAnsi="Times New Roman"/>
          <w:sz w:val="18"/>
          <w:szCs w:val="18"/>
          <w:color w:val="auto"/>
        </w:rPr>
        <w:t>” has the meaning set forth in Section 8‎.5.3(c).</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Development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JDT</w:t>
      </w:r>
      <w:r>
        <w:rPr>
          <w:rFonts w:ascii="Times New Roman" w:cs="Times New Roman" w:eastAsia="Times New Roman" w:hAnsi="Times New Roman"/>
          <w:sz w:val="18"/>
          <w:szCs w:val="18"/>
          <w:color w:val="auto"/>
        </w:rPr>
        <w:t>” has the meaning set forth in Section 2‎.1.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Intellectual Property Rights</w:t>
      </w:r>
      <w:r>
        <w:rPr>
          <w:rFonts w:ascii="Times New Roman" w:cs="Times New Roman" w:eastAsia="Times New Roman" w:hAnsi="Times New Roman"/>
          <w:sz w:val="18"/>
          <w:szCs w:val="18"/>
          <w:color w:val="auto"/>
        </w:rPr>
        <w:t>” has the meaning set forth in Section 9‎.1.2.</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Know-How</w:t>
      </w:r>
      <w:r>
        <w:rPr>
          <w:rFonts w:ascii="Times New Roman" w:cs="Times New Roman" w:eastAsia="Times New Roman" w:hAnsi="Times New Roman"/>
          <w:sz w:val="18"/>
          <w:szCs w:val="18"/>
          <w:color w:val="auto"/>
        </w:rPr>
        <w:t>” has the meaning set forth in Section 9‎.1.2.</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Patents</w:t>
      </w:r>
      <w:r>
        <w:rPr>
          <w:rFonts w:ascii="Times New Roman" w:cs="Times New Roman" w:eastAsia="Times New Roman" w:hAnsi="Times New Roman"/>
          <w:sz w:val="18"/>
          <w:szCs w:val="18"/>
          <w:color w:val="auto"/>
        </w:rPr>
        <w:t>” has the meaning set forth in Section 9‎.1.2.</w:t>
      </w:r>
    </w:p>
    <w:p>
      <w:pPr>
        <w:spacing w:after="0" w:line="165"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the actual knowledge after performing a diligent investigation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facts and information [***]</w:t>
      </w:r>
    </w:p>
    <w:p>
      <w:pPr>
        <w:spacing w:after="0" w:line="1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Compound</w:t>
      </w:r>
      <w:r>
        <w:rPr>
          <w:rFonts w:ascii="Times New Roman" w:cs="Times New Roman" w:eastAsia="Times New Roman" w:hAnsi="Times New Roman"/>
          <w:sz w:val="18"/>
          <w:szCs w:val="18"/>
          <w:color w:val="auto"/>
        </w:rPr>
        <w:t>” means [***]</w:t>
      </w:r>
    </w:p>
    <w:p>
      <w:pPr>
        <w:spacing w:after="0" w:line="165"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all Information that is Controlled by ACI or its Affiliates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or during the Term that is necessary or reasonably useful for the Development, Manufacture, Commercialization or other Exploitation of one (1) or more Licensed Compounds or Licensed Products in the Field in the Territory, but excluding ACI’s interest in the Joint Know-How.</w:t>
      </w:r>
    </w:p>
    <w:p>
      <w:pPr>
        <w:spacing w:after="0" w:line="146"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all Patents that are Controlled by ACI or its Affiliates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or during the Term that are necessary or reasonably useful for the Development, Manufacture, Commercialization or other Exploitation of one (1) or more Licensed Compounds or Licensed Products in the Field in the Territory, but excluding ACI’s interest in the Joint Patents.</w:t>
      </w:r>
    </w:p>
    <w:p>
      <w:pPr>
        <w:spacing w:after="0" w:line="146"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any product containing or comprising any Licensed Compound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thereto, alone or in combination with one (1) or more other active ingredients, in any and all forms, presentations, Delivery Systems, dosages and formulations (including Improvements to any such forms, presentations, Delivery Systems, dosages and formulations), including any Combination Products.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has the meaning set forth in Section 12‎.1.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Market</w:t>
      </w:r>
      <w:r>
        <w:rPr>
          <w:rFonts w:ascii="Times New Roman" w:cs="Times New Roman" w:eastAsia="Times New Roman" w:hAnsi="Times New Roman"/>
          <w:sz w:val="18"/>
          <w:szCs w:val="18"/>
          <w:color w:val="auto"/>
        </w:rPr>
        <w:t>” means each of [***]</w:t>
      </w:r>
    </w:p>
    <w:p>
      <w:pPr>
        <w:spacing w:after="0" w:line="165"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means all activities related to the production, manufacture,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filling, finishing, packaging, labeling, shipping and holding of a compound, product or any intermediate or component thereof, including pre-clinical, clinical and commercial manufacture, stability and shelf life assignment and manufacturing release. Manufacturing excludes activities that are CMC Development activities.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Process</w:t>
      </w:r>
      <w:r>
        <w:rPr>
          <w:rFonts w:ascii="Times New Roman" w:cs="Times New Roman" w:eastAsia="Times New Roman" w:hAnsi="Times New Roman"/>
          <w:sz w:val="18"/>
          <w:szCs w:val="18"/>
          <w:color w:val="auto"/>
        </w:rPr>
        <w:t>” has the meaning set forth in Section 6‎.2.</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1" w:name="page22"/>
    <w:bookmarkEnd w:id="21"/>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Technology Transfer</w:t>
      </w:r>
      <w:r>
        <w:rPr>
          <w:rFonts w:ascii="Times New Roman" w:cs="Times New Roman" w:eastAsia="Times New Roman" w:hAnsi="Times New Roman"/>
          <w:sz w:val="18"/>
          <w:szCs w:val="18"/>
          <w:color w:val="auto"/>
        </w:rPr>
        <w:t>” has the meaning set forth in Section 6‎.2.</w:t>
      </w:r>
    </w:p>
    <w:p>
      <w:pPr>
        <w:spacing w:after="0" w:line="165"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Fair Price</w:t>
      </w:r>
      <w:r>
        <w:rPr>
          <w:rFonts w:ascii="Times New Roman" w:cs="Times New Roman" w:eastAsia="Times New Roman" w:hAnsi="Times New Roman"/>
          <w:sz w:val="18"/>
          <w:szCs w:val="18"/>
          <w:color w:val="auto"/>
        </w:rPr>
        <w:t>” means a maximum fair price under the Drug Price Negotiation Program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42 U.S.C. §1320f(c)(3) and all its subsequent amendments and replacements and guidance or regulations promulgated thereunder or any future Applicable Law in the United States that sets or imposes a cap on the price for a drug product that will be charged to, or reimbursed by, the United States (or any department or agency thereof) or any healthcare program administered by or on behalf thereof.</w:t>
      </w:r>
    </w:p>
    <w:p>
      <w:pPr>
        <w:spacing w:after="0" w:line="142"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 with respect to a Licensed Product, the gross amount invoiced in a country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Territory by or on behalf of Takeda or its Affiliates or its or their Sublicensees (each of the foregoing Persons, a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xml:space="preserve">”) for the sale or other disposition of such Licensed Product in such country to Third Parties (including Third Party distributors),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following deductions, consistently applied in such country in the Territory by the relevant Selling Party, [***]</w:t>
      </w:r>
    </w:p>
    <w:p>
      <w:pPr>
        <w:spacing w:after="0" w:line="144" w:lineRule="exact"/>
        <w:rPr>
          <w:sz w:val="20"/>
          <w:szCs w:val="20"/>
          <w:color w:val="auto"/>
        </w:rPr>
      </w:pPr>
    </w:p>
    <w:p>
      <w:pPr>
        <w:ind w:left="2820" w:hanging="525"/>
        <w:spacing w:after="0"/>
        <w:tabs>
          <w:tab w:leader="none" w:pos="2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200" w:right="199"/>
        <w:spacing w:after="0" w:line="237" w:lineRule="auto"/>
        <w:rPr>
          <w:sz w:val="20"/>
          <w:szCs w:val="20"/>
          <w:color w:val="auto"/>
        </w:rPr>
      </w:pPr>
      <w:r>
        <w:rPr>
          <w:rFonts w:ascii="Times New Roman" w:cs="Times New Roman" w:eastAsia="Times New Roman" w:hAnsi="Times New Roman"/>
          <w:sz w:val="18"/>
          <w:szCs w:val="18"/>
          <w:color w:val="auto"/>
        </w:rPr>
        <w:t>Notwithstanding the foregoing, amounts received or invoiced by Takeda or its Affiliates or its or their Sublicensees for the sale of such Licensed Product among Takeda or its Affiliates or its or their Sublicensees for resale will not be included in the computation of Net Sales hereunder; [***] For clarity, a particular deduction may only be accounted for once in the calculation of Net Sales. [***]</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purposes of calculating Net Sales, all Net Sales shall be converted into Dollars in accordance with Section 8‎.9.</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2" w:name="page23"/>
    <w:bookmarkEnd w:id="22"/>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has the meaning set forth in Section ‎13.2.1.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has the meaning set forth in Section 13‎.2.1.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has the meaning set forth in Section 4‎.1.1.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Effective Date</w:t>
      </w:r>
      <w:r>
        <w:rPr>
          <w:rFonts w:ascii="Times New Roman" w:cs="Times New Roman" w:eastAsia="Times New Roman" w:hAnsi="Times New Roman"/>
          <w:sz w:val="18"/>
          <w:szCs w:val="18"/>
          <w:color w:val="auto"/>
        </w:rPr>
        <w:t>” has the meaning set forth in Section 11‎.3.2.</w:t>
      </w:r>
    </w:p>
    <w:p>
      <w:pPr>
        <w:spacing w:after="0" w:line="165"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Date</w:t>
      </w:r>
      <w:r>
        <w:rPr>
          <w:rFonts w:ascii="Times New Roman" w:cs="Times New Roman" w:eastAsia="Times New Roman" w:hAnsi="Times New Roman"/>
          <w:sz w:val="18"/>
          <w:szCs w:val="18"/>
          <w:color w:val="auto"/>
        </w:rPr>
        <w:t>” means the date upon which Takeda delivers to ACI the Exercise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Option in accordance with Section 4‎.1.3.</w:t>
      </w:r>
    </w:p>
    <w:p>
      <w:pPr>
        <w:spacing w:after="0" w:line="1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Fee</w:t>
      </w:r>
      <w:r>
        <w:rPr>
          <w:rFonts w:ascii="Times New Roman" w:cs="Times New Roman" w:eastAsia="Times New Roman" w:hAnsi="Times New Roman"/>
          <w:sz w:val="18"/>
          <w:szCs w:val="18"/>
          <w:color w:val="auto"/>
        </w:rPr>
        <w:t>” has the meaning set forth in Section 8‎.2.</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 xml:space="preserve">1.134.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 Period</w:t>
      </w:r>
      <w:r>
        <w:rPr>
          <w:rFonts w:ascii="Times New Roman" w:cs="Times New Roman" w:eastAsia="Times New Roman" w:hAnsi="Times New Roman"/>
          <w:sz w:val="16"/>
          <w:szCs w:val="16"/>
          <w:color w:val="auto"/>
        </w:rPr>
        <w:t>” means the period commencing on the Effective Date and ending on the date that is</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Period IP</w:t>
      </w:r>
      <w:r>
        <w:rPr>
          <w:rFonts w:ascii="Times New Roman" w:cs="Times New Roman" w:eastAsia="Times New Roman" w:hAnsi="Times New Roman"/>
          <w:sz w:val="18"/>
          <w:szCs w:val="18"/>
          <w:color w:val="auto"/>
        </w:rPr>
        <w:t>” means [***]</w:t>
      </w:r>
    </w:p>
    <w:p>
      <w:pPr>
        <w:spacing w:after="0" w:line="165"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Orange Book</w:t>
      </w:r>
      <w:r>
        <w:rPr>
          <w:rFonts w:ascii="Times New Roman" w:cs="Times New Roman" w:eastAsia="Times New Roman" w:hAnsi="Times New Roman"/>
          <w:sz w:val="18"/>
          <w:szCs w:val="18"/>
          <w:color w:val="auto"/>
        </w:rPr>
        <w:t>” means the FDA publication entitled “Approved Drug Products with Therapeutic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Equivalence Evaluations” (which identifies drug products approved on the basis of safety and effectiveness by the FDA under the FFDCA) or any replacement thereof established or approved by the FDA.</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has the meaning set forth in the definition of “Combination Product”.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Licensed Patents</w:t>
      </w:r>
      <w:r>
        <w:rPr>
          <w:rFonts w:ascii="Times New Roman" w:cs="Times New Roman" w:eastAsia="Times New Roman" w:hAnsi="Times New Roman"/>
          <w:sz w:val="18"/>
          <w:szCs w:val="18"/>
          <w:color w:val="auto"/>
        </w:rPr>
        <w:t>” means the Patents set forth on</w:t>
      </w:r>
      <w:r>
        <w:rPr>
          <w:rFonts w:ascii="Times New Roman" w:cs="Times New Roman" w:eastAsia="Times New Roman" w:hAnsi="Times New Roman"/>
          <w:sz w:val="18"/>
          <w:szCs w:val="18"/>
          <w:b w:val="1"/>
          <w:bCs w:val="1"/>
          <w:color w:val="auto"/>
        </w:rPr>
        <w:t xml:space="preserve"> Schedule ‎1.138</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Out-of-Pocket Costs</w:t>
      </w:r>
      <w:r>
        <w:rPr>
          <w:rFonts w:ascii="Times New Roman" w:cs="Times New Roman" w:eastAsia="Times New Roman" w:hAnsi="Times New Roman"/>
          <w:sz w:val="18"/>
          <w:szCs w:val="18"/>
          <w:color w:val="auto"/>
        </w:rPr>
        <w:t>” means [***]</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1.140.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the meaning set forth in the preamble hereto.</w:t>
      </w:r>
    </w:p>
    <w:p>
      <w:pPr>
        <w:spacing w:after="0" w:line="165" w:lineRule="exact"/>
        <w:rPr>
          <w:sz w:val="20"/>
          <w:szCs w:val="20"/>
          <w:color w:val="auto"/>
        </w:rPr>
      </w:pPr>
    </w:p>
    <w:p>
      <w:pPr>
        <w:jc w:val="both"/>
        <w:ind w:left="200" w:right="199" w:firstLine="105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1.142.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means (a) all national, regional and international patents and patent applications,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3" w:name="page24"/>
    <w:bookmarkEnd w:id="23"/>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has the meaning set forth in Section 8‎.10.</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1.144.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200" w:right="21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sole proprietorship, partnership, limited partnership,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corporation, limited liability company, business trust, joint stock company, trust, unincorporated association, joint venture or other similar entity or organization, including a Governmental Authority.</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has the meaning set forth in the definition of “Data Protection Law”.</w:t>
      </w:r>
    </w:p>
    <w:p>
      <w:pPr>
        <w:spacing w:after="0" w:line="165"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1b/2 Trial</w:t>
      </w:r>
      <w:r>
        <w:rPr>
          <w:rFonts w:ascii="Times New Roman" w:cs="Times New Roman" w:eastAsia="Times New Roman" w:hAnsi="Times New Roman"/>
          <w:sz w:val="18"/>
          <w:szCs w:val="18"/>
          <w:color w:val="auto"/>
        </w:rPr>
        <w:t>” means the clinical trial entitled “A Study to Assess the Effects of ACI-24.060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Alzheimer’s Disease and in Down Syndrome (ABATE Study),” identified by ClinicalTrials.gov ID NCT05462106.</w:t>
      </w:r>
    </w:p>
    <w:p>
      <w:pPr>
        <w:spacing w:after="0" w:line="129"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Phase 3 Process</w:t>
      </w:r>
      <w:r>
        <w:rPr>
          <w:rFonts w:ascii="Times New Roman" w:cs="Times New Roman" w:eastAsia="Times New Roman" w:hAnsi="Times New Roman"/>
          <w:sz w:val="18"/>
          <w:szCs w:val="18"/>
          <w:color w:val="auto"/>
        </w:rPr>
        <w:t>” means the process for the Manufacture of the Licensed Compounds that satisfies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of the elements set forth on </w:t>
      </w:r>
      <w:r>
        <w:rPr>
          <w:rFonts w:ascii="Times New Roman" w:cs="Times New Roman" w:eastAsia="Times New Roman" w:hAnsi="Times New Roman"/>
          <w:sz w:val="18"/>
          <w:szCs w:val="18"/>
          <w:b w:val="1"/>
          <w:bCs w:val="1"/>
          <w:color w:val="auto"/>
        </w:rPr>
        <w:t>Schedule 1‎.148</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200" w:right="199" w:firstLine="105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1.149.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Phase 3 Trial</w:t>
      </w:r>
      <w:r>
        <w:rPr>
          <w:rFonts w:ascii="Times New Roman" w:cs="Times New Roman" w:eastAsia="Times New Roman" w:hAnsi="Times New Roman"/>
          <w:sz w:val="16"/>
          <w:szCs w:val="16"/>
          <w:color w:val="auto"/>
        </w:rPr>
        <w:t>” means, with respect to any Licensed Product, (a) a human pivotal clinical trial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such Licensed Product, the results of which, together with prior data and information concerning such Licensed Product, would [***], including those trials described in 21 C.F.R. §312.21(c) or (b) a foreign clinical trial that is equivalent to the one described in the preceding clause (a), in each case ((a) and (b)), as acknowledged by the applicable Regulatory Authority;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clarity, data from prior studies and trials may additionally support the filing of a Drug Approval Application for such Licensed Product (including, for clarity, to establish that such Licensed Product is safe and efficacious for its intended use). For clarity, a human clinical trial that does not meet the foregoing criteria when it is Initiated, but later meets the foregoing criteria shall constitute a Phase 3 Trial for purposes of this Agreement only at the time the applicable Regulatory Authority acknowledges that such human clinical trial meets such criteria and, for purposes of Section 8‎.3, such Phase 3 Trial shall be deemed to be Initiated as of the date of such acknowledgement.</w:t>
      </w:r>
    </w:p>
    <w:p>
      <w:pPr>
        <w:spacing w:after="0" w:line="1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 xml:space="preserve">1.150.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PMDA</w:t>
      </w:r>
      <w:r>
        <w:rPr>
          <w:rFonts w:ascii="Times New Roman" w:cs="Times New Roman" w:eastAsia="Times New Roman" w:hAnsi="Times New Roman"/>
          <w:sz w:val="16"/>
          <w:szCs w:val="16"/>
          <w:color w:val="auto"/>
        </w:rPr>
        <w:t>” means Pharmaceuticals and Medical Devices Agency of Japan and any successor agency</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thereto.</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1.151.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1.152.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1.153.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Pre-Existing Entity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Pre-Existing Entities</w:t>
      </w:r>
      <w:r>
        <w:rPr>
          <w:rFonts w:ascii="Times New Roman" w:cs="Times New Roman" w:eastAsia="Times New Roman" w:hAnsi="Times New Roman"/>
          <w:sz w:val="18"/>
          <w:szCs w:val="18"/>
          <w:color w:val="auto"/>
        </w:rPr>
        <w:t>” has the meaning set forth in Section 5‎.5.2.</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Applicability Period</w:t>
      </w:r>
      <w:r>
        <w:rPr>
          <w:rFonts w:ascii="Times New Roman" w:cs="Times New Roman" w:eastAsia="Times New Roman" w:hAnsi="Times New Roman"/>
          <w:sz w:val="18"/>
          <w:szCs w:val="18"/>
          <w:color w:val="auto"/>
        </w:rPr>
        <w:t>” has the meaning set forth in 42 U.S.C. §1320f(b)(2).</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1.155.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Agreement</w:t>
      </w:r>
      <w:r>
        <w:rPr>
          <w:rFonts w:ascii="Times New Roman" w:cs="Times New Roman" w:eastAsia="Times New Roman" w:hAnsi="Times New Roman"/>
          <w:sz w:val="18"/>
          <w:szCs w:val="18"/>
          <w:color w:val="auto"/>
        </w:rPr>
        <w:t>” has the meaning set forth in Section 5‎.6.</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4" w:name="page25"/>
    <w:bookmarkEnd w:id="24"/>
    <w:p>
      <w:pPr>
        <w:jc w:val="both"/>
        <w:ind w:left="200" w:right="21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1.156.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Information</w:t>
      </w:r>
      <w:r>
        <w:rPr>
          <w:rFonts w:ascii="Times New Roman" w:cs="Times New Roman" w:eastAsia="Times New Roman" w:hAnsi="Times New Roman"/>
          <w:sz w:val="18"/>
          <w:szCs w:val="18"/>
          <w:color w:val="auto"/>
        </w:rPr>
        <w:t>” means Confidential Information constituting Regulatory Documentation,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Know-How and any other Information, in each case, developed, owned or Controlled by ACI or any of its Affiliates (including Licensed Know-How) (a) relating to any Licensed Compound or any Licensed Product or any Improvements thereto or the Exploitation of any of the foregoing in the Field in the Territory or (b) specific to Abeta or vaccine products Directed to Abeta or the Exploitation thereof.</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 xml:space="preserve">1.157.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Product Patents</w:t>
      </w:r>
      <w:r>
        <w:rPr>
          <w:rFonts w:ascii="Times New Roman" w:cs="Times New Roman" w:eastAsia="Times New Roman" w:hAnsi="Times New Roman"/>
          <w:sz w:val="16"/>
          <w:szCs w:val="16"/>
          <w:color w:val="auto"/>
        </w:rPr>
        <w:t>” means any and all Licensed Patents, including the Patents set forth on</w:t>
      </w:r>
      <w:r>
        <w:rPr>
          <w:rFonts w:ascii="Times New Roman" w:cs="Times New Roman" w:eastAsia="Times New Roman" w:hAnsi="Times New Roman"/>
          <w:sz w:val="16"/>
          <w:szCs w:val="16"/>
          <w:b w:val="1"/>
          <w:bCs w:val="1"/>
          <w:color w:val="auto"/>
        </w:rPr>
        <w:t xml:space="preserve"> Schedule</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‎1.157</w:t>
      </w:r>
      <w:r>
        <w:rPr>
          <w:rFonts w:ascii="Times New Roman" w:cs="Times New Roman" w:eastAsia="Times New Roman" w:hAnsi="Times New Roman"/>
          <w:sz w:val="18"/>
          <w:szCs w:val="18"/>
          <w:color w:val="auto"/>
        </w:rPr>
        <w:t>, but excluding the Other Licensed Patents.</w:t>
      </w:r>
    </w:p>
    <w:p>
      <w:pPr>
        <w:spacing w:after="0" w:line="143"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1.158.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Trademarks</w:t>
      </w:r>
      <w:r>
        <w:rPr>
          <w:rFonts w:ascii="Times New Roman" w:cs="Times New Roman" w:eastAsia="Times New Roman" w:hAnsi="Times New Roman"/>
          <w:sz w:val="18"/>
          <w:szCs w:val="18"/>
          <w:color w:val="auto"/>
        </w:rPr>
        <w:t>” means the Trademark(s) used or to be used by Takeda or its Affiliates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their Sublicensees for the Commercialization of Licensed Products in the Territory and any registrations thereof or any pending applications relating thereto in the Territory, including any unregistered Trademark rights related to the Licensed Products as may exist through use before, on or after the Effective Date (excluding, in any event, any Trademarks that include the corporate name or logo of Takeda or its Affiliates or its or their Sublicensees and any Trademarks Controlled by ACI or any of its Affiliates and anything confusingly similar to such Trademarks).</w:t>
      </w:r>
    </w:p>
    <w:p>
      <w:pPr>
        <w:spacing w:after="0" w:line="1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1.159.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1.160.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Proprietary Information</w:t>
      </w:r>
      <w:r>
        <w:rPr>
          <w:rFonts w:ascii="Times New Roman" w:cs="Times New Roman" w:eastAsia="Times New Roman" w:hAnsi="Times New Roman"/>
          <w:sz w:val="18"/>
          <w:szCs w:val="18"/>
          <w:color w:val="auto"/>
        </w:rPr>
        <w:t>” means, with respect to a Party, any Information that [***]</w:t>
      </w:r>
    </w:p>
    <w:p>
      <w:pPr>
        <w:spacing w:after="0" w:line="165"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1.161.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Purple Book</w:t>
      </w:r>
      <w:r>
        <w:rPr>
          <w:rFonts w:ascii="Times New Roman" w:cs="Times New Roman" w:eastAsia="Times New Roman" w:hAnsi="Times New Roman"/>
          <w:sz w:val="18"/>
          <w:szCs w:val="18"/>
          <w:color w:val="auto"/>
        </w:rPr>
        <w:t>” means the FDA’s Purple Book Database of FDA-licensed biological products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thereof established or approved by the FDA.</w:t>
      </w:r>
    </w:p>
    <w:p>
      <w:pPr>
        <w:spacing w:after="0" w:line="1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1.162.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1.163.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country in the Territory, any and all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accelerated or conditional approvals), licenses, registrations or authorizations of any Regulatory Authority necessary to commercially distribute, sell or market a Licensed Product in such country, including, where applicable,</w:t>
      </w:r>
    </w:p>
    <w:p>
      <w:pPr>
        <w:spacing w:after="0" w:line="2" w:lineRule="exact"/>
        <w:rPr>
          <w:sz w:val="20"/>
          <w:szCs w:val="20"/>
          <w:color w:val="auto"/>
        </w:rPr>
      </w:pPr>
    </w:p>
    <w:p>
      <w:pPr>
        <w:ind w:left="200" w:right="219" w:hanging="7"/>
        <w:spacing w:after="0" w:line="234" w:lineRule="auto"/>
        <w:tabs>
          <w:tab w:leader="none" w:pos="4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approval in such country, (b) pre- and post-approval marketing authorizations (including any prerequisite Manufacturing approval or authorization related thereto) and (c) labeling approval.</w:t>
      </w:r>
    </w:p>
    <w:p>
      <w:pPr>
        <w:spacing w:after="0" w:line="143"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1.164.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Governmental Authority regulating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exercising authority with respect to the Exploitation of Licensed Compounds or Licensed Products in the Territory, including the FDA in the United States, the EMA in the European Union and the PMDA in Japan.</w:t>
      </w:r>
    </w:p>
    <w:p>
      <w:pPr>
        <w:spacing w:after="0" w:line="143"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1.165.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Documentation</w:t>
      </w:r>
      <w:r>
        <w:rPr>
          <w:rFonts w:ascii="Times New Roman" w:cs="Times New Roman" w:eastAsia="Times New Roman" w:hAnsi="Times New Roman"/>
          <w:sz w:val="18"/>
          <w:szCs w:val="18"/>
          <w:color w:val="auto"/>
        </w:rPr>
        <w:t>” means: any and all (a) applications (including all INDs and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Applications), registrations, licenses, authorizations and approvals (including Regulatory Approvals);</w:t>
      </w:r>
    </w:p>
    <w:p>
      <w:pPr>
        <w:jc w:val="both"/>
        <w:ind w:left="200" w:right="199" w:hanging="7"/>
        <w:spacing w:after="0" w:line="232" w:lineRule="auto"/>
        <w:tabs>
          <w:tab w:leader="none" w:pos="4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(c) clinical and other data</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5" w:name="page26"/>
    <w:bookmarkEnd w:id="25"/>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contained or referenced in any of the foregoing; in each case ((a), (b) and (c)), relating to any Licensed Compound or any Licensed Product.</w:t>
      </w:r>
    </w:p>
    <w:p>
      <w:pPr>
        <w:spacing w:after="0" w:line="132" w:lineRule="exact"/>
        <w:rPr>
          <w:sz w:val="20"/>
          <w:szCs w:val="20"/>
          <w:color w:val="auto"/>
        </w:rPr>
      </w:pPr>
    </w:p>
    <w:p>
      <w:pPr>
        <w:jc w:val="both"/>
        <w:ind w:left="200" w:right="21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1.166.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Exclusivity</w:t>
      </w:r>
      <w:r>
        <w:rPr>
          <w:rFonts w:ascii="Times New Roman" w:cs="Times New Roman" w:eastAsia="Times New Roman" w:hAnsi="Times New Roman"/>
          <w:sz w:val="18"/>
          <w:szCs w:val="18"/>
          <w:color w:val="auto"/>
        </w:rPr>
        <w:t>” means, with respect to any Licensed Product in any country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Territory, exclusive marketing or data exclusivity rights (other than Patent protection) granted by a Regulatory Authority in such country with respect to such Licensed Product [***]</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1.167.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1.168.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1.169.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with respect to each Licensed Product and each country in the Territory,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beginning on the date of the First Commercial Sale of such Licensed Product in such country and ending on the latest to occur of: [***]</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1.170.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1.171.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Drug</w:t>
      </w:r>
      <w:r>
        <w:rPr>
          <w:rFonts w:ascii="Times New Roman" w:cs="Times New Roman" w:eastAsia="Times New Roman" w:hAnsi="Times New Roman"/>
          <w:sz w:val="18"/>
          <w:szCs w:val="18"/>
          <w:color w:val="auto"/>
        </w:rPr>
        <w:t>” has the meaning set forth in Section 1192(c)(1) of the Social Security Act.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has the meaning set forth in the definition of “Net Sales”.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Sublicensed Option Period IP</w:t>
      </w:r>
      <w:r>
        <w:rPr>
          <w:rFonts w:ascii="Times New Roman" w:cs="Times New Roman" w:eastAsia="Times New Roman" w:hAnsi="Times New Roman"/>
          <w:sz w:val="18"/>
          <w:szCs w:val="18"/>
          <w:color w:val="auto"/>
        </w:rPr>
        <w:t>” has the meaning set forth in Section 9‎.1.3(b).</w:t>
      </w:r>
    </w:p>
    <w:p>
      <w:pPr>
        <w:spacing w:after="0" w:line="165" w:lineRule="exact"/>
        <w:rPr>
          <w:sz w:val="20"/>
          <w:szCs w:val="20"/>
          <w:color w:val="auto"/>
        </w:rPr>
      </w:pPr>
    </w:p>
    <w:p>
      <w:pPr>
        <w:jc w:val="both"/>
        <w:ind w:left="200" w:right="199" w:firstLine="1051"/>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1.175.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a Third Party that is granted a sublicense by Takeda or its Affiliate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grants in Section 5‎.1, as provided in Section 5‎.2, and any further sublicenses of such license (regardless of the number of tiers, layers or levels of sublicense of such rights), except for a Third Party to which Takeda or its Affiliate or its or their Sublicensees grants a sublicense [***] to settle or avoid litigation or any Patent claim or dispute with such Third Party related to (a) the alleged infringement by a Licensed Product or the Exploitation thereof of any Patents or other intellectual property of such Third Party or (b) the alleged non-infringement, invalidity or unenforceability of, or challenge against, any Patents Covering or claiming a Licensed Product or the Exploitation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bona fide Third Party commercial distributor that pays to Takeda or its Affiliate a supply price for the Licensed Product ordered from Takeda or its Affiliate shall not be considered a “Sublicensee” hereunder, irrespective of whether a sublicense is granted by Takeda or its Affiliate to such Third Party.</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has the meaning set forth in Section 6‎.1.4.</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Takeda</w:t>
      </w:r>
      <w:r>
        <w:rPr>
          <w:rFonts w:ascii="Times New Roman" w:cs="Times New Roman" w:eastAsia="Times New Roman" w:hAnsi="Times New Roman"/>
          <w:sz w:val="18"/>
          <w:szCs w:val="18"/>
          <w:color w:val="auto"/>
        </w:rPr>
        <w:t>” has the meaning set forth in the preamble.</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1.178.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1.179. </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26" w:name="page27"/>
    <w:bookmarkEnd w:id="26"/>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Takeda Indemnitees</w:t>
      </w:r>
      <w:r>
        <w:rPr>
          <w:rFonts w:ascii="Times New Roman" w:cs="Times New Roman" w:eastAsia="Times New Roman" w:hAnsi="Times New Roman"/>
          <w:sz w:val="18"/>
          <w:szCs w:val="18"/>
          <w:color w:val="auto"/>
        </w:rPr>
        <w:t>” has the meaning set forth in Section 12‎.2.</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Takeda Notice Date</w:t>
      </w:r>
      <w:r>
        <w:rPr>
          <w:rFonts w:ascii="Times New Roman" w:cs="Times New Roman" w:eastAsia="Times New Roman" w:hAnsi="Times New Roman"/>
          <w:sz w:val="18"/>
          <w:szCs w:val="18"/>
          <w:color w:val="auto"/>
        </w:rPr>
        <w:t>” has the meaning set forth in Section 13‎.6.</w:t>
      </w:r>
    </w:p>
    <w:p>
      <w:pPr>
        <w:spacing w:after="0" w:line="165" w:lineRule="exact"/>
        <w:rPr>
          <w:sz w:val="20"/>
          <w:szCs w:val="20"/>
          <w:color w:val="auto"/>
        </w:rPr>
      </w:pPr>
    </w:p>
    <w:p>
      <w:pPr>
        <w:jc w:val="both"/>
        <w:ind w:left="200" w:right="21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1.182.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form of tax or taxation, levy, duty, charge, social security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or withholding of whatever nature (including any related fine, penalty, surcharge or interest) imposed by, or payable to, any Governmental Authority.</w:t>
      </w:r>
    </w:p>
    <w:p>
      <w:pPr>
        <w:spacing w:after="0" w:line="1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Technology Transfer Plan</w:t>
      </w:r>
      <w:r>
        <w:rPr>
          <w:rFonts w:ascii="Times New Roman" w:cs="Times New Roman" w:eastAsia="Times New Roman" w:hAnsi="Times New Roman"/>
          <w:sz w:val="18"/>
          <w:szCs w:val="18"/>
          <w:color w:val="auto"/>
        </w:rPr>
        <w:t>” has the meaning set forth in Section 4‎.5.</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13‎.1.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set forth in Section 13‎.2.1.</w:t>
      </w:r>
    </w:p>
    <w:p>
      <w:pPr>
        <w:spacing w:after="0" w:line="165"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1.186.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the entire world (except for any country that has been terminated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13‎.2.2, subject to Section 13‎.5.2).</w:t>
      </w:r>
    </w:p>
    <w:p>
      <w:pPr>
        <w:spacing w:after="0" w:line="1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ACI, Takeda and their respective Affiliates.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Claims</w:t>
      </w:r>
      <w:r>
        <w:rPr>
          <w:rFonts w:ascii="Times New Roman" w:cs="Times New Roman" w:eastAsia="Times New Roman" w:hAnsi="Times New Roman"/>
          <w:sz w:val="18"/>
          <w:szCs w:val="18"/>
          <w:color w:val="auto"/>
        </w:rPr>
        <w:t>” has the meaning set forth in Section 12‎.1.</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1.189.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Infringement Claim</w:t>
      </w:r>
      <w:r>
        <w:rPr>
          <w:rFonts w:ascii="Times New Roman" w:cs="Times New Roman" w:eastAsia="Times New Roman" w:hAnsi="Times New Roman"/>
          <w:sz w:val="18"/>
          <w:szCs w:val="18"/>
          <w:color w:val="auto"/>
        </w:rPr>
        <w:t>” has the meaning set forth in Section 9‎.6.</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1.190.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Payments</w:t>
      </w:r>
      <w:r>
        <w:rPr>
          <w:rFonts w:ascii="Times New Roman" w:cs="Times New Roman" w:eastAsia="Times New Roman" w:hAnsi="Times New Roman"/>
          <w:sz w:val="18"/>
          <w:szCs w:val="18"/>
          <w:color w:val="auto"/>
        </w:rPr>
        <w:t>” has the meaning set forth in Section 8‎.6.</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1.191. “Third Party Right</w:t>
      </w:r>
      <w:r>
        <w:rPr>
          <w:rFonts w:ascii="Times New Roman" w:cs="Times New Roman" w:eastAsia="Times New Roman" w:hAnsi="Times New Roman"/>
          <w:sz w:val="18"/>
          <w:szCs w:val="18"/>
          <w:color w:val="auto"/>
        </w:rPr>
        <w:t>” has the meaning set forth in Section 9‎.7.1.</w:t>
      </w:r>
    </w:p>
    <w:p>
      <w:pPr>
        <w:spacing w:after="0" w:line="165"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1.192.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means any word, name, symbol, color, shape, designation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including any trademark, service mark, trade name, brand name, sub-brand name, trade dress, product configuration, program name, delivery form name, certification mark, collective mark, logo, tagline, slogan, design, business symbol, domain name, URL, social media tag or handle,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46"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1.193.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and its territories and possessions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District of Columbia and Puerto Rico).</w:t>
      </w:r>
    </w:p>
    <w:p>
      <w:pPr>
        <w:spacing w:after="0" w:line="129"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1.194.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 Opt-In</w:t>
      </w:r>
      <w:r>
        <w:rPr>
          <w:rFonts w:ascii="Times New Roman" w:cs="Times New Roman" w:eastAsia="Times New Roman" w:hAnsi="Times New Roman"/>
          <w:sz w:val="18"/>
          <w:szCs w:val="18"/>
          <w:color w:val="auto"/>
        </w:rPr>
        <w:t>” means, with respect to a Patent that has previously been opted out of the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competence of the Unified Patent Court pursuant to Article 83(3) of the Agreement on a Unified Patent Court ((2013/C 175/01), 20.6.2013, OJEU 175/1), withdrawing the UPC Opt-Out of such Patent pursuant to Article 83(4) of the Agreement on a Unified Patent Court.</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7" w:name="page28"/>
    <w:bookmarkEnd w:id="27"/>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 Opt-Out</w:t>
      </w:r>
      <w:r>
        <w:rPr>
          <w:rFonts w:ascii="Times New Roman" w:cs="Times New Roman" w:eastAsia="Times New Roman" w:hAnsi="Times New Roman"/>
          <w:sz w:val="18"/>
          <w:szCs w:val="18"/>
          <w:color w:val="auto"/>
        </w:rPr>
        <w:t>” means, with respect to a Patent, opting such Patent out of the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competence of the Unified Patent Court pursuant to Article 83(3) of the Agreement on a Unified Patent Court ((2013/C 175/01), 20.6.2013, OJEU 175/1).</w:t>
      </w:r>
    </w:p>
    <w:p>
      <w:pPr>
        <w:spacing w:after="0" w:line="143" w:lineRule="exact"/>
        <w:rPr>
          <w:sz w:val="20"/>
          <w:szCs w:val="20"/>
          <w:color w:val="auto"/>
        </w:rPr>
      </w:pPr>
    </w:p>
    <w:p>
      <w:pPr>
        <w:jc w:val="both"/>
        <w:ind w:left="200" w:right="199" w:firstLine="1051"/>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1.196.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claim of any (a) United States or foreign pending patent application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in the country in question, been finally cancelled, finally rejected, withdrawn, expired or abandoned, without the opportunity for appeal or (b) issued and unexpired Patent, where the claim (i) has not been subject to irretrievable lapse, abandonment, permanent revocation, dedication to the public or disclaimer, (ii) is neither admitted to be invalid or unenforceable through reissue nor subject to ongoing reissue proceedings and (iii) has not been held permanently revoked, invalid or unenforceable by a holding, finding or decision of a court, national or regional patent office or other Governmental Authority that has competent jurisdiction, such holding, finding or decision being final and unappealable or unappealed within the time allowed for appeal;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Valid Claim shall exclude any such pending claim that has not been granted within [***] following the earliest priority filing date for such application.</w:t>
      </w:r>
    </w:p>
    <w:p>
      <w:pPr>
        <w:spacing w:after="0" w:line="14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1.197.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has the meaning set forth in the definition of “Change of Control”.</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1.198.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Tax Action</w:t>
      </w:r>
      <w:r>
        <w:rPr>
          <w:rFonts w:ascii="Times New Roman" w:cs="Times New Roman" w:eastAsia="Times New Roman" w:hAnsi="Times New Roman"/>
          <w:sz w:val="18"/>
          <w:szCs w:val="18"/>
          <w:color w:val="auto"/>
        </w:rPr>
        <w:t>” has the meaning set forth in Section 8‎.10.</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1.199.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has the meaning set forth in Section 8‎.10.</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 xml:space="preserve">1.200.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Group</w:t>
      </w:r>
      <w:r>
        <w:rPr>
          <w:rFonts w:ascii="Times New Roman" w:cs="Times New Roman" w:eastAsia="Times New Roman" w:hAnsi="Times New Roman"/>
          <w:sz w:val="18"/>
          <w:szCs w:val="18"/>
          <w:color w:val="auto"/>
        </w:rPr>
        <w:t>” has the meaning set forth in Section 2‎.3.1.</w:t>
      </w:r>
    </w:p>
    <w:p>
      <w:pPr>
        <w:spacing w:after="0" w:line="16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DEVELOPMENT TEAM</w:t>
      </w:r>
    </w:p>
    <w:p>
      <w:pPr>
        <w:spacing w:after="0" w:line="143"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2.1. Joint Development Team. </w:t>
      </w:r>
      <w:r>
        <w:rPr>
          <w:rFonts w:ascii="Times New Roman" w:cs="Times New Roman" w:eastAsia="Times New Roman" w:hAnsi="Times New Roman"/>
          <w:sz w:val="18"/>
          <w:szCs w:val="18"/>
          <w:color w:val="auto"/>
        </w:rPr>
        <w:t>Within [***] after the Effective Date, the Parties shall establish a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(the “</w:t>
      </w:r>
      <w:r>
        <w:rPr>
          <w:rFonts w:ascii="Times New Roman" w:cs="Times New Roman" w:eastAsia="Times New Roman" w:hAnsi="Times New Roman"/>
          <w:sz w:val="18"/>
          <w:szCs w:val="18"/>
          <w:b w:val="1"/>
          <w:bCs w:val="1"/>
          <w:color w:val="auto"/>
        </w:rPr>
        <w:t>Joint Development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JDT</w:t>
      </w:r>
      <w:r>
        <w:rPr>
          <w:rFonts w:ascii="Times New Roman" w:cs="Times New Roman" w:eastAsia="Times New Roman" w:hAnsi="Times New Roman"/>
          <w:sz w:val="18"/>
          <w:szCs w:val="18"/>
          <w:color w:val="auto"/>
        </w:rPr>
        <w:t xml:space="preserve">”), which shall consist of [***] representatives from each of the Parties, each with the requisite experience and seniority to enable such representative to make decisions on behalf of the Parties with respect to the issues falling within the jurisdiction of the JDT. From time to time, each Party may substitute one (1) or more of its representatives to the JDT on written notice to the other Party. [***] The JDT shall have the overall responsibility for the oversight and coordination of Development activities (including any CMC Development activities)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clarity, such responsibility shall not extend to oversight or coordination of Takeda’s Development activities from and after the disbandment of the JDT.</w:t>
      </w:r>
    </w:p>
    <w:p>
      <w:pPr>
        <w:spacing w:after="0" w:line="144"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2.2. Specific Responsibilities. </w:t>
      </w:r>
      <w:r>
        <w:rPr>
          <w:rFonts w:ascii="Times New Roman" w:cs="Times New Roman" w:eastAsia="Times New Roman" w:hAnsi="Times New Roman"/>
          <w:sz w:val="18"/>
          <w:szCs w:val="18"/>
          <w:color w:val="auto"/>
        </w:rPr>
        <w:t>In addition to its overall responsibility for overseeing and coordinating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activities under this Agreement as set forth in Section 2‎.1 and subject to the final decision-making authority of the Parties as set forth in Section 2‎.6, the JDT shall:</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2.2.1.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2.2.2.  </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8" w:name="page29"/>
    <w:bookmarkEnd w:id="28"/>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2.2.3.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2.2.4.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2.2.5.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2.2.6.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2.2.7.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2.2.8.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2.2.9.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2.2.10.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2.2.11.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200" w:right="199" w:firstLine="157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2.2.12. </w:t>
      </w:r>
      <w:r>
        <w:rPr>
          <w:rFonts w:ascii="Times New Roman" w:cs="Times New Roman" w:eastAsia="Times New Roman" w:hAnsi="Times New Roman"/>
          <w:sz w:val="18"/>
          <w:szCs w:val="18"/>
          <w:color w:val="auto"/>
        </w:rPr>
        <w:t>perform such other functions as are set forth herein, if and as applicable, or as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mutually agree in writing.</w:t>
      </w:r>
    </w:p>
    <w:p>
      <w:pPr>
        <w:spacing w:after="0" w:line="129"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Working Groups.</w:t>
      </w:r>
    </w:p>
    <w:p>
      <w:pPr>
        <w:spacing w:after="0" w:line="165" w:lineRule="exact"/>
        <w:rPr>
          <w:sz w:val="20"/>
          <w:szCs w:val="20"/>
          <w:color w:val="auto"/>
        </w:rPr>
      </w:pPr>
    </w:p>
    <w:p>
      <w:pPr>
        <w:jc w:val="both"/>
        <w:ind w:left="200" w:right="199" w:firstLine="1576"/>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2.3.1. Working Groups Generally. </w:t>
      </w:r>
      <w:r>
        <w:rPr>
          <w:rFonts w:ascii="Times New Roman" w:cs="Times New Roman" w:eastAsia="Times New Roman" w:hAnsi="Times New Roman"/>
          <w:sz w:val="18"/>
          <w:szCs w:val="18"/>
          <w:color w:val="auto"/>
        </w:rPr>
        <w:t>From time to time, the JDT may establish and delegate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other committees or directed teams (each, a “</w:t>
      </w:r>
      <w:r>
        <w:rPr>
          <w:rFonts w:ascii="Times New Roman" w:cs="Times New Roman" w:eastAsia="Times New Roman" w:hAnsi="Times New Roman"/>
          <w:sz w:val="18"/>
          <w:szCs w:val="18"/>
          <w:b w:val="1"/>
          <w:bCs w:val="1"/>
          <w:color w:val="auto"/>
        </w:rPr>
        <w:t>Working Group</w:t>
      </w:r>
      <w:r>
        <w:rPr>
          <w:rFonts w:ascii="Times New Roman" w:cs="Times New Roman" w:eastAsia="Times New Roman" w:hAnsi="Times New Roman"/>
          <w:sz w:val="18"/>
          <w:szCs w:val="18"/>
          <w:color w:val="auto"/>
        </w:rPr>
        <w:t xml:space="preserve">”) on an “as-needed” basis to oversee particular projects or activities. Each such Working Group shall be constituted and shall operate as the JDT determines;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unless otherwise agreed by the Parties in writing, each Working Group shall have [***] with each representative having the requisite experience and seniority, and each Party may substitute one (1) or more of its representatives on each such Working Group upon written notice to the other Party, (b) unless otherwise determined by the JDT, Working Groups shall not have any decision-making authority and shall solely be responsible for coordination and information-sharing (but, for clarity, the CMC Working Group and the CRWG shall have the authority over day-to-day implementation of the CMC Development Plan and the Development Plan, respectively, and without limiting Section 2‎.6.2, ACI shall have authority over its day-to-day implementation of the Development Plan, and each Party shall have authority over its day-to-day implementation of its respective activities in the CMC Development Plan), (c) any dispute between the representatives of each Party on a Working Group shall be referred to the JDT for resolution in accordance with Section 2‎.6 and other terms and conditions of this Agreement and (d) the JDT shall have the discretion to disband any Working Groups. Working Groups may be established on an ad hoc basis for purposes of a specific project, for the term of the JDT or on such other basis as the JDT may determine. Alliance Managers or other employees or consultants of a Party who are not representatives of the Parties on a Working Group may attend meetings of such Working Group (other than the CMC Working Group, the meetings of which shall be limited to the members of the CMC Working Group unless otherwise agreed by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attendees are bound by obligations of confidentiality and non-disclosure at least as protective of the other Party as those set forth in Article 10‎. Each Working Group and its activities shall be subject to oversight, review and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29" w:name="page30"/>
    <w:bookmarkEnd w:id="29"/>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approval of the JDT. In no event shall the authority of any Working Group exceed that specified for the JDT in this Article ‎2.</w:t>
      </w:r>
    </w:p>
    <w:p>
      <w:pPr>
        <w:spacing w:after="0" w:line="132" w:lineRule="exact"/>
        <w:rPr>
          <w:sz w:val="20"/>
          <w:szCs w:val="20"/>
          <w:color w:val="auto"/>
        </w:rPr>
      </w:pPr>
    </w:p>
    <w:p>
      <w:pPr>
        <w:jc w:val="both"/>
        <w:ind w:left="200" w:right="199" w:firstLine="157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2.3.2. CMC Working Group. </w:t>
      </w:r>
      <w:r>
        <w:rPr>
          <w:rFonts w:ascii="Times New Roman" w:cs="Times New Roman" w:eastAsia="Times New Roman" w:hAnsi="Times New Roman"/>
          <w:sz w:val="16"/>
          <w:szCs w:val="16"/>
          <w:color w:val="auto"/>
        </w:rPr>
        <w:t>Without limiting Section 2‎.3.1, within [***] after its formation,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JDT shall establish a CMC working group (the “</w:t>
      </w:r>
      <w:r>
        <w:rPr>
          <w:rFonts w:ascii="Times New Roman" w:cs="Times New Roman" w:eastAsia="Times New Roman" w:hAnsi="Times New Roman"/>
          <w:sz w:val="16"/>
          <w:szCs w:val="16"/>
          <w:b w:val="1"/>
          <w:bCs w:val="1"/>
          <w:color w:val="auto"/>
        </w:rPr>
        <w:t>CMC Working Group</w:t>
      </w:r>
      <w:r>
        <w:rPr>
          <w:rFonts w:ascii="Times New Roman" w:cs="Times New Roman" w:eastAsia="Times New Roman" w:hAnsi="Times New Roman"/>
          <w:sz w:val="16"/>
          <w:szCs w:val="16"/>
          <w:color w:val="auto"/>
        </w:rPr>
        <w:t xml:space="preserve">”) to coordinate the CMC Development and Manufacturing activities performed by or on behalf of the Parties in accordance with this Agreement. The CMC Working Group shall meet at least [***] or as otherwise determined by the JDT;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CMC Working Group, in its reasonable discretion, may decide to cancel or reschedule meetings. The CMC Working Group may meet in person, by videoconference or by teleconference as determined by the JDT. Subject to Section 2‎.3.1 and Section 3‎.3, the CMC Working Group shall (a) serve as a forum for discussing and coordinating the CMC Development and Manufacturing activities, including with respect to [***] (b) encourage and facilitate ongoing communication and cooperation between the Parties with respect to the CMC Development and Manufacturing activities and the progress thereof; (c) seek to resolve any issues or delays with respect to the development of the Phase 3 Process and the Commercial Process; (d) periodically discuss the Parties’ respective supply chains, plans and process development activities and coordinate to identify any efficiencies with respect thereto; and (e) perform such other functions as determined by the JDT.</w:t>
      </w:r>
    </w:p>
    <w:p>
      <w:pPr>
        <w:spacing w:after="0" w:line="330" w:lineRule="exact"/>
        <w:rPr>
          <w:sz w:val="20"/>
          <w:szCs w:val="20"/>
          <w:color w:val="auto"/>
        </w:rPr>
      </w:pPr>
    </w:p>
    <w:p>
      <w:pPr>
        <w:jc w:val="both"/>
        <w:ind w:left="200" w:right="199" w:firstLine="1576"/>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2.3.3. Clinical and Regulatory Working Group. </w:t>
      </w:r>
      <w:r>
        <w:rPr>
          <w:rFonts w:ascii="Times New Roman" w:cs="Times New Roman" w:eastAsia="Times New Roman" w:hAnsi="Times New Roman"/>
          <w:sz w:val="16"/>
          <w:szCs w:val="16"/>
          <w:color w:val="auto"/>
        </w:rPr>
        <w:t>Without limiting Section 2‎.3.1, within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after its formation, the JDT shall establish a clinical and regulatory working group (the “</w:t>
      </w:r>
      <w:r>
        <w:rPr>
          <w:rFonts w:ascii="Times New Roman" w:cs="Times New Roman" w:eastAsia="Times New Roman" w:hAnsi="Times New Roman"/>
          <w:sz w:val="16"/>
          <w:szCs w:val="16"/>
          <w:b w:val="1"/>
          <w:bCs w:val="1"/>
          <w:color w:val="auto"/>
        </w:rPr>
        <w:t>Clinical and Regulatory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Working Group</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CRWG</w:t>
      </w:r>
      <w:r>
        <w:rPr>
          <w:rFonts w:ascii="Times New Roman" w:cs="Times New Roman" w:eastAsia="Times New Roman" w:hAnsi="Times New Roman"/>
          <w:sz w:val="16"/>
          <w:szCs w:val="16"/>
          <w:color w:val="auto"/>
        </w:rPr>
        <w:t>”) to develop and oversee the overall clinical and regulatory strategy for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Compounds and Licensed Products. The CRWG shall meet at least [***] or as otherwise determined by the JDT;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CRWG, in its reasonable discretion, may decide to cancel or reschedule meetings. The CRWG may meet in person, by videoconference or by teleconference as determined by the JDT. Subject to Section 2‎.3.1, the CRWG shall (a) serve as a forum for discussing and overseeing the clinical and regulatory activities of the Parties with respect to Licensed Compounds and Licensed Products; (b) encourage and facilitate ongoing communication and cooperation between the Parties with respect any Regulatory Documentation; and (c) perform such other functions as determined by the JDT.</w:t>
      </w:r>
    </w:p>
    <w:p>
      <w:pPr>
        <w:spacing w:after="0" w:line="127" w:lineRule="exact"/>
        <w:rPr>
          <w:sz w:val="20"/>
          <w:szCs w:val="20"/>
          <w:color w:val="auto"/>
        </w:rPr>
      </w:pPr>
    </w:p>
    <w:p>
      <w:pPr>
        <w:jc w:val="both"/>
        <w:ind w:left="200" w:right="199" w:firstLine="1051"/>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2.4. Meetings and Minutes. </w:t>
      </w:r>
      <w:r>
        <w:rPr>
          <w:rFonts w:ascii="Times New Roman" w:cs="Times New Roman" w:eastAsia="Times New Roman" w:hAnsi="Times New Roman"/>
          <w:sz w:val="16"/>
          <w:szCs w:val="16"/>
          <w:color w:val="auto"/>
        </w:rPr>
        <w:t>The JDT shall meet at least [***] or as otherwise agreed to by the Parties.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JDT may meet in person, by videoconference, by teleconference or similar means in which each participant can hear what is said by and be heard by the other participants as mutually agreed by the Parties;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meetings shall be in-person at least [***] unless otherwise agreed by the Parties. In-person meetings shall be held at locations alternating between locations designated by ACI and locations designated by Takeda, with Takeda designating the place of the first in-person meeting. The chairperson of the JDT shall be responsible for calling meetings on no less than [***] notice unless exigent circumstances require shorter notice. Each Party shall make all proposals for agenda items at least [***] in advance of the applicable meeting and shall provide all appropriate information with respect to such proposed items at least [***] in advance of the applicable meeting</w:t>
      </w:r>
      <w:r>
        <w:rPr>
          <w:rFonts w:ascii="Times New Roman" w:cs="Times New Roman" w:eastAsia="Times New Roman" w:hAnsi="Times New Roman"/>
          <w:sz w:val="16"/>
          <w:szCs w:val="16"/>
          <w:i w:val="1"/>
          <w:iCs w:val="1"/>
          <w:color w:val="auto"/>
        </w:rPr>
        <w:t>; provided</w:t>
      </w:r>
      <w:r>
        <w:rPr>
          <w:rFonts w:ascii="Times New Roman" w:cs="Times New Roman" w:eastAsia="Times New Roman" w:hAnsi="Times New Roman"/>
          <w:sz w:val="16"/>
          <w:szCs w:val="16"/>
          <w:color w:val="auto"/>
        </w:rPr>
        <w:t xml:space="preserve"> that under exigent circumstances requiring input by the JDT,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(which consent shall not be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30" w:name="page31"/>
    <w:bookmarkEnd w:id="30"/>
    <w:p>
      <w:pPr>
        <w:jc w:val="both"/>
        <w:ind w:left="200" w:right="199"/>
        <w:spacing w:after="0" w:line="235" w:lineRule="auto"/>
        <w:rPr>
          <w:sz w:val="20"/>
          <w:szCs w:val="20"/>
          <w:color w:val="auto"/>
        </w:rPr>
      </w:pPr>
      <w:r>
        <w:rPr>
          <w:rFonts w:ascii="Times New Roman" w:cs="Times New Roman" w:eastAsia="Times New Roman" w:hAnsi="Times New Roman"/>
          <w:sz w:val="18"/>
          <w:szCs w:val="18"/>
          <w:color w:val="auto"/>
        </w:rPr>
        <w:t>unreasonably withheld, conditioned or delayed). The chairperson of the JDT (or his or her designee) shall prepare and circulate for review and approval of the Parties minutes of each meeting within [***] after the meeting. The Parties shall agree on the minutes of each meeting promptly, but in any event no later than the next meeting of the JDT, and such agreed minutes shall be converted to a finalized PDF version (which version shall constitute the official minutes for the applicable meeting).</w:t>
      </w:r>
    </w:p>
    <w:p>
      <w:pPr>
        <w:spacing w:after="0" w:line="145"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2.5. Procedural Rules. </w:t>
      </w:r>
      <w:r>
        <w:rPr>
          <w:rFonts w:ascii="Times New Roman" w:cs="Times New Roman" w:eastAsia="Times New Roman" w:hAnsi="Times New Roman"/>
          <w:sz w:val="18"/>
          <w:szCs w:val="18"/>
          <w:color w:val="auto"/>
        </w:rPr>
        <w:t>The JDT shall have the right to adopt such standing rules as shall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its work, to the extent that such rules are not inconsistent with this Agreement. A quorum of the JDT shall exist whenever there is present at a meeting at least one (1) representative appointed by each Party. Representation by proxy shall be allowed. Alliance Managers or other employees or consultants of a Party who are not representatives of the Parties on the JDT may attend meetings of the JDT;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attendees (a) shall not vote or otherwise participate in the decision-making process of the JDT and (b) are bound by obligations of confidentiality and non-disclosure at least as protective of the other Party as those set forth in Article 10‎.</w:t>
      </w:r>
    </w:p>
    <w:p>
      <w:pPr>
        <w:spacing w:after="0" w:line="147"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6"/>
          <w:szCs w:val="16"/>
          <w:b w:val="1"/>
          <w:bCs w:val="1"/>
          <w:color w:val="auto"/>
        </w:rPr>
        <w:t>Decision-Making.</w:t>
      </w:r>
    </w:p>
    <w:p>
      <w:pPr>
        <w:spacing w:after="0" w:line="165"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2.6.1. Generally. </w:t>
      </w:r>
      <w:r>
        <w:rPr>
          <w:rFonts w:ascii="Times New Roman" w:cs="Times New Roman" w:eastAsia="Times New Roman" w:hAnsi="Times New Roman"/>
          <w:sz w:val="18"/>
          <w:szCs w:val="18"/>
          <w:color w:val="auto"/>
        </w:rPr>
        <w:t>[***] The JDT shall review and discuss the matters before it in good faith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perspectives of each Party’s representatives on the JDT are given due consideration. Any decision made by the Executive Officers in accordance with Section 2‎.6.2(a) or by a Party in accordance with Section 2‎.6.2(b) shall be considered a decision made by the JDT.</w:t>
      </w:r>
    </w:p>
    <w:p>
      <w:pPr>
        <w:spacing w:after="0" w:line="1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2.6.2.  Resolution of JDT Matters.</w:t>
      </w:r>
    </w:p>
    <w:p>
      <w:pPr>
        <w:spacing w:after="0" w:line="165" w:lineRule="exact"/>
        <w:rPr>
          <w:sz w:val="20"/>
          <w:szCs w:val="20"/>
          <w:color w:val="auto"/>
        </w:rPr>
      </w:pPr>
    </w:p>
    <w:p>
      <w:pPr>
        <w:jc w:val="both"/>
        <w:ind w:left="200" w:right="199" w:firstLine="2095"/>
        <w:spacing w:after="0" w:line="236" w:lineRule="auto"/>
        <w:tabs>
          <w:tab w:leader="none" w:pos="28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Officers. </w:t>
      </w:r>
      <w:r>
        <w:rPr>
          <w:rFonts w:ascii="Times New Roman" w:cs="Times New Roman" w:eastAsia="Times New Roman" w:hAnsi="Times New Roman"/>
          <w:sz w:val="18"/>
          <w:szCs w:val="18"/>
          <w:color w:val="auto"/>
        </w:rPr>
        <w:t>In the event that the JDT cannot reach a unanimous vote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 issue within its jurisdiction and authority within [***] after such issue is first presented to the JDT for consideration, the JDT shall refer such dispute to the Executive Officers, who shall confer in good faith on resolution of such dispute for a period of [***] Any final decision mutually agreed to by such Executive Officers shall be conclusive and binding on the Parties.</w:t>
      </w:r>
    </w:p>
    <w:p>
      <w:pPr>
        <w:spacing w:after="0" w:line="142" w:lineRule="exact"/>
        <w:rPr>
          <w:rFonts w:ascii="Times New Roman" w:cs="Times New Roman" w:eastAsia="Times New Roman" w:hAnsi="Times New Roman"/>
          <w:sz w:val="18"/>
          <w:szCs w:val="18"/>
          <w:color w:val="auto"/>
        </w:rPr>
      </w:pPr>
    </w:p>
    <w:p>
      <w:pPr>
        <w:jc w:val="both"/>
        <w:ind w:left="200" w:right="199" w:firstLine="2095"/>
        <w:spacing w:after="0" w:line="241" w:lineRule="auto"/>
        <w:tabs>
          <w:tab w:leader="none" w:pos="282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Unresolved Matters. </w:t>
      </w:r>
      <w:r>
        <w:rPr>
          <w:rFonts w:ascii="Times New Roman" w:cs="Times New Roman" w:eastAsia="Times New Roman" w:hAnsi="Times New Roman"/>
          <w:sz w:val="18"/>
          <w:szCs w:val="18"/>
          <w:color w:val="auto"/>
        </w:rPr>
        <w:t>If any such issue has not been resolved by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2‎.6.2(a) in such [***] period (or such longer period as the Executive Officers may agree) despite good faith negotiations, then:</w:t>
      </w:r>
    </w:p>
    <w:p>
      <w:pPr>
        <w:spacing w:after="0" w:line="144" w:lineRule="exact"/>
        <w:rPr>
          <w:rFonts w:ascii="Times New Roman" w:cs="Times New Roman" w:eastAsia="Times New Roman" w:hAnsi="Times New Roman"/>
          <w:sz w:val="18"/>
          <w:szCs w:val="18"/>
          <w:color w:val="auto"/>
        </w:rPr>
      </w:pPr>
    </w:p>
    <w:p>
      <w:pPr>
        <w:ind w:left="3340" w:hanging="520"/>
        <w:spacing w:after="0"/>
        <w:tabs>
          <w:tab w:leader="none" w:pos="3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3340" w:hanging="520"/>
        <w:spacing w:after="0"/>
        <w:tabs>
          <w:tab w:leader="none" w:pos="3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200" w:right="21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((i) and (ii)), neither Party shall exercise its final decision-making authority in a manner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likely to cause the other Party to violate Applicable Law.</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31" w:name="page32"/>
    <w:bookmarkEnd w:id="31"/>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In participating in the JDT, and in exercising their rights under this Article 2,‎ all representatives of both Parties shall consider reasonably and in good faith all input received from the other Party.</w:t>
      </w:r>
    </w:p>
    <w:p>
      <w:pPr>
        <w:spacing w:after="0" w:line="132"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2.7. Limitations on Authority. </w:t>
      </w:r>
      <w:r>
        <w:rPr>
          <w:rFonts w:ascii="Times New Roman" w:cs="Times New Roman" w:eastAsia="Times New Roman" w:hAnsi="Times New Roman"/>
          <w:sz w:val="18"/>
          <w:szCs w:val="18"/>
          <w:color w:val="auto"/>
        </w:rPr>
        <w:t>Without limitation to the foregoing, the Parties hereby agree that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explicitly reserved to the consent, approval or other decision-making authority of one or both Parties, as expressly provided in this Agreement, are outside the jurisdiction and authority of the JDT, including (i) amendment, modification or waiver of compliance with this Agreement (which may only be amended or modified as provided in Section 14‎.8 or compliance with which may only be waived as provided in Section 14‎.11) and (ii) such other matters as are reserved to the consent, approval, agreement or other decision-making authority of either or both Parties in this Agreement that are not required by this Agreement to be considered by the JDT prior to the exercise of such consent, approval or other decision-making authority and (b) from and after the Option Effective Date, [***]</w:t>
      </w:r>
    </w:p>
    <w:p>
      <w:pPr>
        <w:spacing w:after="0" w:line="144" w:lineRule="exact"/>
        <w:rPr>
          <w:sz w:val="20"/>
          <w:szCs w:val="20"/>
          <w:color w:val="auto"/>
        </w:rPr>
      </w:pPr>
    </w:p>
    <w:p>
      <w:pPr>
        <w:jc w:val="both"/>
        <w:ind w:left="200" w:right="199" w:firstLine="1051"/>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2.8. Discontinuation; Disbandment. </w:t>
      </w:r>
      <w:r>
        <w:rPr>
          <w:rFonts w:ascii="Times New Roman" w:cs="Times New Roman" w:eastAsia="Times New Roman" w:hAnsi="Times New Roman"/>
          <w:sz w:val="16"/>
          <w:szCs w:val="16"/>
          <w:color w:val="auto"/>
        </w:rPr>
        <w:t>The JDT and any Working Groups shall continue to exist until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first to occur of (a) the Parties mutually agreeing in writing to disband the JDT or any such Working Group, as applicable,</w:t>
      </w:r>
    </w:p>
    <w:p>
      <w:pPr>
        <w:spacing w:after="0" w:line="1" w:lineRule="exact"/>
        <w:rPr>
          <w:sz w:val="20"/>
          <w:szCs w:val="20"/>
          <w:color w:val="auto"/>
        </w:rPr>
      </w:pPr>
    </w:p>
    <w:p>
      <w:pPr>
        <w:jc w:val="both"/>
        <w:ind w:left="200" w:right="199" w:hanging="7"/>
        <w:spacing w:after="0" w:line="261" w:lineRule="auto"/>
        <w:tabs>
          <w:tab w:leader="none" w:pos="46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and (c) either Party exercising its right to disband the JDT and Working Groups in the event of a Change of Control as set forth in Section 5‎.5.2(e), as applicable. Upon the occurrence of any of the foregoing, (i) the JDT and each Working Group shall disband, have no further responsibilities or authority under this Agreement and shall be considered dissolved by the Parties; (ii) any requirement of a Party to provide Information or other materials to the JDT or a Working Group shall be deemed a requirement to provide such Information or other materials to the other Party; (iii) prior to the Option Effective Date, decision-making authority over all matters that are subject to review or approval by the JDT hereunder shall be made in accordance with Section 2‎.6,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and (iv) following the Option Effective Date, Takeda shall have the right to solely decide all matters that are subject to review or approval by the JDT hereunder.</w:t>
      </w:r>
    </w:p>
    <w:p>
      <w:pPr>
        <w:spacing w:after="0" w:line="128"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2.9. Alliance Managers. </w:t>
      </w:r>
      <w:r>
        <w:rPr>
          <w:rFonts w:ascii="Times New Roman" w:cs="Times New Roman" w:eastAsia="Times New Roman" w:hAnsi="Times New Roman"/>
          <w:sz w:val="18"/>
          <w:szCs w:val="18"/>
          <w:color w:val="auto"/>
        </w:rPr>
        <w:t>Each Party shall appoint one (1) of its employees to act as alliance 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such Party under this Agreement (each, an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which Alliance Manager may be replaced at any time by notice in writing to the other Party. The Alliance Managers shall work together to manage and facilitate the communication between the Parties under this Agreement, including the resolution (in accordance with the terms of this Agreement) of issues between the Parties that arise in connection with this Agreement and other responsibilities as the Parties may agree in writing. The Alliance Managers shall not have final decision-making authority with respect to any matter under this Agreement.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INITIAL DEVELOPMENT</w:t>
      </w:r>
    </w:p>
    <w:p>
      <w:pPr>
        <w:spacing w:after="0" w:line="143"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3.1. Development Plan and CMC Development Plan. </w:t>
      </w:r>
      <w:r>
        <w:rPr>
          <w:rFonts w:ascii="Times New Roman" w:cs="Times New Roman" w:eastAsia="Times New Roman" w:hAnsi="Times New Roman"/>
          <w:sz w:val="18"/>
          <w:szCs w:val="18"/>
          <w:color w:val="auto"/>
        </w:rPr>
        <w:t>Attached hereto as</w:t>
      </w:r>
      <w:r>
        <w:rPr>
          <w:rFonts w:ascii="Times New Roman" w:cs="Times New Roman" w:eastAsia="Times New Roman" w:hAnsi="Times New Roman"/>
          <w:sz w:val="18"/>
          <w:szCs w:val="18"/>
          <w:b w:val="1"/>
          <w:bCs w:val="1"/>
          <w:color w:val="auto"/>
        </w:rPr>
        <w:t xml:space="preserve"> Schedule 1‎.68 </w:t>
      </w:r>
      <w:r>
        <w:rPr>
          <w:rFonts w:ascii="Times New Roman" w:cs="Times New Roman" w:eastAsia="Times New Roman" w:hAnsi="Times New Roman"/>
          <w:sz w:val="18"/>
          <w:szCs w:val="18"/>
          <w:color w:val="auto"/>
        </w:rPr>
        <w:t>is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Plan (including the initial Development Budget) and attached hereto as </w:t>
      </w:r>
      <w:r>
        <w:rPr>
          <w:rFonts w:ascii="Times New Roman" w:cs="Times New Roman" w:eastAsia="Times New Roman" w:hAnsi="Times New Roman"/>
          <w:sz w:val="18"/>
          <w:szCs w:val="18"/>
          <w:b w:val="1"/>
          <w:bCs w:val="1"/>
          <w:color w:val="auto"/>
        </w:rPr>
        <w:t>Schedule 1‎.39</w:t>
      </w:r>
      <w:r>
        <w:rPr>
          <w:rFonts w:ascii="Times New Roman" w:cs="Times New Roman" w:eastAsia="Times New Roman" w:hAnsi="Times New Roman"/>
          <w:sz w:val="18"/>
          <w:szCs w:val="18"/>
          <w:color w:val="auto"/>
        </w:rPr>
        <w:t xml:space="preserve"> is the initial CMC Development Plan. [***] For clarity, the Development Plan shall not include any Development activities to be performed by or on behalf of Takeda from and after the Option Effective Date, and no plan or budget in respect of Takeda’s Development activities shall be subject to the JDT’s approval or decision-making [***]</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32" w:name="page33"/>
    <w:bookmarkEnd w:id="32"/>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6"/>
          <w:szCs w:val="16"/>
          <w:b w:val="1"/>
          <w:bCs w:val="1"/>
          <w:color w:val="auto"/>
        </w:rPr>
        <w:t>ACI Performance; Costs.</w:t>
      </w:r>
    </w:p>
    <w:p>
      <w:pPr>
        <w:spacing w:after="0" w:line="165"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3.2.1. </w:t>
      </w:r>
      <w:r>
        <w:rPr>
          <w:rFonts w:ascii="Times New Roman" w:cs="Times New Roman" w:eastAsia="Times New Roman" w:hAnsi="Times New Roman"/>
          <w:sz w:val="18"/>
          <w:szCs w:val="18"/>
          <w:color w:val="auto"/>
        </w:rPr>
        <w:t>ACI shall perform (or cause to be performed) the Development activities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Plan as set forth therein and shall use Commercially Reasonable Efforts to do so in accordance with the timelines set forth therein. ACI shall perform, or cause to be performed, all Development activities in good scientific manner and in compliance with all Applicable Law and by allocating sufficient time, effort, equipment and skilled personnel to complete such Development activities in accordance with the Development Plan. Except as set forth in Section 7‎.2.4, ACI shall not initiate or perform any Development activity or any CMC Development activity with respect to a Licensed Compound or Licensed Product that is not set forth in the Development Plan or the CMC Development Plan, as applicable.</w:t>
      </w:r>
    </w:p>
    <w:p>
      <w:pPr>
        <w:spacing w:after="0" w:line="144" w:lineRule="exact"/>
        <w:rPr>
          <w:sz w:val="20"/>
          <w:szCs w:val="20"/>
          <w:color w:val="auto"/>
        </w:rPr>
      </w:pPr>
    </w:p>
    <w:p>
      <w:pPr>
        <w:jc w:val="both"/>
        <w:ind w:left="200" w:right="199" w:firstLine="157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3.2.2. </w:t>
      </w:r>
      <w:r>
        <w:rPr>
          <w:rFonts w:ascii="Times New Roman" w:cs="Times New Roman" w:eastAsia="Times New Roman" w:hAnsi="Times New Roman"/>
          <w:sz w:val="18"/>
          <w:szCs w:val="18"/>
          <w:color w:val="auto"/>
        </w:rPr>
        <w:t>Each Party shall bear all costs and expenses incurred by or on behalf of such Party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 Development activities (including CMC Development activities) in the Territory.</w:t>
      </w:r>
    </w:p>
    <w:p>
      <w:pPr>
        <w:spacing w:after="0" w:line="129"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6"/>
          <w:szCs w:val="16"/>
          <w:b w:val="1"/>
          <w:bCs w:val="1"/>
          <w:color w:val="auto"/>
        </w:rPr>
        <w:t>CMC Development.</w:t>
      </w:r>
    </w:p>
    <w:p>
      <w:pPr>
        <w:spacing w:after="0" w:line="165" w:lineRule="exact"/>
        <w:rPr>
          <w:sz w:val="20"/>
          <w:szCs w:val="20"/>
          <w:color w:val="auto"/>
        </w:rPr>
      </w:pPr>
    </w:p>
    <w:p>
      <w:pPr>
        <w:jc w:val="both"/>
        <w:ind w:left="200" w:right="199" w:firstLine="1576"/>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3.3.1. </w:t>
      </w:r>
      <w:r>
        <w:rPr>
          <w:rFonts w:ascii="Times New Roman" w:cs="Times New Roman" w:eastAsia="Times New Roman" w:hAnsi="Times New Roman"/>
          <w:sz w:val="18"/>
          <w:szCs w:val="18"/>
          <w:color w:val="auto"/>
        </w:rPr>
        <w:t>Without limiting Section 3‎.2.1, ACI shall perform (or cause to be performed) its CMC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activities set forth in the CMC Development Plan as set forth therein and shall use Commercially Reasonable Efforts to do so in accordance with the timelines set forth therein. Any CMC Development activities performed by or on behalf of Takeda shall be performed in accordance with the CMC Development Plan. The Parties shall perform, or cause to be performed, all CMC Development activities in good scientific manner and in compliance with all Applicable Law and, with respect to ACI, by allocating sufficient time, effort, equipment and skilled personnel to complete such CMC Development activities in accordance with the CMC Development Plan. Each Party shall coordinate with the other Party with respect thereto, including that (a) subject to Section 5‎.5.2(e), at each meeting of the CMC Working Group, each Party shall share with the CMC Working Group the results of any CMC Development activities it has performed, or caused to be performed, since the preceding CMC Working Group meeting and (b) the CMC Working Group shall seek to resolve any delays, issues or other inefficiencies between the Parties’ respective performance of any CMC Development activities.</w:t>
      </w:r>
    </w:p>
    <w:p>
      <w:pPr>
        <w:spacing w:after="0" w:line="148" w:lineRule="exact"/>
        <w:rPr>
          <w:sz w:val="20"/>
          <w:szCs w:val="20"/>
          <w:color w:val="auto"/>
        </w:rPr>
      </w:pPr>
    </w:p>
    <w:p>
      <w:pPr>
        <w:jc w:val="both"/>
        <w:ind w:left="200" w:right="199" w:firstLine="1576"/>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3.3.2. </w:t>
      </w:r>
      <w:r>
        <w:rPr>
          <w:rFonts w:ascii="Times New Roman" w:cs="Times New Roman" w:eastAsia="Times New Roman" w:hAnsi="Times New Roman"/>
          <w:sz w:val="16"/>
          <w:szCs w:val="16"/>
          <w:color w:val="auto"/>
        </w:rPr>
        <w:t>Without limiting Section 6‎.2 but subject to Section 3‎.3.3, in order to enable Takeda’s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performance of CMC Development activities, ACI shall transfer and make available to Takeda the Licensed Know-How and other materials set forth in the CMC Development Plan (at the times specified therein) or as otherwise agreed by the CMC Working Group and shall provide such support as may be necessary or reasonably useful to Takeda or its designee to use and implement such Licensed Know-How and other materials in the performance of its CMC Development activities.</w:t>
      </w:r>
    </w:p>
    <w:p>
      <w:pPr>
        <w:spacing w:after="0" w:line="12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3.3.3.  </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2820" w:hanging="525"/>
        <w:spacing w:after="0"/>
        <w:tabs>
          <w:tab w:leader="none" w:pos="2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33" w:name="page34"/>
    <w:bookmarkEnd w:id="33"/>
    <w:p>
      <w:pPr>
        <w:jc w:val="both"/>
        <w:ind w:left="200" w:right="199" w:firstLine="1051"/>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3.4. Subcontracting. </w:t>
      </w:r>
      <w:r>
        <w:rPr>
          <w:rFonts w:ascii="Times New Roman" w:cs="Times New Roman" w:eastAsia="Times New Roman" w:hAnsi="Times New Roman"/>
          <w:sz w:val="18"/>
          <w:szCs w:val="18"/>
          <w:color w:val="auto"/>
        </w:rPr>
        <w:t>ACI shall not have the right to subcontract its Development activities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CMC Development activities) to a Third Party without the prior written approval of Takeda (it being understood that any Third Parties listed on </w:t>
      </w:r>
      <w:r>
        <w:rPr>
          <w:rFonts w:ascii="Times New Roman" w:cs="Times New Roman" w:eastAsia="Times New Roman" w:hAnsi="Times New Roman"/>
          <w:sz w:val="18"/>
          <w:szCs w:val="18"/>
          <w:b w:val="1"/>
          <w:bCs w:val="1"/>
          <w:color w:val="auto"/>
        </w:rPr>
        <w:t>Schedule 3‎.4</w:t>
      </w:r>
      <w:r>
        <w:rPr>
          <w:rFonts w:ascii="Times New Roman" w:cs="Times New Roman" w:eastAsia="Times New Roman" w:hAnsi="Times New Roman"/>
          <w:sz w:val="18"/>
          <w:szCs w:val="18"/>
          <w:color w:val="auto"/>
        </w:rPr>
        <w:t xml:space="preserve"> shall be deemed approved by Takeda as of the Effective Date with respect to the performance of those activities listed in </w:t>
      </w:r>
      <w:r>
        <w:rPr>
          <w:rFonts w:ascii="Times New Roman" w:cs="Times New Roman" w:eastAsia="Times New Roman" w:hAnsi="Times New Roman"/>
          <w:sz w:val="18"/>
          <w:szCs w:val="18"/>
          <w:b w:val="1"/>
          <w:bCs w:val="1"/>
          <w:color w:val="auto"/>
        </w:rPr>
        <w:t>Schedule 3‎.4</w:t>
      </w:r>
      <w:r>
        <w:rPr>
          <w:rFonts w:ascii="Times New Roman" w:cs="Times New Roman" w:eastAsia="Times New Roman" w:hAnsi="Times New Roman"/>
          <w:sz w:val="18"/>
          <w:szCs w:val="18"/>
          <w:color w:val="auto"/>
        </w:rPr>
        <w:t xml:space="preserve"> for each such Third Party). As between the Parties, ACI shall (a) be responsible for the acts and omissions of its subcontractors and (b) ensure that its Third Party subcontractors comply with the applicable terms and conditions of this Agreement, including Article 10‎. For the avoidance of doubt, (x) ACI shall remain directly responsible for all of its obligations under this Agreement, notwithstanding any subcontracting arrangement hereunder, and (y) use of a subcontractor shall not relieve or release ACI from, or modify, any obligations of ACI under this Agreement.</w:t>
      </w:r>
    </w:p>
    <w:p>
      <w:pPr>
        <w:spacing w:after="0" w:line="147"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6"/>
          <w:szCs w:val="16"/>
          <w:b w:val="1"/>
          <w:bCs w:val="1"/>
          <w:color w:val="auto"/>
        </w:rPr>
        <w:t xml:space="preserve">Regulatory. </w:t>
      </w:r>
      <w:r>
        <w:rPr>
          <w:rFonts w:ascii="Times New Roman" w:cs="Times New Roman" w:eastAsia="Times New Roman" w:hAnsi="Times New Roman"/>
          <w:sz w:val="16"/>
          <w:szCs w:val="16"/>
          <w:color w:val="auto"/>
        </w:rPr>
        <w:t>Prior to the Option Effective Date:</w:t>
      </w:r>
    </w:p>
    <w:p>
      <w:pPr>
        <w:spacing w:after="0" w:line="165" w:lineRule="exact"/>
        <w:rPr>
          <w:sz w:val="20"/>
          <w:szCs w:val="20"/>
          <w:color w:val="auto"/>
        </w:rPr>
      </w:pPr>
    </w:p>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3.5.1. </w:t>
      </w:r>
      <w:r>
        <w:rPr>
          <w:rFonts w:ascii="Times New Roman" w:cs="Times New Roman" w:eastAsia="Times New Roman" w:hAnsi="Times New Roman"/>
          <w:sz w:val="18"/>
          <w:szCs w:val="18"/>
          <w:color w:val="auto"/>
        </w:rPr>
        <w:t>As between the Parties, subject to and without limiting the JDT’s authority to approve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to the protocol or statistical analysis plan for the Phase 1b/2 Trial, ACI shall have the sole right to prepare, obtain and maintain INDs and other Regulatory Documentation (including all Regulatory Approvals) and other submissions to Regulatory Authorities in the Territory and to conduct communications with the Regulatory Authorities in the Territory, in each case, for the Licensed Compounds and Licensed Products. Without limiting the remainder of this Section 3‎.5, in [***]</w:t>
      </w:r>
    </w:p>
    <w:p>
      <w:pPr>
        <w:spacing w:after="0" w:line="146" w:lineRule="exact"/>
        <w:rPr>
          <w:sz w:val="20"/>
          <w:szCs w:val="20"/>
          <w:color w:val="auto"/>
        </w:rPr>
      </w:pPr>
    </w:p>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3.5.2. </w:t>
      </w:r>
      <w:r>
        <w:rPr>
          <w:rFonts w:ascii="Times New Roman" w:cs="Times New Roman" w:eastAsia="Times New Roman" w:hAnsi="Times New Roman"/>
          <w:sz w:val="18"/>
          <w:szCs w:val="18"/>
          <w:color w:val="auto"/>
        </w:rPr>
        <w:t>ACI shall provide Takeda with (a) its proposed engagement strategy for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in the Territory with respect to the Licensed Products and (b) all regulatory filings and documents (including INDs, Regulatory Authority meeting materials and core data sheets), in each case ((a) and (b)), sufficiently (but in any event at least [***] in advance of the finalization or submission thereof for Takeda’s review and comment and, if necessary, discussion with ACI. ACI shall incorporate all reasonable comments from Takeda except to the extent inconsistent with Applicable Law.</w:t>
      </w:r>
    </w:p>
    <w:p>
      <w:pPr>
        <w:spacing w:after="0" w:line="146"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3.5.3. </w:t>
      </w:r>
      <w:r>
        <w:rPr>
          <w:rFonts w:ascii="Times New Roman" w:cs="Times New Roman" w:eastAsia="Times New Roman" w:hAnsi="Times New Roman"/>
          <w:sz w:val="18"/>
          <w:szCs w:val="18"/>
          <w:color w:val="auto"/>
        </w:rPr>
        <w:t>ACI shall provide Takeda with prior written notice of any scheduled meeting, conference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(including any advisory committee meeting) with a Regulatory Authority within [***] after ACI or its Affiliate first receives notice of the scheduling of such meeting, conference or discussion (or within such shorter period as may be necessary in order to give Takeda a reasonable opportunity to attend such meeting, conference or discussion). Upon Takeda’s written request, Takeda shall have the right to have [***] attend [***] all such meetings, conferences and discussions (including by [***]. ACI shall promptly provide Takeda with copies of preliminary feedback and meeting minutes from any Regulatory Authority.</w:t>
      </w:r>
    </w:p>
    <w:p>
      <w:pPr>
        <w:spacing w:after="0" w:line="147"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3.5.4. </w:t>
      </w:r>
      <w:r>
        <w:rPr>
          <w:rFonts w:ascii="Times New Roman" w:cs="Times New Roman" w:eastAsia="Times New Roman" w:hAnsi="Times New Roman"/>
          <w:sz w:val="18"/>
          <w:szCs w:val="18"/>
          <w:color w:val="auto"/>
        </w:rPr>
        <w:t>As between the Parties, all Regulatory Documentation (including all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Licensed Compounds or Licensed Products in the Territory shall be owned by, and shall be the sole property and held in the name of, ACI.</w:t>
      </w:r>
    </w:p>
    <w:p>
      <w:pPr>
        <w:spacing w:after="0" w:line="143"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3.5.5. </w:t>
      </w:r>
      <w:r>
        <w:rPr>
          <w:rFonts w:ascii="Times New Roman" w:cs="Times New Roman" w:eastAsia="Times New Roman" w:hAnsi="Times New Roman"/>
          <w:sz w:val="18"/>
          <w:szCs w:val="18"/>
          <w:color w:val="auto"/>
        </w:rPr>
        <w:t>Takeda shall support ACI, as may be reasonably requested by ACI in writing, in preparing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Regulatory Documentation (including all Regulatory Approvals), including providing any documents or other materials as may be reasonably necessary for ACI to obtain and maintain Regulatory Approvals, at Takeda’s sole cost and expense.</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34" w:name="page35"/>
    <w:bookmarkEnd w:id="34"/>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6"/>
          <w:szCs w:val="16"/>
          <w:b w:val="1"/>
          <w:bCs w:val="1"/>
          <w:color w:val="auto"/>
        </w:rPr>
        <w:t>Records.</w:t>
      </w:r>
    </w:p>
    <w:p>
      <w:pPr>
        <w:spacing w:after="0" w:line="165" w:lineRule="exact"/>
        <w:rPr>
          <w:sz w:val="20"/>
          <w:szCs w:val="20"/>
          <w:color w:val="auto"/>
        </w:rPr>
      </w:pPr>
    </w:p>
    <w:p>
      <w:pPr>
        <w:jc w:val="both"/>
        <w:ind w:left="200" w:right="199" w:firstLine="1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3.6.1. </w:t>
      </w:r>
      <w:r>
        <w:rPr>
          <w:rFonts w:ascii="Times New Roman" w:cs="Times New Roman" w:eastAsia="Times New Roman" w:hAnsi="Times New Roman"/>
          <w:sz w:val="16"/>
          <w:szCs w:val="16"/>
          <w:color w:val="auto"/>
        </w:rPr>
        <w:t>ACI shall maintain, in good scientific manner, complete and accurate books and records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pertaining to its Development activities (including CMC Development activities), in sufficient detail to verify compliance with its obligations under this Agreement and which shall be appropriate for Patent and regulatory purposes, in compliance with Applicable Law and that properly reflect all work done and results achieved in the performance of such activities. Such books and records shall record only such activities and shall not include or be commingled with records of activities outside the scope of this Agreement. Such books and records shall be retained by ACI for at least [***] after the expiration or termination of this Agreement in its entirety or for such longer period as may be required by Applicable Law.</w:t>
      </w:r>
    </w:p>
    <w:p>
      <w:pPr>
        <w:spacing w:after="0" w:line="127" w:lineRule="exact"/>
        <w:rPr>
          <w:sz w:val="20"/>
          <w:szCs w:val="20"/>
          <w:color w:val="auto"/>
        </w:rPr>
      </w:pPr>
    </w:p>
    <w:p>
      <w:pPr>
        <w:jc w:val="both"/>
        <w:ind w:left="200" w:right="199" w:firstLine="1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3.6.2. </w:t>
      </w:r>
      <w:r>
        <w:rPr>
          <w:rFonts w:ascii="Times New Roman" w:cs="Times New Roman" w:eastAsia="Times New Roman" w:hAnsi="Times New Roman"/>
          <w:sz w:val="16"/>
          <w:szCs w:val="16"/>
          <w:color w:val="auto"/>
        </w:rPr>
        <w:t>Prior to the Option Effective Date, Takeda shall maintain, in good scientific manner,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complete and accurate books and records pertaining to its CMC Development activities, in sufficient detail to verify compliance with its obligations under this Agreement and which shall be appropriate for Patent and regulatory purposes, in compliance with Applicable Law and that properly reflect all work done and results achieved in the performance of such activities. Such books and records shall record only such activities and shall not include or be commingled with records of activities outside the scope of this Agreement. Such books and records shall be retained by Takeda for at least [***] after the expiration of the Option Period or for such longer period as may be required by Applicable Law.</w:t>
      </w:r>
    </w:p>
    <w:p>
      <w:pPr>
        <w:spacing w:after="0" w:line="127"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3.6.3. </w:t>
      </w:r>
      <w:r>
        <w:rPr>
          <w:rFonts w:ascii="Times New Roman" w:cs="Times New Roman" w:eastAsia="Times New Roman" w:hAnsi="Times New Roman"/>
          <w:sz w:val="18"/>
          <w:szCs w:val="18"/>
          <w:color w:val="auto"/>
        </w:rPr>
        <w:t>Takeda shall have the right to request any records of ACI maintained pursuant to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3‎.6, and ACI shall provide such records as promptly as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Takeda shall maintain such records and the information disclosed therein in confidence in accordance with Article [***]</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6"/>
          <w:szCs w:val="16"/>
          <w:b w:val="1"/>
          <w:bCs w:val="1"/>
          <w:color w:val="auto"/>
        </w:rPr>
        <w:t>Reports and Information Sharing.</w:t>
      </w:r>
    </w:p>
    <w:p>
      <w:pPr>
        <w:spacing w:after="0" w:line="165" w:lineRule="exact"/>
        <w:rPr>
          <w:sz w:val="20"/>
          <w:szCs w:val="20"/>
          <w:color w:val="auto"/>
        </w:rPr>
      </w:pPr>
    </w:p>
    <w:p>
      <w:pPr>
        <w:jc w:val="both"/>
        <w:ind w:left="200" w:right="199" w:firstLine="1576"/>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3.7.1. </w:t>
      </w:r>
      <w:r>
        <w:rPr>
          <w:rFonts w:ascii="Times New Roman" w:cs="Times New Roman" w:eastAsia="Times New Roman" w:hAnsi="Times New Roman"/>
          <w:sz w:val="18"/>
          <w:szCs w:val="18"/>
          <w:color w:val="auto"/>
        </w:rPr>
        <w:t>Without limiting Section 3‎.3.2, Section 3‎.6 or Section 4‎.5, during each meeting of the JDT,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ACI shall provide to the JDT a detailed report of Development activities it has performed, or caused to be performed, since the preceding report, its Development activities in process and the future Development activities it expects to initiate during [***] including updates regarding regulatory activities conducted by or on behalf of ACI or any of its Affiliates or (sub)licensees), in each case with respect to the Licensed Compounds and Licensed Products. Without limiting the foregoing, (a) ACI shall promptly make available to Takeda, through the JDT, all results and data from Development activities performed under the Development Plan (including all raw data from the Phase 1b/2 Trial) and the CMC Development Plan, (b) without limiting clause (a), until the Option Effective Date, ACI shall provide to Takeda all material safety Information with respect to the Licensed Compounds and Licensed Products as promptly as practicable (and in any event within [***] after ACI receives such Information) and (c) upon Takeda’s request (not more than [***]), ACI shall provide additional ad-hoc summary reports with respect to its Development activities.</w:t>
      </w:r>
    </w:p>
    <w:p>
      <w:pPr>
        <w:spacing w:after="0" w:line="151"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3.7.2. </w:t>
      </w:r>
      <w:r>
        <w:rPr>
          <w:rFonts w:ascii="Times New Roman" w:cs="Times New Roman" w:eastAsia="Times New Roman" w:hAnsi="Times New Roman"/>
          <w:sz w:val="18"/>
          <w:szCs w:val="18"/>
          <w:color w:val="auto"/>
        </w:rPr>
        <w:t>Subject to Section 5‎.5.2(e), [***], Takeda shall provide to ACI a high-level report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activities it has performed, or caused to be performed, since the preceding report, its Development activities in process and the future Development activities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35" w:name="page36"/>
    <w:bookmarkEnd w:id="35"/>
    <w:p>
      <w:pPr>
        <w:jc w:val="both"/>
        <w:ind w:left="200" w:right="199"/>
        <w:spacing w:after="0" w:line="237" w:lineRule="auto"/>
        <w:rPr>
          <w:sz w:val="20"/>
          <w:szCs w:val="20"/>
          <w:color w:val="auto"/>
        </w:rPr>
      </w:pPr>
      <w:r>
        <w:rPr>
          <w:rFonts w:ascii="Times New Roman" w:cs="Times New Roman" w:eastAsia="Times New Roman" w:hAnsi="Times New Roman"/>
          <w:sz w:val="18"/>
          <w:szCs w:val="18"/>
          <w:color w:val="auto"/>
        </w:rPr>
        <w:t>it expects to initiate during [***] (including updates regarding regulatory activities conducted by or on behalf of Takeda or any of its Affiliates or Sublicensees), in each case, with respect to the Licensed Products and Licensed Compounds. During each meeting of the JDT, the Parties shall further discuss in detail such Development activities of Takeda. Upon the disbandment of the JDT in accordance with Section 2‎.8, [***]</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OPTION; OPTION EXERCISE</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6"/>
          <w:szCs w:val="16"/>
          <w:b w:val="1"/>
          <w:bCs w:val="1"/>
          <w:color w:val="auto"/>
        </w:rPr>
        <w:t>Option; Submission of Data Package.</w:t>
      </w:r>
    </w:p>
    <w:p>
      <w:pPr>
        <w:spacing w:after="0" w:line="165"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4.1.1. Grant of License Option. </w:t>
      </w:r>
      <w:r>
        <w:rPr>
          <w:rFonts w:ascii="Times New Roman" w:cs="Times New Roman" w:eastAsia="Times New Roman" w:hAnsi="Times New Roman"/>
          <w:sz w:val="18"/>
          <w:szCs w:val="18"/>
          <w:color w:val="auto"/>
        </w:rPr>
        <w:t>Subject to the terms and conditions of this Agreement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remainder of this Section 4‎.1), ACI hereby grants to Takeda an exclusive option, exercisable by Takeda in its sole discretion solely during the Option Period, to obtain the Exclusive License (the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4.1.2.  Delivery of Data Package.</w:t>
      </w:r>
    </w:p>
    <w:p>
      <w:pPr>
        <w:spacing w:after="0" w:line="167" w:lineRule="exact"/>
        <w:rPr>
          <w:sz w:val="20"/>
          <w:szCs w:val="20"/>
          <w:color w:val="auto"/>
        </w:rPr>
      </w:pPr>
    </w:p>
    <w:p>
      <w:pPr>
        <w:jc w:val="both"/>
        <w:ind w:left="200" w:right="219" w:firstLine="2095"/>
        <w:spacing w:after="0" w:line="270" w:lineRule="auto"/>
        <w:tabs>
          <w:tab w:leader="none" w:pos="282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 ACI shall deliver to Takeda the Data Package and shall provide Takeda with electronic access in the form and format as Takeda may reasonably request (including by providing copies thereof)</w:t>
      </w:r>
    </w:p>
    <w:p>
      <w:pPr>
        <w:jc w:val="both"/>
        <w:ind w:left="200" w:right="199" w:hanging="7"/>
        <w:spacing w:after="0" w:line="232" w:lineRule="auto"/>
        <w:tabs>
          <w:tab w:leader="none" w:pos="6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Takeda reasonably requests that any Information in the Data Package be provided in a different format, the timeline for such provision of the complete Data Package shall be extended to the extent necessary to account for the reasonable time needed for such format conversion).</w:t>
      </w:r>
    </w:p>
    <w:p>
      <w:pPr>
        <w:spacing w:after="0" w:line="145" w:lineRule="exact"/>
        <w:rPr>
          <w:rFonts w:ascii="Times New Roman" w:cs="Times New Roman" w:eastAsia="Times New Roman" w:hAnsi="Times New Roman"/>
          <w:sz w:val="18"/>
          <w:szCs w:val="18"/>
          <w:color w:val="auto"/>
        </w:rPr>
      </w:pPr>
    </w:p>
    <w:p>
      <w:pPr>
        <w:jc w:val="both"/>
        <w:ind w:left="200" w:right="199" w:firstLine="2095"/>
        <w:spacing w:after="0" w:line="265" w:lineRule="auto"/>
        <w:tabs>
          <w:tab w:leader="none" w:pos="2827"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Takeda believes in good faith that any of the Information required to be included in the Data Package is missing, then Takeda shall have the right within [***] after receipt of such Data Package to request in writing that ACI provide Takeda any such missing Information, and ACI shall deliver a revised and complete Data Package within [***] after the receipt of such request from Takeda (or, if any additional activities are required to provide such Information to Takeda, within [***] after completion of such activities)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clarity, (i) ACI shall not have any obligation under this Section 4‎.1.2(b) to perform activities other than those required to satisfy clauses (i) and (ii) of Section 4‎.1.2(a) and (ii) if Takeda has not requested any additional Information in accordance with this Section 4‎.1.2(b) prior to the expiration of such [***] period, the Data Package shall be deemed complete).</w:t>
      </w:r>
    </w:p>
    <w:p>
      <w:pPr>
        <w:spacing w:after="0" w:line="125" w:lineRule="exact"/>
        <w:rPr>
          <w:rFonts w:ascii="Times New Roman" w:cs="Times New Roman" w:eastAsia="Times New Roman" w:hAnsi="Times New Roman"/>
          <w:sz w:val="16"/>
          <w:szCs w:val="16"/>
          <w:color w:val="auto"/>
        </w:rPr>
      </w:pPr>
    </w:p>
    <w:p>
      <w:pPr>
        <w:jc w:val="both"/>
        <w:ind w:left="200" w:right="199" w:firstLine="2095"/>
        <w:spacing w:after="0" w:line="233" w:lineRule="auto"/>
        <w:tabs>
          <w:tab w:leader="none" w:pos="282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ACI shall promptly make available to Takeda such additional Information with respect to the Licensed Compounds or Licensed Products (or Exploitation thereof) that is in the possession or control of ACI or any of its Affiliates (without performing additional Development activities) as Takeda may reasonably request in writing, to the extent not previously provided to Takeda (or not previously provided in the form or format reasonably requested by Takeda in writing). For clarity (and as further set forth in the definition of “Option Period”), such additional requests by Takeda shall not extend the duration of the Option Period so long as such additional Information is provided within [***] after receipt of such request.</w:t>
      </w:r>
    </w:p>
    <w:p>
      <w:pPr>
        <w:spacing w:after="0" w:line="145"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4.1.3. Exercise of Option. </w:t>
      </w:r>
      <w:r>
        <w:rPr>
          <w:rFonts w:ascii="Times New Roman" w:cs="Times New Roman" w:eastAsia="Times New Roman" w:hAnsi="Times New Roman"/>
          <w:sz w:val="18"/>
          <w:szCs w:val="18"/>
          <w:color w:val="auto"/>
        </w:rPr>
        <w:t>Takeda may, in its sole discretion, exercise the Option solely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Period by, subject to Section 4‎.2, delivering a written notice thereof to ACI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at any time during the Option Period in accordance with</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36" w:name="page37"/>
    <w:bookmarkEnd w:id="36"/>
    <w:p>
      <w:pPr>
        <w:jc w:val="both"/>
        <w:ind w:left="200" w:right="219"/>
        <w:spacing w:after="0" w:line="237" w:lineRule="auto"/>
        <w:rPr>
          <w:sz w:val="20"/>
          <w:szCs w:val="20"/>
          <w:color w:val="auto"/>
        </w:rPr>
      </w:pPr>
      <w:r>
        <w:rPr>
          <w:rFonts w:ascii="Times New Roman" w:cs="Times New Roman" w:eastAsia="Times New Roman" w:hAnsi="Times New Roman"/>
          <w:sz w:val="18"/>
          <w:szCs w:val="18"/>
          <w:color w:val="auto"/>
        </w:rPr>
        <w:t xml:space="preserve">Section 14‎.7. Subject to Section 4‎.3, (a) upon issuing the Exercise Notice for the Option, the Exclusive License shall be automatically granted by ACI;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Exclusive License shall not come into full force and effect unless and until the Option Effective Date occurs and (b) if Takeda exercises the Option and the Option Effective Date occurs, Takeda shall pay to ACI the Option Exercise Fee as set forth in Section 8‎.2.</w:t>
      </w:r>
    </w:p>
    <w:p>
      <w:pPr>
        <w:spacing w:after="0" w:line="144"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6"/>
          <w:szCs w:val="16"/>
          <w:b w:val="1"/>
          <w:bCs w:val="1"/>
          <w:color w:val="auto"/>
        </w:rPr>
        <w:t>Antitrust Clearance.</w:t>
      </w:r>
    </w:p>
    <w:p>
      <w:pPr>
        <w:spacing w:after="0" w:line="165" w:lineRule="exact"/>
        <w:rPr>
          <w:sz w:val="20"/>
          <w:szCs w:val="20"/>
          <w:color w:val="auto"/>
        </w:rPr>
      </w:pPr>
    </w:p>
    <w:p>
      <w:pPr>
        <w:jc w:val="both"/>
        <w:ind w:left="200" w:right="199" w:firstLine="1576"/>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4.2.1. Antitrust Clearance Determination. </w:t>
      </w:r>
      <w:r>
        <w:rPr>
          <w:rFonts w:ascii="Times New Roman" w:cs="Times New Roman" w:eastAsia="Times New Roman" w:hAnsi="Times New Roman"/>
          <w:sz w:val="16"/>
          <w:szCs w:val="16"/>
          <w:color w:val="auto"/>
        </w:rPr>
        <w:t>Prior to the delivery of the Exercise Notice 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if Takeda intends to exercise the Option, it shall notify ACI in writing as to whether Takeda has determined that the transactions to be consummated upon the exercise of such Option require any Antitrust Filings. [***] Takeda’s Exercise Notice for such Option (if any) shall include Takeda’s irrevocable binding commitment to complete the exercise of such Option, subject only to Antitrust Clearance and the terms of this Section 4‎.2 and Section 13‎.2.4. Neither Party may seek early termination (or early determination) of Antitrust Clearance without the other Party’s prior written consent.</w:t>
      </w:r>
    </w:p>
    <w:p>
      <w:pPr>
        <w:spacing w:after="0" w:line="124" w:lineRule="exact"/>
        <w:rPr>
          <w:sz w:val="20"/>
          <w:szCs w:val="20"/>
          <w:color w:val="auto"/>
        </w:rPr>
      </w:pPr>
    </w:p>
    <w:p>
      <w:pPr>
        <w:jc w:val="both"/>
        <w:ind w:left="200" w:right="21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4.2.2. Antitrust Filing. </w:t>
      </w:r>
      <w:r>
        <w:rPr>
          <w:rFonts w:ascii="Times New Roman" w:cs="Times New Roman" w:eastAsia="Times New Roman" w:hAnsi="Times New Roman"/>
          <w:sz w:val="18"/>
          <w:szCs w:val="18"/>
          <w:color w:val="auto"/>
        </w:rPr>
        <w:t>[***] each of Takeda and ACI shall make an Antitrust Filing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within [***] (or within such other period as mutually agreed in writing by the Parties) after the Option Exercise Date for the activities and licenses contemplated under this Agreement. The Parties shall cooperate with one another to the extent necessary in the preparation of any such filings. Each Party shall be responsible for its own costs and expenses associated with any such filings.</w:t>
      </w:r>
    </w:p>
    <w:p>
      <w:pPr>
        <w:spacing w:after="0" w:line="142" w:lineRule="exact"/>
        <w:rPr>
          <w:sz w:val="20"/>
          <w:szCs w:val="20"/>
          <w:color w:val="auto"/>
        </w:rPr>
      </w:pPr>
    </w:p>
    <w:p>
      <w:pPr>
        <w:jc w:val="both"/>
        <w:ind w:left="200" w:right="199" w:firstLine="1576"/>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4.2.3. Antitrust Clearance. </w:t>
      </w:r>
      <w:r>
        <w:rPr>
          <w:rFonts w:ascii="Times New Roman" w:cs="Times New Roman" w:eastAsia="Times New Roman" w:hAnsi="Times New Roman"/>
          <w:sz w:val="16"/>
          <w:szCs w:val="16"/>
          <w:color w:val="auto"/>
        </w:rPr>
        <w:t>In connection with obtaining Antitrust Clearance, Takeda and ACI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use their respective commercially reasonable efforts to resolve as promptly as practicable any objections that may be asserted by any Antitrust Authority with respect to the transactions notified in the applicable Antitrust Filing. The term “commercially reasonable efforts” as used in this Section 4‎.2.3 shall not require Takeda or ACI to (a) agree to any remedy or consent decree with any Governmental Authority, including (i) any remedy to sell, divest (including through a license or a reversion of licensed or assigned rights), hold separate, transfer or dispose of any assets, operations, rights, product lines or businesses, or interests therein, of itself or any of its Affiliates (or consent to any of the foregoing actions) or (ii) any behavioral remedy or (b) litigate or otherwise formally oppose any determination (whether judicial or administrative in nature) by a Governmental Authority seeking to impose any of the restrictions referenced in clause (a) above.</w:t>
      </w:r>
    </w:p>
    <w:p>
      <w:pPr>
        <w:spacing w:after="0" w:line="127" w:lineRule="exact"/>
        <w:rPr>
          <w:sz w:val="20"/>
          <w:szCs w:val="20"/>
          <w:color w:val="auto"/>
        </w:rPr>
      </w:pPr>
    </w:p>
    <w:p>
      <w:pPr>
        <w:jc w:val="both"/>
        <w:ind w:left="200" w:right="199" w:firstLine="1576"/>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4.2.4. Cooperation. </w:t>
      </w:r>
      <w:r>
        <w:rPr>
          <w:rFonts w:ascii="Times New Roman" w:cs="Times New Roman" w:eastAsia="Times New Roman" w:hAnsi="Times New Roman"/>
          <w:sz w:val="16"/>
          <w:szCs w:val="16"/>
          <w:color w:val="auto"/>
        </w:rPr>
        <w:t>In connection with obtaining Antitrust Clearance, each of Takeda and ACI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(a) cooperate with each other in connection with any investigation or other inquiry relating to an Antitrust Filing and the transactions contemplated by this Agreement; (b) keep the other Party or its counsel informed of any communication received from or given to an Antitrust Authority where Antitrust Filings are required, relating to the applicable Antitrust Filing and the transactions contemplated by this Agreement (and provide a copy to the other Party if such communication is in writing); (c) reasonably consult with each other in advance of any meeting or conference with an Antitrust Authority where Antitrust Filings are required, and, to the extent permitted by such Antitrust Authority, give the other Party or its counsel the opportunity to attend and participate in such meetings and conferences; and (d) permit the other</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37" w:name="page38"/>
    <w:bookmarkEnd w:id="37"/>
    <w:p>
      <w:pPr>
        <w:jc w:val="both"/>
        <w:ind w:left="200" w:right="219"/>
        <w:spacing w:after="0"/>
        <w:rPr>
          <w:sz w:val="20"/>
          <w:szCs w:val="20"/>
          <w:color w:val="auto"/>
        </w:rPr>
      </w:pPr>
      <w:r>
        <w:rPr>
          <w:rFonts w:ascii="Times New Roman" w:cs="Times New Roman" w:eastAsia="Times New Roman" w:hAnsi="Times New Roman"/>
          <w:sz w:val="18"/>
          <w:szCs w:val="18"/>
          <w:color w:val="auto"/>
        </w:rPr>
        <w:t>Party or its counsel to review in advance, and in good faith consider the views of the other Party or its counsel concerning, any submission, filing or communication (and documents submitted therewith) intended to be given to the applicable Antitrust Authority.</w:t>
      </w:r>
    </w:p>
    <w:p>
      <w:pPr>
        <w:spacing w:after="0" w:line="143" w:lineRule="exact"/>
        <w:rPr>
          <w:sz w:val="20"/>
          <w:szCs w:val="20"/>
          <w:color w:val="auto"/>
        </w:rPr>
      </w:pPr>
    </w:p>
    <w:p>
      <w:pPr>
        <w:jc w:val="both"/>
        <w:ind w:left="200" w:right="199" w:firstLine="1051"/>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4.3. Tolling of Obligations. </w:t>
      </w:r>
      <w:r>
        <w:rPr>
          <w:rFonts w:ascii="Times New Roman" w:cs="Times New Roman" w:eastAsia="Times New Roman" w:hAnsi="Times New Roman"/>
          <w:sz w:val="16"/>
          <w:szCs w:val="16"/>
          <w:color w:val="auto"/>
        </w:rPr>
        <w:t>Notwithstanding anything in this Agreement to the contrary, if Takeda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provides an Exercise Notice, then, except with respect to the obligations of the Parties with respect to (a) Antitrust Filings and Antitrust Clearance pursuant to Section 4‎.2, (b) development of the Technology Transfer Plan pursuant to Section 4‎.5,</w:t>
      </w:r>
    </w:p>
    <w:p>
      <w:pPr>
        <w:spacing w:after="0" w:line="1" w:lineRule="exact"/>
        <w:rPr>
          <w:sz w:val="20"/>
          <w:szCs w:val="20"/>
          <w:color w:val="auto"/>
        </w:rPr>
      </w:pPr>
    </w:p>
    <w:p>
      <w:pPr>
        <w:jc w:val="both"/>
        <w:ind w:left="200" w:right="199" w:hanging="7"/>
        <w:spacing w:after="0" w:line="230" w:lineRule="auto"/>
        <w:tabs>
          <w:tab w:leader="none" w:pos="4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 of the Supply Agreement pursuant to Section 6‎.1.4 and (d) negotiation of a clinical trial plan pursuant to Section 7‎.2.2(b), all rights and obligations related to the exercise of such Option (including payment of any Option Exercise Fee) and the granting of the Exclusive License shall be tolled unless and until the Option Effective Date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clarity, (i) in each case of clause (b), (c) and (d), no such agreements or plans shall be effective until the Option Effective Date and (ii) if this Agreement is terminated in accordance with Section 13‎.2.4, then such Option Exercise Fee shall not be payable, the Exclusive License shall not be granted and the Technology Transfer Plan, Supply Agreement and clinical trial plan shall not be effective).</w:t>
      </w:r>
    </w:p>
    <w:p>
      <w:pPr>
        <w:spacing w:after="0" w:line="144"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4.4. No Exercise of Option. </w:t>
      </w:r>
      <w:r>
        <w:rPr>
          <w:rFonts w:ascii="Times New Roman" w:cs="Times New Roman" w:eastAsia="Times New Roman" w:hAnsi="Times New Roman"/>
          <w:sz w:val="18"/>
          <w:szCs w:val="18"/>
          <w:color w:val="auto"/>
        </w:rPr>
        <w:t>Notwithstanding anything in this Agreement to the contrary, if Takeda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provide an Exercise Notice on or before the end of the Option Period in accordance with Section 4‎.1.3, then this Agreement shall be automatically deemed to be terminated by Takeda pursuant to Section 13‎.2.2(b) (and the effective date of such termination shall be the first day after expiration of the Option Period).</w:t>
      </w:r>
    </w:p>
    <w:p>
      <w:pPr>
        <w:spacing w:after="0" w:line="146" w:lineRule="exact"/>
        <w:rPr>
          <w:sz w:val="20"/>
          <w:szCs w:val="20"/>
          <w:color w:val="auto"/>
        </w:rPr>
      </w:pPr>
    </w:p>
    <w:p>
      <w:pPr>
        <w:jc w:val="both"/>
        <w:ind w:left="200" w:right="199" w:firstLine="1051"/>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4.5. Transfers at Option Effective Date. </w:t>
      </w:r>
      <w:r>
        <w:rPr>
          <w:rFonts w:ascii="Times New Roman" w:cs="Times New Roman" w:eastAsia="Times New Roman" w:hAnsi="Times New Roman"/>
          <w:sz w:val="18"/>
          <w:szCs w:val="18"/>
          <w:color w:val="auto"/>
        </w:rPr>
        <w:t>As soon as reasonably practicable after the Option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Parties shall mutually agree on and submit to the JDT for review and approval a plan to operationalize the technology transfer obligations of ACI set forth in this Section 4‎.5 (excluding any technology transfer with respect to Manufacturing, which is set forth in Section 6‎.2) (the “</w:t>
      </w:r>
      <w:r>
        <w:rPr>
          <w:rFonts w:ascii="Times New Roman" w:cs="Times New Roman" w:eastAsia="Times New Roman" w:hAnsi="Times New Roman"/>
          <w:sz w:val="18"/>
          <w:szCs w:val="18"/>
          <w:b w:val="1"/>
          <w:bCs w:val="1"/>
          <w:color w:val="auto"/>
        </w:rPr>
        <w:t>Technology Transfer Plan</w:t>
      </w:r>
      <w:r>
        <w:rPr>
          <w:rFonts w:ascii="Times New Roman" w:cs="Times New Roman" w:eastAsia="Times New Roman" w:hAnsi="Times New Roman"/>
          <w:sz w:val="18"/>
          <w:szCs w:val="18"/>
          <w:color w:val="auto"/>
        </w:rPr>
        <w:t>”). After the Option Effective Date, the Parties shall perform each activity allocated to such Party under the Technology Transfer Plan and implement each transfer to Takeda or its designee in accordance with the Technology Transfer Plan. Notwithstanding the foregoing, after the Option Effective Date, ACI shall (and shall cause its Affiliates to) cooperate with Takeda (and its designees) and provide reasonable assistance and technology transfers to Takeda (and its designees) to enable Takeda (and its designees) to Develop, Commercialize and otherwise Exploit (other than Manufacture, which is addressed in Section 6‎.2) the Licensed Compounds and Licensed Products, including by (a) providing Takeda (and its designees) such assistance with respect to Development (including CMC Development and regulatory) matters related to such Licensed Compounds and Licensed Products as Takeda may reasonably request and (b) providing Takeda (and its designees) with reasonable access by teleconference or in person (as requested by Takeda) to ACI personnel (and personnel of its Affiliates and Third Party subcontractors) involved in the Exploitation of the Licensed Compounds or Licensed Products to assist Takeda (and its designees) with Development (including CMC Development and regulatory) matters and to answer questions related to such Licensed Compounds and Licensed Products. Without limiting the foregoing:</w:t>
      </w:r>
    </w:p>
    <w:p>
      <w:pPr>
        <w:spacing w:after="0" w:line="153"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4.5.1. Licensed Know-How and Regulatory Documentation. </w:t>
      </w:r>
      <w:r>
        <w:rPr>
          <w:rFonts w:ascii="Times New Roman" w:cs="Times New Roman" w:eastAsia="Times New Roman" w:hAnsi="Times New Roman"/>
          <w:sz w:val="18"/>
          <w:szCs w:val="18"/>
          <w:color w:val="auto"/>
        </w:rPr>
        <w:t>ACI shall, and shall cause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to, disclose or make available to Takeda, to the extent not previously provided, in such form and format as Takeda may reasonably request (including by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38" w:name="page39"/>
    <w:bookmarkEnd w:id="38"/>
    <w:p>
      <w:pPr>
        <w:jc w:val="both"/>
        <w:ind w:left="200" w:right="199"/>
        <w:spacing w:after="0" w:line="233" w:lineRule="auto"/>
        <w:rPr>
          <w:sz w:val="20"/>
          <w:szCs w:val="20"/>
          <w:color w:val="auto"/>
        </w:rPr>
      </w:pPr>
      <w:r>
        <w:rPr>
          <w:rFonts w:ascii="Times New Roman" w:cs="Times New Roman" w:eastAsia="Times New Roman" w:hAnsi="Times New Roman"/>
          <w:sz w:val="18"/>
          <w:szCs w:val="18"/>
          <w:color w:val="auto"/>
        </w:rPr>
        <w:t>providing copies thereof), all (a) Licensed Know-How (other than Licensed Know-How relating to Manufacturing, which is addressed in Section 6‎.2) and (b) Regulatory Documentation in ACI’s or its Affiliates’ possession or control (including copies of all correspondence to and from any Regulatory Authority), in each case ((a) and (b)), (i) that is in existence as of the Option Effective Date, including Regulatory Documentation assigned in accordance with Section 7‎.3.1(b), promptly, but in no event more than [***], after the Option Effective Date or (ii) that comes into existence after the Option Effective Date, promptly, but in no event more than [***], after the earliest of the conception, discovery, development or other making of such Licensed Know-How or Regulatory Documentation.</w:t>
      </w:r>
    </w:p>
    <w:p>
      <w:pPr>
        <w:spacing w:after="0" w:line="145"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4.5.2. Product Agreements. </w:t>
      </w:r>
      <w:r>
        <w:rPr>
          <w:rFonts w:ascii="Times New Roman" w:cs="Times New Roman" w:eastAsia="Times New Roman" w:hAnsi="Times New Roman"/>
          <w:sz w:val="18"/>
          <w:szCs w:val="18"/>
          <w:color w:val="auto"/>
        </w:rPr>
        <w:t>Promptly after the Option Effective Date, upon Takeda’s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ACI shall reasonably facilitate, cooperate with and assist Takeda in entering into its own agreements with Third Parties (including any agreement with any Third Party manufacturer) to the extent relating to the Development, Manufacture or Commercialization of any Licensed Compound or Licensed Product.</w:t>
      </w:r>
    </w:p>
    <w:p>
      <w:pPr>
        <w:spacing w:after="0" w:line="146" w:lineRule="exact"/>
        <w:rPr>
          <w:sz w:val="20"/>
          <w:szCs w:val="20"/>
          <w:color w:val="auto"/>
        </w:rPr>
      </w:pPr>
    </w:p>
    <w:p>
      <w:pPr>
        <w:jc w:val="both"/>
        <w:ind w:left="200" w:right="199" w:firstLine="1576"/>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4.5.3. Clinical Trials. </w:t>
      </w:r>
      <w:r>
        <w:rPr>
          <w:rFonts w:ascii="Times New Roman" w:cs="Times New Roman" w:eastAsia="Times New Roman" w:hAnsi="Times New Roman"/>
          <w:sz w:val="18"/>
          <w:szCs w:val="18"/>
          <w:color w:val="auto"/>
        </w:rPr>
        <w:t>Promptly after the Option Effective Date, with respect to any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to any Licensed Product being conducted by or on behalf of ACI or its Affiliates as of the Option Effective Date (other than the Phase 1b/2 Trial, which is subject to Section 7‎.2.2), ACI shall, at Takeda’s election in writing on a clinical trial-by-clinical trial basis, (a) unless expressly prohibited by any Regulatory Authority, transfer sponsorship and control to Takeda of such clinical trial and continue to conduct such clinical trial, at Takeda’s sole cost and expense and under the direction of and in accordance with all written instructions of Takeda, for up to [***] to enable such transfer to be completed without interruption of any such clinical trial;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clinical trial for which such transfer is expressly prohibited by the applicable Regulatory Authority, if any, ACI or its Affiliates shall continue to conduct such clinical trial to completion, at Takeda’s sole cost and expense, under the direction of and in accordance with all written instructions of Takeda or (b) wind down such clinical trial (with due regard for patient safety and the rights of any subjects that are participating in such clinical trial).</w:t>
      </w:r>
    </w:p>
    <w:p>
      <w:pPr>
        <w:spacing w:after="0" w:line="151" w:lineRule="exact"/>
        <w:rPr>
          <w:sz w:val="20"/>
          <w:szCs w:val="20"/>
          <w:color w:val="auto"/>
        </w:rPr>
      </w:pPr>
    </w:p>
    <w:p>
      <w:pPr>
        <w:jc w:val="both"/>
        <w:ind w:left="200" w:right="199" w:firstLine="1313"/>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4.5.4. Global Safety Database. </w:t>
      </w:r>
      <w:r>
        <w:rPr>
          <w:rFonts w:ascii="Times New Roman" w:cs="Times New Roman" w:eastAsia="Times New Roman" w:hAnsi="Times New Roman"/>
          <w:sz w:val="16"/>
          <w:szCs w:val="16"/>
          <w:color w:val="auto"/>
        </w:rPr>
        <w:t>Promptly after the Option Effective Date, ACI shall transfer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Takeda the global safety database and datasets for the Licensed Products. Following such transfer, Takeda shall hold and maintain (at Takeda’s sole cost and expense) the global safety database for Licensed Products. Following such transfer of such global safety database and datasets, ACI shall provide Takeda with all information necessary for Takeda to comply with its pharmacovigilance responsibilities in the Territory, including, as applicable, any adverse drug experiences (including those events or experiences that are required to be reported to the FDA under 21 C.F.R. sections 312.32 or 314.80 or to foreign Regulatory Authorities under corresponding Applicable Law outside the United States), from pre-clinical or clinical laboratory, animal toxicology and pharmacology studies with a Licensed Product, in each case, in the form reasonably requested by Takeda. If, following the Option Effective Date, Takeda determines that a pharmacovigilance agreement is necessary, the Parties shall negotiate in good faith and execute a written pharmacovigilance agreement with respect to the Licensed Products. Such agreement shall (a) provide that Takeda shall hold and be responsible for the maintenance of the global safety database for the Licensed Products and (b) include mutually acceptable guidelines and procedures for the receipt, investigation, recordation, communication and exchange (as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39" w:name="page40"/>
    <w:bookmarkEnd w:id="39"/>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between the Parties) of Adverse Event reports, pregnancy reports and any other information concerning the safety of the Licensed Products.</w:t>
      </w:r>
    </w:p>
    <w:p>
      <w:pPr>
        <w:spacing w:after="0" w:line="132" w:lineRule="exact"/>
        <w:rPr>
          <w:sz w:val="20"/>
          <w:szCs w:val="20"/>
          <w:color w:val="auto"/>
        </w:rPr>
      </w:pPr>
    </w:p>
    <w:p>
      <w:pPr>
        <w:jc w:val="both"/>
        <w:ind w:left="200" w:right="199" w:firstLine="1313"/>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4.5.5. Transfer of Inventory. </w:t>
      </w:r>
      <w:r>
        <w:rPr>
          <w:rFonts w:ascii="Times New Roman" w:cs="Times New Roman" w:eastAsia="Times New Roman" w:hAnsi="Times New Roman"/>
          <w:sz w:val="18"/>
          <w:szCs w:val="18"/>
          <w:color w:val="auto"/>
        </w:rPr>
        <w:t>As promptly as reasonably practicable after the Option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ACI shall (a) provide Takeda with a written summary of all of the inventory of Licensed Compounds and Licensed Products (including intermediates and components thereof and material therefor) in its or its Affiliates’ possession as of the Option Effective Date and (b) at Takeda’s election, deliver to Takeda on a FCA basis (Incoterms 2020) at a location designated by Takeda, all such inventory as Takeda may request. Title to the inventory shall pass to Takeda at the same time as risk of loss in accordance with the aforementioned Incoterm but no earlier than when the inventory has cleared customs for export by ACI. ACI shall package and ship inventory in accordance with ACI’s customary practices, unless otherwise specified by Takeda in writing. Takeda shall bear all reasonable and verifiable Out-of-Pocket Costs for freight, handling, insurance, duties, taxes and shipping of such inventory.</w:t>
      </w:r>
    </w:p>
    <w:p>
      <w:pPr>
        <w:spacing w:after="0" w:line="147" w:lineRule="exact"/>
        <w:rPr>
          <w:sz w:val="20"/>
          <w:szCs w:val="20"/>
          <w:color w:val="auto"/>
        </w:rPr>
      </w:pPr>
    </w:p>
    <w:p>
      <w:pPr>
        <w:jc w:val="both"/>
        <w:ind w:left="200" w:right="199" w:firstLine="1313"/>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4.5.6. Patents. </w:t>
      </w:r>
      <w:r>
        <w:rPr>
          <w:rFonts w:ascii="Times New Roman" w:cs="Times New Roman" w:eastAsia="Times New Roman" w:hAnsi="Times New Roman"/>
          <w:sz w:val="18"/>
          <w:szCs w:val="18"/>
          <w:color w:val="auto"/>
        </w:rPr>
        <w:t>Following the Option Effective Date, ACI shall assist and cooperate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Takeda, as Takeda may reasonably request in writing, in the transition of the prosecution, maintenance, enforcement and defense of the Product Patents and Joint Patents and the control of any Third Party Infringement Claim or challenge or negotiation related to any Third Party Right, in each case, from ACI to Takeda to the extent necessary or reasonably useful for Takeda to exercise its rights under and in accordance with Section 9‎.3, Section 9‎.4, Section 9‎.5, Section 9‎.6 and Section 9‎.7. Within [***] after the Option Effective Date, ACI shall transfer to Takeda the image file wrappers (as that term is understood under U.S. law) relating to the prosecution, defense, maintenance, validity and enforceability of the Product Patents and Joint Patents to the extent necessary or reasonably useful for Takeda to exercise its rights under and in accordance with Section 9‎.3, Section 9‎.4 and Section 9‎.5;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ACI shall not be obligated hereunder to transfer any privileged communications between counsel and ACI related to such image file wrappers or other documents or materials until such time as the Parties put in place procedures to safeguard privilege, including if applicable, by entering into a common interest agreement or equivalent.</w:t>
      </w:r>
    </w:p>
    <w:p>
      <w:pPr>
        <w:spacing w:after="0" w:line="148" w:lineRule="exact"/>
        <w:rPr>
          <w:sz w:val="20"/>
          <w:szCs w:val="20"/>
          <w:color w:val="auto"/>
        </w:rPr>
      </w:pPr>
    </w:p>
    <w:p>
      <w:pPr>
        <w:jc w:val="both"/>
        <w:ind w:left="200" w:right="219" w:firstLine="1313"/>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4.5.7. Costs and Expenses. </w:t>
      </w:r>
      <w:r>
        <w:rPr>
          <w:rFonts w:ascii="Times New Roman" w:cs="Times New Roman" w:eastAsia="Times New Roman" w:hAnsi="Times New Roman"/>
          <w:sz w:val="18"/>
          <w:szCs w:val="18"/>
          <w:color w:val="auto"/>
        </w:rPr>
        <w:t>Except as otherwise set forth in Section 4‎.5.3 and Section 4‎.5.5,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shall be solely responsible for the costs and expenses it incurs in connection with its activities set forth in this Section 4‎.5.</w:t>
      </w:r>
    </w:p>
    <w:p>
      <w:pPr>
        <w:spacing w:after="0" w:line="14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GRANT OF RIGHTS</w:t>
      </w:r>
    </w:p>
    <w:p>
      <w:pPr>
        <w:spacing w:after="0" w:line="143"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 Grants to Takeda. </w:t>
      </w:r>
      <w:r>
        <w:rPr>
          <w:rFonts w:ascii="Times New Roman" w:cs="Times New Roman" w:eastAsia="Times New Roman" w:hAnsi="Times New Roman"/>
          <w:sz w:val="18"/>
          <w:szCs w:val="18"/>
          <w:color w:val="auto"/>
        </w:rPr>
        <w:t>Subject to the terms and conditions of this Agreement, ACI (on behalf of itself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Affiliates) grants to Takeda:</w:t>
      </w:r>
    </w:p>
    <w:p>
      <w:pPr>
        <w:spacing w:after="0" w:line="129" w:lineRule="exact"/>
        <w:rPr>
          <w:sz w:val="20"/>
          <w:szCs w:val="20"/>
          <w:color w:val="auto"/>
        </w:rPr>
      </w:pPr>
    </w:p>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color w:val="auto"/>
        </w:rPr>
        <w:t>subject to Section 4‎.3, effective on the Option Effective Date, an exclusive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5‎.3.2, with regard to ACI and its Affiliates), non-transferable (except in accordance with Section 14‎.3) license (or sublicense)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with the right to grant sublicenses in accordance with Section 5‎.2, under the Licensed Patents, the Licensed Know-How and ACI’s interests in the Joint Patents and the Joint Know-How, in each case, to (a) Exploit the Licensed Compounds and Licensed Products in the Field in the Territory in accordance with the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40" w:name="page41"/>
    <w:bookmarkEnd w:id="40"/>
    <w:p>
      <w:pPr>
        <w:jc w:val="both"/>
        <w:ind w:left="200" w:right="199"/>
        <w:spacing w:after="0" w:line="237" w:lineRule="auto"/>
        <w:rPr>
          <w:sz w:val="20"/>
          <w:szCs w:val="20"/>
          <w:color w:val="auto"/>
        </w:rPr>
      </w:pPr>
      <w:r>
        <w:rPr>
          <w:rFonts w:ascii="Times New Roman" w:cs="Times New Roman" w:eastAsia="Times New Roman" w:hAnsi="Times New Roman"/>
          <w:sz w:val="18"/>
          <w:szCs w:val="18"/>
          <w:color w:val="auto"/>
        </w:rPr>
        <w:t xml:space="preserve">terms and conditions of this Agreement and (b) otherwise exercise Takeda’s rights as set forth in and in accordance with Article 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Licensed Product that is a Combination Product, such license shall not include the right for Takeda to Exploit any Other Component that is owned or controlled by ACI or its Affiliates (the license in this Section 5‎.1.1, the “</w:t>
      </w:r>
      <w:r>
        <w:rPr>
          <w:rFonts w:ascii="Times New Roman" w:cs="Times New Roman" w:eastAsia="Times New Roman" w:hAnsi="Times New Roman"/>
          <w:sz w:val="18"/>
          <w:szCs w:val="18"/>
          <w:b w:val="1"/>
          <w:bCs w:val="1"/>
          <w:color w:val="auto"/>
        </w:rPr>
        <w:t>Exclusive License</w:t>
      </w:r>
      <w:r>
        <w:rPr>
          <w:rFonts w:ascii="Times New Roman" w:cs="Times New Roman" w:eastAsia="Times New Roman" w:hAnsi="Times New Roman"/>
          <w:sz w:val="18"/>
          <w:szCs w:val="18"/>
          <w:color w:val="auto"/>
        </w:rPr>
        <w:t>”); and</w:t>
      </w:r>
    </w:p>
    <w:p>
      <w:pPr>
        <w:spacing w:after="0" w:line="144"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color w:val="auto"/>
        </w:rPr>
        <w:t>(a) a non-exclusive, non-transferable (except in accordance with Section 14‎.3) license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 with the right to grant sublicenses in accordance with Section 5‎.2, under the Licensed Patents and the Licensed Know-How, in each case, solely for Takeda to perform its CMC Development activities with respect to the Licensed Compounds and Licensed Products prior to the Option Effective Date, and (b) prior to the Option Effective Date, an exclusive (including with regard to ACI and its Affiliates), non-transferable (except in accordance with Section 14‎.3), non-sublicensable, license (or sublicense) under the Product Patents solely to the extent necessary to exercise Takeda’s rights as set forth in and in accordance with Section 9‎.3.4 and Section 9‎.5.3(a) (and in no event for purposes of Exploiting any Licensed Compounds or Licensed Products).</w:t>
      </w:r>
    </w:p>
    <w:p>
      <w:pPr>
        <w:spacing w:after="0" w:line="144"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5.2. Sublicenses. </w:t>
      </w:r>
      <w:r>
        <w:rPr>
          <w:rFonts w:ascii="Times New Roman" w:cs="Times New Roman" w:eastAsia="Times New Roman" w:hAnsi="Times New Roman"/>
          <w:sz w:val="18"/>
          <w:szCs w:val="18"/>
          <w:color w:val="auto"/>
        </w:rPr>
        <w:t>Takeda shall have the right to grant sublicenses, through multiple tiers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Sublicensees, under the licenses granted in Section 5‎.1, to any of its Affiliates and other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sublicense shall be consistent with the terms and conditions of this Agreement. Any act or omission of any Sublicensee, to the extent such act or omission would constitute a breach of this Agreement by Takeda if such act or omission were taken or made by Takeda directly, shall be deemed a breach of this Agreement by Takeda. [***] Takeda shall remain responsible to ACI for the performance of all of its obligations under this Agreement [***]</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Retention of Rights.</w:t>
      </w:r>
    </w:p>
    <w:p>
      <w:pPr>
        <w:spacing w:after="0" w:line="165" w:lineRule="exact"/>
        <w:rPr>
          <w:sz w:val="20"/>
          <w:szCs w:val="20"/>
          <w:color w:val="auto"/>
        </w:rPr>
      </w:pPr>
    </w:p>
    <w:p>
      <w:pPr>
        <w:jc w:val="both"/>
        <w:ind w:left="200" w:right="199" w:firstLine="1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5.3.1. </w:t>
      </w:r>
      <w:r>
        <w:rPr>
          <w:rFonts w:ascii="Times New Roman" w:cs="Times New Roman" w:eastAsia="Times New Roman" w:hAnsi="Times New Roman"/>
          <w:sz w:val="16"/>
          <w:szCs w:val="16"/>
          <w:color w:val="auto"/>
        </w:rPr>
        <w:t>Except as expressly set forth in this Agreement, neither Party shall acquire under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any license or other right, title or interest, by implication, estoppel or otherwise, under any intellectual property owned or controlled by the other Party or such other Party’s Affiliates. For clarity, (a) prior the Option Effective Date, ACI does not grant any rights to Takeda under the Licensed Know-How, Licensed Patents or ACI’s interest in the Joint Patents or Joint Know-How other than the rights granted to Takeda pursuant to Section 5‎.1.2 and (b) from and after the Option Effective Date, ACI does not grant any rights to Takeda under the Licensed Know-How, Licensed Patents or ACI’s interest in the Joint Patents or Joint Know-How other than the rights granted to Takeda pursuant to Section 5‎.1.1.</w:t>
      </w:r>
    </w:p>
    <w:p>
      <w:pPr>
        <w:spacing w:after="0" w:line="127"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5.3.2. </w:t>
      </w:r>
      <w:r>
        <w:rPr>
          <w:rFonts w:ascii="Times New Roman" w:cs="Times New Roman" w:eastAsia="Times New Roman" w:hAnsi="Times New Roman"/>
          <w:sz w:val="18"/>
          <w:szCs w:val="18"/>
          <w:color w:val="auto"/>
        </w:rPr>
        <w:t>From and after the Option Effective Date, with respect to the rights granted to Takeda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5‎.1.1, ACI shall retain the right under the Licensed Know-How, Licensed Patents and ACI’s interest in the Joint Patents and the Joint Know-How solely to perform (a) the Development activities and CMC Development activities set forth in the Development Plan and CMC Development Plan in accordance with Section 7‎.2 (including conducting the Phase 1b/2 Trial as set forth in Section 7‎.2.2), (b) the transition and Development activities set forth in Section 4‎.5 and Section 6‎.2, (c) the Manufacturing activities set forth in Section 6‎.1.4, (d) any activities requested by Takeda in accordance with Section 7‎.2.3 and (e) any non-clinical Development activities approved in accordance with Section 7‎.2.4 ((a)-(e), the “</w:t>
      </w:r>
      <w:r>
        <w:rPr>
          <w:rFonts w:ascii="Times New Roman" w:cs="Times New Roman" w:eastAsia="Times New Roman" w:hAnsi="Times New Roman"/>
          <w:sz w:val="18"/>
          <w:szCs w:val="18"/>
          <w:b w:val="1"/>
          <w:bCs w:val="1"/>
          <w:color w:val="auto"/>
        </w:rPr>
        <w:t>ACI Ongoing Activities</w:t>
      </w:r>
      <w:r>
        <w:rPr>
          <w:rFonts w:ascii="Times New Roman" w:cs="Times New Roman" w:eastAsia="Times New Roman" w:hAnsi="Times New Roman"/>
          <w:sz w:val="18"/>
          <w:szCs w:val="18"/>
          <w:color w:val="auto"/>
        </w:rPr>
        <w: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41" w:name="page42"/>
    <w:bookmarkEnd w:id="41"/>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5.4. Confirmatory Patent License. </w:t>
      </w:r>
      <w:r>
        <w:rPr>
          <w:rFonts w:ascii="Times New Roman" w:cs="Times New Roman" w:eastAsia="Times New Roman" w:hAnsi="Times New Roman"/>
          <w:sz w:val="18"/>
          <w:szCs w:val="18"/>
          <w:color w:val="auto"/>
        </w:rPr>
        <w:t>From and after the Option Effective Date, ACI shall, if requested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do so by Takeda in writing, immediately enter into confirmatory license agreements in such form as may be reasonably requested in writing by Takeda for purposes of recording the licenses granted under this Agreement with such patent offices in the Territory as may be required by Applicable Law or as is customary in the applicable country or jurisdiction;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confirmatory license agreements are consistent with the terms and conditions herein.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of any such confirmatory licenses, so far as may be legally possible, ACI and Takeda shall have the same rights in respect of the Licensed Patents and be under the same obligations to each other in all respects as if the said confirmatory licenses had been executed.</w:t>
      </w:r>
    </w:p>
    <w:p>
      <w:pPr>
        <w:spacing w:after="0" w:line="144"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6"/>
          <w:szCs w:val="16"/>
          <w:b w:val="1"/>
          <w:bCs w:val="1"/>
          <w:color w:val="auto"/>
        </w:rPr>
        <w:t>Exclusivity; Change of Control.</w:t>
      </w:r>
    </w:p>
    <w:p>
      <w:pPr>
        <w:spacing w:after="0" w:line="165"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5.5.1. Exclusivity. </w:t>
      </w:r>
      <w:r>
        <w:rPr>
          <w:rFonts w:ascii="Times New Roman" w:cs="Times New Roman" w:eastAsia="Times New Roman" w:hAnsi="Times New Roman"/>
          <w:sz w:val="18"/>
          <w:szCs w:val="18"/>
          <w:color w:val="auto"/>
        </w:rPr>
        <w:t>In any country in the Territory, during the period [***] (the “</w:t>
      </w:r>
      <w:r>
        <w:rPr>
          <w:rFonts w:ascii="Times New Roman" w:cs="Times New Roman" w:eastAsia="Times New Roman" w:hAnsi="Times New Roman"/>
          <w:sz w:val="18"/>
          <w:szCs w:val="18"/>
          <w:b w:val="1"/>
          <w:bCs w:val="1"/>
          <w:color w:val="auto"/>
        </w:rPr>
        <w:t>Exclusivity Period</w:t>
      </w:r>
      <w:r>
        <w:rPr>
          <w:rFonts w:ascii="Times New Roman" w:cs="Times New Roman" w:eastAsia="Times New Roman" w:hAnsi="Times New Roman"/>
          <w:sz w:val="18"/>
          <w:szCs w:val="18"/>
          <w:color w:val="auto"/>
        </w:rPr>
        <w:t>”), (a) neither Party shall, directly or indirectly, either by itself or with or through any of its Affiliates or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(including via any arrangement or series of arrangements with a Third Party, including by licensing authorizing, permitting, appointing or otherwise enabling a Third Party to), [***]</w:t>
      </w:r>
    </w:p>
    <w:p>
      <w:pPr>
        <w:spacing w:after="0" w:line="146"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5.5.2. Change of Control. </w:t>
      </w:r>
      <w:r>
        <w:rPr>
          <w:rFonts w:ascii="Times New Roman" w:cs="Times New Roman" w:eastAsia="Times New Roman" w:hAnsi="Times New Roman"/>
          <w:sz w:val="18"/>
          <w:szCs w:val="18"/>
          <w:color w:val="auto"/>
        </w:rPr>
        <w:t>Notwithstanding Section 5‎.5.1, subject to the remainder of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5‎.5.2, if during the Term, a Party or any of its Affiliates undergoes a Change of Control and the counterparty in such Change of Control or any of its Affiliates prior to such transaction (but for clarity, not such Party or any of its Affiliates prior to such Change of Control or any of their successors or assigns) (collectively, the “</w:t>
      </w:r>
      <w:r>
        <w:rPr>
          <w:rFonts w:ascii="Times New Roman" w:cs="Times New Roman" w:eastAsia="Times New Roman" w:hAnsi="Times New Roman"/>
          <w:sz w:val="18"/>
          <w:szCs w:val="18"/>
          <w:b w:val="1"/>
          <w:bCs w:val="1"/>
          <w:color w:val="auto"/>
        </w:rPr>
        <w:t>Pre-Existing Entities</w:t>
      </w:r>
      <w:r>
        <w:rPr>
          <w:rFonts w:ascii="Times New Roman" w:cs="Times New Roman" w:eastAsia="Times New Roman" w:hAnsi="Times New Roman"/>
          <w:sz w:val="18"/>
          <w:szCs w:val="18"/>
          <w:color w:val="auto"/>
        </w:rPr>
        <w:t>”) is then engaged in activities that would otherwise constitute a breach of such Party’s obligations under Section 5‎.5.1 (a “</w:t>
      </w:r>
      <w:r>
        <w:rPr>
          <w:rFonts w:ascii="Times New Roman" w:cs="Times New Roman" w:eastAsia="Times New Roman" w:hAnsi="Times New Roman"/>
          <w:sz w:val="18"/>
          <w:szCs w:val="18"/>
          <w:b w:val="1"/>
          <w:bCs w:val="1"/>
          <w:color w:val="auto"/>
        </w:rPr>
        <w:t>Competing Program</w:t>
      </w:r>
      <w:r>
        <w:rPr>
          <w:rFonts w:ascii="Times New Roman" w:cs="Times New Roman" w:eastAsia="Times New Roman" w:hAnsi="Times New Roman"/>
          <w:sz w:val="18"/>
          <w:szCs w:val="18"/>
          <w:color w:val="auto"/>
        </w:rPr>
        <w:t>”), then such Party shall not be in violation of Section 5‎.5.2 as a result of such Competing Program, unless and until such Party fails to comply with the following terms and conditions:</w:t>
      </w:r>
    </w:p>
    <w:p>
      <w:pPr>
        <w:spacing w:after="0" w:line="149" w:lineRule="exact"/>
        <w:rPr>
          <w:sz w:val="20"/>
          <w:szCs w:val="20"/>
          <w:color w:val="auto"/>
        </w:rPr>
      </w:pPr>
    </w:p>
    <w:p>
      <w:pPr>
        <w:jc w:val="both"/>
        <w:ind w:left="200" w:right="199" w:firstLine="2095"/>
        <w:spacing w:after="0" w:line="237" w:lineRule="auto"/>
        <w:tabs>
          <w:tab w:leader="none" w:pos="28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shall provide the other Party with written notice of (i) such Change of Control within [***] to such transaction and the closing date of such transaction and (ii) within [***] after the date of such Change of Control, whether it intends to: (x) terminate, or cause its relevant Affiliate to terminate, the Competing Program or (y) Divest, or cause its relevant Affiliate to Divest, the Competing Program.</w:t>
      </w:r>
    </w:p>
    <w:p>
      <w:pPr>
        <w:spacing w:after="0" w:line="145" w:lineRule="exact"/>
        <w:rPr>
          <w:rFonts w:ascii="Times New Roman" w:cs="Times New Roman" w:eastAsia="Times New Roman" w:hAnsi="Times New Roman"/>
          <w:sz w:val="18"/>
          <w:szCs w:val="18"/>
          <w:color w:val="auto"/>
        </w:rPr>
      </w:pPr>
    </w:p>
    <w:p>
      <w:pPr>
        <w:jc w:val="both"/>
        <w:ind w:left="200" w:right="199" w:firstLine="2095"/>
        <w:spacing w:after="0" w:line="233" w:lineRule="auto"/>
        <w:tabs>
          <w:tab w:leader="none" w:pos="28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Party notifies the other Party in writing within such [***] period that it intends to terminate, or cause its relevant Affiliate to terminate, the Competing Program, such Party and its Affiliates, shall: (i) terminate such Competing Program as promptly as possible (but in any event within [***] (other than clinical trials that a Regulatory Authority requires such Party to continue, which may be continued for no more than [***])) after such Party’s delivery of such written notice to the other Party in compliance with Applicable Law and with due regard for patient safety and the rights of any subjects that are participating in any clinical trials with respect to such Competing Program; and (ii) confirm to the other Party in writing when such termination has been completed.</w:t>
      </w:r>
    </w:p>
    <w:p>
      <w:pPr>
        <w:spacing w:after="0" w:line="147" w:lineRule="exact"/>
        <w:rPr>
          <w:rFonts w:ascii="Times New Roman" w:cs="Times New Roman" w:eastAsia="Times New Roman" w:hAnsi="Times New Roman"/>
          <w:sz w:val="18"/>
          <w:szCs w:val="18"/>
          <w:color w:val="auto"/>
        </w:rPr>
      </w:pPr>
    </w:p>
    <w:p>
      <w:pPr>
        <w:jc w:val="both"/>
        <w:ind w:left="200" w:right="199" w:firstLine="2095"/>
        <w:spacing w:after="0"/>
        <w:tabs>
          <w:tab w:leader="none" w:pos="28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Party notifies the other Party in writing within such [***] period that it intends to Divest the Competing Program, such Party or its relevant Affiliate shall use all reasonable efforts to effect such Divestiture as quickly as possible, and in any event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42" w:name="page43"/>
    <w:bookmarkEnd w:id="42"/>
    <w:p>
      <w:pPr>
        <w:jc w:val="both"/>
        <w:ind w:left="200" w:right="199"/>
        <w:spacing w:after="0" w:line="231" w:lineRule="auto"/>
        <w:rPr>
          <w:sz w:val="20"/>
          <w:szCs w:val="20"/>
          <w:color w:val="auto"/>
        </w:rPr>
      </w:pPr>
      <w:r>
        <w:rPr>
          <w:rFonts w:ascii="Times New Roman" w:cs="Times New Roman" w:eastAsia="Times New Roman" w:hAnsi="Times New Roman"/>
          <w:sz w:val="18"/>
          <w:szCs w:val="18"/>
          <w:color w:val="auto"/>
        </w:rPr>
        <w:t xml:space="preserve">within [***] after such Party’s delivery of such written notice to the other Party, and shall confirm to the other Party in writing when such Divestiture has been completed;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 shall be extended for an additional period not to exceed [***] as is necessary to obtain any competition approvals required to complete such Divestiture so long as such Party or its relevant Affiliate is using good faith efforts to obtain such approvals. Such Party shall keep the other Party reasonably informed of its efforts and progress in effecting such Divestiture until it is completed. As used in this Section 5‎.5.2, “</w:t>
      </w:r>
      <w:r>
        <w:rPr>
          <w:rFonts w:ascii="Times New Roman" w:cs="Times New Roman" w:eastAsia="Times New Roman" w:hAnsi="Times New Roman"/>
          <w:sz w:val="18"/>
          <w:szCs w:val="18"/>
          <w:b w:val="1"/>
          <w:bCs w:val="1"/>
          <w:color w:val="auto"/>
        </w:rPr>
        <w:t>Divest</w:t>
      </w:r>
      <w:r>
        <w:rPr>
          <w:rFonts w:ascii="Times New Roman" w:cs="Times New Roman" w:eastAsia="Times New Roman" w:hAnsi="Times New Roman"/>
          <w:sz w:val="18"/>
          <w:szCs w:val="18"/>
          <w:color w:val="auto"/>
        </w:rPr>
        <w:t xml:space="preserve">” means the sale or transfer of all rights to the Competing Program to a Third Party such that neither such Party nor any of its Affiliates (including the Pre-Existing Entities) has any further right to perform or be involved in any Development, Manufacturing or Commercialization activities with respect to such Competing Program or receive a continuing share of profit or other economic interest in the success of such Competing Program;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transfer is effected by way of one (1) or more licenses or sublicenses, the licensor shall be entitled to receive license fees, milestones and royalties on sales of products in the Competing Program so Divested (“</w:t>
      </w:r>
      <w:r>
        <w:rPr>
          <w:rFonts w:ascii="Times New Roman" w:cs="Times New Roman" w:eastAsia="Times New Roman" w:hAnsi="Times New Roman"/>
          <w:sz w:val="18"/>
          <w:szCs w:val="18"/>
          <w:b w:val="1"/>
          <w:bCs w:val="1"/>
          <w:color w:val="auto"/>
        </w:rPr>
        <w:t>Divests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Divested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18"/>
          <w:szCs w:val="18"/>
          <w:color w:val="auto"/>
        </w:rPr>
        <w:t>” have correlative meanings).</w:t>
      </w:r>
    </w:p>
    <w:p>
      <w:pPr>
        <w:spacing w:after="0" w:line="148" w:lineRule="exact"/>
        <w:rPr>
          <w:sz w:val="20"/>
          <w:szCs w:val="20"/>
          <w:color w:val="auto"/>
        </w:rPr>
      </w:pPr>
    </w:p>
    <w:p>
      <w:pPr>
        <w:jc w:val="both"/>
        <w:ind w:left="200" w:right="199" w:firstLine="2095"/>
        <w:spacing w:after="0" w:line="263" w:lineRule="auto"/>
        <w:tabs>
          <w:tab w:leader="none" w:pos="282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time periods provided for in Section 5‎.5.2(b) or Section 5‎.5.2(c), as applicable, prior to the termination or Divestiture of the Competing Program, such Party shall, and shall cause its Affiliates to, implement reasonable internal safeguards to: (i) ensure that the Pre-Existing Entities (and any successor thereto) do not obtain any rights or access to, or employ or benefit from the services of any Person who has access to, the Confidential Information of the other Party or its Affiliates or any other Information generated under or in connection with this Agreement or in the Development or Manufacture of Licensed Compounds or Licensed Products; (ii) keep the Competing Program (and the personnel conducting the Competing Program) separate from such Party’s activities under this Agreement; and (iii) ensure the Competing Program is not covered by or otherwise related to and does not incorporate, reference, infringe, access or use Confidential Information of the other Party or its Affiliates, Product Information, Licensed Know-How, Licensed Patents or Joint Intellectual Property Rights (clauses (i)-(iii), “</w:t>
      </w:r>
      <w:r>
        <w:rPr>
          <w:rFonts w:ascii="Times New Roman" w:cs="Times New Roman" w:eastAsia="Times New Roman" w:hAnsi="Times New Roman"/>
          <w:sz w:val="16"/>
          <w:szCs w:val="16"/>
          <w:b w:val="1"/>
          <w:bCs w:val="1"/>
          <w:color w:val="auto"/>
        </w:rPr>
        <w:t>Firewall Procedures</w:t>
      </w:r>
      <w:r>
        <w:rPr>
          <w:rFonts w:ascii="Times New Roman" w:cs="Times New Roman" w:eastAsia="Times New Roman" w:hAnsi="Times New Roman"/>
          <w:sz w:val="16"/>
          <w:szCs w:val="16"/>
          <w:color w:val="auto"/>
        </w:rPr>
        <w:t>”).</w:t>
      </w:r>
    </w:p>
    <w:p>
      <w:pPr>
        <w:spacing w:after="0" w:line="128" w:lineRule="exact"/>
        <w:rPr>
          <w:rFonts w:ascii="Times New Roman" w:cs="Times New Roman" w:eastAsia="Times New Roman" w:hAnsi="Times New Roman"/>
          <w:sz w:val="16"/>
          <w:szCs w:val="16"/>
          <w:color w:val="auto"/>
        </w:rPr>
      </w:pPr>
    </w:p>
    <w:p>
      <w:pPr>
        <w:jc w:val="both"/>
        <w:ind w:left="200" w:right="199" w:firstLine="2095"/>
        <w:spacing w:after="0" w:line="234" w:lineRule="auto"/>
        <w:tabs>
          <w:tab w:leader="none" w:pos="28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of ACI, Takeda shall have the right, in its sole and absolute discretion, by written notice delivered to ACI (or its successor) at any time prior to the first anniversary of the closing date of such transaction, to (i) disband the JDT and terminate the activities of the JDT, (ii) require ACI to adopt Firewall Procedures to prevent disclosure of Product Information to any Pre-Existing Entities and (iii) terminate its obligation to provide Development reports, results and information pursuant to Section 3‎.7.2 and Section 3‎.3.1 (but, for clarity, Takeda shall continue to provide royalty reports pursuant to Section 8‎.5.4).</w:t>
      </w:r>
    </w:p>
    <w:p>
      <w:pPr>
        <w:spacing w:after="0" w:line="144"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5.5.3. Acknowledgement. </w:t>
      </w:r>
      <w:r>
        <w:rPr>
          <w:rFonts w:ascii="Times New Roman" w:cs="Times New Roman" w:eastAsia="Times New Roman" w:hAnsi="Times New Roman"/>
          <w:sz w:val="18"/>
          <w:szCs w:val="18"/>
          <w:color w:val="auto"/>
        </w:rPr>
        <w:t>Both Parties acknowledge and agree that (a) Section 5‎.5.1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negotiated by the Parties, (b) the geographical and time limitations on activities set forth in Section 5‎.5.1 are reasonable, valid and necessary in light of the Parties’ circumstances and necessary for the adequate protection of the business of the Licensed Compounds and Licensed Products and (c) neither Party would have entered into this Agreement without the protection afforded it by Section 5‎.5.1. If, notwithstanding the foregoing, a court of competent jurisdiction determines that the restrictions set forth in Section 5‎.5.1 are too broad or otherwise unreasonable (for example, due to a change in circumstance) under Applicable Law,</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43" w:name="page44"/>
    <w:bookmarkEnd w:id="43"/>
    <w:p>
      <w:pPr>
        <w:jc w:val="both"/>
        <w:ind w:left="200" w:right="219"/>
        <w:spacing w:after="0"/>
        <w:rPr>
          <w:sz w:val="20"/>
          <w:szCs w:val="20"/>
          <w:color w:val="auto"/>
        </w:rPr>
      </w:pPr>
      <w:r>
        <w:rPr>
          <w:rFonts w:ascii="Times New Roman" w:cs="Times New Roman" w:eastAsia="Times New Roman" w:hAnsi="Times New Roman"/>
          <w:sz w:val="18"/>
          <w:szCs w:val="18"/>
          <w:color w:val="auto"/>
        </w:rPr>
        <w:t>including with respect to duration, geographic scope or space, the court is hereby requested and authorized by the Parties to, and if the court cannot do so the Parties shall, revise Section 5‎.5.1 to include the maximum restrictions allowable under Applicable Law.</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5.6.</w:t>
        <w:tab/>
        <w:t xml:space="preserve">Existing Agreements; Product Agreements.  </w:t>
      </w:r>
      <w:r>
        <w:rPr>
          <w:rFonts w:ascii="Times New Roman" w:cs="Times New Roman" w:eastAsia="Times New Roman" w:hAnsi="Times New Roman"/>
          <w:sz w:val="18"/>
          <w:szCs w:val="18"/>
          <w:color w:val="auto"/>
        </w:rPr>
        <w:t>ACI shall not, and shall cause its Affiliates not to,</w:t>
      </w:r>
    </w:p>
    <w:p>
      <w:pPr>
        <w:spacing w:after="0" w:line="12" w:lineRule="exact"/>
        <w:rPr>
          <w:sz w:val="20"/>
          <w:szCs w:val="20"/>
          <w:color w:val="auto"/>
        </w:rPr>
      </w:pPr>
    </w:p>
    <w:p>
      <w:pPr>
        <w:jc w:val="both"/>
        <w:ind w:left="200" w:right="199" w:hanging="7"/>
        <w:spacing w:after="0" w:line="258" w:lineRule="auto"/>
        <w:tabs>
          <w:tab w:leader="none" w:pos="45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subsequent agreement or understanding with any Third Party to an Existing Agreement that modifies, amends or terminates any such Existing Agreement, or waives any right or obligation thereunder, in each case, in any manner that would adversely affect in any respect Takeda’s rights or interests under this Agreement or would impose any material obligation on Takeda (including in the event Takeda exercises the Option) or (b) enter into any new agreements with a Third Party (including any agreement with any Third Party manufacturer) to the extent relating to the Development, Manufacture or Commercialization of any Licensed Compound or Licensed Product (excluding any in-license agreements pursuant to which ACI solely obtains a license or other rights to a Third Party Right and does not otherwise collaborate with, or perform or receive services or goods from, such Third Party with respect to the Development, Manufacture or Commercialization of any Licensed Compound or Licensed Product under such agreement) (each, a “</w:t>
      </w:r>
      <w:r>
        <w:rPr>
          <w:rFonts w:ascii="Times New Roman" w:cs="Times New Roman" w:eastAsia="Times New Roman" w:hAnsi="Times New Roman"/>
          <w:sz w:val="16"/>
          <w:szCs w:val="16"/>
          <w:b w:val="1"/>
          <w:bCs w:val="1"/>
          <w:color w:val="auto"/>
        </w:rPr>
        <w:t>Product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in each case ((a) and (b)), without Takeda’s prior written consent. ACI shall not, and shall cause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Affiliates not to, commit any acts or permit the occurrence of any omissions that would cause breach or termination of any of its Existing Agreements or Product Agreements where such breach or termination would adversely affect in any respect Takeda’s rights or interests under this Agreement or impose any material obligation on Takeda (including in the event Takeda exercises the Option). ACI shall promptly provide Takeda with notice of any alleged, threatened or actual breach of any Existing Agreement or Product Agreement. Prior to entering into a new Product Agreement, ACI shall consult with Takeda and provide a reasonably detailed explanation of the relevance of such agreement and the expected terms thereof, and ACI shall ensure that the terms of such agreement are consistent with this Agreement. Upon Takeda’s written request, ACI shall promptly provide Takeda with notice and a true and complete copy of each such Product Agreement entered into by ACI or any of its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ACI shall be permitted to redact from such Product Agreement any information that is not required for Takeda to determine ACI’s compliance with this Agreement.</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6"/>
          <w:szCs w:val="16"/>
          <w:b w:val="1"/>
          <w:bCs w:val="1"/>
          <w:color w:val="auto"/>
        </w:rPr>
        <w:t>Supply of Licensed Products and Materials.</w:t>
      </w:r>
    </w:p>
    <w:p>
      <w:pPr>
        <w:spacing w:after="0" w:line="165"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color w:val="auto"/>
        </w:rPr>
        <w:t>ACI shall be solely responsible, at its sole cost and expense (except as set forth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6‎.1.2 and Section 6‎.1.3), for manufacturing or having manufactured quantities of Licensed Compounds and Licensed Products and placebo as may be required for ACI’s performance of Development activities and CMC Development activities set forth in the Development Plan and CMC Development Plan.</w:t>
      </w:r>
    </w:p>
    <w:p>
      <w:pPr>
        <w:spacing w:after="0" w:line="146" w:lineRule="exact"/>
        <w:rPr>
          <w:sz w:val="20"/>
          <w:szCs w:val="20"/>
          <w:color w:val="auto"/>
        </w:rPr>
      </w:pPr>
    </w:p>
    <w:p>
      <w:pPr>
        <w:jc w:val="both"/>
        <w:ind w:left="200" w:right="219" w:firstLine="1576"/>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6.1.2. </w:t>
      </w:r>
      <w:r>
        <w:rPr>
          <w:rFonts w:ascii="Times New Roman" w:cs="Times New Roman" w:eastAsia="Times New Roman" w:hAnsi="Times New Roman"/>
          <w:sz w:val="16"/>
          <w:szCs w:val="16"/>
          <w:color w:val="auto"/>
        </w:rPr>
        <w:t>Prior to the Option Effective Date, ACI shall provide to Takeda (a) the materials set forth on</w:t>
      </w:r>
      <w:r>
        <w:rPr>
          <w:rFonts w:ascii="Times New Roman" w:cs="Times New Roman" w:eastAsia="Times New Roman" w:hAnsi="Times New Roman"/>
          <w:sz w:val="16"/>
          <w:szCs w:val="16"/>
          <w:b w:val="1"/>
          <w:bCs w:val="1"/>
          <w:color w:val="auto"/>
        </w:rPr>
        <w:t xml:space="preserve"> Schedule 6‎.1.2 </w:t>
      </w:r>
      <w:r>
        <w:rPr>
          <w:rFonts w:ascii="Times New Roman" w:cs="Times New Roman" w:eastAsia="Times New Roman" w:hAnsi="Times New Roman"/>
          <w:sz w:val="16"/>
          <w:szCs w:val="16"/>
          <w:color w:val="auto"/>
        </w:rPr>
        <w:t>at ACI’s sole cost and expense, and (b) any other materials (including Licensed Compounds,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Products and intermediates or components thereof) as Takeda may reasonably request in writing to complete Takeda’s CMC Development activities in accordance with the CMC Development Plan, at Takeda’s sole cost and expense,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44" w:name="page45"/>
    <w:bookmarkEnd w:id="44"/>
    <w:p>
      <w:pPr>
        <w:ind w:left="200" w:right="219"/>
        <w:spacing w:after="0" w:line="252" w:lineRule="auto"/>
        <w:rPr>
          <w:sz w:val="20"/>
          <w:szCs w:val="20"/>
          <w:color w:val="auto"/>
        </w:rPr>
      </w:pPr>
      <w:r>
        <w:rPr>
          <w:rFonts w:ascii="Times New Roman" w:cs="Times New Roman" w:eastAsia="Times New Roman" w:hAnsi="Times New Roman"/>
          <w:sz w:val="18"/>
          <w:szCs w:val="18"/>
          <w:color w:val="auto"/>
        </w:rPr>
        <w:t>solely to the extent such other materials are in ACI’s possession or control, or that ACI has the right to request from a Third Party under a Product Agreement, at the time of such request.</w:t>
      </w:r>
    </w:p>
    <w:p>
      <w:pPr>
        <w:spacing w:after="0" w:line="1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 xml:space="preserve">6.1.3.  </w:t>
      </w:r>
      <w:r>
        <w:rPr>
          <w:rFonts w:ascii="Times New Roman" w:cs="Times New Roman" w:eastAsia="Times New Roman" w:hAnsi="Times New Roman"/>
          <w:sz w:val="16"/>
          <w:szCs w:val="16"/>
          <w:color w:val="auto"/>
        </w:rPr>
        <w:t>If the Option Effective Date occurs, Takeda shall reimburse ACI for any quantities of ACI-</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24.060 Manufactured by or on behalf of ACI using the Phase 3 Process that are administered to patients in a Phase 3 Trial</w:t>
      </w:r>
    </w:p>
    <w:p>
      <w:pPr>
        <w:spacing w:after="0" w:line="13" w:lineRule="exact"/>
        <w:rPr>
          <w:sz w:val="20"/>
          <w:szCs w:val="20"/>
          <w:color w:val="auto"/>
        </w:rPr>
      </w:pPr>
    </w:p>
    <w:p>
      <w:pPr>
        <w:jc w:val="both"/>
        <w:ind w:left="200" w:right="219" w:hanging="7"/>
        <w:spacing w:after="0" w:line="231" w:lineRule="auto"/>
        <w:tabs>
          <w:tab w:leader="none" w:pos="6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end of any Calendar Quarter in which any such quantities of ACI-24.060 are administered to patients in a Phase 3 Trial, Takeda shall provide written notice to ACI of such quantities, and ACI shall submit an invoice promptly, but no more than [***], following receipt of such notice from Takeda, which amount shall be payable [***] after the receipt by Takeda of a valid invoice.</w:t>
      </w:r>
    </w:p>
    <w:p>
      <w:pPr>
        <w:spacing w:after="0" w:line="144" w:lineRule="exact"/>
        <w:rPr>
          <w:sz w:val="20"/>
          <w:szCs w:val="20"/>
          <w:color w:val="auto"/>
        </w:rPr>
      </w:pPr>
    </w:p>
    <w:p>
      <w:pPr>
        <w:jc w:val="both"/>
        <w:ind w:left="200" w:right="199" w:firstLine="157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6.1.4. </w:t>
      </w:r>
      <w:r>
        <w:rPr>
          <w:rFonts w:ascii="Times New Roman" w:cs="Times New Roman" w:eastAsia="Times New Roman" w:hAnsi="Times New Roman"/>
          <w:sz w:val="16"/>
          <w:szCs w:val="16"/>
          <w:color w:val="auto"/>
        </w:rPr>
        <w:t>From and after the Option Effective Date, until the earlier of (a) the date on which all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following have occurred: [***] and (b) the last dosing of the last patient in the Phase 3 Trial with any Licensed Product Manufactured using the Phase 3 Process, as and to the extent requested by Takeda in writing, ACI shall supply clinical quantities of the Licensed Compounds and Licensed Products Manufactured using the Phase 3 Process for use by Takeda in the Development of Licensed Products;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ACI shall not be responsible for any clinical supply in excess of</w:t>
      </w:r>
    </w:p>
    <w:p>
      <w:pPr>
        <w:spacing w:after="0" w:line="3" w:lineRule="exact"/>
        <w:rPr>
          <w:sz w:val="20"/>
          <w:szCs w:val="20"/>
          <w:color w:val="auto"/>
        </w:rPr>
      </w:pPr>
    </w:p>
    <w:p>
      <w:pPr>
        <w:jc w:val="both"/>
        <w:ind w:left="200" w:right="199" w:hanging="7"/>
        <w:spacing w:after="0" w:line="230" w:lineRule="auto"/>
        <w:tabs>
          <w:tab w:leader="none" w:pos="6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Option Exercise Date, Takeda and ACI shall negotiate in good faith the terms of an agreement for the Manufacture and supply to Takeda of the Licensed Compounds and Licensed Products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xml:space="preserve">”), which Supply Agreement shall include the terms set forth on </w:t>
      </w:r>
      <w:r>
        <w:rPr>
          <w:rFonts w:ascii="Times New Roman" w:cs="Times New Roman" w:eastAsia="Times New Roman" w:hAnsi="Times New Roman"/>
          <w:sz w:val="18"/>
          <w:szCs w:val="18"/>
          <w:b w:val="1"/>
          <w:bCs w:val="1"/>
          <w:color w:val="auto"/>
        </w:rPr>
        <w:t>Schedule 6‎.1.4</w:t>
      </w:r>
      <w:r>
        <w:rPr>
          <w:rFonts w:ascii="Times New Roman" w:cs="Times New Roman" w:eastAsia="Times New Roman" w:hAnsi="Times New Roman"/>
          <w:sz w:val="18"/>
          <w:szCs w:val="18"/>
          <w:color w:val="auto"/>
        </w:rPr>
        <w:t xml:space="preserve"> and [***] and other customary terms for supply of material to a licensee for clinical trials, including a related quality agreement, if necessary. Takeda and ACI shall use good faith efforts to execute such Supply Agreement (and any quality agreement) within [***] (which Supply Agreement would become effective on the Option Effective Date). The Supply Agreement (and any quality agreement) shall be subordinate to this Agreement.</w:t>
      </w:r>
    </w:p>
    <w:p>
      <w:pPr>
        <w:spacing w:after="0" w:line="144"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6.1.5. </w:t>
      </w:r>
      <w:r>
        <w:rPr>
          <w:rFonts w:ascii="Times New Roman" w:cs="Times New Roman" w:eastAsia="Times New Roman" w:hAnsi="Times New Roman"/>
          <w:sz w:val="18"/>
          <w:szCs w:val="18"/>
          <w:color w:val="auto"/>
        </w:rPr>
        <w:t>During any period in which ACI is required to Manufacture (or have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Licensed Compounds and Licensed Products pursuant to this Article ‎6, ACI shall Manufacture (or have Manufactured) all such Licensed Compounds and Licensed Products in accordance with Applicable Law and any applicable manufacturing and quality agreements and, for the purposes of supply to Takeda, shall only use Third Party contract manufacturers that are approved by Takeda in writing in advance (it being understood that those contract manufacturers set forth on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shall be deemed approved by Takeda as of the Effective Date). ACI represents and warrants that each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 and Licensed Product supplied to Takeda (a) will be Manufactured in accordance with Applicable Law, including current Good Manufacturing Practices, (b) will not be adulterated or misbranded under the FFDCA and may be introduced into interstate commerce pursuant to the FFDCA and (c) complies with the applicable specifications with respect thereto in the then-current IND for the Licensed Product.</w:t>
      </w:r>
    </w:p>
    <w:p>
      <w:pPr>
        <w:spacing w:after="0" w:line="144"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6.2. Manufacturing Technology Transfer. </w:t>
      </w:r>
      <w:r>
        <w:rPr>
          <w:rFonts w:ascii="Times New Roman" w:cs="Times New Roman" w:eastAsia="Times New Roman" w:hAnsi="Times New Roman"/>
          <w:sz w:val="18"/>
          <w:szCs w:val="18"/>
          <w:color w:val="auto"/>
        </w:rPr>
        <w:t>Without limiting Section 3‎.3.2 or the generality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in Section 4‎.5, promptly upon Takeda’s written request after (a) the Effective Date (subject to Takeda’s obligations in Section 3‎.3.3), (b) the Option Effective Date and (c) ACI’s completion of the CMC Development Plan where such completion has not occurred prior to the Option Effective Date, ACI shall transfer to Takeda or its designee all Licensed Know-How relating to the Manufacture of the Licensed Compounds and the Licensed Products and all intermediates and components thereof, including, for clarity, the then-current Phase 3 Process and</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45" w:name="page46"/>
    <w:bookmarkEnd w:id="45"/>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Commercial Process for the Manufacture of the Licensed Compounds and Licensed Products, as well as any improvements or enhancements to such process (the “</w:t>
      </w:r>
      <w:r>
        <w:rPr>
          <w:rFonts w:ascii="Times New Roman" w:cs="Times New Roman" w:eastAsia="Times New Roman" w:hAnsi="Times New Roman"/>
          <w:sz w:val="18"/>
          <w:szCs w:val="18"/>
          <w:b w:val="1"/>
          <w:bCs w:val="1"/>
          <w:color w:val="auto"/>
        </w:rPr>
        <w:t>Manufacturing Process</w:t>
      </w:r>
      <w:r>
        <w:rPr>
          <w:rFonts w:ascii="Times New Roman" w:cs="Times New Roman" w:eastAsia="Times New Roman" w:hAnsi="Times New Roman"/>
          <w:sz w:val="18"/>
          <w:szCs w:val="18"/>
          <w:color w:val="auto"/>
        </w:rPr>
        <w:t>”), and provide such support as may be necessary or reasonably useful to Takeda or its designee to use and practice the Manufacturing Process (such transfer and support, as more fully described in this Section 6‎.2, the “</w:t>
      </w:r>
      <w:r>
        <w:rPr>
          <w:rFonts w:ascii="Times New Roman" w:cs="Times New Roman" w:eastAsia="Times New Roman" w:hAnsi="Times New Roman"/>
          <w:sz w:val="18"/>
          <w:szCs w:val="18"/>
          <w:b w:val="1"/>
          <w:bCs w:val="1"/>
          <w:color w:val="auto"/>
        </w:rPr>
        <w:t>Manufacturing Technology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 Notwithstanding anything in this Agreement to the contrary, prior to the Option Effective Date, the use and disclosure of any portion(s) of Licensed Know-How transferred to Takeda pursuant to this Section 6‎.2 that relate(s) to the Proprietary CMC Information shall be subject to Section 3‎.3.3. Without limitation to the foregoing, in connection with each Manufacturing Technology Transfer:</w:t>
      </w:r>
    </w:p>
    <w:p>
      <w:pPr>
        <w:spacing w:after="0" w:line="148" w:lineRule="exact"/>
        <w:rPr>
          <w:sz w:val="20"/>
          <w:szCs w:val="20"/>
          <w:color w:val="auto"/>
        </w:rPr>
      </w:pPr>
    </w:p>
    <w:p>
      <w:pPr>
        <w:jc w:val="both"/>
        <w:ind w:left="200" w:right="199" w:firstLine="1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6.2.1. </w:t>
      </w:r>
      <w:r>
        <w:rPr>
          <w:rFonts w:ascii="Times New Roman" w:cs="Times New Roman" w:eastAsia="Times New Roman" w:hAnsi="Times New Roman"/>
          <w:sz w:val="16"/>
          <w:szCs w:val="16"/>
          <w:color w:val="auto"/>
        </w:rPr>
        <w:t>ACI shall make available, and shall use commercially reasonable efforts to cause its Third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manufacturers to make available, to Takeda (or its Affiliate or designated Third Party manufacturer, as applicable) from time to time as Takeda may reasonably request in writing, all Manufacturing-related Licensed Know-How, Information and materials relating to the Manufacturing Process that arise during the Term, and all documentation constituting material support, performance advice, shop practice, standard operating procedures, specifications as to materials to be used and control methods, in each case, that are reasonably necessary or useful to enable Takeda (or its Affiliate or designated Third Party manufacturer, as applicable) to use and practice the Manufacturing Process;</w:t>
      </w:r>
    </w:p>
    <w:p>
      <w:pPr>
        <w:spacing w:after="0" w:line="127"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6.2.2. </w:t>
      </w:r>
      <w:r>
        <w:rPr>
          <w:rFonts w:ascii="Times New Roman" w:cs="Times New Roman" w:eastAsia="Times New Roman" w:hAnsi="Times New Roman"/>
          <w:sz w:val="18"/>
          <w:szCs w:val="18"/>
          <w:color w:val="auto"/>
        </w:rPr>
        <w:t>Upon Takeda’s reasonable written request, ACI shall cause all appropriate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ACI and its Affiliates to meet with, and shall use commercially reasonable efforts to cause all appropriate employees and representatives of its Third Party manufacturers to meet with, employees or representatives of Takeda (or its Affiliate or designated Third Party manufacturer, as applicable) at the applicable manufacturing facility at mutually convenient times to assist with the working up and use of the Manufacturing Process and with the training of the personnel of Takeda (or its Affiliate or designated Third Party manufacturer, as applicable) to the extent reasonably necessary or useful to enable Takeda (or its Affiliate or designated Third Party manufacturer, as applicable) to use and practice the Manufacturing Process;</w:t>
      </w:r>
    </w:p>
    <w:p>
      <w:pPr>
        <w:spacing w:after="0" w:line="144"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6.2.3. </w:t>
      </w:r>
      <w:r>
        <w:rPr>
          <w:rFonts w:ascii="Times New Roman" w:cs="Times New Roman" w:eastAsia="Times New Roman" w:hAnsi="Times New Roman"/>
          <w:sz w:val="18"/>
          <w:szCs w:val="18"/>
          <w:color w:val="auto"/>
        </w:rPr>
        <w:t>Without limiting the generality of Section 6‎.2.2 above, upon Takeda’s reasonable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ACI shall cause all appropriate analytical and quality control laboratory employees and representatives of ACI and its Affiliates to meet with, and shall use commercially reasonable efforts to cause all appropriate analytical and quality control employees and representatives of its Third Party manufacturers to meet with, employees or representatives of Takeda (or its Affiliate or designated Third Party manufacturer, as applicable) at the applicable manufacturing facility and make available all necessary equipment, at mutually convenient times, to support and execute the transfer of all applicable analytical methods and the validation thereof;</w:t>
      </w:r>
    </w:p>
    <w:p>
      <w:pPr>
        <w:spacing w:after="0" w:line="147" w:lineRule="exact"/>
        <w:rPr>
          <w:sz w:val="20"/>
          <w:szCs w:val="20"/>
          <w:color w:val="auto"/>
        </w:rPr>
      </w:pPr>
    </w:p>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6.2.4. </w:t>
      </w:r>
      <w:r>
        <w:rPr>
          <w:rFonts w:ascii="Times New Roman" w:cs="Times New Roman" w:eastAsia="Times New Roman" w:hAnsi="Times New Roman"/>
          <w:sz w:val="18"/>
          <w:szCs w:val="18"/>
          <w:color w:val="auto"/>
        </w:rPr>
        <w:t>ACI shall take such steps, and shall use commercially reasonable efforts to cause its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manufacturers to take such steps, as are reasonably necessary or useful to assist in reasonable respects Takeda (or its Affiliate or designated Third Party manufacturer, as applicable) in obtaining any necessary licenses, permits or approvals from Regulatory Authorities with respect to the Manufacture of the Licensed Compounds and Licensed Products at the applicable facilities; and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46" w:name="page47"/>
    <w:bookmarkEnd w:id="46"/>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6.2.5. </w:t>
      </w:r>
      <w:r>
        <w:rPr>
          <w:rFonts w:ascii="Times New Roman" w:cs="Times New Roman" w:eastAsia="Times New Roman" w:hAnsi="Times New Roman"/>
          <w:sz w:val="18"/>
          <w:szCs w:val="18"/>
          <w:color w:val="auto"/>
        </w:rPr>
        <w:t>ACI shall provide, and shall use commercially reasonable efforts to cause its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such other assistance as Takeda (or its Affiliate or designated Third Party manufacturer, as applicable) may reasonably request in writing to enable Takeda (or its Affiliate or designated Third Party manufacturer, as applicable) to use and practice the Manufacturing Process and otherwise to Manufacture Licensed Compounds and Licensed Products.</w:t>
      </w:r>
    </w:p>
    <w:p>
      <w:pPr>
        <w:spacing w:after="0" w:line="142"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6.3. Manufacturing Improvements. </w:t>
      </w:r>
      <w:r>
        <w:rPr>
          <w:rFonts w:ascii="Times New Roman" w:cs="Times New Roman" w:eastAsia="Times New Roman" w:hAnsi="Times New Roman"/>
          <w:sz w:val="18"/>
          <w:szCs w:val="18"/>
          <w:color w:val="auto"/>
        </w:rPr>
        <w:t>Without limiting Section 6‎.2, in the event that,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Effective Date, ACI or any of its Affiliates makes any invention, discovery or improvement that is Licensed Know-How and that relates to, or that is otherwise necessary or reasonably useful for, the Manufacture of a Licensed Compound or a Licensed Product during the Term, ACI shall promptly disclose such invention, discovery or improvement to Takeda and shall, at Takeda’s written request, perform technology transfer with respect to such invention, discovery or improvement in the same manner as provided in Section 6‎.2.</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POST-OPTION DEVELOPMENT, REGULATORY AND COMMERCIALIZATION ACTIVITIES</w:t>
      </w:r>
    </w:p>
    <w:p>
      <w:pPr>
        <w:spacing w:after="0" w:line="143" w:lineRule="exact"/>
        <w:rPr>
          <w:sz w:val="20"/>
          <w:szCs w:val="20"/>
          <w:color w:val="auto"/>
        </w:rPr>
      </w:pPr>
    </w:p>
    <w:p>
      <w:pPr>
        <w:jc w:val="both"/>
        <w:ind w:left="200" w:right="199" w:firstLine="1051"/>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7.1. Rights Generally. </w:t>
      </w:r>
      <w:r>
        <w:rPr>
          <w:rFonts w:ascii="Times New Roman" w:cs="Times New Roman" w:eastAsia="Times New Roman" w:hAnsi="Times New Roman"/>
          <w:sz w:val="18"/>
          <w:szCs w:val="18"/>
          <w:color w:val="auto"/>
        </w:rPr>
        <w:t>As between the Parties, from and after the Option Effective Date,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Takeda’s obligations under Article 2,‎ Section 3‎.7.2 and Section 7‎.4 and ACI’s performance of the ACI Ongoing Activities, Takeda shall have the sole right, at its sole cost and expense, to perform all Development, Manufacture, Commercialization and other Exploitation of the Licensed Compounds and Licensed Products in the Field in the Territory and will have the sole authority and discretion to make any and all decisions (or take any and all actions) with respect thereto. Without limiting the generality of the foregoing, from and after the Option Effective Date, as between the Parties, Takeda shall have the sole right to (a) file all Regulatory Documentation for Regulatory Approval and make all other filings with the Regulatory Authorities, and to otherwise seek all Regulatory Approvals, for Licensed Products in the Territory, as well as to conduct all correspondence and communications with Regulatory Authorities regarding such matters (except as expressly set forth in Section 7‎.3), (b) report all Adverse Events to Regulatory Authorities if and to the extent required by Applicable Law and (c) invoice and book sales, establish all terms of sale (including pricing and discounts) and warehouse and distribute the Licensed Products in the Territory and perform or cause to be performed all related services.</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6"/>
          <w:szCs w:val="16"/>
          <w:b w:val="1"/>
          <w:bCs w:val="1"/>
          <w:color w:val="auto"/>
        </w:rPr>
        <w:t>Certain ACI Ongoing Activities.</w:t>
      </w:r>
    </w:p>
    <w:p>
      <w:pPr>
        <w:spacing w:after="0" w:line="165" w:lineRule="exact"/>
        <w:rPr>
          <w:sz w:val="20"/>
          <w:szCs w:val="20"/>
          <w:color w:val="auto"/>
        </w:rPr>
      </w:pPr>
    </w:p>
    <w:p>
      <w:pPr>
        <w:jc w:val="both"/>
        <w:ind w:left="200" w:right="199" w:firstLine="1576"/>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7.2.1. Development Plan and CMC Development Plan. </w:t>
      </w:r>
      <w:r>
        <w:rPr>
          <w:rFonts w:ascii="Times New Roman" w:cs="Times New Roman" w:eastAsia="Times New Roman" w:hAnsi="Times New Roman"/>
          <w:sz w:val="16"/>
          <w:szCs w:val="16"/>
          <w:color w:val="auto"/>
        </w:rPr>
        <w:t>If ACI has not completed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Plan or CMC Development Plan as of the Option Effective Date, ACI shall continue to complete the Development activities set forth in the Development Plan or the CMC Development activities set forth in the CMC Development Plan, as applicable, in accordance with Section 3‎.2 and Section 3‎.3, as applicable, unless Takeda decides (in its sole discretion but subject to Section 7‎.2.2) to assume responsibility for such activities, in which case Takeda shall provide written notice thereof to ACI, and ACI shall transfer such activities to Takeda in accordance with Section 4‎.5.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47" w:name="page48"/>
    <w:bookmarkEnd w:id="47"/>
    <w:p>
      <w:pPr>
        <w:ind w:left="1760"/>
        <w:spacing w:after="0"/>
        <w:rPr>
          <w:sz w:val="20"/>
          <w:szCs w:val="20"/>
          <w:color w:val="auto"/>
        </w:rPr>
      </w:pPr>
      <w:r>
        <w:rPr>
          <w:rFonts w:ascii="Times New Roman" w:cs="Times New Roman" w:eastAsia="Times New Roman" w:hAnsi="Times New Roman"/>
          <w:sz w:val="18"/>
          <w:szCs w:val="18"/>
          <w:b w:val="1"/>
          <w:bCs w:val="1"/>
          <w:color w:val="auto"/>
        </w:rPr>
        <w:t>7.2.2.  Phase 1b/2 Trial.</w:t>
      </w:r>
    </w:p>
    <w:p>
      <w:pPr>
        <w:spacing w:after="0" w:line="167" w:lineRule="exact"/>
        <w:rPr>
          <w:sz w:val="20"/>
          <w:szCs w:val="20"/>
          <w:color w:val="auto"/>
        </w:rPr>
      </w:pPr>
    </w:p>
    <w:p>
      <w:pPr>
        <w:jc w:val="both"/>
        <w:ind w:left="200" w:right="199" w:firstLine="2095"/>
        <w:spacing w:after="0" w:line="260" w:lineRule="auto"/>
        <w:tabs>
          <w:tab w:leader="none" w:pos="282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7‎.3, from and after the Option Effective Date, (i) ACI shall continue to conduct the Phase 1b/2 Trial globally, including in the U.S., in accordance with the Development Plan and the protocol and statistical analysis plan with respect thereto, at ACI’s sole cost and expense (subject to Section 2.6.2(b)(ii), the remainder of this Section 7‎.2.2 and the penultimate paragraph of Section 8‎.3) through completion thereof (including any survival follow-up) and (ii) ACI shall conduct the Phase 1b/2 Trial under the direction of and in accordance with all written instructions of Takeda;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each case ((i) and (ii)), if (x) Takeda determines, in its reasonable discretion, that ACI is not going to complete the Phase 1b/2 Trial (globally or on a country-by-country basis) within the timelines set forth in the Development Plan, Takeda shall notify the JDT of such determination and the JDT shall determine whether Takeda should, on a country-by-country basis, assume control of such Phase 1b/2 Trial in the applicable country(ies) at Takeda’s sole cost and expense or (y) Takeda requires control of the Phase 1b/2 Trial globally for regulatory reasons, Takeda shall have the right, on a country-by-country basis, unless expressly prohibited any Regulatory Authority in the applicable country, on written notice to ACI, to assume control of such Phase 1b/2 Trial in the applicable country(ies) at Takeda’s sole cost and expense. In the event Takeda assumes control of the Phase 1b/2 Trial in accordance with this Section 7‎.2.2(a), ACI shall transfer to Takeda sponsorship and control of the Phase 1b/2 Trial in the applicable country(ies);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ACI shall continue to conduct such Phase 1b/2 Trial, at Takeda’s sole cost and expense and under the direction of and in accordance with all written instructions of Takeda, for up to [***] to enable such transfer to be completed without interruption;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if any such transfer is expressly prohibited by the applicable Regulatory Authority, ACI or its Affiliates shall continue to conduct such clinical trial to completion, at Takeda’s sole cost and expense, under the direction of and in accordance with all written instructions of Takeda.</w:t>
      </w:r>
    </w:p>
    <w:p>
      <w:pPr>
        <w:spacing w:after="0" w:line="330" w:lineRule="exact"/>
        <w:rPr>
          <w:rFonts w:ascii="Times New Roman" w:cs="Times New Roman" w:eastAsia="Times New Roman" w:hAnsi="Times New Roman"/>
          <w:sz w:val="16"/>
          <w:szCs w:val="16"/>
          <w:color w:val="auto"/>
        </w:rPr>
      </w:pPr>
    </w:p>
    <w:p>
      <w:pPr>
        <w:jc w:val="both"/>
        <w:ind w:left="200" w:right="199" w:firstLine="2095"/>
        <w:spacing w:after="0" w:line="235" w:lineRule="auto"/>
        <w:tabs>
          <w:tab w:leader="none" w:pos="282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(i) promptly after the Option Exercise Date, the Parties shall negotiate in good faith a clinical trial plan, consistent with Takeda’s standard practices, pursuant to which ACI would, following the Option Effective Date, complete the Phase 1b/2 Trial on behalf of Takeda, and (ii) ACI shall not modify, amend or terminate any Product Agreement with respect to the conduct of the Phase 1b/2 Trial, or waive any right or obligation thereunder, without Takeda’s prior written consent.</w:t>
      </w:r>
    </w:p>
    <w:p>
      <w:pPr>
        <w:spacing w:after="0" w:line="145" w:lineRule="exact"/>
        <w:rPr>
          <w:sz w:val="20"/>
          <w:szCs w:val="20"/>
          <w:color w:val="auto"/>
        </w:rPr>
      </w:pPr>
    </w:p>
    <w:p>
      <w:pPr>
        <w:jc w:val="both"/>
        <w:ind w:left="200" w:right="219" w:firstLine="1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7.2.3. Additional Activities. </w:t>
      </w:r>
      <w:r>
        <w:rPr>
          <w:rFonts w:ascii="Times New Roman" w:cs="Times New Roman" w:eastAsia="Times New Roman" w:hAnsi="Times New Roman"/>
          <w:sz w:val="16"/>
          <w:szCs w:val="16"/>
          <w:color w:val="auto"/>
        </w:rPr>
        <w:t>If, at any point from and after the Option Effective Date until receipt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Regulatory Approval in the U.S. for the first Licensed Product, Takeda reasonably believes that (a) additional pre-clinical Development support is necessary or important for the success of a Licensed Compound or Licensed Product and</w:t>
      </w:r>
    </w:p>
    <w:p>
      <w:pPr>
        <w:spacing w:after="0" w:line="1" w:lineRule="exact"/>
        <w:rPr>
          <w:sz w:val="20"/>
          <w:szCs w:val="20"/>
          <w:color w:val="auto"/>
        </w:rPr>
      </w:pPr>
    </w:p>
    <w:p>
      <w:pPr>
        <w:jc w:val="both"/>
        <w:ind w:left="200" w:right="199" w:hanging="7"/>
        <w:spacing w:after="0" w:line="230" w:lineRule="auto"/>
        <w:tabs>
          <w:tab w:leader="none" w:pos="4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pre-clinical Development would not require re-performance of phase 1 clinical trials with respect to the Licensed Products, at Takeda’s written request, ACI shall perform such additional pre-clinical Development work. If Takeda requests any such support, the Parties shall promptly and in good faith negotiate a plan and budget of [***] to be incurred by or on behalf of ACI in the performance of such support without mark-up, and Takeda shall reimburse ACI for its [***] incurred in accordance with such plan and budget.</w:t>
      </w:r>
    </w:p>
    <w:p>
      <w:pPr>
        <w:spacing w:after="0" w:line="146" w:lineRule="exact"/>
        <w:rPr>
          <w:sz w:val="20"/>
          <w:szCs w:val="20"/>
          <w:color w:val="auto"/>
        </w:rPr>
      </w:pPr>
    </w:p>
    <w:p>
      <w:pPr>
        <w:ind w:left="200" w:right="199" w:firstLine="157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7.2.4. Future Non-Clinical Development. </w:t>
      </w:r>
      <w:r>
        <w:rPr>
          <w:rFonts w:ascii="Times New Roman" w:cs="Times New Roman" w:eastAsia="Times New Roman" w:hAnsi="Times New Roman"/>
          <w:sz w:val="18"/>
          <w:szCs w:val="18"/>
          <w:color w:val="auto"/>
        </w:rPr>
        <w:t>From and after the Option Effective Date, if ACI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desires to perform any non-clinical Development activities with respect to</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48" w:name="page49"/>
    <w:bookmarkEnd w:id="48"/>
    <w:p>
      <w:pPr>
        <w:jc w:val="both"/>
        <w:ind w:left="200" w:right="199"/>
        <w:spacing w:after="0" w:line="229" w:lineRule="auto"/>
        <w:rPr>
          <w:sz w:val="20"/>
          <w:szCs w:val="20"/>
          <w:color w:val="auto"/>
        </w:rPr>
      </w:pPr>
      <w:r>
        <w:rPr>
          <w:rFonts w:ascii="Times New Roman" w:cs="Times New Roman" w:eastAsia="Times New Roman" w:hAnsi="Times New Roman"/>
          <w:sz w:val="18"/>
          <w:szCs w:val="18"/>
          <w:color w:val="auto"/>
        </w:rPr>
        <w:t>the Licensed Compounds or Licensed Products in the Territory that are not set forth in the then-current Development Plan (if applicable), then ACI shall provide to the JDT (or, after disbandment of the JDT, to Takeda) a reasonably detailed written proposal with respect to such non-clinical Development activities, which proposal shall include (a) the non-clinical Development activities to be conducted, (b) an analysis of the scientific or business opportunity for such non-clinical Development activities and (c) any other information as may be necessary or reasonably useful to evaluate such proposal or as Takeda may otherwise reasonably request (an “</w:t>
      </w:r>
      <w:r>
        <w:rPr>
          <w:rFonts w:ascii="Times New Roman" w:cs="Times New Roman" w:eastAsia="Times New Roman" w:hAnsi="Times New Roman"/>
          <w:sz w:val="18"/>
          <w:szCs w:val="18"/>
          <w:b w:val="1"/>
          <w:bCs w:val="1"/>
          <w:color w:val="auto"/>
        </w:rPr>
        <w:t>Additional Development Proposal</w:t>
      </w:r>
      <w:r>
        <w:rPr>
          <w:rFonts w:ascii="Times New Roman" w:cs="Times New Roman" w:eastAsia="Times New Roman" w:hAnsi="Times New Roman"/>
          <w:sz w:val="18"/>
          <w:szCs w:val="18"/>
          <w:color w:val="auto"/>
        </w:rPr>
        <w:t xml:space="preserve">”). Within [***] after the JDT’s (or, after disbandment of the JDT, Takeda’s) receipt of such Additional Development Proposal (including the budget and allocation of costs with respect to such proposal), the JDT (or Takeda, as applicable) shall review and discuss such Additional Development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Takeda shall have the sole right to determine whether to approve ACI’s conduct of such proposed non-clinical Development activities (and such determination, for clarity, shall not be a JDT determination or subject to Section 2‎.6). From and after the Option Effective Date, ACI shall have the right to conduct any such non-clinical Development activities approved by Takeda, and ACI shall conduct any such activities in accordance with the Additional Development Proposal and any changes to the Additional Development Proposal shall be submitted to the JDT (or, after disbandment of the JDT, to Takeda) for the JDT’s (or Takeda’s, as applicable) review and Takeda’s approval. From and after the Option Effective Date, ACI shall perform, or cause to be performed, all non-clinical Development activities under any Additional Development Proposal in good scientific manner and in compliance with all Applicable Law and by allocating sufficient time, effort, equipment and skilled personnel to complete such non-clinical Development activities in accordance with the applicable Additional Development Proposal. From and after the Option Effective Date, ACI shall not initiate or perform any such non-clinical Development activities with respect to the Licensed Compounds or Licensed Products in the Territory unless and to the extent that Takeda approves an Additional Development Proposal with respect thereto in accordance with this Section 7‎.2.4 (it being understood that following the disbandment of the JDT such Additional Development Proposal shall be reviewed and discussed with Takeda and shall remain subject to Takeda approval).</w:t>
      </w:r>
    </w:p>
    <w:p>
      <w:pPr>
        <w:spacing w:after="0" w:line="162" w:lineRule="exact"/>
        <w:rPr>
          <w:sz w:val="20"/>
          <w:szCs w:val="20"/>
          <w:color w:val="auto"/>
        </w:rPr>
      </w:pPr>
    </w:p>
    <w:p>
      <w:pPr>
        <w:jc w:val="both"/>
        <w:ind w:left="200" w:right="199" w:firstLine="157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7.2.5. Performance. </w:t>
      </w:r>
      <w:r>
        <w:rPr>
          <w:rFonts w:ascii="Times New Roman" w:cs="Times New Roman" w:eastAsia="Times New Roman" w:hAnsi="Times New Roman"/>
          <w:sz w:val="18"/>
          <w:szCs w:val="18"/>
          <w:color w:val="auto"/>
        </w:rPr>
        <w:t>For clarity, the provisions of Section 3‎.2.1, Section 3‎.4, Section 3‎.6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3‎.7 shall apply to ACI’s performance of any activities under this Section 7‎.2.</w:t>
      </w:r>
    </w:p>
    <w:p>
      <w:pPr>
        <w:spacing w:after="0" w:line="129"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6"/>
          <w:szCs w:val="16"/>
          <w:b w:val="1"/>
          <w:bCs w:val="1"/>
          <w:color w:val="auto"/>
        </w:rPr>
        <w:t>Regulatory.</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7.3.1.  Regulatory Documentation; Regulatory Support.  </w:t>
      </w:r>
      <w:r>
        <w:rPr>
          <w:rFonts w:ascii="Times New Roman" w:cs="Times New Roman" w:eastAsia="Times New Roman" w:hAnsi="Times New Roman"/>
          <w:sz w:val="18"/>
          <w:szCs w:val="18"/>
          <w:color w:val="auto"/>
        </w:rPr>
        <w:t>From and after the Option Effective</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w:t>
      </w:r>
    </w:p>
    <w:p>
      <w:pPr>
        <w:spacing w:after="0" w:line="145" w:lineRule="exact"/>
        <w:rPr>
          <w:sz w:val="20"/>
          <w:szCs w:val="20"/>
          <w:color w:val="auto"/>
        </w:rPr>
      </w:pPr>
    </w:p>
    <w:p>
      <w:pPr>
        <w:jc w:val="both"/>
        <w:ind w:left="200" w:right="199" w:firstLine="2095"/>
        <w:spacing w:after="0" w:line="235" w:lineRule="auto"/>
        <w:tabs>
          <w:tab w:leader="none" w:pos="28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except as expressly set forth in this Section 7‎.3, Takeda shall have the sole right to prepare, obtain and maintain all Regulatory Documentation (including the IND for the Phase 1b/2 Trial in the U.S., all Drug Approval Applications and Regulatory Approvals) and to prepare other submissions to, and conduct communications with, all Regulatory Authorities, in each case, for the Licensed Compounds and Licensed Products in the Territory, including the setting of the overall regulatory strategy therefor;</w:t>
      </w:r>
    </w:p>
    <w:p>
      <w:pPr>
        <w:spacing w:after="0" w:line="146" w:lineRule="exact"/>
        <w:rPr>
          <w:rFonts w:ascii="Times New Roman" w:cs="Times New Roman" w:eastAsia="Times New Roman" w:hAnsi="Times New Roman"/>
          <w:sz w:val="18"/>
          <w:szCs w:val="18"/>
          <w:color w:val="auto"/>
        </w:rPr>
      </w:pPr>
    </w:p>
    <w:p>
      <w:pPr>
        <w:ind w:left="200" w:right="219" w:firstLine="2095"/>
        <w:spacing w:after="0" w:line="252" w:lineRule="auto"/>
        <w:tabs>
          <w:tab w:leader="none" w:pos="28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Regulatory Documentation (including all Drug Approval Applications and Regulatory Approvals) relating to the Licensed Compounds or</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49" w:name="page50"/>
    <w:bookmarkEnd w:id="49"/>
    <w:p>
      <w:pPr>
        <w:jc w:val="both"/>
        <w:ind w:left="200" w:right="199"/>
        <w:spacing w:after="0" w:line="230" w:lineRule="auto"/>
        <w:rPr>
          <w:sz w:val="20"/>
          <w:szCs w:val="20"/>
          <w:color w:val="auto"/>
        </w:rPr>
      </w:pPr>
      <w:r>
        <w:rPr>
          <w:rFonts w:ascii="Times New Roman" w:cs="Times New Roman" w:eastAsia="Times New Roman" w:hAnsi="Times New Roman"/>
          <w:sz w:val="18"/>
          <w:szCs w:val="18"/>
          <w:color w:val="auto"/>
        </w:rPr>
        <w:t xml:space="preserve">Licensed Products with respect to the Territory developed or granted after the Option Effective Date shall, as between the Parties, be owned by and shall be the sole property and held in the name of Takeda and (ii) without limiting Section 4‎.5, effective upon the Option Effective Date, ACI and its Affiliates hereby assign to Takeda all of their right, title and interest in and to all Regulatory Documentation (including such Regulatory Approvals) owned or controlled by ACI or its Affiliates that is in existence as of the Option Effective Date or that is developed or granted thereafter (including all Existing Regulatory Documentation (including any existing Regulatory Approvals)) with respect to the Territory;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until the earlier of completion of the Phase 1b/2 Trial in each country outside of the U.S. in which such trial is conducted and the date on which Takeda assumes control of the Phase 1b/2 Trial in such country in accordance with Section 7‎.2.2, on a country-by-country basis, ACI shall continue to hold the IND for the Phase 1b/2 Trial, and effective upon the earlier of such completion in a country and the date of Takeda so assuming control (which, for the avoidance of doubt, shall be no earlier than the Option Effective Date), ACI and its Affiliates shall, and hereby do, assign to Takeda all of their right, title and interest in and to such INDs. From and after the Option Effective Date, ACI shall duly execute and deliver such instruments and shall do and cause to be done such acts and things, including the filing of such assignments, agreements and instruments, as may be necessary or as Takeda may reasonably request in writing to confirm Takeda’s rights under, this Section 7‎.3.1;</w:t>
      </w:r>
    </w:p>
    <w:p>
      <w:pPr>
        <w:spacing w:after="0" w:line="155" w:lineRule="exact"/>
        <w:rPr>
          <w:sz w:val="20"/>
          <w:szCs w:val="20"/>
          <w:color w:val="auto"/>
        </w:rPr>
      </w:pPr>
    </w:p>
    <w:p>
      <w:pPr>
        <w:jc w:val="both"/>
        <w:ind w:left="200" w:right="199" w:firstLine="2095"/>
        <w:spacing w:after="0" w:line="261" w:lineRule="auto"/>
        <w:tabs>
          <w:tab w:leader="none" w:pos="28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solely with respect to the conduct of the Phase 1b/2 Trial in any country of the Territory outside of the U.S. (unless and until Takeda assumes control of the Phase 1b/2 Trial in such country pursuant to Section 7‎.2.2), (i) ACI shall have the right to maintain the IND(s) with respect to such Phase 1b/2 Trial and other Regulatory Documentation and other submissions to Regulatory Authorities in each country of the Territory outside of the U.S. in connection therewith;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ACI shall provide Takeda with all such Regulatory Documentation and submissions sufficiently (but in any event at [***] in advance of the finalization or submission thereof for Takeda’s review and approval and (ii) ACI shall provide Takeda with prior written notice of any scheduled meeting, conference or discussion (including any advisory committee meeting) with a Regulatory Authority with respect to such Phase 1b/2 Trial within [***] after ACI or its Affiliate first receives notice of the scheduling of such meeting, conference or discussion (or, to the extent reasonably practicable, within such shorter period as may be necessary in order to give Takeda a reasonable opportunity to attend such meeting, conference or discussion), and Takeda shall have the right to have [***] attend and participate in all such meetings, conferences and discussions (including by telephone) (and ACI shall promptly provide Takeda with copies of preliminary feedback and meeting minutes from any Regulatory Authority); and</w:t>
      </w:r>
    </w:p>
    <w:p>
      <w:pPr>
        <w:spacing w:after="0" w:line="335" w:lineRule="exact"/>
        <w:rPr>
          <w:rFonts w:ascii="Times New Roman" w:cs="Times New Roman" w:eastAsia="Times New Roman" w:hAnsi="Times New Roman"/>
          <w:sz w:val="16"/>
          <w:szCs w:val="16"/>
          <w:color w:val="auto"/>
        </w:rPr>
      </w:pPr>
    </w:p>
    <w:p>
      <w:pPr>
        <w:jc w:val="both"/>
        <w:ind w:left="200" w:right="199" w:firstLine="2095"/>
        <w:spacing w:after="0" w:line="233" w:lineRule="auto"/>
        <w:tabs>
          <w:tab w:leader="none" w:pos="28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Takeda’s written request, the Parties shall cooperate to discuss, prepare and review any regulatory filings in connection with the Licensed Compounds or Licensed Products. Without limiting the foregoing, from and after the Option Effective Date, ACI shall support Takeda, as may be reasonably requested by Takeda in writing, in obtaining Regulatory Approvals for the Licensed Products, including providing any documents or other materials as may be necessary or reasonably useful for Takeda to obtain and maintain Regulatory Approvals for the Licensed Products and attending meetings with Regulatory Authorities with respect thereto, at ACI’s sole cost and expense.</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0" w:name="page51"/>
    <w:bookmarkEnd w:id="50"/>
    <w:p>
      <w:pPr>
        <w:jc w:val="both"/>
        <w:ind w:left="200" w:right="199" w:firstLine="1576"/>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7.3.2. Recalls, Suspensions or Withdrawals. </w:t>
      </w:r>
      <w:r>
        <w:rPr>
          <w:rFonts w:ascii="Times New Roman" w:cs="Times New Roman" w:eastAsia="Times New Roman" w:hAnsi="Times New Roman"/>
          <w:sz w:val="16"/>
          <w:szCs w:val="16"/>
          <w:color w:val="auto"/>
        </w:rPr>
        <w:t>As between the Parties, from and after the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Effective Date, Takeda shall have the sole right to make all determinations with respect to, and to implement, any recall, market suspension or market withdrawal with respect to a Licensed Product in the Territory. ACI shall, and shall cause its Affiliates to, cooperate in any recalls, market suspensions or market withdrawals undertaken pursuant to this Section ‎7.3.2. Subject to Article ‎12, Takeda shall be solely responsible for any and all costs of any such recall, market suspension or market withdrawal in the Territory, except in the event and to the extent that a recall, market suspension or market withdrawal resulted from (a) any inventory of Licensed Compounds and Licensed Products (including intermediates and components thereof and material therefor) transferred or supplied by ACI to Takeda pursuant to Section ‎4.5.5 or Section ‎6.1; or (b) ACI’s or its Affiliate’s breach of its obligations hereunder or from ACI’s or its Affiliate’s fraud, negligence or willful misconduct, in which case ((a) and (b)), ACI shall bear the costs and expenses of such recall, market suspension or market withdrawal (for clarity, only to the extent resulting from clause (a) or clause (b)).</w:t>
      </w:r>
    </w:p>
    <w:p>
      <w:pPr>
        <w:spacing w:after="0" w:line="32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6"/>
          <w:szCs w:val="16"/>
          <w:b w:val="1"/>
          <w:bCs w:val="1"/>
          <w:color w:val="auto"/>
        </w:rPr>
        <w:t xml:space="preserve">Diligence. </w:t>
      </w:r>
      <w:r>
        <w:rPr>
          <w:rFonts w:ascii="Times New Roman" w:cs="Times New Roman" w:eastAsia="Times New Roman" w:hAnsi="Times New Roman"/>
          <w:sz w:val="16"/>
          <w:szCs w:val="16"/>
          <w:color w:val="auto"/>
        </w:rPr>
        <w:t>Takeda shall use Commercially Reasonable Efforts to [***]</w:t>
      </w:r>
    </w:p>
    <w:p>
      <w:pPr>
        <w:spacing w:after="0" w:line="165"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7.5. Subcontracting. </w:t>
      </w:r>
      <w:r>
        <w:rPr>
          <w:rFonts w:ascii="Times New Roman" w:cs="Times New Roman" w:eastAsia="Times New Roman" w:hAnsi="Times New Roman"/>
          <w:sz w:val="18"/>
          <w:szCs w:val="18"/>
          <w:color w:val="auto"/>
        </w:rPr>
        <w:t>Takeda shall have the right to subcontract any of its Development,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Commercialization activities to a Third Party. Takeda shall (a) be responsible for the acts and omissions of its subcontractors and (b) ensure that its Third Party subcontractors comply with the applicable terms and conditions of this Agreement, including Article 10‎. For the avoidance of doubt, (x) Takeda shall remain directly responsible for all of its obligations under this Agreement, notwithstanding any subcontracting arrangement hereunder, and (y) use of a subcontractor shall not relieve or release Takeda from, or modify, any obligations of Takeda under this Agreement.</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AND RECORDS</w:t>
      </w:r>
    </w:p>
    <w:p>
      <w:pPr>
        <w:spacing w:after="0" w:line="143" w:lineRule="exact"/>
        <w:rPr>
          <w:sz w:val="20"/>
          <w:szCs w:val="20"/>
          <w:color w:val="auto"/>
        </w:rPr>
      </w:pPr>
    </w:p>
    <w:p>
      <w:pPr>
        <w:jc w:val="both"/>
        <w:ind w:left="200" w:right="21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8.1. Upfront Payment. </w:t>
      </w:r>
      <w:r>
        <w:rPr>
          <w:rFonts w:ascii="Times New Roman" w:cs="Times New Roman" w:eastAsia="Times New Roman" w:hAnsi="Times New Roman"/>
          <w:sz w:val="18"/>
          <w:szCs w:val="18"/>
          <w:color w:val="auto"/>
        </w:rPr>
        <w:t>In partial consideration of the rights granted by ACI to Takeda hereunder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Agreement, Takeda shall pay ACI, no later than [***] a one-time, non-refundable, non-creditable upfront payment of One Hundred Million Dollars ($100,000,000).</w:t>
      </w:r>
    </w:p>
    <w:p>
      <w:pPr>
        <w:spacing w:after="0" w:line="143" w:lineRule="exact"/>
        <w:rPr>
          <w:sz w:val="20"/>
          <w:szCs w:val="20"/>
          <w:color w:val="auto"/>
        </w:rPr>
      </w:pPr>
    </w:p>
    <w:p>
      <w:pPr>
        <w:jc w:val="both"/>
        <w:ind w:left="200" w:right="199" w:firstLine="1051"/>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8.2. Option Exercise Fee. </w:t>
      </w:r>
      <w:r>
        <w:rPr>
          <w:rFonts w:ascii="Times New Roman" w:cs="Times New Roman" w:eastAsia="Times New Roman" w:hAnsi="Times New Roman"/>
          <w:sz w:val="16"/>
          <w:szCs w:val="16"/>
          <w:color w:val="auto"/>
        </w:rPr>
        <w:t>In the event Takeda exercises the Option during the Option Period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Effective Date occurs, subject to the terms and conditions of this Agreement, Takeda shall pay ACI, no later than</w:t>
      </w:r>
    </w:p>
    <w:p>
      <w:pPr>
        <w:spacing w:after="0" w:line="1" w:lineRule="exact"/>
        <w:rPr>
          <w:sz w:val="20"/>
          <w:szCs w:val="20"/>
          <w:color w:val="auto"/>
        </w:rPr>
      </w:pPr>
    </w:p>
    <w:p>
      <w:pPr>
        <w:ind w:left="620" w:hanging="427"/>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Option Exercise Fee</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8.3. Development Milestones. </w:t>
      </w:r>
      <w:r>
        <w:rPr>
          <w:rFonts w:ascii="Times New Roman" w:cs="Times New Roman" w:eastAsia="Times New Roman" w:hAnsi="Times New Roman"/>
          <w:sz w:val="18"/>
          <w:szCs w:val="18"/>
          <w:color w:val="auto"/>
        </w:rPr>
        <w:t>In partial consideration of the rights granted by ACI to Takeda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subject to the terms and conditions of this Agreement, Takeda shall pay to ACI a one-time, non-refundable, non-creditable (subject to Section 8‎.6 and Section 14‎.15) milestone payment (each, a “</w:t>
      </w:r>
      <w:r>
        <w:rPr>
          <w:rFonts w:ascii="Times New Roman" w:cs="Times New Roman" w:eastAsia="Times New Roman" w:hAnsi="Times New Roman"/>
          <w:sz w:val="18"/>
          <w:szCs w:val="18"/>
          <w:b w:val="1"/>
          <w:bCs w:val="1"/>
          <w:color w:val="auto"/>
        </w:rPr>
        <w:t>Development 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following the first achievement of the corresponding milestone event (each, a “</w:t>
      </w:r>
      <w:r>
        <w:rPr>
          <w:rFonts w:ascii="Times New Roman" w:cs="Times New Roman" w:eastAsia="Times New Roman" w:hAnsi="Times New Roman"/>
          <w:sz w:val="18"/>
          <w:szCs w:val="18"/>
          <w:b w:val="1"/>
          <w:bCs w:val="1"/>
          <w:color w:val="auto"/>
        </w:rPr>
        <w:t>Development Milestone Event</w:t>
      </w:r>
      <w:r>
        <w:rPr>
          <w:rFonts w:ascii="Times New Roman" w:cs="Times New Roman" w:eastAsia="Times New Roman" w:hAnsi="Times New Roman"/>
          <w:sz w:val="18"/>
          <w:szCs w:val="18"/>
          <w:color w:val="auto"/>
        </w:rPr>
        <w:t>”) with respect to a Licensed Product (a) by or on behalf of ACI or its Affiliates (with respect to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 Event Nos. 1 and 2) or (b) by or on behalf of Takeda or its Affiliates or its or their Sublicensees (with respect to Development Milestone Event Nos. 3, 4, 5, 6 and 7), calculated as follows: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18"/>
          <w:szCs w:val="18"/>
          <w:color w:val="auto"/>
        </w:rPr>
        <w:t>For clarity, Development Milestone Event No. 2 shall not apply, and Development Milestone Payment No. 2 shall not be due, if the Option Effective Date occurs and Takeda assumes control of the Phase 1b/2 Trial in accordance with Section ‎7.2.2 prior to achievement of Development Milestone Event No. 2.</w:t>
      </w:r>
    </w:p>
    <w:p>
      <w:pPr>
        <w:spacing w:after="0" w:line="145" w:lineRule="exact"/>
        <w:rPr>
          <w:sz w:val="20"/>
          <w:szCs w:val="20"/>
          <w:color w:val="auto"/>
        </w:rPr>
      </w:pPr>
    </w:p>
    <w:p>
      <w:pPr>
        <w:jc w:val="both"/>
        <w:ind w:left="200" w:right="199"/>
        <w:spacing w:after="0" w:line="231" w:lineRule="auto"/>
        <w:rPr>
          <w:sz w:val="20"/>
          <w:szCs w:val="20"/>
          <w:color w:val="auto"/>
        </w:rPr>
      </w:pPr>
      <w:r>
        <w:rPr>
          <w:rFonts w:ascii="Times New Roman" w:cs="Times New Roman" w:eastAsia="Times New Roman" w:hAnsi="Times New Roman"/>
          <w:sz w:val="18"/>
          <w:szCs w:val="18"/>
          <w:color w:val="auto"/>
        </w:rPr>
        <w:t>Each Development Milestone Payment in this Section 8‎.3 shall be payable only upon the first achievement of the corresponding Development Milestone Event and no amounts shall be due for subsequent or repeated achievements of such Development Milestone Event, whether for the same or a different Licensed Product. If Development Milestone Event No. 4 is achieved and Development Milestone Event No. 3 has not been previously paid to ACI, then such unpaid Development Milestone Event No. 3 will be deemed achieved and the corresponding Development Milestone Payment shall be payable in addition to and concurrently with Development Milestone Event No. 4. If Development Milestone Event No. 5, Development Milestone Event No. 6 or Development Milestone Event No. 7 is achieved and Development Milestone Event No. 3 or Development Milestone Event No. 4 has not been previously paid to ACI, then such unpaid Development Milestone Event No. 3 or Development Milestone Event No. 4, as applicable, will be deemed achieved and the corresponding Development Milestone Payment shall be payable in addition to and concurrently with Development Milestone Event No. 5, Development Milestone Event No. 6 or Development Milestone Event No. 7, as applicable. The maximum aggregate [***] for the full amount of the corresponding Development Milestone Payment, which amount shall be payable [***] after the receipt by Takeda of a valid invoice.</w:t>
      </w:r>
    </w:p>
    <w:p>
      <w:pPr>
        <w:spacing w:after="0" w:line="144"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8.4. Commercial Milestones. </w:t>
      </w:r>
      <w:r>
        <w:rPr>
          <w:rFonts w:ascii="Times New Roman" w:cs="Times New Roman" w:eastAsia="Times New Roman" w:hAnsi="Times New Roman"/>
          <w:sz w:val="18"/>
          <w:szCs w:val="18"/>
          <w:color w:val="auto"/>
        </w:rPr>
        <w:t>In partial consideration of the rights granted by ACI to Takeda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the terms and conditions of this Agreement, Takeda shall pay to ACI a one-time, non-refundable, non-creditable (subject to Section 8‎.6 and Section 14‎.15) milestone payment (each, a “</w:t>
      </w:r>
      <w:r>
        <w:rPr>
          <w:rFonts w:ascii="Times New Roman" w:cs="Times New Roman" w:eastAsia="Times New Roman" w:hAnsi="Times New Roman"/>
          <w:sz w:val="18"/>
          <w:szCs w:val="18"/>
          <w:b w:val="1"/>
          <w:bCs w:val="1"/>
          <w:color w:val="auto"/>
        </w:rPr>
        <w:t>Commercial Milestone Payment</w:t>
      </w:r>
      <w:r>
        <w:rPr>
          <w:rFonts w:ascii="Times New Roman" w:cs="Times New Roman" w:eastAsia="Times New Roman" w:hAnsi="Times New Roman"/>
          <w:sz w:val="18"/>
          <w:szCs w:val="18"/>
          <w:color w:val="auto"/>
        </w:rPr>
        <w:t>”) following the Fiscal Year in which the corresponding milestone event (“</w:t>
      </w:r>
      <w:r>
        <w:rPr>
          <w:rFonts w:ascii="Times New Roman" w:cs="Times New Roman" w:eastAsia="Times New Roman" w:hAnsi="Times New Roman"/>
          <w:sz w:val="18"/>
          <w:szCs w:val="18"/>
          <w:b w:val="1"/>
          <w:bCs w:val="1"/>
          <w:color w:val="auto"/>
        </w:rPr>
        <w:t>Commercial Milestone Event</w:t>
      </w:r>
      <w:r>
        <w:rPr>
          <w:rFonts w:ascii="Times New Roman" w:cs="Times New Roman" w:eastAsia="Times New Roman" w:hAnsi="Times New Roman"/>
          <w:sz w:val="18"/>
          <w:szCs w:val="18"/>
          <w:color w:val="auto"/>
        </w:rPr>
        <w:t>”) is first achieved by or on behalf of Takeda or its Affiliates or its or their Sublicensees, as follows:</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200" w:right="199"/>
        <w:spacing w:after="0" w:line="237" w:lineRule="auto"/>
        <w:rPr>
          <w:sz w:val="20"/>
          <w:szCs w:val="20"/>
          <w:color w:val="auto"/>
        </w:rPr>
      </w:pPr>
      <w:r>
        <w:rPr>
          <w:rFonts w:ascii="Times New Roman" w:cs="Times New Roman" w:eastAsia="Times New Roman" w:hAnsi="Times New Roman"/>
          <w:sz w:val="18"/>
          <w:szCs w:val="18"/>
          <w:color w:val="auto"/>
        </w:rPr>
        <w:t>Each Commercial Milestone Payment in this Section 8‎.4 shall be payable only upon the first achievement of the corresponding Commercial Milestone Event and no amounts shall be due for subsequent or repeated achievements of such Commercial Milestone Event in any given or subsequent Fiscal Year, whether for the same or a different Licensed Product. The maximum aggregate amount payable by Takeda pursuant to this Section 8‎.4 is [***]</w:t>
      </w:r>
    </w:p>
    <w:p>
      <w:pPr>
        <w:spacing w:after="0" w:line="146" w:lineRule="exact"/>
        <w:rPr>
          <w:sz w:val="20"/>
          <w:szCs w:val="20"/>
          <w:color w:val="auto"/>
        </w:rPr>
      </w:pPr>
    </w:p>
    <w:p>
      <w:pPr>
        <w:jc w:val="both"/>
        <w:ind w:left="200" w:right="199"/>
        <w:spacing w:after="0" w:line="237" w:lineRule="auto"/>
        <w:rPr>
          <w:sz w:val="20"/>
          <w:szCs w:val="20"/>
          <w:color w:val="auto"/>
        </w:rPr>
      </w:pPr>
      <w:r>
        <w:rPr>
          <w:rFonts w:ascii="Times New Roman" w:cs="Times New Roman" w:eastAsia="Times New Roman" w:hAnsi="Times New Roman"/>
          <w:sz w:val="18"/>
          <w:szCs w:val="18"/>
          <w:color w:val="auto"/>
        </w:rPr>
        <w:t>In the event that any of the Commercial Milestone Events set forth in this Section 8‎.4 occurs and any of the preceding Commercial Milestone Events set forth in this Section 8‎.4 have not occurred, then each such skipped Commercial Milestone Payment shall become due and payable concurrently with the Commercial Milestone Payment for the Commercial Milestone Event with respect to which payment is due.</w:t>
      </w:r>
    </w:p>
    <w:p>
      <w:pPr>
        <w:spacing w:after="0" w:line="146" w:lineRule="exact"/>
        <w:rPr>
          <w:sz w:val="20"/>
          <w:szCs w:val="20"/>
          <w:color w:val="auto"/>
        </w:rPr>
      </w:pPr>
    </w:p>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Following the end of a Fiscal Year in which a given Commercial Milestone Event was achieved, Takeda will send ACI written notice that such Commercial Milestone Event is achieved under this</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2" w:name="page53"/>
    <w:bookmarkEnd w:id="52"/>
    <w:p>
      <w:pPr>
        <w:jc w:val="both"/>
        <w:ind w:left="200" w:right="199"/>
        <w:spacing w:after="0" w:line="285" w:lineRule="auto"/>
        <w:rPr>
          <w:sz w:val="20"/>
          <w:szCs w:val="20"/>
          <w:color w:val="auto"/>
        </w:rPr>
      </w:pPr>
      <w:r>
        <w:rPr>
          <w:rFonts w:ascii="Times New Roman" w:cs="Times New Roman" w:eastAsia="Times New Roman" w:hAnsi="Times New Roman"/>
          <w:sz w:val="16"/>
          <w:szCs w:val="16"/>
          <w:color w:val="auto"/>
        </w:rPr>
        <w:t>Section 8‎.4, within [***] following the end of such Fiscal Year. Following receipt of such notice, ACI shall submit an invoice promptly, but no more than [***] after receipt of such notice, to Takeda for the full amount of the corresponding Commercial Milestone Payment, which amount shall be payable [***] after the receipt of a valid invoice.</w:t>
      </w:r>
    </w:p>
    <w:p>
      <w:pPr>
        <w:spacing w:after="0" w:line="109"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6"/>
          <w:szCs w:val="16"/>
          <w:b w:val="1"/>
          <w:bCs w:val="1"/>
          <w:color w:val="auto"/>
        </w:rPr>
        <w:t>Royalties.</w:t>
      </w:r>
    </w:p>
    <w:p>
      <w:pPr>
        <w:spacing w:after="0" w:line="165" w:lineRule="exact"/>
        <w:rPr>
          <w:sz w:val="20"/>
          <w:szCs w:val="20"/>
          <w:color w:val="auto"/>
        </w:rPr>
      </w:pPr>
    </w:p>
    <w:p>
      <w:pPr>
        <w:jc w:val="both"/>
        <w:ind w:left="200" w:right="199" w:firstLine="1576"/>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8.5.1. </w:t>
      </w:r>
      <w:r>
        <w:rPr>
          <w:rFonts w:ascii="Times New Roman" w:cs="Times New Roman" w:eastAsia="Times New Roman" w:hAnsi="Times New Roman"/>
          <w:sz w:val="16"/>
          <w:szCs w:val="16"/>
          <w:color w:val="auto"/>
        </w:rPr>
        <w:t>As further consideration for the rights granted to Takeda hereunder, subject to Section 8‎.5.2,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Section 8‎.5.3 and Section 8‎.6, commencing upon the First Commercial Sale of a given Licensed Product in the Territory, on a Licensed Product-by-Licensed Product and country-by-country basis, Takeda shall pay to ACI a royalty on Net Sales of each Licensed Product in the Field in the Territory during each Fiscal Year at the applicable following rates: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8.5.2. Royalty Term. </w:t>
      </w:r>
      <w:r>
        <w:rPr>
          <w:rFonts w:ascii="Times New Roman" w:cs="Times New Roman" w:eastAsia="Times New Roman" w:hAnsi="Times New Roman"/>
          <w:sz w:val="18"/>
          <w:szCs w:val="18"/>
          <w:color w:val="auto"/>
        </w:rPr>
        <w:t>Following the expiration of the Royalty Term for any Licensed Product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country, Takeda shall have no obligation to pay any royalty with respect to Net Sales for such Licensed Product in such country. With respect to any Licensed Product in any country in the Territory, from and after the expiration of the Royalty Term for such Licensed Product in such country, (a) the Exclusive License shall become fully-paid, royalty-free, perpetual and irrevocable with respect to such Licensed Product in such country and (b) Net Sales of such Licensed Product in such country shall be excluded for purposes of [***].</w:t>
      </w:r>
    </w:p>
    <w:p>
      <w:pPr>
        <w:spacing w:after="0" w:line="1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8.5.3.  Royalty Reductions. </w:t>
      </w:r>
      <w:r>
        <w:rPr>
          <w:rFonts w:ascii="Times New Roman" w:cs="Times New Roman" w:eastAsia="Times New Roman" w:hAnsi="Times New Roman"/>
          <w:sz w:val="18"/>
          <w:szCs w:val="18"/>
          <w:color w:val="auto"/>
        </w:rPr>
        <w:t>Notwithstanding Section 8‎.5.1 and subject to Section 8‎.5.2 and</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Section 8‎.7:</w:t>
      </w:r>
    </w:p>
    <w:p>
      <w:pPr>
        <w:spacing w:after="0" w:line="145" w:lineRule="exact"/>
        <w:rPr>
          <w:sz w:val="20"/>
          <w:szCs w:val="20"/>
          <w:color w:val="auto"/>
        </w:rPr>
      </w:pPr>
    </w:p>
    <w:p>
      <w:pPr>
        <w:jc w:val="both"/>
        <w:ind w:left="200" w:right="199" w:firstLine="2095"/>
        <w:spacing w:after="0"/>
        <w:tabs>
          <w:tab w:leader="none" w:pos="28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in such case from and after the date on which, a Licensed Product is Commercialized in a country in the Territory and there is no Licensed [***] 8‎.5.1 with respect to such Licensed Product each shall be reduced by [***] in such country;</w:t>
      </w:r>
    </w:p>
    <w:p>
      <w:pPr>
        <w:spacing w:after="0" w:line="145" w:lineRule="exact"/>
        <w:rPr>
          <w:rFonts w:ascii="Times New Roman" w:cs="Times New Roman" w:eastAsia="Times New Roman" w:hAnsi="Times New Roman"/>
          <w:sz w:val="18"/>
          <w:szCs w:val="18"/>
          <w:color w:val="auto"/>
        </w:rPr>
      </w:pPr>
    </w:p>
    <w:p>
      <w:pPr>
        <w:jc w:val="both"/>
        <w:ind w:left="200" w:right="199" w:firstLine="2095"/>
        <w:spacing w:after="0" w:line="237" w:lineRule="auto"/>
        <w:tabs>
          <w:tab w:leader="none" w:pos="28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in such case from and after the date on which, a Biosimilar Product with respect to a Licensed Product is marketed and sold in a country by one or more Third Parties [***] the royalty rates set forth in Section 8‎.5.1 with respect to such Licensed Product each shall be reduced by [***] in such country; and</w:t>
      </w:r>
    </w:p>
    <w:p>
      <w:pPr>
        <w:spacing w:after="0" w:line="145" w:lineRule="exact"/>
        <w:rPr>
          <w:rFonts w:ascii="Times New Roman" w:cs="Times New Roman" w:eastAsia="Times New Roman" w:hAnsi="Times New Roman"/>
          <w:sz w:val="18"/>
          <w:szCs w:val="18"/>
          <w:color w:val="auto"/>
        </w:rPr>
      </w:pPr>
    </w:p>
    <w:p>
      <w:pPr>
        <w:jc w:val="both"/>
        <w:ind w:left="200" w:right="199" w:firstLine="2095"/>
        <w:spacing w:after="0" w:line="234" w:lineRule="auto"/>
        <w:tabs>
          <w:tab w:leader="none" w:pos="28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U.S., in the event that (i) a Licensed Product is designated as a Selected Drug by the Secretary of the U.S. Department of Health and Human Services, and Takeda or any of its Affiliates or its or their Sublicensees is required to negotiate a Maximum Fair Price that will apply to sales of such Licensed Product during the Price Applicability Period and (ii) [***] “</w:t>
      </w:r>
      <w:r>
        <w:rPr>
          <w:rFonts w:ascii="Times New Roman" w:cs="Times New Roman" w:eastAsia="Times New Roman" w:hAnsi="Times New Roman"/>
          <w:sz w:val="18"/>
          <w:szCs w:val="18"/>
          <w:b w:val="1"/>
          <w:bCs w:val="1"/>
          <w:color w:val="auto"/>
        </w:rPr>
        <w:t>IRA Reduction Event</w:t>
      </w:r>
      <w:r>
        <w:rPr>
          <w:rFonts w:ascii="Times New Roman" w:cs="Times New Roman" w:eastAsia="Times New Roman" w:hAnsi="Times New Roman"/>
          <w:sz w:val="18"/>
          <w:szCs w:val="18"/>
          <w:color w:val="auto"/>
        </w:rPr>
        <w:t>”), [***] then‎ the royalty rates set forth in Section 8.5.1 with respect to such Licensed Product in the U.S. shall be reduced by [***] for the remainder of the Royalty Term in the in the U.S.</w:t>
      </w:r>
    </w:p>
    <w:p>
      <w:pPr>
        <w:spacing w:after="0" w:line="144" w:lineRule="exact"/>
        <w:rPr>
          <w:sz w:val="20"/>
          <w:szCs w:val="20"/>
          <w:color w:val="auto"/>
        </w:rPr>
      </w:pPr>
    </w:p>
    <w:p>
      <w:pPr>
        <w:jc w:val="both"/>
        <w:ind w:left="200" w:right="199" w:firstLine="1576"/>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8.5.4. Royalty Payments and Reports. </w:t>
      </w:r>
      <w:r>
        <w:rPr>
          <w:rFonts w:ascii="Times New Roman" w:cs="Times New Roman" w:eastAsia="Times New Roman" w:hAnsi="Times New Roman"/>
          <w:sz w:val="16"/>
          <w:szCs w:val="16"/>
          <w:color w:val="auto"/>
        </w:rPr>
        <w:t>Following the First Commercial Sale of any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 in the Field in the Territory until expiration of the last Royalty Term for the last Licensed Product, Takeda shall furnish a written report to ACI within [***] after the end of each Calendar Quarter showing Net Sales of each Licensed Product and the amounts payable to ACI pursuant to this Section 8‎.5 for such Calendar Quarter, which amounts shall be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3" w:name="page54"/>
    <w:bookmarkEnd w:id="53"/>
    <w:p>
      <w:pPr>
        <w:jc w:val="both"/>
        <w:ind w:left="200" w:right="199"/>
        <w:spacing w:after="0"/>
        <w:rPr>
          <w:sz w:val="20"/>
          <w:szCs w:val="20"/>
          <w:color w:val="auto"/>
        </w:rPr>
      </w:pPr>
      <w:r>
        <w:rPr>
          <w:rFonts w:ascii="Times New Roman" w:cs="Times New Roman" w:eastAsia="Times New Roman" w:hAnsi="Times New Roman"/>
          <w:sz w:val="18"/>
          <w:szCs w:val="18"/>
          <w:color w:val="auto"/>
        </w:rPr>
        <w:t>converted to Dollars in accordance with Section 8‎.9. ACI shall submit an invoice promptly, but no more than [***], following the receipt of such report from Takeda for the full amount of the corresponding royalty payment, which amount shall be payable [***] after the receipt of a valid invoice.</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6"/>
          <w:szCs w:val="16"/>
          <w:b w:val="1"/>
          <w:bCs w:val="1"/>
          <w:color w:val="auto"/>
        </w:rPr>
        <w:t xml:space="preserve">Offset for Third Party Payments. </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8.7. Mechanics of Adjustments. </w:t>
      </w:r>
      <w:r>
        <w:rPr>
          <w:rFonts w:ascii="Times New Roman" w:cs="Times New Roman" w:eastAsia="Times New Roman" w:hAnsi="Times New Roman"/>
          <w:sz w:val="18"/>
          <w:szCs w:val="18"/>
          <w:color w:val="auto"/>
        </w:rPr>
        <w:t>Any reductions set forth in Section 8‎.5.3 and offsets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Section 8‎.6 shall be applied to the royalties payable to ACI under Section 8‎.5.1 in the order in which the event triggering such reduction or offset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adjustments made pursuant to Section 8‎.5.3 and Section 8‎.6, in the aggregate, shall not reduce by more than [***] the royalties that would otherwise be owed under Section 8‎.5.1 (the [***] Any adjustments pursuant to Section 8‎.5.3 shall apply only to the relevant Licensed Product in the relevant country and, with respect to royalties under Section 8‎.5.1, shall be allocated pro rata across each of the royalty tiers in the relevant Calendar Quarter.</w:t>
      </w:r>
    </w:p>
    <w:p>
      <w:pPr>
        <w:spacing w:after="0" w:line="147"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8.8. Estimated Sales Levels; Diligence. </w:t>
      </w:r>
      <w:r>
        <w:rPr>
          <w:rFonts w:ascii="Times New Roman" w:cs="Times New Roman" w:eastAsia="Times New Roman" w:hAnsi="Times New Roman"/>
          <w:sz w:val="18"/>
          <w:szCs w:val="18"/>
          <w:color w:val="auto"/>
        </w:rPr>
        <w:t>ACI acknowledges and agrees that (a) the sales levels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Section 8‎.4 and Section 8‎.5.1 shall not be construed as representing an estimate or projection of anticipated sales of the Licensed Products and (b) such sales levels and the Development Milestone Events set forth in Section 8‎.3 shall not be construed as implying any level of diligence or Commercially Reasonable Efforts in the Territory, and that such sales levels and Development Milestone Events are merely intended to define Takeda’s payment obligations in the event such sales levels or such Development Milestone Events are achieved.</w:t>
      </w:r>
    </w:p>
    <w:p>
      <w:pPr>
        <w:spacing w:after="0" w:line="146"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8.9. Mode of Payment. </w:t>
      </w:r>
      <w:r>
        <w:rPr>
          <w:rFonts w:ascii="Times New Roman" w:cs="Times New Roman" w:eastAsia="Times New Roman" w:hAnsi="Times New Roman"/>
          <w:sz w:val="18"/>
          <w:szCs w:val="18"/>
          <w:color w:val="auto"/>
        </w:rPr>
        <w:t>All payments to ACI under this Agreement shall be paid in Dollars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requisite amount by wire transfer or electronic funds transfer in immediately available funds to such bank account as ACI may from time to time designate by written notice to Takeda. For the purpose of calculating any sums due under, or otherwise reimbursable pursuant to, this Agreement (including the calculation of Net Sales expressed in currencies other than Dollars), Takeda shall convert any amount expressed in a foreign currency into Dollar equivalents using its, its Affiliate’s or its or their Sublicensee’s standard conversion methodology consistent with Accounting Standards.</w:t>
      </w:r>
    </w:p>
    <w:p>
      <w:pPr>
        <w:spacing w:after="0" w:line="146" w:lineRule="exact"/>
        <w:rPr>
          <w:sz w:val="20"/>
          <w:szCs w:val="20"/>
          <w:color w:val="auto"/>
        </w:rPr>
      </w:pPr>
    </w:p>
    <w:p>
      <w:pPr>
        <w:jc w:val="both"/>
        <w:ind w:left="200" w:right="199" w:firstLine="1051"/>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8.10. Taxes. </w:t>
      </w:r>
      <w:r>
        <w:rPr>
          <w:rFonts w:ascii="Times New Roman" w:cs="Times New Roman" w:eastAsia="Times New Roman" w:hAnsi="Times New Roman"/>
          <w:sz w:val="18"/>
          <w:szCs w:val="18"/>
          <w:color w:val="auto"/>
        </w:rPr>
        <w:t>The milestones, royalties and other amounts payable by Takeda to ACI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(each, a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shall be paid free and clear of any and all taxes, except for any Taxes required to be withheld by Applicable Law (“</w:t>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xml:space="preserve">”). Takeda shall deduct or withhold from the Payments any Taxes that are required by Applicable Law to be deducted or withheld. ACI and Takeda agree to cooperate with one another and use reasonable efforts to reduce or eliminate Withholding Taxes or similar obligations in respect of any payments under this Agreement. In the event that Takeda determines that any such Withholding Tax is required, Takeda shall use good faith efforts to notify ACI in writing at least [***] in advance of the relevant Payment in order to provide ACI a reasonable opportunity to provide any tax forms described in the immediately following sentence. ACI will provide Takeda any tax forms that may be reasonably necessary in order for Takeda not to withhold Tax or to withhold Tax at a reduced rate, including under an applicable bilateral income tax treaty, and Takeda shall apply the reduced rate of withholding or dispense with withholding,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Takeda has received evidence, in a form reasonably satisfactory to Takeda, of</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4" w:name="page55"/>
    <w:bookmarkEnd w:id="54"/>
    <w:p>
      <w:pPr>
        <w:jc w:val="both"/>
        <w:ind w:left="200" w:right="199"/>
        <w:spacing w:after="0" w:line="235" w:lineRule="auto"/>
        <w:rPr>
          <w:sz w:val="20"/>
          <w:szCs w:val="20"/>
          <w:color w:val="auto"/>
        </w:rPr>
      </w:pPr>
      <w:r>
        <w:rPr>
          <w:rFonts w:ascii="Times New Roman" w:cs="Times New Roman" w:eastAsia="Times New Roman" w:hAnsi="Times New Roman"/>
          <w:sz w:val="18"/>
          <w:szCs w:val="18"/>
          <w:color w:val="auto"/>
        </w:rPr>
        <w:t>ACI’s delivery of all applicable forms (and, if necessary, its receipt of appropriate governmental authorization to reduce or dispense with withholding, as the case may be) at least [***] prior to the time that the Payments are due. ACI and Takeda will provide the other with reasonable assistance to enable the recovery, as permitted by Applicable Law, of Withholding Taxes or similar obligations resulting from payments made under this Agreement, such recovery to be for the benefit of the Party bearing such Withholding Taxes. [***]</w:t>
      </w:r>
    </w:p>
    <w:p>
      <w:pPr>
        <w:spacing w:after="0" w:line="147" w:lineRule="exact"/>
        <w:rPr>
          <w:sz w:val="20"/>
          <w:szCs w:val="20"/>
          <w:color w:val="auto"/>
        </w:rPr>
      </w:pPr>
    </w:p>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For the purposes of this Section 8‎.10, “ACI” and “Takeda” include any assignees under Section 14‎.3 of such respective Party.</w:t>
      </w:r>
    </w:p>
    <w:p>
      <w:pPr>
        <w:spacing w:after="0" w:line="132" w:lineRule="exact"/>
        <w:rPr>
          <w:sz w:val="20"/>
          <w:szCs w:val="20"/>
          <w:color w:val="auto"/>
        </w:rPr>
      </w:pPr>
    </w:p>
    <w:p>
      <w:pPr>
        <w:jc w:val="both"/>
        <w:ind w:left="200" w:right="199" w:firstLine="1051"/>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8.11. Interest on Late Payments. </w:t>
      </w:r>
      <w:r>
        <w:rPr>
          <w:rFonts w:ascii="Times New Roman" w:cs="Times New Roman" w:eastAsia="Times New Roman" w:hAnsi="Times New Roman"/>
          <w:sz w:val="16"/>
          <w:szCs w:val="16"/>
          <w:color w:val="auto"/>
        </w:rPr>
        <w:t>Any undisputed amount owed by one (1) Party to the other Party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this Agreement that is not paid on or before the date such payment is due shall bear interest at a rate per annum (but with interest accruing on a daily basis) equal [***] and such interest to run from the date on which payment of such sum became due until payment thereof in full together with such interest. For the purposes of this Agreement, “</w:t>
      </w:r>
      <w:r>
        <w:rPr>
          <w:rFonts w:ascii="Times New Roman" w:cs="Times New Roman" w:eastAsia="Times New Roman" w:hAnsi="Times New Roman"/>
          <w:sz w:val="16"/>
          <w:szCs w:val="16"/>
          <w:b w:val="1"/>
          <w:bCs w:val="1"/>
          <w:color w:val="auto"/>
        </w:rPr>
        <w:t>Applicable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Rate</w:t>
      </w:r>
      <w:r>
        <w:rPr>
          <w:rFonts w:ascii="Times New Roman" w:cs="Times New Roman" w:eastAsia="Times New Roman" w:hAnsi="Times New Roman"/>
          <w:sz w:val="16"/>
          <w:szCs w:val="16"/>
          <w:color w:val="auto"/>
        </w:rPr>
        <w:t>” means the then-current U.S. Prime Rate (PRIME:IND) quoted by Bloomberg or the maximum rate allowable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Laws, whichever is lower, as adjusted from time to time on the first New York Business Day of each month.</w:t>
      </w:r>
    </w:p>
    <w:p>
      <w:pPr>
        <w:spacing w:after="0" w:line="124"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8.12. Financial Records. </w:t>
      </w:r>
      <w:r>
        <w:rPr>
          <w:rFonts w:ascii="Times New Roman" w:cs="Times New Roman" w:eastAsia="Times New Roman" w:hAnsi="Times New Roman"/>
          <w:sz w:val="18"/>
          <w:szCs w:val="18"/>
          <w:color w:val="auto"/>
        </w:rPr>
        <w:t>Each Party shall, and shall cause its Affiliates to, keep complete and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and records pertaining to Net Sales and any reimbursable FTE Costs or Out-of-Pocket Costs hereunder in sufficient detail to calculate all amounts payable hereunder. Such books and records shall be retained by such Party and its Affiliates until the later of (a) [***] after the end of the period to which such books and records pertain and (b) the expiration of the applicable tax statute of limitations (or any extensions thereof), or for such longer period as may be required by Applicable Law.</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6"/>
          <w:szCs w:val="16"/>
          <w:b w:val="1"/>
          <w:bCs w:val="1"/>
          <w:color w:val="auto"/>
        </w:rPr>
        <w:t>Audit.</w:t>
      </w:r>
    </w:p>
    <w:p>
      <w:pPr>
        <w:spacing w:after="0" w:line="165" w:lineRule="exact"/>
        <w:rPr>
          <w:sz w:val="20"/>
          <w:szCs w:val="20"/>
          <w:color w:val="auto"/>
        </w:rPr>
      </w:pPr>
    </w:p>
    <w:p>
      <w:pPr>
        <w:jc w:val="both"/>
        <w:ind w:left="200" w:right="199" w:firstLine="157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8.13.1. Procedures. </w:t>
      </w:r>
      <w:r>
        <w:rPr>
          <w:rFonts w:ascii="Times New Roman" w:cs="Times New Roman" w:eastAsia="Times New Roman" w:hAnsi="Times New Roman"/>
          <w:sz w:val="16"/>
          <w:szCs w:val="16"/>
          <w:color w:val="auto"/>
        </w:rPr>
        <w:t>Each Party may request that the other Party permit and cause its Affiliates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 an internationally-recognized, independent auditor designated by such first Party as the auditing Party and reasonably acceptable to the audited Party, at reasonable times and upon reasonable notice, to audit the books and records maintained pursuant to Section 8‎.12 to ensure the accuracy of all reports and payments made hereunder. Such examinations may not (a) be conducted for any Calendar Quarter more than [***] after the end of such Calendar Quarter,</w:t>
      </w:r>
    </w:p>
    <w:p>
      <w:pPr>
        <w:spacing w:after="0" w:line="3" w:lineRule="exact"/>
        <w:rPr>
          <w:sz w:val="20"/>
          <w:szCs w:val="20"/>
          <w:color w:val="auto"/>
        </w:rPr>
      </w:pPr>
    </w:p>
    <w:p>
      <w:pPr>
        <w:jc w:val="both"/>
        <w:ind w:left="200" w:right="199" w:hanging="7"/>
        <w:spacing w:after="0" w:line="229" w:lineRule="auto"/>
        <w:tabs>
          <w:tab w:leader="none" w:pos="4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conducted more than [***] (unless a previous audit during such [***] period revealed a material discrepancy with respect to such period) or (c) be repeated for any Calendar Quarter. Except as provided below, the cost of this audit shall be borne by the auditing Party, unless the audit reveals a variance of more than [***] in each case, from the reported amounts in the auditing Party’s favor, in which case the audited Party shall bear the cost of the audit. Unless disputed pursuant to Section 8‎.13.2 below, if such audit concludes that (x) additional amounts were owed by the audited Party or excess payments were made by the auditing Party, the audited Party shall pay such additional amounts or refund such excess payments, as applicable, or (y) excess payments were made by the audited Party or additional amounts were owed by the auditing Party, the auditing Party shall refund such excess payments or pay such additional amounts, as applicable, in either case ((x) or (y)), within [***] after the date on which such audit is completed by the auditing Party and if such additional amounts or excess payments were due to an error in an invoice</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5" w:name="page56"/>
    <w:bookmarkEnd w:id="55"/>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or report provided by the Party that is required to pay such additional amounts or refund such excess payments, with interest from the date originally due as provided in Section 8‎.11.</w:t>
      </w:r>
    </w:p>
    <w:p>
      <w:pPr>
        <w:spacing w:after="0" w:line="132" w:lineRule="exact"/>
        <w:rPr>
          <w:sz w:val="20"/>
          <w:szCs w:val="20"/>
          <w:color w:val="auto"/>
        </w:rPr>
      </w:pPr>
    </w:p>
    <w:p>
      <w:pPr>
        <w:jc w:val="both"/>
        <w:ind w:left="200" w:right="199" w:firstLine="1576"/>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8.13.2. Audit Dispute. </w:t>
      </w:r>
      <w:r>
        <w:rPr>
          <w:rFonts w:ascii="Times New Roman" w:cs="Times New Roman" w:eastAsia="Times New Roman" w:hAnsi="Times New Roman"/>
          <w:sz w:val="16"/>
          <w:szCs w:val="16"/>
          <w:color w:val="auto"/>
        </w:rPr>
        <w:t>In the event of a dispute between the Parties with respect to any audit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Section 8‎.13.1 (an “</w:t>
      </w:r>
      <w:r>
        <w:rPr>
          <w:rFonts w:ascii="Times New Roman" w:cs="Times New Roman" w:eastAsia="Times New Roman" w:hAnsi="Times New Roman"/>
          <w:sz w:val="16"/>
          <w:szCs w:val="16"/>
          <w:b w:val="1"/>
          <w:bCs w:val="1"/>
          <w:color w:val="auto"/>
        </w:rPr>
        <w:t>Audit Dispute</w:t>
      </w:r>
      <w:r>
        <w:rPr>
          <w:rFonts w:ascii="Times New Roman" w:cs="Times New Roman" w:eastAsia="Times New Roman" w:hAnsi="Times New Roman"/>
          <w:sz w:val="16"/>
          <w:szCs w:val="16"/>
          <w:color w:val="auto"/>
        </w:rPr>
        <w:t>”), the Parties shall work in good faith to resolve the Audit Dispute. If the Parties are unable to reach a mutually acceptable resolution of any such Audit Dispute within [***] from the date on which either Party notifies the other in writing of the existence of an Audit Dispute, the Audit Dispute shall be submitted for resolution to an internationally-recognized, certified public accounting firm jointly selected by both Parties (the “</w:t>
      </w:r>
      <w:r>
        <w:rPr>
          <w:rFonts w:ascii="Times New Roman" w:cs="Times New Roman" w:eastAsia="Times New Roman" w:hAnsi="Times New Roman"/>
          <w:sz w:val="16"/>
          <w:szCs w:val="16"/>
          <w:b w:val="1"/>
          <w:bCs w:val="1"/>
          <w:color w:val="auto"/>
        </w:rPr>
        <w:t>Auditor</w:t>
      </w:r>
      <w:r>
        <w:rPr>
          <w:rFonts w:ascii="Times New Roman" w:cs="Times New Roman" w:eastAsia="Times New Roman" w:hAnsi="Times New Roman"/>
          <w:sz w:val="16"/>
          <w:szCs w:val="16"/>
          <w:color w:val="auto"/>
        </w:rPr>
        <w:t>”). The decision of the Auditor (the “</w:t>
      </w:r>
      <w:r>
        <w:rPr>
          <w:rFonts w:ascii="Times New Roman" w:cs="Times New Roman" w:eastAsia="Times New Roman" w:hAnsi="Times New Roman"/>
          <w:sz w:val="16"/>
          <w:szCs w:val="16"/>
          <w:b w:val="1"/>
          <w:bCs w:val="1"/>
          <w:color w:val="auto"/>
        </w:rPr>
        <w:t>Audit Decision</w:t>
      </w:r>
      <w:r>
        <w:rPr>
          <w:rFonts w:ascii="Times New Roman" w:cs="Times New Roman" w:eastAsia="Times New Roman" w:hAnsi="Times New Roman"/>
          <w:sz w:val="16"/>
          <w:szCs w:val="16"/>
          <w:color w:val="auto"/>
        </w:rPr>
        <w:t>”) shall be final and binding on the Parties, and the costs of the Auditor proceeding shall be borne between the Parties in such manner as the Auditor shall determine. If such Audit Decision concludes that (a) additional amounts were owed by the audited Party or excess payments were made by the auditing Party, the audited Party shall pay such additional amounts or refund such excess payments, as applicable or (b) excess payments were made by the audited Party or additional amounts were owed by the auditing Party, the auditing Party shall refund such excess payments or pay such additional amounts, as applicable, in either case ((a) or (b)), within [***] from the date on which the Audit Decision is served on the Parties and if such additional amounts or excess payments were due to an error in an invoice or report provided by the Party that is required to pay such additional amounts or refund such excess payments, with interest from the date originally due as provided in Section 8‎.11.</w:t>
      </w:r>
    </w:p>
    <w:p>
      <w:pPr>
        <w:spacing w:after="0" w:line="332"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8.13.3. Confidentiality. </w:t>
      </w:r>
      <w:r>
        <w:rPr>
          <w:rFonts w:ascii="Times New Roman" w:cs="Times New Roman" w:eastAsia="Times New Roman" w:hAnsi="Times New Roman"/>
          <w:sz w:val="18"/>
          <w:szCs w:val="18"/>
          <w:color w:val="auto"/>
        </w:rPr>
        <w:t>Each Party shall treat all information subject to review under this Article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confidentiality provisions of Article 10‎ and the Parties shall cause the Auditor to enter into a reasonably acceptable confidentiality agreement with the audited Party obligating such firm to retain all such financial information in confidence pursuant to such confidentiality agreement.</w:t>
      </w:r>
    </w:p>
    <w:p>
      <w:pPr>
        <w:spacing w:after="0" w:line="146"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8.14. Third Party Obligations. </w:t>
      </w:r>
      <w:r>
        <w:rPr>
          <w:rFonts w:ascii="Times New Roman" w:cs="Times New Roman" w:eastAsia="Times New Roman" w:hAnsi="Times New Roman"/>
          <w:sz w:val="18"/>
          <w:szCs w:val="18"/>
          <w:color w:val="auto"/>
        </w:rPr>
        <w:t>ACI shall be responsible for all payments owed to Third Parties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Agreements and any other license or other agreements regarding any intellectual property rights licensed, acquired or otherwise obtained by ACI or its Affiliates, including any agreement pursuant to which ACI or any of its Affiliates has rights with respect to any Licensed Compound or Licensed Product.</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8.15.</w:t>
      </w:r>
      <w:r>
        <w:rPr>
          <w:sz w:val="20"/>
          <w:szCs w:val="20"/>
          <w:color w:val="auto"/>
        </w:rPr>
        <w:tab/>
      </w:r>
      <w:r>
        <w:rPr>
          <w:rFonts w:ascii="Times New Roman" w:cs="Times New Roman" w:eastAsia="Times New Roman" w:hAnsi="Times New Roman"/>
          <w:sz w:val="16"/>
          <w:szCs w:val="16"/>
          <w:b w:val="1"/>
          <w:bCs w:val="1"/>
          <w:color w:val="auto"/>
        </w:rPr>
        <w:t>Apportionment of Compulsory License Revenue</w:t>
      </w:r>
      <w:r>
        <w:rPr>
          <w:rFonts w:ascii="Times New Roman" w:cs="Times New Roman" w:eastAsia="Times New Roman" w:hAnsi="Times New Roman"/>
          <w:sz w:val="16"/>
          <w:szCs w:val="16"/>
          <w:color w:val="auto"/>
        </w:rPr>
        <w:t>. [***]</w:t>
      </w:r>
    </w:p>
    <w:p>
      <w:pPr>
        <w:spacing w:after="0" w:line="16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6"/>
          <w:szCs w:val="16"/>
          <w:b w:val="1"/>
          <w:bCs w:val="1"/>
          <w:color w:val="auto"/>
        </w:rPr>
        <w:t>Ownership of Intellectual Property.</w:t>
      </w:r>
    </w:p>
    <w:p>
      <w:pPr>
        <w:spacing w:after="0" w:line="165" w:lineRule="exact"/>
        <w:rPr>
          <w:sz w:val="20"/>
          <w:szCs w:val="20"/>
          <w:color w:val="auto"/>
        </w:rPr>
      </w:pPr>
    </w:p>
    <w:p>
      <w:pPr>
        <w:jc w:val="both"/>
        <w:ind w:left="200" w:right="219" w:firstLine="1576"/>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9.1.1. Ownership of Technology. </w:t>
      </w:r>
      <w:r>
        <w:rPr>
          <w:rFonts w:ascii="Times New Roman" w:cs="Times New Roman" w:eastAsia="Times New Roman" w:hAnsi="Times New Roman"/>
          <w:sz w:val="16"/>
          <w:szCs w:val="16"/>
          <w:color w:val="auto"/>
        </w:rPr>
        <w:t>Subject to Section 7‎.3.1(b), Section 9‎.1.2 and Section 9‎.1.3,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Parties, each Party shall solely and exclusively own and retain all right, title and interest in and to any and all:</w:t>
      </w:r>
    </w:p>
    <w:p>
      <w:pPr>
        <w:spacing w:after="0" w:line="1" w:lineRule="exact"/>
        <w:rPr>
          <w:sz w:val="20"/>
          <w:szCs w:val="20"/>
          <w:color w:val="auto"/>
        </w:rPr>
      </w:pPr>
    </w:p>
    <w:p>
      <w:pPr>
        <w:jc w:val="both"/>
        <w:ind w:left="200" w:right="199" w:hanging="7"/>
        <w:spacing w:after="0" w:line="231" w:lineRule="auto"/>
        <w:tabs>
          <w:tab w:leader="none" w:pos="4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and other inventions that are conceived, discovered, developed or otherwise made by or on behalf of such Party (or its Affiliates or its or their respective (sub)licensees/Sublicensees) under or in connection with this Agreement, whether or not patented or patentable and any and all Patents and other intellectual property rights with respect thereto, except to the extent that any such Information or other invention, or any Patent</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56" w:name="page57"/>
    <w:bookmarkEnd w:id="56"/>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or intellectual property rights with respect thereto, is Joint Intellectual Property Rights; and (b) other Information, inventions, Patents and other intellectual property rights that are owned or otherwise controlled (other than pursuant to the license grants set forth in Section 5‎.1) by such Party or any of its Affiliates or its or their respective (sub)licensees/Sublicensees outside of this Agreement. Subject to Section 3‎.3.3, each Party shall disclose to the other Party in writing and shall cause its Affiliates, and its and their (sub)licensees/Sublicensees to so disclose, the conception, discovery, development or making of any Information, Patents, inventions and other intellectual property rights described in clause (a) that are conceived, discovered, developed or otherwise made prior to the Option Effective Date promptly after becoming aware thereof, including any invention disclosures or other similar documents submitted to such Party by its employees, agents, consultants, independent contractors or Affiliates in connection therewith.</w:t>
      </w:r>
    </w:p>
    <w:p>
      <w:pPr>
        <w:spacing w:after="0" w:line="145" w:lineRule="exact"/>
        <w:rPr>
          <w:sz w:val="20"/>
          <w:szCs w:val="20"/>
          <w:color w:val="auto"/>
        </w:rPr>
      </w:pPr>
    </w:p>
    <w:p>
      <w:pPr>
        <w:jc w:val="both"/>
        <w:ind w:left="200" w:right="199" w:firstLine="1576"/>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9.1.2. Ownership of Joint Patents and Joint Know-How. </w:t>
      </w:r>
      <w:r>
        <w:rPr>
          <w:rFonts w:ascii="Times New Roman" w:cs="Times New Roman" w:eastAsia="Times New Roman" w:hAnsi="Times New Roman"/>
          <w:sz w:val="16"/>
          <w:szCs w:val="16"/>
          <w:color w:val="auto"/>
        </w:rPr>
        <w:t>Subject to Section 7‎.3.1(b)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Section 9‎.1.3, as between the Parties, the Parties shall each own an equal, undivided interest in any and all: (a) Information and other inventions that are conceived, discovered, developed or otherwise made jointly by or on behalf of ACI or its Affiliates or its or their (sub)licensees, on the one hand, and Takeda or its Affiliates or its or their Sublicensees, on the other hand, under or in connection with this Agreement, whether or not patented or patentable (the “</w:t>
      </w:r>
      <w:r>
        <w:rPr>
          <w:rFonts w:ascii="Times New Roman" w:cs="Times New Roman" w:eastAsia="Times New Roman" w:hAnsi="Times New Roman"/>
          <w:sz w:val="16"/>
          <w:szCs w:val="16"/>
          <w:b w:val="1"/>
          <w:bCs w:val="1"/>
          <w:color w:val="auto"/>
        </w:rPr>
        <w:t>Joint Know-How</w:t>
      </w:r>
      <w:r>
        <w:rPr>
          <w:rFonts w:ascii="Times New Roman" w:cs="Times New Roman" w:eastAsia="Times New Roman" w:hAnsi="Times New Roman"/>
          <w:sz w:val="16"/>
          <w:szCs w:val="16"/>
          <w:color w:val="auto"/>
        </w:rPr>
        <w:t>”); and (b) Patents with respect to the Information and other inventions described in clause (a) (the “</w:t>
      </w:r>
      <w:r>
        <w:rPr>
          <w:rFonts w:ascii="Times New Roman" w:cs="Times New Roman" w:eastAsia="Times New Roman" w:hAnsi="Times New Roman"/>
          <w:sz w:val="16"/>
          <w:szCs w:val="16"/>
          <w:b w:val="1"/>
          <w:bCs w:val="1"/>
          <w:color w:val="auto"/>
        </w:rPr>
        <w:t>Joint Patents</w:t>
      </w:r>
      <w:r>
        <w:rPr>
          <w:rFonts w:ascii="Times New Roman" w:cs="Times New Roman" w:eastAsia="Times New Roman" w:hAnsi="Times New Roman"/>
          <w:sz w:val="16"/>
          <w:szCs w:val="16"/>
          <w:color w:val="auto"/>
        </w:rPr>
        <w:t>”) and (c) other intellectual property rights with respect to the Information and other inventions described in clause (a) (together with Joint Know-How and Joint Patents, the “</w:t>
      </w:r>
      <w:r>
        <w:rPr>
          <w:rFonts w:ascii="Times New Roman" w:cs="Times New Roman" w:eastAsia="Times New Roman" w:hAnsi="Times New Roman"/>
          <w:sz w:val="16"/>
          <w:szCs w:val="16"/>
          <w:b w:val="1"/>
          <w:bCs w:val="1"/>
          <w:color w:val="auto"/>
        </w:rPr>
        <w:t>Joint Intellectual Property Rights</w:t>
      </w:r>
      <w:r>
        <w:rPr>
          <w:rFonts w:ascii="Times New Roman" w:cs="Times New Roman" w:eastAsia="Times New Roman" w:hAnsi="Times New Roman"/>
          <w:sz w:val="16"/>
          <w:szCs w:val="16"/>
          <w:color w:val="auto"/>
        </w:rPr>
        <w:t>”). Each Party shall disclose to the other Party in writing and shall cause its Affiliates, and its and their (sub)licensees/Sublicensees to so disclose, the conception, discovery, development or making of any Joint Intellectual Property Rights. Subject to each Party’s exclusivity obligations under Section 5‎.5 and confidentiality obligations under Article 10‎ and, with respect to ACI, the licenses granted under Section 5‎.1, (x) each Party shall have the right to practice, grant licenses under and transfer any Joint Intellectual Property Rights, (y) neither Party shall have any obligation to account to the other for profits or to obtain any approval of the other Party to license or Exploit any Joint Intellectual Property Rights by reason of joint ownership thereof, and (z) each Party hereby waives any right it may have under the laws of any jurisdiction to require any such consent or accounting.</w:t>
      </w:r>
    </w:p>
    <w:p>
      <w:pPr>
        <w:spacing w:after="0" w:line="3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9.1.3.  Treatment of Certain IP if Option is not Exercised.</w:t>
      </w:r>
    </w:p>
    <w:p>
      <w:pPr>
        <w:spacing w:after="0" w:line="167" w:lineRule="exact"/>
        <w:rPr>
          <w:sz w:val="20"/>
          <w:szCs w:val="20"/>
          <w:color w:val="auto"/>
        </w:rPr>
      </w:pPr>
    </w:p>
    <w:p>
      <w:pPr>
        <w:jc w:val="both"/>
        <w:ind w:left="200" w:right="199" w:firstLine="2095"/>
        <w:spacing w:after="0"/>
        <w:tabs>
          <w:tab w:leader="none" w:pos="28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Takeda does not provide an Exercise Notice prior to the expiration of the Option Period, then upon expiration of the Option Period, or (ii) this Agreement is terminated prior to the Option Effective Date, then upon the effective date of such termination, in each case ((i) and (ii)), [***]</w:t>
      </w:r>
    </w:p>
    <w:p>
      <w:pPr>
        <w:spacing w:after="0" w:line="145" w:lineRule="exact"/>
        <w:rPr>
          <w:rFonts w:ascii="Times New Roman" w:cs="Times New Roman" w:eastAsia="Times New Roman" w:hAnsi="Times New Roman"/>
          <w:sz w:val="18"/>
          <w:szCs w:val="18"/>
          <w:color w:val="auto"/>
        </w:rPr>
      </w:pPr>
    </w:p>
    <w:p>
      <w:pPr>
        <w:jc w:val="both"/>
        <w:ind w:left="200" w:right="199" w:firstLine="2095"/>
        <w:spacing w:after="0"/>
        <w:tabs>
          <w:tab w:leader="none" w:pos="28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Takeda does not provide an Exercise Notice prior to the expiration of the Option Period, then upon expiration of the Option Period, or (ii) this Agreement is terminated prior to the Option Effective Date, then upon the effective date of such termination, in each case ((i) and (ii)), [***]</w:t>
      </w:r>
    </w:p>
    <w:p>
      <w:pPr>
        <w:spacing w:after="0" w:line="143"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9.1.4. United States Law. </w:t>
      </w:r>
      <w:r>
        <w:rPr>
          <w:rFonts w:ascii="Times New Roman" w:cs="Times New Roman" w:eastAsia="Times New Roman" w:hAnsi="Times New Roman"/>
          <w:sz w:val="18"/>
          <w:szCs w:val="18"/>
          <w:color w:val="auto"/>
        </w:rPr>
        <w:t>The determination of whether Information and other inventions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conceived, discovered, developed or otherwise made by a Party for the purpose of allocating proprietary rights (including Patent, copyright or other intellectual property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7" w:name="page58"/>
    <w:bookmarkEnd w:id="57"/>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rights) therein, shall, for purposes of this Agreement, be made in accordance with Applicable Law in the United States as such law exists as of the Effective Date irrespective of where or when such conception, discovery, development or making occurs. In the event that such United States law does not apply to the conception, discovery, development or making of any Information or other inventions hereunder, each Party shall, and does hereby, assign, and shall cause its Affiliates and its and their (sub)licensees/Sublicensees to so assign, to the other Party, without additional compensation, such right, title and interest in and to any Information and other inventions as well as any intellectual property rights with respect thereto, as is necessary to fully effect, as applicable, (a) the sole ownership provided for in Section 9‎.1.1 and Section 9‎.1.3 and (b) the joint ownership provided for in Section 9‎.1.2.</w:t>
      </w:r>
    </w:p>
    <w:p>
      <w:pPr>
        <w:spacing w:after="0" w:line="148"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6"/>
          <w:szCs w:val="16"/>
          <w:b w:val="1"/>
          <w:bCs w:val="1"/>
          <w:color w:val="auto"/>
        </w:rPr>
        <w:t>Control of Intellectual Property.</w:t>
      </w:r>
    </w:p>
    <w:p>
      <w:pPr>
        <w:spacing w:after="0" w:line="165"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9.2.1. </w:t>
      </w:r>
      <w:r>
        <w:rPr>
          <w:rFonts w:ascii="Times New Roman" w:cs="Times New Roman" w:eastAsia="Times New Roman" w:hAnsi="Times New Roman"/>
          <w:sz w:val="18"/>
          <w:szCs w:val="18"/>
          <w:color w:val="auto"/>
        </w:rPr>
        <w:t>Neither Party shall enter into or amend any agreement with a Third Party, or include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agreement or amendment any restrictive provisions, with an intent to limit its Control of, or to not Control, any Information, Patent or other intellectual property right that would be subject to the license grants in Section ‎5.1 or Section ‎9.1.3(b), as applicable, in the absence of such agreement, amendment or restrictive provisions. Further, when entering into any agreement or amendment with a Third Party relating to any Information, Patents or other intellectual property rights that, if Controlled by either Party or its Affiliates, would be subject to the license grants in Section ‎5.1 or Section ‎9.1.3(b), as applicable, each Party shall use good faith efforts to obtain Control of such Information, Patents and other intellectual property rights.</w:t>
      </w:r>
    </w:p>
    <w:p>
      <w:pPr>
        <w:spacing w:after="0" w:line="144" w:lineRule="exact"/>
        <w:rPr>
          <w:sz w:val="20"/>
          <w:szCs w:val="20"/>
          <w:color w:val="auto"/>
        </w:rPr>
      </w:pPr>
    </w:p>
    <w:p>
      <w:pPr>
        <w:jc w:val="both"/>
        <w:ind w:left="200" w:right="199" w:firstLine="1576"/>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9.2.2. </w:t>
      </w:r>
      <w:r>
        <w:rPr>
          <w:rFonts w:ascii="Times New Roman" w:cs="Times New Roman" w:eastAsia="Times New Roman" w:hAnsi="Times New Roman"/>
          <w:sz w:val="18"/>
          <w:szCs w:val="18"/>
          <w:color w:val="auto"/>
        </w:rPr>
        <w:t>(a) ACI shall cause all Persons who perform Development (including CMC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or regulatory activities for ACI under this Agreement or who conceive, discover, develop or otherwise make any Information by or on behalf of ACI or its Affiliates or its or their (sub)licensees under or in connection with this Agreement and (b) Takeda shall cause all Persons who are granted access to or otherwise provided with ACI’s Proprietary CMC Information pursuant to and in accordance with Section 3.3.3 or perform the CMC Development activities or who, on behalf of Takeda or its Affiliates or its or their Sublicensees, in performing any activities under this Agreement, conceive, discover, develop or otherwise make any Information in and to which Takeda is required hereunder to assign to ACI its entire interest or a joint ownership interest, in each case ((a) and (b)) to be under an obligation to assign (or, if the applicable Party is unable to cause such Person to agree to such assignment obligation despite such Party using commercially reasonable efforts to negotiate such assignment obligation, provide an exclusive license under) their rights in any Information or other inventions resulting from such activities as set forth in clause (a) or (b), as applicable to such Party, except (x) where Applicable Law requires otherwise, (y) in the case of governmental, not-for-profit and public institutions that have standard policies against such an assignment (in which case a suitable license, or right to obtain such a license, shall be obtained), and (z) in the case of a Third Party subcontractor that performs activities under this Agreement, with respect to any Information or inventions that constitute (i) the background intellectual property of such Third Party or (ii) improvements to such background intellectual property that are not specific to one (1) or more Licensed Compounds or Licensed Products or the Exploitation thereof and that do not incorporate any of a Party’s Confidential Information (in which case, a license for rights to use any such intellectual property that is necessary to Exploit one (1) or more Licensed Compounds or Licensed Products shall be obtained from such Third Party (which license shall be consistent with this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58" w:name="page59"/>
    <w:bookmarkEnd w:id="58"/>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Agreement and shall not adversely affect in any respect the other Party’s rights or interests under this Agreement or impose any material obligation on the other Party)).</w:t>
      </w:r>
    </w:p>
    <w:p>
      <w:pPr>
        <w:spacing w:after="0" w:line="1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9.2.3.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6"/>
          <w:szCs w:val="16"/>
          <w:b w:val="1"/>
          <w:bCs w:val="1"/>
          <w:color w:val="auto"/>
        </w:rPr>
        <w:t>Maintenance and Prosecution of Patents.</w:t>
      </w:r>
    </w:p>
    <w:p>
      <w:pPr>
        <w:spacing w:after="0" w:line="165" w:lineRule="exact"/>
        <w:rPr>
          <w:sz w:val="20"/>
          <w:szCs w:val="20"/>
          <w:color w:val="auto"/>
        </w:rPr>
      </w:pPr>
    </w:p>
    <w:p>
      <w:pPr>
        <w:jc w:val="both"/>
        <w:ind w:left="200" w:right="199" w:firstLine="1576"/>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9.3.1. Licensed Patents and Joint Patents Prior to Option Effective Date. </w:t>
      </w:r>
      <w:r>
        <w:rPr>
          <w:rFonts w:ascii="Times New Roman" w:cs="Times New Roman" w:eastAsia="Times New Roman" w:hAnsi="Times New Roman"/>
          <w:sz w:val="16"/>
          <w:szCs w:val="16"/>
          <w:color w:val="auto"/>
        </w:rPr>
        <w:t>As between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Parties, subject to Section 9‎.3.3 and Section 9‎.3.4, prior to the Option Effective Date, ACI shall have (a) the sole right, but not the obligation [***] using counsel of its own choice, to prepare, file, prosecute and maintain, and to be responsible for any opposition, re-issuance, post-grant review, inter-partes review, reexamination request, nullity action, interference or other similar post-grant proceedings and any appeals therefrom (each, a “</w:t>
      </w:r>
      <w:r>
        <w:rPr>
          <w:rFonts w:ascii="Times New Roman" w:cs="Times New Roman" w:eastAsia="Times New Roman" w:hAnsi="Times New Roman"/>
          <w:sz w:val="16"/>
          <w:szCs w:val="16"/>
          <w:b w:val="1"/>
          <w:bCs w:val="1"/>
          <w:color w:val="auto"/>
        </w:rPr>
        <w:t>Defense Proceeding</w:t>
      </w:r>
      <w:r>
        <w:rPr>
          <w:rFonts w:ascii="Times New Roman" w:cs="Times New Roman" w:eastAsia="Times New Roman" w:hAnsi="Times New Roman"/>
          <w:sz w:val="16"/>
          <w:szCs w:val="16"/>
          <w:color w:val="auto"/>
        </w:rPr>
        <w:t xml:space="preserve">”) with respect to, the Other Licensed Patents in the Territory, at its sole cost and expense and (b) the first right, but not the obligation, using counsel of its own choice, to prepare, file, prosecute and maintain, and to be responsible for any Defense Proceeding with respect to, the Product Patents and Joint Patents in the Territory, at its sole cost and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ACI shall promptly notify Takeda upon becoming aware of any Defense Proceeding with respect to a Licensed Patent or Joint Patent and [***]</w:t>
      </w:r>
    </w:p>
    <w:p>
      <w:pPr>
        <w:spacing w:after="0" w:line="1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9.3.2.  Licensed Patents and Joint Patents After the Option Effective Date.  </w:t>
      </w:r>
      <w:r>
        <w:rPr>
          <w:rFonts w:ascii="Times New Roman" w:cs="Times New Roman" w:eastAsia="Times New Roman" w:hAnsi="Times New Roman"/>
          <w:sz w:val="18"/>
          <w:szCs w:val="18"/>
          <w:color w:val="auto"/>
        </w:rPr>
        <w:t>As between the</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Parties, subject to Section 9‎.3.3 and Section 9‎.3.4, from and after the Option Effective Date:</w:t>
      </w:r>
    </w:p>
    <w:p>
      <w:pPr>
        <w:spacing w:after="0" w:line="145" w:lineRule="exact"/>
        <w:rPr>
          <w:sz w:val="20"/>
          <w:szCs w:val="20"/>
          <w:color w:val="auto"/>
        </w:rPr>
      </w:pPr>
    </w:p>
    <w:p>
      <w:pPr>
        <w:jc w:val="both"/>
        <w:ind w:left="200" w:right="199" w:firstLine="2095"/>
        <w:spacing w:after="0" w:line="232" w:lineRule="auto"/>
        <w:tabs>
          <w:tab w:leader="none" w:pos="28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Takeda shall have the first right, but not the obligation, using counsel of its own choice, to prepare, file, prosecute and maintain the Product Patents and Joint Patents in the Territory and to be responsible for any Defense Proceeding with respect thereto, in each case, at its sole cost and expense. For clarity, Takeda shall have the first right to prepare, file, prosecute and maintain any application for a Licensed Patent that is a continuation or divisional of another Licensed Patent and that would result in the issuance of a Patent that solely and specifically claims one (1) or more Licensed Compounds or Licensed Products or the Exploitation thereof (it being understood that any such continuations or divisionals shall be considered to be Product Patents upon the filing of such continuation or divisional application with the applicable Governmental Authority in a country); and</w:t>
      </w:r>
    </w:p>
    <w:p>
      <w:pPr>
        <w:spacing w:after="0" w:line="150" w:lineRule="exact"/>
        <w:rPr>
          <w:rFonts w:ascii="Times New Roman" w:cs="Times New Roman" w:eastAsia="Times New Roman" w:hAnsi="Times New Roman"/>
          <w:sz w:val="18"/>
          <w:szCs w:val="18"/>
          <w:color w:val="auto"/>
        </w:rPr>
      </w:pPr>
    </w:p>
    <w:p>
      <w:pPr>
        <w:jc w:val="both"/>
        <w:ind w:left="200" w:right="199" w:firstLine="2095"/>
        <w:spacing w:after="0"/>
        <w:tabs>
          <w:tab w:leader="none" w:pos="28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using counsel of its own choice, to prepare, file, prosecute and maintain the Other Licensed Patents in the Territory and to be responsible for any Defense Proceeding with respect thereto, in each case, at its sole cost and expense; [***]</w:t>
      </w:r>
    </w:p>
    <w:p>
      <w:pPr>
        <w:spacing w:after="0" w:line="143"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9.3.3. Cooperation. </w:t>
      </w:r>
      <w:r>
        <w:rPr>
          <w:rFonts w:ascii="Times New Roman" w:cs="Times New Roman" w:eastAsia="Times New Roman" w:hAnsi="Times New Roman"/>
          <w:sz w:val="18"/>
          <w:szCs w:val="18"/>
          <w:color w:val="auto"/>
        </w:rPr>
        <w:t>The non-prosecuting Party shall, and shall cause its Affiliates to, assist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with the prosecuting Party, as the prosecuting Party may reasonably request from time to time, in the preparation, filing, prosecution and maintenance of the Licensed Patents and Joint Patents (and any related Defense Proceedings) under this Agreement, including that the non-prosecuting Party shall, and shall cause its Affiliates to, (a) offer its comments, if any, promptly, (b) provide reasonable access to relevant documents and other evidence and make its employees reasonably available at reasonable business hours and (c) provide the prosecuting Party, upon its request, with copies of any patentability search reports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59" w:name="page60"/>
    <w:bookmarkEnd w:id="59"/>
    <w:p>
      <w:pPr>
        <w:jc w:val="both"/>
        <w:ind w:left="200" w:right="199"/>
        <w:spacing w:after="0" w:line="234" w:lineRule="auto"/>
        <w:rPr>
          <w:sz w:val="20"/>
          <w:szCs w:val="20"/>
          <w:color w:val="auto"/>
        </w:rPr>
      </w:pPr>
      <w:r>
        <w:rPr>
          <w:rFonts w:ascii="Times New Roman" w:cs="Times New Roman" w:eastAsia="Times New Roman" w:hAnsi="Times New Roman"/>
          <w:sz w:val="18"/>
          <w:szCs w:val="18"/>
          <w:color w:val="auto"/>
        </w:rPr>
        <w:t>generated by its patent counsel with respect to the Licensed Patents or Joint Patents, including relevant Third Party patents and patent applications located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Party shall be required to provide legally privileged information with respect to such intellectual property unless and until procedures reasonably acceptable to such Party are in place to protect such privilege);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except with respect to the Joint Patents, the prosecuting Party shall reimburse the non-prosecuting Party for its reasonable and verifiable Out-of-Pocket Costs incurred in connection therewith. For clarity, this Section 9‎.3.3 shall apply both before and after the Option Effective Date.</w:t>
      </w:r>
    </w:p>
    <w:p>
      <w:pPr>
        <w:spacing w:after="0" w:line="144" w:lineRule="exact"/>
        <w:rPr>
          <w:sz w:val="20"/>
          <w:szCs w:val="20"/>
          <w:color w:val="auto"/>
        </w:rPr>
      </w:pPr>
    </w:p>
    <w:p>
      <w:pPr>
        <w:jc w:val="both"/>
        <w:ind w:left="200" w:right="199" w:firstLine="1576"/>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9.3.4. Procedures; Step-In. </w:t>
      </w:r>
      <w:r>
        <w:rPr>
          <w:rFonts w:ascii="Times New Roman" w:cs="Times New Roman" w:eastAsia="Times New Roman" w:hAnsi="Times New Roman"/>
          <w:sz w:val="18"/>
          <w:szCs w:val="18"/>
          <w:color w:val="auto"/>
        </w:rPr>
        <w:t>Each Party shall periodically inform the other Party of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steps with regard to the preparation, filing, prosecution and maintenance of the Product Patents, Joint Patents and [***] (or the related Defense Proceedings) in the Territory, including by providing the other Party with a copy of material communications to and from any patent authority in the Territory regarding such Patents (or such Defense Proceedings) and by providing the other Party drafts of any material filings or responses to be made to such patent authorities in the Territory in connection therewith sufficiently in advance of submitting such filings or responses so as to allow for a reasonable opportunity for the other Party to review and comment thereon. Each Party shall consider in good faith the requests and suggestions of the other Party with respect to such drafts and with respect to strategies for filing and prosecuting such Patents (or the conduct of such Defense Proceedings) in the Territory. If, as between the Parties, the Party with the first right to prosecute a Product Patent or Joint Patent (or conduct a related Defense Proceeding) decides not to prepare, file, prosecute or maintain such Product Patent or Joint Patent (or conduct the related Defense Proceeding) in a country in the Territory, such Party shall provide reasonable prior written notice to the other Party of such intention, and the other Party shall thereupon have the option to assume the control and direction of the preparation, filing, prosecution and maintenance of such Product Patent or Joint Patent (or the conduct of such Defense Proceeding) at its sole cost and expense in such country;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Product Patent or Joint Patent from and after the Option Effective Date, if Takeda decides not to file such a Patent or not to continue such prosecution or maintenance (or conduct such Defense Proceeding) for strategic reasons (including if, from and after the Option Effective Date, with respect to the Product Patents and Joint Patents, Takeda in good faith believes that such filing or continued prosecution or maintenance (or conduct of such Defense Proceeding) would likely have an adverse impact on the Development, Manufacture or Commercialization of the Licensed Compounds or Licensed Products or is reasonably likely to have a detrimental effect on the overall patent portfolio for the Licensed Compounds or Licensed Products or if Takeda desires to maintain certain Information that would be disclosed therein as a trade secret), then ACI shall not have the right to exercise such step-in right without Takeda’s prior written consent. For clarity, this Section 9‎.3.4 shall apply both before and after the Option Effective Date (as set forth herein).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9.3.5.  Patent Term Extension and Supplementary Protection Certificate.</w:t>
      </w:r>
    </w:p>
    <w:p>
      <w:pPr>
        <w:spacing w:after="0" w:line="167" w:lineRule="exact"/>
        <w:rPr>
          <w:sz w:val="20"/>
          <w:szCs w:val="20"/>
          <w:color w:val="auto"/>
        </w:rPr>
      </w:pPr>
    </w:p>
    <w:p>
      <w:pPr>
        <w:jc w:val="both"/>
        <w:ind w:left="200" w:right="199" w:firstLine="2095"/>
        <w:spacing w:after="0" w:line="235" w:lineRule="auto"/>
        <w:tabs>
          <w:tab w:leader="none" w:pos="28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prior to the Option Effective Date, ACI shall have the sole right to make decisions regarding, and to apply for, patent term extensions in the Territory, including the United States with respect to extensions pursuant to 35 U.S.C. §156 et seq. and in other jurisdictions pursuant to supplementary protection certificates, and in all jurisdictions with respect to any other extensions that are now available or become available in the</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0" w:name="page61"/>
    <w:bookmarkEnd w:id="60"/>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 xml:space="preserve">future prior to the Option Effective Date, wherever applicable, for the Licensed Patents and any Joint Patents and with respect to the Licensed Compounds and the Licensed Products, in each case, including whether or not to do 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ACI shall notify Takeda prior to applying for any such patent term extension, and in the event Takeda disagrees with any such decision of ACI, Takeda shall have the right to escalate such dispute to the Executive Officers for resolution;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unless and until the Executive Officers or Parties resolve such dispute, such dispute shall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deadlocked, and ACI shall not have the right to apply for such patent term extension. If ACI applies for a patent term extension in accordance with the foregoing, (i) ACI shall discuss such filing with Takeda in advance and shall consider in good faith the requests and suggestions of Takeda and (ii) Takeda shall, and shall cause its Affiliates to, provide prompt and reasonable assistance, as requested by ACI in writing.</w:t>
      </w:r>
    </w:p>
    <w:p>
      <w:pPr>
        <w:spacing w:after="0" w:line="147" w:lineRule="exact"/>
        <w:rPr>
          <w:sz w:val="20"/>
          <w:szCs w:val="20"/>
          <w:color w:val="auto"/>
        </w:rPr>
      </w:pPr>
    </w:p>
    <w:p>
      <w:pPr>
        <w:jc w:val="both"/>
        <w:ind w:left="200" w:right="199" w:firstLine="2095"/>
        <w:spacing w:after="0" w:line="266" w:lineRule="auto"/>
        <w:tabs>
          <w:tab w:leader="none" w:pos="282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between the Parties, from and after the Option Effective Date, Takeda shall have the sole right to make decisions regarding, and to apply for, patent term extensions in the Territory, including the United States with respect to extensions pursuant to 35 U.S.C. §156 et seq. and in other jurisdictions pursuant to supplementary protection certificates, and in all jurisdictions with respect to any other extensions that are now or become available in the future, wherever applicable, for the Product Patents, Joint Patents and [***] ACI shall, and shall cause its Affiliates to, provide prompt and reasonable assistance, as requested by Takeda, including by taking such action as patent holder as is required under any Applicable Law to obtain such extension or supplementary protection certificate.</w:t>
      </w:r>
    </w:p>
    <w:p>
      <w:pPr>
        <w:spacing w:after="0" w:line="125"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9.3.6. Common Ownership Under Joint Research Agreements. </w:t>
      </w:r>
      <w:r>
        <w:rPr>
          <w:rFonts w:ascii="Times New Roman" w:cs="Times New Roman" w:eastAsia="Times New Roman" w:hAnsi="Times New Roman"/>
          <w:sz w:val="18"/>
          <w:szCs w:val="18"/>
          <w:color w:val="auto"/>
        </w:rPr>
        <w:t>The Parties acknowledge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that this Agreement is a “joint research agreement” as defined in 35 U.S.C. §100(h). Notwithstanding anything to the contrary in this Agreement, neither Party shall invoke this Agreement under 35 U.S.C. §102(c) to except any patent or patent application as prior art without the prior written consent of the other Party. If such written consent is granted, the Parties shall coordinate their activities with respect to all submissions under 35 U.S.C. §102(c). Without limiting the foregoing, at the request of a Party, the Parties shall amend the specification of any U.S. patent application or patent claiming any Information or other inventions that are conceived, discovered, developed or otherwise made under or in connection with this Agreement as appropriate and necessary so as to avail of the Joint Research Agreement provisions permitting the execution of a terminal disclaimer under 37 C.F.R. §1.321(d) or similar regulation.</w:t>
      </w:r>
    </w:p>
    <w:p>
      <w:pPr>
        <w:spacing w:after="0" w:line="147" w:lineRule="exact"/>
        <w:rPr>
          <w:sz w:val="20"/>
          <w:szCs w:val="20"/>
          <w:color w:val="auto"/>
        </w:rPr>
      </w:pPr>
    </w:p>
    <w:p>
      <w:pPr>
        <w:jc w:val="both"/>
        <w:ind w:left="200" w:right="199" w:firstLine="1576"/>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9.3.7. Transfer of Inventions. </w:t>
      </w:r>
      <w:r>
        <w:rPr>
          <w:rFonts w:ascii="Times New Roman" w:cs="Times New Roman" w:eastAsia="Times New Roman" w:hAnsi="Times New Roman"/>
          <w:sz w:val="18"/>
          <w:szCs w:val="18"/>
          <w:color w:val="auto"/>
        </w:rPr>
        <w:t>With respect to any Patents claiming any invention conceived,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discovered, developed or otherwise made by or on behalf of Takeda (solely or jointly with ACI) under or in connection with this Agreement, Takeda may elect, in its sole discretion, to assign all of its right, title and interest in and to such invention and such Patent to ACI by written notice to ACI. If Takeda makes such an election, ACI shall and hereby does grant to Takeda an exclusive (or with respect to Joint Intellectual Property Rights co-exclusive and subject to Section ‎9.1.2), royalty-free, transferable, irrevocable, perpetual license under such invention and such Patent for any and all purposes. Notwithstanding the foregoing, if Takeda makes such an election, for purposes of this Agreement, such Patent shall not constitute a Licensed Patent and shall continue to be considered a Joint Patent or a Patent solely owned by Takeda, and ACI shall cooperate with Takeda to effect such assignment (including pursuant to Section ‎14.13) and to afford Takeda its rights with respect to such Patent as set forth in this Article ‎9 as if such assignment had not occurred. As between the Parties, any and all costs and expenses incurred in</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1" w:name="page62"/>
    <w:bookmarkEnd w:id="61"/>
    <w:p>
      <w:pPr>
        <w:jc w:val="both"/>
        <w:ind w:left="200" w:right="219"/>
        <w:spacing w:after="0"/>
        <w:rPr>
          <w:sz w:val="20"/>
          <w:szCs w:val="20"/>
          <w:color w:val="auto"/>
        </w:rPr>
      </w:pPr>
      <w:r>
        <w:rPr>
          <w:rFonts w:ascii="Times New Roman" w:cs="Times New Roman" w:eastAsia="Times New Roman" w:hAnsi="Times New Roman"/>
          <w:sz w:val="18"/>
          <w:szCs w:val="18"/>
          <w:color w:val="auto"/>
        </w:rPr>
        <w:t>connection with any such assignment of any Patent to ACI shall be borne solely by Takeda, and any and all costs incurred in connection with the preparation, filing, prosecution or maintenance of any such Patent shall be borne as set forth in this Article 9‎ as if such assignment had not occurred.</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9.3.8.  Patent Listings.</w:t>
      </w:r>
    </w:p>
    <w:p>
      <w:pPr>
        <w:spacing w:after="0" w:line="167" w:lineRule="exact"/>
        <w:rPr>
          <w:sz w:val="20"/>
          <w:szCs w:val="20"/>
          <w:color w:val="auto"/>
        </w:rPr>
      </w:pPr>
    </w:p>
    <w:p>
      <w:pPr>
        <w:jc w:val="both"/>
        <w:ind w:left="200" w:right="199" w:firstLine="2095"/>
        <w:spacing w:after="0" w:line="231" w:lineRule="auto"/>
        <w:tabs>
          <w:tab w:leader="none" w:pos="28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between the Parties, prior to the Option Effective Date, ACI shall have the sole right to make all filings with Regulatory Authorities in the Territory with respect to the Licensed Patents and Joint Patents, including as required or allowed (i) in the United States, in the FDA’s Orange Book or Purple Book, as applicable and (ii) in the European Union, under the national implementations of Article 10.1(a)(iii) of Directive 2001/EC/83 or other international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ACI shall notify Takeda prior to making any such filing, and in the event Takeda disagrees with any such decision of ACI, Takeda shall have the right to escalate such dispute to the Executive Officers for resolution;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unless and until the Executive Officers or Parties resolve such dispute, such dispute shall remain deadlocked, and ACI shall not have the right to make such filing. If ACI makes any such filing in accordance with the foregoing, ACI shall discuss such filing with Takeda in advance and shall consider in good faith the requests and suggestions of Takeda and Takeda shall provide prompt and reasonable assistance, as requested by ACI in writing, with respect to such filings.</w:t>
      </w:r>
    </w:p>
    <w:p>
      <w:pPr>
        <w:spacing w:after="0" w:line="150" w:lineRule="exact"/>
        <w:rPr>
          <w:rFonts w:ascii="Times New Roman" w:cs="Times New Roman" w:eastAsia="Times New Roman" w:hAnsi="Times New Roman"/>
          <w:sz w:val="18"/>
          <w:szCs w:val="18"/>
          <w:color w:val="auto"/>
        </w:rPr>
      </w:pPr>
    </w:p>
    <w:p>
      <w:pPr>
        <w:jc w:val="both"/>
        <w:ind w:left="200" w:right="199" w:firstLine="2095"/>
        <w:spacing w:after="0" w:line="233" w:lineRule="auto"/>
        <w:tabs>
          <w:tab w:leader="none" w:pos="28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from and after the Option Effective Date, Takeda shall have the sole right to make all filings with Regulatory Authorities in the Territory with respect to the Product Patents, Joint Patents and, [***] including as required or allowed (i) in the United States, in the FDA’s Orange Book or Purple Book, as applicable and (ii) in the European Union, under the national implementations of Article 10.1(a)(iii) of Directive 2001/EC/83 or other international equivalents. ACI shall provide prompt and reasonable assistance, as requested by Takeda in writing, with respect to such filings, including by taking such action as may be required of the Patent holder under any Applicable Law.</w:t>
      </w:r>
    </w:p>
    <w:p>
      <w:pPr>
        <w:spacing w:after="0" w:line="14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9.3.9.  UPC Opt-Out and Opt-In.</w:t>
      </w:r>
    </w:p>
    <w:p>
      <w:pPr>
        <w:spacing w:after="0" w:line="167" w:lineRule="exact"/>
        <w:rPr>
          <w:sz w:val="20"/>
          <w:szCs w:val="20"/>
          <w:color w:val="auto"/>
        </w:rPr>
      </w:pPr>
    </w:p>
    <w:p>
      <w:pPr>
        <w:jc w:val="both"/>
        <w:ind w:left="200" w:right="199" w:firstLine="2095"/>
        <w:spacing w:after="0" w:line="235" w:lineRule="auto"/>
        <w:tabs>
          <w:tab w:leader="none" w:pos="28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between the Parties, prior to the Option Effective Date, ACI shall have the sole right to make decisions regarding any UPC Opt-Out with respect to any Licensed Patent or Joint Patent;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ACI will not UPC Opt-In any Patent that may be issued prior to the Option Effective Date without Takeda’s prior written consent. Each Party shall provide prompt and reasonable assistance, as requested by the other Party in writing, with respect to such UPC Opt-Out or UPC Opt-In.</w:t>
      </w:r>
    </w:p>
    <w:p>
      <w:pPr>
        <w:spacing w:after="0" w:line="146" w:lineRule="exact"/>
        <w:rPr>
          <w:rFonts w:ascii="Times New Roman" w:cs="Times New Roman" w:eastAsia="Times New Roman" w:hAnsi="Times New Roman"/>
          <w:sz w:val="18"/>
          <w:szCs w:val="18"/>
          <w:color w:val="auto"/>
        </w:rPr>
      </w:pPr>
    </w:p>
    <w:p>
      <w:pPr>
        <w:jc w:val="both"/>
        <w:ind w:left="200" w:right="199" w:firstLine="2095"/>
        <w:spacing w:after="0" w:line="234" w:lineRule="auto"/>
        <w:tabs>
          <w:tab w:leader="none" w:pos="28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Option Effective Date, Takeda shall have the sole right to make decisions regarding any UPC Opt-Out or UPC Opt-In with respect to any Product Patent or Joint Patent. ACI shall provide prompt and reasonable assistance, as requested by Takeda in writing, with respect to such UPC Opt-Out or UPC Opt-In, including by taking such action as may be required of the Patent holder under any Applicable Law. ACI shall have the sole right to make decisions regarding any UPC Opt-Out or UPC Opt-In with respect to any Other Licensed Patent;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2" w:name="page63"/>
    <w:bookmarkEnd w:id="62"/>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6"/>
          <w:szCs w:val="16"/>
          <w:b w:val="1"/>
          <w:bCs w:val="1"/>
          <w:color w:val="auto"/>
        </w:rPr>
        <w:t>Enforcement of Patents.</w:t>
      </w:r>
    </w:p>
    <w:p>
      <w:pPr>
        <w:spacing w:after="0" w:line="165" w:lineRule="exact"/>
        <w:rPr>
          <w:sz w:val="20"/>
          <w:szCs w:val="20"/>
          <w:color w:val="auto"/>
        </w:rPr>
      </w:pPr>
    </w:p>
    <w:p>
      <w:pPr>
        <w:ind w:left="200" w:right="219" w:firstLine="157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9.4.1. Notice. </w:t>
      </w:r>
      <w:r>
        <w:rPr>
          <w:rFonts w:ascii="Times New Roman" w:cs="Times New Roman" w:eastAsia="Times New Roman" w:hAnsi="Times New Roman"/>
          <w:sz w:val="18"/>
          <w:szCs w:val="18"/>
          <w:color w:val="auto"/>
        </w:rPr>
        <w:t>Each Party shall promptly notify the other Party in writing of any alleged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infringement of the Licensed Patents or Joint Patents in the Territory of which such Party becomes aware.</w:t>
      </w:r>
    </w:p>
    <w:p>
      <w:pPr>
        <w:spacing w:after="0" w:line="129" w:lineRule="exact"/>
        <w:rPr>
          <w:sz w:val="20"/>
          <w:szCs w:val="20"/>
          <w:color w:val="auto"/>
        </w:rPr>
      </w:pPr>
    </w:p>
    <w:p>
      <w:pPr>
        <w:ind w:left="200" w:right="199" w:firstLine="157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9.4.2. Enforcement of Infringement Actions Prior to the Option Effective Date. </w:t>
      </w:r>
      <w:r>
        <w:rPr>
          <w:rFonts w:ascii="Times New Roman" w:cs="Times New Roman" w:eastAsia="Times New Roman" w:hAnsi="Times New Roman"/>
          <w:sz w:val="18"/>
          <w:szCs w:val="18"/>
          <w:color w:val="auto"/>
        </w:rPr>
        <w:t>As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subject to Section 9‎.4.4, prior to the Option Effective Date:</w:t>
      </w:r>
    </w:p>
    <w:p>
      <w:pPr>
        <w:spacing w:after="0" w:line="131" w:lineRule="exact"/>
        <w:rPr>
          <w:sz w:val="20"/>
          <w:szCs w:val="20"/>
          <w:color w:val="auto"/>
        </w:rPr>
      </w:pPr>
    </w:p>
    <w:p>
      <w:pPr>
        <w:jc w:val="both"/>
        <w:ind w:left="200" w:right="199" w:firstLine="2095"/>
        <w:spacing w:after="0" w:line="232" w:lineRule="auto"/>
        <w:tabs>
          <w:tab w:leader="none" w:pos="28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ACI shall have (i) the sole right, but not the obligation, to prosecute any infringement with respect to the Licensed Patents, including as a defense or counterclaim in connection with any Third Party Infringement Claim, using counsel of its own choice, at its sole cost and expense and (ii) the first right, but not the obligation, to prosecute any infringement with respect to the Joint Patents, including as a defense or counterclaim in connection with any Third Party Infringement Claim, using counsel of its own choice, at its sole cost and expense;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ACI shall not institute any action or discussions with respect to (x) an infringement of any Other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or Joint Patent based on the development, commercialization or an application to market a product containing a Licensed Compound or any Licensed Product or Competing Product (including any Biosimilar Product) or (y) an infringement of a Product Patent ((x) and (y), a “</w:t>
      </w:r>
      <w:r>
        <w:rPr>
          <w:rFonts w:ascii="Times New Roman" w:cs="Times New Roman" w:eastAsia="Times New Roman" w:hAnsi="Times New Roman"/>
          <w:sz w:val="18"/>
          <w:szCs w:val="18"/>
          <w:b w:val="1"/>
          <w:bCs w:val="1"/>
          <w:color w:val="auto"/>
        </w:rPr>
        <w:t>Competitive Infringement</w:t>
      </w:r>
      <w:r>
        <w:rPr>
          <w:rFonts w:ascii="Times New Roman" w:cs="Times New Roman" w:eastAsia="Times New Roman" w:hAnsi="Times New Roman"/>
          <w:sz w:val="18"/>
          <w:szCs w:val="18"/>
          <w:color w:val="auto"/>
        </w:rPr>
        <w:t>”), in each case ((x) and (y)), without Takeda’s prior written consent.</w:t>
      </w:r>
    </w:p>
    <w:p>
      <w:pPr>
        <w:spacing w:after="0" w:line="144" w:lineRule="exact"/>
        <w:rPr>
          <w:rFonts w:ascii="Times New Roman" w:cs="Times New Roman" w:eastAsia="Times New Roman" w:hAnsi="Times New Roman"/>
          <w:sz w:val="18"/>
          <w:szCs w:val="18"/>
          <w:color w:val="auto"/>
        </w:rPr>
      </w:pPr>
    </w:p>
    <w:p>
      <w:pPr>
        <w:jc w:val="both"/>
        <w:ind w:left="200" w:right="199" w:firstLine="2095"/>
        <w:spacing w:after="0" w:line="232" w:lineRule="auto"/>
        <w:tabs>
          <w:tab w:leader="none" w:pos="28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ACI prosecutes any Competitive Infringement prior to the Option Effective Date, Takeda shall have the right to join as a party to such claim, suit or proceeding in the Territory and participate with its own counsel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ACI shall retain control of the prosecution of such claim, suit or proceeding, including the response to any defense or defense of any counterclaim raised in connection therewith. If ACI or its designee does not take commercially reasonable steps to prosecute or settle an infringement (including Competitive Infringement) with respect to the Joint Patents by the earlier of ([***] before the time limit, if any, set forth in Applicable Law for filing of such actions, then Takeda shall have the right to prosecute such infringement at its sole cost and expense. ACI shall promptly notify Takeda if it determines not to prosecute or settle an infringement with respect to the Joint Patents.</w:t>
      </w:r>
    </w:p>
    <w:p>
      <w:pPr>
        <w:spacing w:after="0" w:line="14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9.4.3.  Enforcement of Infringement Actions After the Option Effective Date.</w:t>
      </w:r>
    </w:p>
    <w:p>
      <w:pPr>
        <w:spacing w:after="0" w:line="165" w:lineRule="exact"/>
        <w:rPr>
          <w:sz w:val="20"/>
          <w:szCs w:val="20"/>
          <w:color w:val="auto"/>
        </w:rPr>
      </w:pPr>
    </w:p>
    <w:p>
      <w:pPr>
        <w:jc w:val="both"/>
        <w:ind w:left="200" w:right="199" w:firstLine="2095"/>
        <w:spacing w:after="0" w:line="233" w:lineRule="auto"/>
        <w:tabs>
          <w:tab w:leader="none" w:pos="28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Patents and Joint Patents After the Option Effective Date. </w:t>
      </w:r>
      <w:r>
        <w:rPr>
          <w:rFonts w:ascii="Times New Roman" w:cs="Times New Roman" w:eastAsia="Times New Roman" w:hAnsi="Times New Roman"/>
          <w:sz w:val="18"/>
          <w:szCs w:val="18"/>
          <w:color w:val="auto"/>
        </w:rPr>
        <w:t>As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subject to Section 9‎.4.4, from and after the Option Effective Date, Takeda shall have the first right, but not the obligation, to prosecute any infringement (including Competitive Infringement) with respect to the Product Patents and Joint Patents, including as a defense or counterclaim in connection with any Third Party Infringement Claim, at Takeda’s sole cost and expense, using counsel of its own choice. If Takeda or its designee does not take commercially reasonable steps to prosecute or settle an infringement with respect to the Product Patents or Joint Patents by the earlier of ([***] Competitive Infringement under 35 U.S.C. §271(e)(2), [***] and (ii) [***] before the time limit, if any, set forth in Applicable</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63" w:name="page64"/>
    <w:bookmarkEnd w:id="63"/>
    <w:p>
      <w:pPr>
        <w:jc w:val="both"/>
        <w:ind w:left="200" w:right="199"/>
        <w:spacing w:after="0" w:line="266" w:lineRule="auto"/>
        <w:rPr>
          <w:sz w:val="20"/>
          <w:szCs w:val="20"/>
          <w:color w:val="auto"/>
        </w:rPr>
      </w:pPr>
      <w:r>
        <w:rPr>
          <w:rFonts w:ascii="Times New Roman" w:cs="Times New Roman" w:eastAsia="Times New Roman" w:hAnsi="Times New Roman"/>
          <w:sz w:val="16"/>
          <w:szCs w:val="16"/>
          <w:color w:val="auto"/>
        </w:rPr>
        <w:t xml:space="preserve">Law for filing of such actions, then ACI may prosecute such infringement with respect to the Product Patents or Joint Patents, at its sole cost and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Takeda decides not to prosecute or settle any such infringement for strategic reasons (including if Takeda in good faith believes that such prosecution or settlement would likely have an adverse impact on the Development, Manufacture or Commercialization of the Licensed Compounds or Licensed Products or is reasonably likely to have a detrimental effect on the overall patent portfolio for the Licensed Compounds or Licensed Products), then ACI shall not have the right to exercise such step-in right. Takeda shall promptly notify ACI in writing if it determines not to prosecute or settle an infringement with respect to the Product Patents or Joint Patents.</w:t>
      </w:r>
    </w:p>
    <w:p>
      <w:pPr>
        <w:spacing w:after="0" w:line="125" w:lineRule="exact"/>
        <w:rPr>
          <w:sz w:val="20"/>
          <w:szCs w:val="20"/>
          <w:color w:val="auto"/>
        </w:rPr>
      </w:pPr>
    </w:p>
    <w:p>
      <w:pPr>
        <w:jc w:val="both"/>
        <w:ind w:left="200" w:right="199" w:firstLine="2095"/>
        <w:spacing w:after="0" w:line="231" w:lineRule="auto"/>
        <w:tabs>
          <w:tab w:leader="none" w:pos="28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Licensed Patents After the Option Effective Date. </w:t>
      </w:r>
      <w:r>
        <w:rPr>
          <w:rFonts w:ascii="Times New Roman" w:cs="Times New Roman" w:eastAsia="Times New Roman" w:hAnsi="Times New Roman"/>
          <w:sz w:val="18"/>
          <w:szCs w:val="18"/>
          <w:color w:val="auto"/>
        </w:rPr>
        <w:t>As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Section 9‎.4.4, from and after the Option Effective Date, ACI shall have the sole right, but not the obligation, to prosecute any infringement with respect to the Other Licensed Patents, including as a defense or counterclaim in connection with any Third Party Infringement Claim, at ACI’s sole cost and expense, using counsel of its own choice;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if there is no valid and enforceable Product Patent that would be infringed by the Exploitation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Licensed Compound, Licensed Product or Competing Product that is the subject of a Competitive Infringement, Takeda shall have the right to prosecute such Competitive Infringement with respect to the Other Licensed Patents at its sole cost and expense, [***] and (iii) ACI shall not institute any action or discussions with respect to any Competitive Infringement without Takeda’s prior written consent. In the event ACI prosecutes any Competitive Infringement, Takeda shall have the right to join as a party to such claim, suit or proceeding in the Territory and participate with its own counsel at its sole cost and expense;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ACI shall retain control of the prosecution of such claim, suit or proceeding to the extent applicable to the Other Licensed Patents, including the response to any defense or defense of any counterclaim raised in connection therewith. [***]</w:t>
      </w:r>
    </w:p>
    <w:p>
      <w:pPr>
        <w:spacing w:after="0" w:line="146" w:lineRule="exact"/>
        <w:rPr>
          <w:sz w:val="20"/>
          <w:szCs w:val="20"/>
          <w:color w:val="auto"/>
        </w:rPr>
      </w:pPr>
    </w:p>
    <w:p>
      <w:pPr>
        <w:jc w:val="both"/>
        <w:ind w:left="200" w:right="199" w:firstLine="1576"/>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9.4.4. Cooperation; Settlement. </w:t>
      </w:r>
      <w:r>
        <w:rPr>
          <w:rFonts w:ascii="Times New Roman" w:cs="Times New Roman" w:eastAsia="Times New Roman" w:hAnsi="Times New Roman"/>
          <w:sz w:val="18"/>
          <w:szCs w:val="18"/>
          <w:color w:val="auto"/>
        </w:rPr>
        <w:t>Where a Party controls an infringement action under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9‎.4, the other Party shall, and shall cause its Affiliates to, assist and cooperate with the controlling Party, as such controlling Party may reasonably request from time to time, in connection with its activities set forth in this Section 9‎.4, including furnishing a power of attorney solely for such purpose or joining in, or being named as a necessary party to, such action, providing reasonable access to relevant records, documents (including laboratory notebooks) and other evidence and making inventors and other of its employees reasonably available at reasonable business hours;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controlling Party shall reimburse such other Party for its reasonable and verifiable Out-of-Pocket Costs incurred in connection therewith (which excludes, for the avoidance of doubt, outside attorneys’ fees incurred by such Party). Unless otherwise set forth herein, the Party entitled to bring any infringement action in accordance with this Section 9‎.4 shall have the right to settle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ACI shall not have the right to settle any Competitive Infringement under this Section 9‎.4 without the express written consent of Takeda (which consent shall not be unreasonably withheld, conditioned or delayed) and (b) neither Party shall have the right to settle an infringement under this Section 9‎.4 in a manner that [***] without the express written consent of the other Party (which consent shall not be unreasonably withheld, conditioned or delayed). In the event that ACI controls any Competitive Infringement claim, suit or proceeding pursuant to this Section 9‎.4, ACI shall (x) consult with Takeda as to the strategy for the prosecution of such claim, suit or proceeding, (y) consider in good faith any comments from Takeda and (z) keep Takeda reasonably informed of any material steps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4" w:name="page65"/>
    <w:bookmarkEnd w:id="64"/>
    <w:p>
      <w:pPr>
        <w:jc w:val="both"/>
        <w:ind w:left="200" w:right="199"/>
        <w:spacing w:after="0" w:line="276" w:lineRule="auto"/>
        <w:rPr>
          <w:sz w:val="20"/>
          <w:szCs w:val="20"/>
          <w:color w:val="auto"/>
        </w:rPr>
      </w:pPr>
      <w:r>
        <w:rPr>
          <w:rFonts w:ascii="Times New Roman" w:cs="Times New Roman" w:eastAsia="Times New Roman" w:hAnsi="Times New Roman"/>
          <w:sz w:val="16"/>
          <w:szCs w:val="16"/>
          <w:color w:val="auto"/>
        </w:rPr>
        <w:t>taken and provide copies of all material documents filed, in connection with such claim, suit or proceeding. In the event that Takeda controls any Competitive Infringement claim, suit or proceeding pursuant to this Section 9‎.4, Takeda shall keep ACI reasonably informed of any material steps taken and provide ACI with high-level details regarding the status of such claim, suit or proceeding. For clarity, this Section 9‎.4.4 shall apply both before and after the Option Effective Date.</w:t>
      </w:r>
    </w:p>
    <w:p>
      <w:pPr>
        <w:spacing w:after="0" w:line="115"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9.4.5. Recovery. </w:t>
      </w:r>
      <w:r>
        <w:rPr>
          <w:rFonts w:ascii="Times New Roman" w:cs="Times New Roman" w:eastAsia="Times New Roman" w:hAnsi="Times New Roman"/>
          <w:sz w:val="18"/>
          <w:szCs w:val="18"/>
          <w:color w:val="auto"/>
        </w:rPr>
        <w:t>Except as otherwise agreed by the Parties in connection with a written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sharing arrangement and except with respect to costs incurred by a Party that joins and participates in litigation at its sole cost and expense as set forth in this Section 9‎.4, any recovery realized as a result of such litigation described above in this Section 9‎.4 (whether by way of settlement or otherwise) shall be first allocated to reimburse the Parties for their costs and expenses in making such recovery (which amounts shall be allocated pro rata if insufficient to cover the totality of such expenses). Any remainder after such reimbursement is made shall be retained by the Party that has exercised its right to bring the enforcement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that any award or settlement after the Option Effective Date (whether by judgment or otherwise) with respect to a Licensed Patent is attributable to loss of sales or profits with respect to a Licensed Product, such amount shall be paid to or retained by Takeda and treated as “Net Sales” in the Fiscal Year to which such loss of sales or profits are attributable [***]</w:t>
      </w:r>
    </w:p>
    <w:p>
      <w:pPr>
        <w:spacing w:after="0" w:line="144"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6"/>
          <w:szCs w:val="16"/>
          <w:b w:val="1"/>
          <w:bCs w:val="1"/>
          <w:color w:val="auto"/>
        </w:rPr>
        <w:t>Invalidity or Unenforceability Defenses or Actions.</w:t>
      </w:r>
    </w:p>
    <w:p>
      <w:pPr>
        <w:spacing w:after="0" w:line="165" w:lineRule="exact"/>
        <w:rPr>
          <w:sz w:val="20"/>
          <w:szCs w:val="20"/>
          <w:color w:val="auto"/>
        </w:rPr>
      </w:pPr>
    </w:p>
    <w:p>
      <w:pPr>
        <w:jc w:val="both"/>
        <w:ind w:left="200" w:right="21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9.5.1. Notice. </w:t>
      </w:r>
      <w:r>
        <w:rPr>
          <w:rFonts w:ascii="Times New Roman" w:cs="Times New Roman" w:eastAsia="Times New Roman" w:hAnsi="Times New Roman"/>
          <w:sz w:val="18"/>
          <w:szCs w:val="18"/>
          <w:color w:val="auto"/>
        </w:rPr>
        <w:t>Each Party shall promptly notify the other Party in writing of any alleged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threatened assertion of invalidity or unenforceability of any of the Licensed Patents or Joint Patents by a Third Party of which such Party becomes aware.</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9.5.2.  Defense Actions.</w:t>
      </w:r>
    </w:p>
    <w:p>
      <w:pPr>
        <w:spacing w:after="0" w:line="165" w:lineRule="exact"/>
        <w:rPr>
          <w:sz w:val="20"/>
          <w:szCs w:val="20"/>
          <w:color w:val="auto"/>
        </w:rPr>
      </w:pPr>
    </w:p>
    <w:p>
      <w:pPr>
        <w:jc w:val="both"/>
        <w:ind w:left="200" w:right="199" w:firstLine="2095"/>
        <w:spacing w:after="0" w:line="265" w:lineRule="auto"/>
        <w:tabs>
          <w:tab w:leader="none" w:pos="282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Prior to the Option Effective Date. </w:t>
      </w:r>
      <w:r>
        <w:rPr>
          <w:rFonts w:ascii="Times New Roman" w:cs="Times New Roman" w:eastAsia="Times New Roman" w:hAnsi="Times New Roman"/>
          <w:sz w:val="16"/>
          <w:szCs w:val="16"/>
          <w:color w:val="auto"/>
        </w:rPr>
        <w:t>As between the Parties, subject to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9‎.5.3, prior to the Option Effective Date, (i) ACI shall have the sole right, but not the obligation, to defend and control the defense of the validity and enforceability of the Other Licensed Patents; and (ii) ACI shall have the first right, but not the obligation to defend and control the defense of the validity and enforceability of the Product Patents and Joint Patents, in each case ((i) and (ii)), in the Territory, using counsel of its own choice, at its sole cost and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assertion of invalidity or unenforceability of such Patents is brought as a defense or counterclaim in connection with an infringement action initiated pursuant to Section 9‎.4, the applicable enforcing Party shall have the first right, but not the obligation, to defend and control the validity and enforceability of such Patents at its sole cost and expense.</w:t>
      </w:r>
    </w:p>
    <w:p>
      <w:pPr>
        <w:spacing w:after="0" w:line="125" w:lineRule="exact"/>
        <w:rPr>
          <w:rFonts w:ascii="Times New Roman" w:cs="Times New Roman" w:eastAsia="Times New Roman" w:hAnsi="Times New Roman"/>
          <w:sz w:val="16"/>
          <w:szCs w:val="16"/>
          <w:color w:val="auto"/>
        </w:rPr>
      </w:pPr>
    </w:p>
    <w:p>
      <w:pPr>
        <w:jc w:val="both"/>
        <w:ind w:left="200" w:right="199" w:firstLine="2095"/>
        <w:spacing w:after="0" w:line="233" w:lineRule="auto"/>
        <w:tabs>
          <w:tab w:leader="none" w:pos="28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After the Option Effective Date. </w:t>
      </w:r>
      <w:r>
        <w:rPr>
          <w:rFonts w:ascii="Times New Roman" w:cs="Times New Roman" w:eastAsia="Times New Roman" w:hAnsi="Times New Roman"/>
          <w:sz w:val="18"/>
          <w:szCs w:val="18"/>
          <w:color w:val="auto"/>
        </w:rPr>
        <w:t>As between the Parties, subject to Section 9‎.5.3,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and after the Option Effective Date, (i) Takeda shall have the first right, but not the obligation, to defend and control the defense of the validity and enforceability of the Product Patents and the Joint Patents in the Territory, using counsel of its own choice, at its sole cost and expense and (ii) ACI shall have the sole right, but not the obligation, to defend and control the defense of the validity and enforceability of the Other Licensed Patents in the Territory, using counsel of its own choice,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 and (ii)), if the assertion of invalidity or unenforceability of such Patents is brought as a defense or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5" w:name="page66"/>
    <w:bookmarkEnd w:id="65"/>
    <w:p>
      <w:pPr>
        <w:jc w:val="both"/>
        <w:ind w:left="200" w:right="199"/>
        <w:spacing w:after="0"/>
        <w:rPr>
          <w:sz w:val="20"/>
          <w:szCs w:val="20"/>
          <w:color w:val="auto"/>
        </w:rPr>
      </w:pPr>
      <w:r>
        <w:rPr>
          <w:rFonts w:ascii="Times New Roman" w:cs="Times New Roman" w:eastAsia="Times New Roman" w:hAnsi="Times New Roman"/>
          <w:sz w:val="18"/>
          <w:szCs w:val="18"/>
          <w:color w:val="auto"/>
        </w:rPr>
        <w:t>counterclaim in connection with an infringement action initiated pursuant to Section 9‎.4, the applicable enforcing Party shall have the first right, but not the obligation, to defend and control the validity and enforceability of such Patents at its sole cost and expense.</w:t>
      </w:r>
    </w:p>
    <w:p>
      <w:pPr>
        <w:spacing w:after="0" w:line="145" w:lineRule="exact"/>
        <w:rPr>
          <w:sz w:val="20"/>
          <w:szCs w:val="20"/>
          <w:color w:val="auto"/>
        </w:rPr>
      </w:pPr>
    </w:p>
    <w:p>
      <w:pPr>
        <w:jc w:val="both"/>
        <w:ind w:left="200" w:right="219" w:firstLine="2095"/>
        <w:spacing w:after="0"/>
        <w:tabs>
          <w:tab w:leader="none" w:pos="28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clarity, this Section 9‎.5 shall not apply to control of Defense Proceedings, which proceedings shall be governed by Section 9‎.3. Nothing in this Section 9‎.5 shall limit any indemnification rights or obligations of a Party under Article 12‎.</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9.5.3.  Step-In; Cooperation.</w:t>
      </w:r>
    </w:p>
    <w:p>
      <w:pPr>
        <w:spacing w:after="0" w:line="167" w:lineRule="exact"/>
        <w:rPr>
          <w:sz w:val="20"/>
          <w:szCs w:val="20"/>
          <w:color w:val="auto"/>
        </w:rPr>
      </w:pPr>
    </w:p>
    <w:p>
      <w:pPr>
        <w:jc w:val="both"/>
        <w:ind w:left="200" w:right="199" w:firstLine="2095"/>
        <w:spacing w:after="0" w:line="232" w:lineRule="auto"/>
        <w:tabs>
          <w:tab w:leader="none" w:pos="28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Option Effective Date, if ACI elects not to defend or control the defense of the Product Patents or Joint Patents in a claim, suit or proceeding arising under this Section 9‎.5 brought in the Territory, or otherwise fails to initiate and maintain the defense of any such claim, suit or proceeding, and, in either case, has not settled and is not actively pursuing settlement of such claim, suit or proceeding, then Takeda may conduct and control the defense of any such claim, suit or proceeding at its own expense. The non-controlling Party may participate in any claim, suit or proceeding regarding the validity and enforceability of such Product Patents or Joint Patents in the Territory with counsel of its choice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controlling Party shall retain control of the defense in such claim, suit or proceeding.</w:t>
      </w:r>
    </w:p>
    <w:p>
      <w:pPr>
        <w:spacing w:after="0" w:line="150" w:lineRule="exact"/>
        <w:rPr>
          <w:rFonts w:ascii="Times New Roman" w:cs="Times New Roman" w:eastAsia="Times New Roman" w:hAnsi="Times New Roman"/>
          <w:sz w:val="18"/>
          <w:szCs w:val="18"/>
          <w:color w:val="auto"/>
        </w:rPr>
      </w:pPr>
    </w:p>
    <w:p>
      <w:pPr>
        <w:jc w:val="both"/>
        <w:ind w:left="200" w:right="199" w:firstLine="2095"/>
        <w:spacing w:after="0" w:line="264" w:lineRule="auto"/>
        <w:tabs>
          <w:tab w:leader="none" w:pos="282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and after the Option Effective Date, if Takeda elects not to defend or control the defense of the Product Patents or Joint Patents in a claim, suit or proceeding arising under this Section 9‎.5 brought in the Territory, or otherwise fails to initiate and maintain the defense of any such claim, suit or proceeding, and, in either case, has not settled and is not actively pursuing settlement of such claim, suit or proceeding, then ACI may conduct and control the defense of any such claim, suit or proceeding at its own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ACI shall obtain the written consent of Takeda prior to settling or compromising any such claim, suit or proceeding with respect to any Product Patent or Joint Patent. The non-controlling Party may participate in any claim, suit or proceeding regarding the validity and enforceability of such Product Patents or Joint Patents in the Territory with counsel of its choice at its sole cost and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controlling Party shall retain control of the defense in such claim, suit or proceeding.</w:t>
      </w:r>
    </w:p>
    <w:p>
      <w:pPr>
        <w:spacing w:after="0" w:line="126" w:lineRule="exact"/>
        <w:rPr>
          <w:rFonts w:ascii="Times New Roman" w:cs="Times New Roman" w:eastAsia="Times New Roman" w:hAnsi="Times New Roman"/>
          <w:sz w:val="16"/>
          <w:szCs w:val="16"/>
          <w:color w:val="auto"/>
        </w:rPr>
      </w:pPr>
    </w:p>
    <w:p>
      <w:pPr>
        <w:jc w:val="both"/>
        <w:ind w:left="200" w:right="199" w:firstLine="2095"/>
        <w:spacing w:after="0" w:line="231" w:lineRule="auto"/>
        <w:tabs>
          <w:tab w:leader="none" w:pos="28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where a Party controls a claim, suit or proceeding under this Section 9‎.5, the other Party shall, and shall cause its Affiliates to, assist and cooperate with the controlling Party, as such controlling Party may reasonably request from time to time in connection with its activities set forth in this Section 9‎.5, including furnishing a power of attorney solely for such purpose or joining in, or being named as a necessary party to, the relevant action, providing reasonable access to relevant records, documents and other evidence (including laboratory notebooks) and making inventors and other of its employees reasonably available at reasonable business hours;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with respect to Joint Patents, the controlling Party shall reimburse the other Party for its reasonable and verifiable Out-of-Pocket Costs incurred in connection therewith. In connection with any activities with respect to a defense, claim or counterclaim relating to the Product Patents or Joint Patents pursuant to this Section 9‎.5, the controlling Party shall (i) consult with the other Party as to the strategy for such activities, (ii) consider in good faith any comments from the other Party and (iii) keep the other Party reasonably</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6" w:name="page67"/>
    <w:bookmarkEnd w:id="66"/>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informed of any material steps taken and provide copies of all material documents filed, in connection with such defense, claim or counterclaim.</w:t>
      </w:r>
    </w:p>
    <w:p>
      <w:pPr>
        <w:spacing w:after="0" w:line="132" w:lineRule="exact"/>
        <w:rPr>
          <w:sz w:val="20"/>
          <w:szCs w:val="20"/>
          <w:color w:val="auto"/>
        </w:rPr>
      </w:pPr>
    </w:p>
    <w:p>
      <w:pPr>
        <w:jc w:val="both"/>
        <w:ind w:left="200" w:right="199" w:firstLine="1051"/>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9.6. Infringement Claims by Third Parties. </w:t>
      </w:r>
      <w:r>
        <w:rPr>
          <w:rFonts w:ascii="Times New Roman" w:cs="Times New Roman" w:eastAsia="Times New Roman" w:hAnsi="Times New Roman"/>
          <w:sz w:val="18"/>
          <w:szCs w:val="18"/>
          <w:color w:val="auto"/>
        </w:rPr>
        <w:t>If the Exploitation of a Licensed Compound or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in the Territory pursuant to this Agreement results in, or is reasonably expected to result in, any claim, suit or proceeding by a Third Party alleging infringement by a Party or any of its Affiliates or its or their (sub)licensees/Sublicensees, distributors or customers (a “</w:t>
      </w:r>
      <w:r>
        <w:rPr>
          <w:rFonts w:ascii="Times New Roman" w:cs="Times New Roman" w:eastAsia="Times New Roman" w:hAnsi="Times New Roman"/>
          <w:sz w:val="18"/>
          <w:szCs w:val="18"/>
          <w:b w:val="1"/>
          <w:bCs w:val="1"/>
          <w:color w:val="auto"/>
        </w:rPr>
        <w:t>Third Party Infringement Claim</w:t>
      </w:r>
      <w:r>
        <w:rPr>
          <w:rFonts w:ascii="Times New Roman" w:cs="Times New Roman" w:eastAsia="Times New Roman" w:hAnsi="Times New Roman"/>
          <w:sz w:val="18"/>
          <w:szCs w:val="18"/>
          <w:color w:val="auto"/>
        </w:rPr>
        <w:t xml:space="preserve">”), including any defense or counterclaim in connection with an enforcement action initiated pursuant to Section 9‎.4, the Party first becoming aware of such alleged Third Party Infringement Claim shall promptly notify the other Party thereof in writing. As between the Parties, (a) prior to the Option Effective Date, ACI shall have the first right, but not the obligation, to defend and control the defense of (including to settle) any such Third Party Infringement Claim at its sole cost and expense (but subject to Article 12),‎ using counsel of its own choice, and (b) from and after the Option Effective Date, Takeda shall have the first right, but not the obligation, to defend and control the defense of (including to settle) any such Third Party Infringement Claim at its sole cost and expense (but subject to Section 8‎.6 and Article 12),‎ using counsel of its own choice;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ACI shall provide written notice to, and discuss with, Takeda prior to settling or compromising any such Third Party Infringement Claim and shall consider any comments provided by Takeda in good faith. In each case, the non-controlling Party may participate in any such Third Party Infringement Claim with counsel of its choice at its sole cost and expense;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controlling Party shall retain control of such Third Party Infringement Claim. If the controlling Party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designee elects (in a written communication submitted to the non-controlling Party within a reasonable amount of time after notice of the alleged Third Party Infringement Claim) not to defend or control the defense of such Third Party Infringement Claim, the non-controlling Party may conduct and control the defense of such Third Party Infringement Claim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ACI as the initial non-controlling Party, ACI shall obtain the written consent of Takeda prior to settling or compromising any such Third Party Infringement Claim. Where either Party controls such an action, the other Party shall, and shall cause its Affiliates to, assist and cooperate with such Party, as such Party may reasonably request from time to time, in connection with its activities set forth in this Section 9‎.6, including furnishing a power of attorney solely for such purpose or joining in, or being named as a necessary party to, such action, providing reasonable access to relevant records, documents (including laboratory notebooks) and other evidence and making inventors and other of its employees reasonably available at reasonable business hours;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controlling Party shall reimburse the other Party for its reasonable and verifiable Out-of-Pocket Costs incurred in connection therewith. Each Party shall keep the other Party reasonably informed of all material developments in connection with any such claim, suit or proceeding. Nothing in this Section 9‎.6 will limit any indemnification rights or obligations of a Party under Article 12‎.</w:t>
      </w:r>
    </w:p>
    <w:p>
      <w:pPr>
        <w:spacing w:after="0" w:line="161"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6"/>
          <w:szCs w:val="16"/>
          <w:b w:val="1"/>
          <w:bCs w:val="1"/>
          <w:color w:val="auto"/>
        </w:rPr>
        <w:t>Third Party Rights.</w:t>
      </w:r>
    </w:p>
    <w:p>
      <w:pPr>
        <w:spacing w:after="0" w:line="165" w:lineRule="exact"/>
        <w:rPr>
          <w:sz w:val="20"/>
          <w:szCs w:val="20"/>
          <w:color w:val="auto"/>
        </w:rPr>
      </w:pPr>
    </w:p>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9.7.1. Prior to the Option Effective Date. </w:t>
      </w:r>
      <w:r>
        <w:rPr>
          <w:rFonts w:ascii="Times New Roman" w:cs="Times New Roman" w:eastAsia="Times New Roman" w:hAnsi="Times New Roman"/>
          <w:sz w:val="18"/>
          <w:szCs w:val="18"/>
          <w:color w:val="auto"/>
        </w:rPr>
        <w:t>Subject to Section 8‎.14, Section 9‎.2 and Section 9‎.6,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Option Effective Date, if ACI determines that any Patent, Information or other intellectual property right of a Third Party in any country in the Territory is necessary or reasonably useful for the Exploitation of a Licensed Compound or Licensed Product (such Patent, Information or other intellectual property right, a “</w:t>
      </w:r>
      <w:r>
        <w:rPr>
          <w:rFonts w:ascii="Times New Roman" w:cs="Times New Roman" w:eastAsia="Times New Roman" w:hAnsi="Times New Roman"/>
          <w:sz w:val="18"/>
          <w:szCs w:val="18"/>
          <w:b w:val="1"/>
          <w:bCs w:val="1"/>
          <w:color w:val="auto"/>
        </w:rPr>
        <w:t>Third Party Right</w:t>
      </w:r>
      <w:r>
        <w:rPr>
          <w:rFonts w:ascii="Times New Roman" w:cs="Times New Roman" w:eastAsia="Times New Roman" w:hAnsi="Times New Roman"/>
          <w:sz w:val="18"/>
          <w:szCs w:val="18"/>
          <w:color w:val="auto"/>
        </w:rPr>
        <w:t>”), then, as between the Parties, ACI shall have the sole right, but not the obligation, to challenge the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7" w:name="page68"/>
    <w:bookmarkEnd w:id="67"/>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applicability, patentability, validity or enforceability of, or to enter into a license or other agreement with such Third Party pursuant to which ACI or its Affiliate would acquire a license or other right under, such Third Party Right as necessary or reasonably useful to Exploit a Licensed Compound and Licensed Products in such country. Prior to entering into any such license or other agreement with respect to a Third Party Right, ACI shall notify Takeda of such Third Party Right, including a reasonably detailed explanation of its relevance and the expected terms of any license or other agreement with respect thereto. ACI shall ensure that the terms of such license or agreement are consistent with this Agreement and do not adversely affect in any respect Takeda’s rights or interests under this Agreement or impose any material obligation on Takeda (including in the event Takeda exercises the Option). ACI will promptly provide Takeda with notice and a true and complete copy of each such agreement entered into by ACI or any of its Affiliates.</w:t>
      </w:r>
    </w:p>
    <w:p>
      <w:pPr>
        <w:spacing w:after="0" w:line="145" w:lineRule="exact"/>
        <w:rPr>
          <w:sz w:val="20"/>
          <w:szCs w:val="20"/>
          <w:color w:val="auto"/>
        </w:rPr>
      </w:pPr>
    </w:p>
    <w:p>
      <w:pPr>
        <w:jc w:val="both"/>
        <w:ind w:left="200" w:right="199" w:firstLine="1576"/>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9.7.2. After the Option Effective Date. </w:t>
      </w:r>
      <w:r>
        <w:rPr>
          <w:rFonts w:ascii="Times New Roman" w:cs="Times New Roman" w:eastAsia="Times New Roman" w:hAnsi="Times New Roman"/>
          <w:sz w:val="16"/>
          <w:szCs w:val="16"/>
          <w:color w:val="auto"/>
        </w:rPr>
        <w:t>Subject to Section 9‎.6, from and after the Option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Effective Date, if Takeda determines that any Third Party Right is necessary or reasonably useful for the Exploitation of a Licensed Compound or Licensed Product by Takeda or any of its Affiliates or any of its or their Sublicensees, distributors or customers, then, as between the Parties, Takeda shall have the first right, but not the obligation, to challenge the applicability, patentability, validity or enforceability of, or to enter into a license or other agreement with such Third Party pursuant to which Takeda or its Affiliate would acquire a license or other right under, such Third Party Right as necessary or reasonably useful for Takeda or its Affiliates or its and their Sublicensees, distributors or customers to Exploit Licensed Compounds and Licensed Products in such country. In the event that Takeda or its Affiliate negotiates and obtains any such license or other agreement from a Third Party with respect to any Third Party Right that Takeda reasonably determines is necessary for Takeda or its Affiliates or its and their Sublicensees, distributors or customers to Exploit a Licensed Compound or Licensed Product, Takeda shall be entitled to deduct [***]</w:t>
      </w:r>
    </w:p>
    <w:p>
      <w:pPr>
        <w:spacing w:after="0" w:line="326" w:lineRule="exact"/>
        <w:rPr>
          <w:sz w:val="20"/>
          <w:szCs w:val="20"/>
          <w:color w:val="auto"/>
        </w:rPr>
      </w:pPr>
    </w:p>
    <w:p>
      <w:pPr>
        <w:jc w:val="both"/>
        <w:ind w:left="200" w:right="199" w:firstLine="1051"/>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9.8. Product Trademarks. </w:t>
      </w:r>
      <w:r>
        <w:rPr>
          <w:rFonts w:ascii="Times New Roman" w:cs="Times New Roman" w:eastAsia="Times New Roman" w:hAnsi="Times New Roman"/>
          <w:sz w:val="16"/>
          <w:szCs w:val="16"/>
          <w:color w:val="auto"/>
        </w:rPr>
        <w:t>As between the Parties, from and after the Option Effective Date, Takeda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its Affiliates shall have the sole right to use any Trademark it owns or controls for Licensed Products in the Territory at its sole discretion. Takeda shall have the sole right to determine, develop, prosecute, enforce and defend one (1) or more Product Trademark(s) for use by Takeda and its Affiliates and its or their Sublicensees to Commercialize Licensed Products in the Field in the Territory. As between the Parties, Takeda and its Affiliates shall own all rights to such Product Trademarks and all goodwill associated therewith, and the rights to any Internet domain names incorporating the applicable Product Trademarks or any variation or part of such Product Trademarks used as its URL address or any part of such address, throughout the Territory. ACI shall not, and shall cause its Affiliates and (sub)licensees not to, (a) use in their respective businesses, any Trademark that is confusingly similar to, misleading or deceptive with respect to or that dilutes any (or any part) of the Product Trademarks and (b) do any act that endangers, destroys or similarly adversely affects, in any material respect, the value of the goodwill pertaining to the Product Trademarks. ACI shall not, and shall cause its Affiliates and (sub)licensees not to, attack, dispute or contest the validity of or ownership of any Product Trademark anywhere in the Territory or any registrations issued or issuing with respect thereto.</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AND NON-DISCLOSURE</w:t>
      </w:r>
    </w:p>
    <w:p>
      <w:pPr>
        <w:spacing w:after="0" w:line="143" w:lineRule="exact"/>
        <w:rPr>
          <w:sz w:val="20"/>
          <w:szCs w:val="20"/>
          <w:color w:val="auto"/>
        </w:rPr>
      </w:pPr>
    </w:p>
    <w:p>
      <w:pPr>
        <w:jc w:val="both"/>
        <w:ind w:left="200" w:right="199" w:firstLine="1051"/>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10.1. Confidentiality Obligations. </w:t>
      </w:r>
      <w:r>
        <w:rPr>
          <w:rFonts w:ascii="Times New Roman" w:cs="Times New Roman" w:eastAsia="Times New Roman" w:hAnsi="Times New Roman"/>
          <w:sz w:val="18"/>
          <w:szCs w:val="18"/>
          <w:color w:val="auto"/>
        </w:rPr>
        <w:t>At all times during the Term and for a period of [***]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or expiration of this Agreement in its entirety, each Party shall, and shall cause its Affiliates and each of its and their respective officers, directors, employees and agents to, keep confidential and not publish or otherwise disclose to any Third Party and not use, directly or indirectly, for any purpose, any Confidential Information furnished or otherwise made known to it, directly or indirectly, by the other Party, except to the extent such disclosure or use is expressly permitted by the terms of this [***]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technical, business or other information and materials, patentable or otherwise, in any form (written, oral, photographic, electronic, magnetic or otherwise) that is disclosed or otherwise provided by or on behalf of one (1) Party to the other Party in connection with this Agreement or that certain Confidentiality Agreement entered into by the Parties, dated February 20, 2023, as amended (“</w:t>
      </w: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whether prior to, on or after the Effective Date, including the terms of this Agreement, information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Licensed Compound or any Licensed Product (including the Regulatory Documentation), any Development, Manufacture or Commercialization of any Licensed Compound or any Licensed Product, any Information with respect thereto developed by or on behalf of the disclosing Party or its Affiliates or its or their respective (sub)licensees/Sublicensees (including Licensed Know-How) and the scientific, regulatory or business affairs or other activities of either Party. Notwithstanding the foregoing, from and after the Option Effective Date until termination (but not expiration) of this Agreement, Product Information shall be deemed the Confidential Information of Takeda (and Takeda shall be deemed the disclosing Party and ACI shall be deemed the receiving Party with respect thereto) and from and after any such termination (but not expiration) of this Agreement, ACI shall be deemed the disclosing Party (and Takeda shall be deemed the receiving Party) with respect thereto. For the avoidance of doubt, any Joint Know-How (other than that which is Product Information) and the terms of this Agreement shall be deemed to be the Confidential Information of both Parties (and both Parties shall be deemed to be the receiving Party and the disclosing Party with respect thereto).</w:t>
      </w:r>
    </w:p>
    <w:p>
      <w:pPr>
        <w:spacing w:after="0" w:line="145"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10.2. Exceptions. </w:t>
      </w:r>
      <w:r>
        <w:rPr>
          <w:rFonts w:ascii="Times New Roman" w:cs="Times New Roman" w:eastAsia="Times New Roman" w:hAnsi="Times New Roman"/>
          <w:sz w:val="18"/>
          <w:szCs w:val="18"/>
          <w:color w:val="auto"/>
        </w:rPr>
        <w:t>Notwithstanding the foregoing, Confidential Information shall not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that the receiving Party can demonstrate in its written records or with other competent evidence:</w:t>
      </w:r>
    </w:p>
    <w:p>
      <w:pPr>
        <w:spacing w:after="0" w:line="129"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10.2.1. </w:t>
      </w:r>
      <w:r>
        <w:rPr>
          <w:rFonts w:ascii="Times New Roman" w:cs="Times New Roman" w:eastAsia="Times New Roman" w:hAnsi="Times New Roman"/>
          <w:sz w:val="18"/>
          <w:szCs w:val="18"/>
          <w:color w:val="auto"/>
        </w:rPr>
        <w:t>is or hereafter becomes generally available to the public by use, publication,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or the like other than through any act or omission of the receiving Party or any of its Affiliates in breach of this Agreement or, prior to the Effective Date, the Confidentiality Agreement by the receiving Party;</w:t>
      </w:r>
    </w:p>
    <w:p>
      <w:pPr>
        <w:spacing w:after="0" w:line="143" w:lineRule="exact"/>
        <w:rPr>
          <w:sz w:val="20"/>
          <w:szCs w:val="20"/>
          <w:color w:val="auto"/>
        </w:rPr>
      </w:pPr>
    </w:p>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10.2.2. </w:t>
      </w:r>
      <w:r>
        <w:rPr>
          <w:rFonts w:ascii="Times New Roman" w:cs="Times New Roman" w:eastAsia="Times New Roman" w:hAnsi="Times New Roman"/>
          <w:sz w:val="18"/>
          <w:szCs w:val="18"/>
          <w:color w:val="auto"/>
        </w:rPr>
        <w:t>is subsequently disclosed to the receiving Party or any of its Affiliates, without obligation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confidentiality or non-use, by a Third Party (other than any representative of, or any Person that disclosed such information on behalf of, the disclosing Party or its Affiliates, without obligation of confidentiality or non-use) who may lawfully do so and who is not under an obligation of confidentiality to the disclosing Party or any of its Affiliates with respect to such information;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69" w:name="page70"/>
    <w:bookmarkEnd w:id="69"/>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10.2.3. </w:t>
      </w:r>
      <w:r>
        <w:rPr>
          <w:rFonts w:ascii="Times New Roman" w:cs="Times New Roman" w:eastAsia="Times New Roman" w:hAnsi="Times New Roman"/>
          <w:sz w:val="18"/>
          <w:szCs w:val="18"/>
          <w:color w:val="auto"/>
        </w:rPr>
        <w:t>was already in the possession of the receiving Party or any of its Affiliates prior to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the disclosing Party or any of its Affiliates, without any obligation of confidentiality with respect to such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exception shall not apply with respect to Product Information or Joint Know-How; or</w:t>
      </w:r>
    </w:p>
    <w:p>
      <w:pPr>
        <w:spacing w:after="0" w:line="146"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10.2.4. </w:t>
      </w:r>
      <w:r>
        <w:rPr>
          <w:rFonts w:ascii="Times New Roman" w:cs="Times New Roman" w:eastAsia="Times New Roman" w:hAnsi="Times New Roman"/>
          <w:sz w:val="18"/>
          <w:szCs w:val="18"/>
          <w:color w:val="auto"/>
        </w:rPr>
        <w:t>is or was independently developed by the receiving Party or any of its Affiliates without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reference to Confidential Information of the disclosing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exception shall not apply with respect to Product Information or Joint Know-How.</w:t>
      </w:r>
    </w:p>
    <w:p>
      <w:pPr>
        <w:spacing w:after="0" w:line="145" w:lineRule="exact"/>
        <w:rPr>
          <w:sz w:val="20"/>
          <w:szCs w:val="20"/>
          <w:color w:val="auto"/>
        </w:rPr>
      </w:pPr>
    </w:p>
    <w:p>
      <w:pPr>
        <w:jc w:val="both"/>
        <w:ind w:left="200" w:right="199"/>
        <w:spacing w:after="0" w:line="234" w:lineRule="auto"/>
        <w:rPr>
          <w:sz w:val="20"/>
          <w:szCs w:val="20"/>
          <w:color w:val="auto"/>
        </w:rPr>
      </w:pPr>
      <w:r>
        <w:rPr>
          <w:rFonts w:ascii="Times New Roman" w:cs="Times New Roman" w:eastAsia="Times New Roman" w:hAnsi="Times New Roman"/>
          <w:sz w:val="18"/>
          <w:szCs w:val="18"/>
          <w:color w:val="auto"/>
        </w:rPr>
        <w:t>Specific aspects or details of Confidential Information shall not become exempt from the obligations set forth in this Article 10‎ merely because the Confidential Information is embraced by more general information included in the exceptions set forth in this Section 10‎.2. Further, any combination of Confidential Information shall not become exempt from the obligations herein merely because individual elements of such Confidential Information are included in the exceptions set forth in this Section 10‎.2, unless the combination and its principles fall within one or more of such exceptions.</w:t>
      </w:r>
    </w:p>
    <w:p>
      <w:pPr>
        <w:spacing w:after="0" w:line="144"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10.3. Permitted Disclosures. </w:t>
      </w:r>
      <w:r>
        <w:rPr>
          <w:rFonts w:ascii="Times New Roman" w:cs="Times New Roman" w:eastAsia="Times New Roman" w:hAnsi="Times New Roman"/>
          <w:sz w:val="18"/>
          <w:szCs w:val="18"/>
          <w:color w:val="auto"/>
        </w:rPr>
        <w:t>Notwithstanding anything to the contrary in Section 10‎.1, each Party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Confidential Information of the other Party to the extent that such disclosure is:</w:t>
      </w:r>
    </w:p>
    <w:p>
      <w:pPr>
        <w:spacing w:after="0" w:line="129" w:lineRule="exact"/>
        <w:rPr>
          <w:sz w:val="20"/>
          <w:szCs w:val="20"/>
          <w:color w:val="auto"/>
        </w:rPr>
      </w:pPr>
    </w:p>
    <w:p>
      <w:pPr>
        <w:jc w:val="both"/>
        <w:ind w:left="200" w:right="199" w:firstLine="1576"/>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10.3.1. </w:t>
      </w:r>
      <w:r>
        <w:rPr>
          <w:rFonts w:ascii="Times New Roman" w:cs="Times New Roman" w:eastAsia="Times New Roman" w:hAnsi="Times New Roman"/>
          <w:sz w:val="18"/>
          <w:szCs w:val="18"/>
          <w:color w:val="auto"/>
        </w:rPr>
        <w:t>made in response to a valid order of a court of competent jurisdiction or other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Authority of competent jurisdiction or, if in the reasonable opinion of the receiving Party’s legal counsel, such disclosure is otherwise required by Applicable Law (other than by reason of filing with securities regulators, which shall be governed by Section 10‎.7);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receiving Party shall first have given written notice to the disclosing Party and given the disclosing Party a reasonable opportunity to quash such order or to obtain a protective order or confidential treatment requiring that the Confidential Information and documents that are the subject of such order or required to be disclosed be held in confidence by such court or Governmental Authority or, if disclosed, be used only for the purposes for which the order was issued or such disclosure was required by law;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Confidential Information disclosed in response to such order of a court or Governmental Authority or as required by Applicable Law shall be limited to the information that is legally required to be disclosed in response to such order or by such Applicable Law;</w:t>
      </w:r>
    </w:p>
    <w:p>
      <w:pPr>
        <w:spacing w:after="0" w:line="151" w:lineRule="exact"/>
        <w:rPr>
          <w:sz w:val="20"/>
          <w:szCs w:val="20"/>
          <w:color w:val="auto"/>
        </w:rPr>
      </w:pPr>
    </w:p>
    <w:p>
      <w:pPr>
        <w:jc w:val="both"/>
        <w:ind w:left="200" w:right="21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10.3.2. </w:t>
      </w:r>
      <w:r>
        <w:rPr>
          <w:rFonts w:ascii="Times New Roman" w:cs="Times New Roman" w:eastAsia="Times New Roman" w:hAnsi="Times New Roman"/>
          <w:sz w:val="18"/>
          <w:szCs w:val="18"/>
          <w:color w:val="auto"/>
        </w:rPr>
        <w:t>made by or on behalf of the receiving Party to a patent authority as may be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by the receiving Party to be necessary for purposes of obtaining or enforcing a Patent pursuant to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reasonable measures shall be taken to assure confidential treatment of such information, to the extent such protection is available;</w:t>
      </w:r>
    </w:p>
    <w:p>
      <w:pPr>
        <w:spacing w:after="0" w:line="146" w:lineRule="exact"/>
        <w:rPr>
          <w:sz w:val="20"/>
          <w:szCs w:val="20"/>
          <w:color w:val="auto"/>
        </w:rPr>
      </w:pPr>
    </w:p>
    <w:p>
      <w:pPr>
        <w:jc w:val="both"/>
        <w:ind w:left="200" w:right="199" w:firstLine="1576"/>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10.3.3. </w:t>
      </w:r>
      <w:r>
        <w:rPr>
          <w:rFonts w:ascii="Times New Roman" w:cs="Times New Roman" w:eastAsia="Times New Roman" w:hAnsi="Times New Roman"/>
          <w:sz w:val="16"/>
          <w:szCs w:val="16"/>
          <w:color w:val="auto"/>
        </w:rPr>
        <w:t>to potential or actual investors, acquirers in connection with any actual or proposed 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 Control, lenders or other financial partners or financing sources, and their respective attorneys, accountants, banks, investors and advisors, in each case, solely as may be necessary in connection with their evaluation of such potential or actual investment, acquisition, debt transaction or other acquisition or financial transaction;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 the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70" w:name="page71"/>
    <w:bookmarkEnd w:id="70"/>
    <w:p>
      <w:pPr>
        <w:jc w:val="both"/>
        <w:ind w:left="200" w:right="199"/>
        <w:spacing w:after="0" w:line="234" w:lineRule="auto"/>
        <w:rPr>
          <w:sz w:val="20"/>
          <w:szCs w:val="20"/>
          <w:color w:val="auto"/>
        </w:rPr>
      </w:pPr>
      <w:r>
        <w:rPr>
          <w:rFonts w:ascii="Times New Roman" w:cs="Times New Roman" w:eastAsia="Times New Roman" w:hAnsi="Times New Roman"/>
          <w:sz w:val="18"/>
          <w:szCs w:val="18"/>
          <w:color w:val="auto"/>
        </w:rPr>
        <w:t xml:space="preserve">foregoing disclosure shall be limited to [***] and (b) any further disclosure to such Persons of Confidential Information of the other Party beyond that set forth in clause (a) shall require the other Party’s prior written consent (and such other Party shall consider any such request in good faith);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Persons must be bound by similar (or subject to ethical) obligations of confidentiality and non-use at least equivalent in scope to, and no less restrictive than, those set forth in this Article 10‎ (with a duration of confidentiality and non-use obligations as appropriate that is no less than [***] the date of disclosure); or</w:t>
      </w:r>
    </w:p>
    <w:p>
      <w:pPr>
        <w:spacing w:after="0" w:line="144"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10.3.4. </w:t>
      </w:r>
      <w:r>
        <w:rPr>
          <w:rFonts w:ascii="Times New Roman" w:cs="Times New Roman" w:eastAsia="Times New Roman" w:hAnsi="Times New Roman"/>
          <w:sz w:val="18"/>
          <w:szCs w:val="18"/>
          <w:color w:val="auto"/>
        </w:rPr>
        <w:t>in connection with a Party’s performance of this Agreement, to any Affiliates of such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prior to disclosure, such Affiliates must be bound by similar obligations of confidentiality and non-use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equivalent in scope to, and no less restrictive than, those set forth in this Article 10‎ (with a duration of confidentiality and non-use obligations as appropriate that is no less [***] from the date of disclosure).</w:t>
      </w:r>
    </w:p>
    <w:p>
      <w:pPr>
        <w:spacing w:after="0" w:line="146" w:lineRule="exact"/>
        <w:rPr>
          <w:sz w:val="20"/>
          <w:szCs w:val="20"/>
          <w:color w:val="auto"/>
        </w:rPr>
      </w:pPr>
    </w:p>
    <w:p>
      <w:pPr>
        <w:jc w:val="both"/>
        <w:ind w:left="200" w:right="199" w:firstLine="105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10.4. Additional Permitted Disclosures by Takeda. </w:t>
      </w:r>
      <w:r>
        <w:rPr>
          <w:rFonts w:ascii="Times New Roman" w:cs="Times New Roman" w:eastAsia="Times New Roman" w:hAnsi="Times New Roman"/>
          <w:sz w:val="16"/>
          <w:szCs w:val="16"/>
          <w:color w:val="auto"/>
        </w:rPr>
        <w:t>Notwithstanding anything to the contrary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Section 10‎.1, subject to Section 3‎.3.3, Takeda and its Affiliates and its and their Sublicensees may disclose Confidential Information of ACI as may be necessary or reasonably useful in connection with the Exploitation of the Licensed Compounds or the Licensed Products (including in connection with any filing, application or request for Regulatory Approval by or on behalf of Takeda or any of its Affiliates or its or their Sublicensees) or otherwise in connection with the performance of Takeda’s obligations or exercise of Takeda’s rights as contemplated by this Agreement solely to the extent such Confidential Information is within the scope of the licenses granted to Takeda in Section 5‎.1, including to existing or potential distributors, Sublicensees, collaboration partners or acquirers;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such distributors, Sublicensees, collaboration partners or acquirers shall be bound by similar obligations of confidentiality and non-use at least equivalent in scope to, and no less restrictive than, those set forth in this Article 10‎ (with a duration of confidentiality and non-use obligations as appropriate that is no less than [***] from the date of disclosure).</w:t>
      </w:r>
    </w:p>
    <w:p>
      <w:pPr>
        <w:spacing w:after="0" w:line="326" w:lineRule="exact"/>
        <w:rPr>
          <w:sz w:val="20"/>
          <w:szCs w:val="20"/>
          <w:color w:val="auto"/>
        </w:rPr>
      </w:pPr>
    </w:p>
    <w:p>
      <w:pPr>
        <w:jc w:val="both"/>
        <w:ind w:left="200" w:right="199" w:firstLine="105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10.5. Additional Permitted Disclosures by ACI. </w:t>
      </w:r>
      <w:r>
        <w:rPr>
          <w:rFonts w:ascii="Times New Roman" w:cs="Times New Roman" w:eastAsia="Times New Roman" w:hAnsi="Times New Roman"/>
          <w:sz w:val="16"/>
          <w:szCs w:val="16"/>
          <w:color w:val="auto"/>
        </w:rPr>
        <w:t>Notwithstanding anything to the contrary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10‎.1, ACI shall have the right to disclose Confidential Information of Takeda to any permitted subcontractor appointed in accordance with Section 3‎.4 to the extent that such disclosure is necessary in connection with ACI’s performance of its Development and Manufacturing obligations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disclosure, such subcontractors must be bound by similar obligations of confidentiality and non-use at least equivalent in scope to, and no less restrictive than, those set forth in this Article 10‎ (with a duration of confidentiality and non-use obligations as appropriate that is no less than [***] from the date of disclosure);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in the event the Option Effective Date does not occur or this Agreement is terminated after the Option Effective Date, [***] shall be bound by similar obligations of confidentiality and non-use at least equivalent in scope to, and no less restrictive than, those set forth in this Article 10‎ (with a duration of confidentiality and non-use obligations as appropriate that is no less than [***] from the date of disclosure).</w:t>
      </w:r>
    </w:p>
    <w:p>
      <w:pPr>
        <w:spacing w:after="0" w:line="129"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10.6. Use of Name. </w:t>
      </w:r>
      <w:r>
        <w:rPr>
          <w:rFonts w:ascii="Times New Roman" w:cs="Times New Roman" w:eastAsia="Times New Roman" w:hAnsi="Times New Roman"/>
          <w:sz w:val="18"/>
          <w:szCs w:val="18"/>
          <w:color w:val="auto"/>
        </w:rPr>
        <w:t>Except as expressly provided herein, neither Party shall mention or otherwise use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logo or Trademark of the other Party or any of its Affiliates or any of its or their respective (sub)licensees/Sublicensees (or any abbreviation or adaptation thereof) in any publication, press release, marketing and promotional material or other form of</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71" w:name="page72"/>
    <w:bookmarkEnd w:id="71"/>
    <w:p>
      <w:pPr>
        <w:jc w:val="both"/>
        <w:ind w:left="200" w:right="219"/>
        <w:spacing w:after="0" w:line="237" w:lineRule="auto"/>
        <w:rPr>
          <w:sz w:val="20"/>
          <w:szCs w:val="20"/>
          <w:color w:val="auto"/>
        </w:rPr>
      </w:pPr>
      <w:r>
        <w:rPr>
          <w:rFonts w:ascii="Times New Roman" w:cs="Times New Roman" w:eastAsia="Times New Roman" w:hAnsi="Times New Roman"/>
          <w:sz w:val="18"/>
          <w:szCs w:val="18"/>
          <w:color w:val="auto"/>
        </w:rPr>
        <w:t>publicity without the prior written approval of such other Party in each instance. The restrictions imposed by this Section ‎10.6 shall not prohibit either Party from making any disclosure identifying the other Party that is required by Applicable Law or the rules of a stock exchange on which the securities of the disclosing Party are listed (or to which an application for listing has been submitted).</w:t>
      </w:r>
    </w:p>
    <w:p>
      <w:pPr>
        <w:spacing w:after="0" w:line="144" w:lineRule="exact"/>
        <w:rPr>
          <w:sz w:val="20"/>
          <w:szCs w:val="20"/>
          <w:color w:val="auto"/>
        </w:rPr>
      </w:pPr>
    </w:p>
    <w:p>
      <w:pPr>
        <w:jc w:val="both"/>
        <w:ind w:left="200" w:right="199" w:firstLine="1051"/>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10.7. Public Announcements. </w:t>
      </w:r>
      <w:r>
        <w:rPr>
          <w:rFonts w:ascii="Times New Roman" w:cs="Times New Roman" w:eastAsia="Times New Roman" w:hAnsi="Times New Roman"/>
          <w:sz w:val="16"/>
          <w:szCs w:val="16"/>
          <w:color w:val="auto"/>
        </w:rPr>
        <w:t>The Parties have agreed upon the content of one (1) or more press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releases which shall be issued substantially in the form(s) attached hereto as </w:t>
      </w:r>
      <w:r>
        <w:rPr>
          <w:rFonts w:ascii="Times New Roman" w:cs="Times New Roman" w:eastAsia="Times New Roman" w:hAnsi="Times New Roman"/>
          <w:sz w:val="16"/>
          <w:szCs w:val="16"/>
          <w:b w:val="1"/>
          <w:bCs w:val="1"/>
          <w:color w:val="auto"/>
        </w:rPr>
        <w:t>Schedule 10‎.7</w:t>
      </w:r>
      <w:r>
        <w:rPr>
          <w:rFonts w:ascii="Times New Roman" w:cs="Times New Roman" w:eastAsia="Times New Roman" w:hAnsi="Times New Roman"/>
          <w:sz w:val="16"/>
          <w:szCs w:val="16"/>
          <w:color w:val="auto"/>
        </w:rPr>
        <w:t xml:space="preserve">, the release of which the Parties shall coordinate in order to accomplish such release promptly following the Effective Date. Neither Party shall issue any other public announcement, press release or other public disclosure regarding this Agreement or its subject matter without the other Party’s prior written consent, except for any such disclosure that is, in the opinion of the disclosing Party’s counsel, required by Applicable Law or the rules of a stock exchange on which the securities of the disclosing Party are listed (or to which an application for listing has been submitted). In the event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prior to the anticipated date of disclosure) so as to provide a reasonable opportunity to comment thereon;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required disclosure includes a disclosure of this Agreement, the disclosing Party shall also submit a redacted form of this Agreement to the other Party and shall submit a confidential treatment request (or equivalent protection in a country other than the U.S.) in connection with such disclosure. The disclosing Party shall incorporate any reasonable comments received from the other Party with respect to such disclosure. Notwithstanding the foregoing, from and after the Option Effective Date, Takeda and its Affiliates and its and their Sublicensees shall have the right to publicly disclose research, development and commercial information (including with respect to regulatory matters) regarding the Licensed Compounds and Licensed Products;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disclosure is subject to the other provisions of this Article 10‎ with respect to ACI’s Confidential Information. Neither Party shall be required to seek the permission of the other Party to repeat any information regarding the terms of this Agreement or any amendment hereto that has already been publicly disclosed by such Party or by the other Party, in accordance with this Section 10‎.7;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information remains accurate as of such time and provided the frequency and form of such disclosure are reasonable.</w:t>
      </w:r>
    </w:p>
    <w:p>
      <w:pPr>
        <w:spacing w:after="0" w:line="200" w:lineRule="exact"/>
        <w:rPr>
          <w:sz w:val="20"/>
          <w:szCs w:val="20"/>
          <w:color w:val="auto"/>
        </w:rPr>
      </w:pPr>
    </w:p>
    <w:p>
      <w:pPr>
        <w:spacing w:after="0" w:line="338" w:lineRule="exact"/>
        <w:rPr>
          <w:sz w:val="20"/>
          <w:szCs w:val="20"/>
          <w:color w:val="auto"/>
        </w:rPr>
      </w:pPr>
    </w:p>
    <w:p>
      <w:pPr>
        <w:jc w:val="both"/>
        <w:ind w:left="200" w:right="199" w:firstLine="1051"/>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10.8. Publications. </w:t>
      </w:r>
      <w:r>
        <w:rPr>
          <w:rFonts w:ascii="Times New Roman" w:cs="Times New Roman" w:eastAsia="Times New Roman" w:hAnsi="Times New Roman"/>
          <w:sz w:val="18"/>
          <w:szCs w:val="18"/>
          <w:color w:val="auto"/>
        </w:rPr>
        <w:t>The Parties recognize the desirability of publishing and publicly disclosing the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and information regarding, activities under this Agreement. Accordingly, (a) prior to the Option Effective Date, ACI and (b) from and after the Option Effective Date, Takeda, in each case ((a) and (b)), shall be free to publicly disclose the results of, and information regarding, activities under this Agreement, including research, development and commercial information (including with respect to regulatory matters) subject to prior review by the other Party of any disclosure of such Party’s Confidential Information for issues of patentability and protection of such Confidential Information, in a manner consistent with Applicable Law and industry practices, as provided in this Section 10‎.8;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Takeda reasonably believes that a publication of ACI could cause competitive harm or have a detrimental effect on the value of the Licensed Compounds or Licensed Products or on the overall Patent portfolio for the Licensed Compounds or Licensed Products, Takeda shall notify ACI of such belief in writing, and such publication shall be subject to Takeda’s prior written consent.</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72" w:name="page73"/>
    <w:bookmarkEnd w:id="72"/>
    <w:p>
      <w:pPr>
        <w:jc w:val="both"/>
        <w:ind w:left="200" w:right="199"/>
        <w:spacing w:after="0" w:line="231" w:lineRule="auto"/>
        <w:rPr>
          <w:sz w:val="20"/>
          <w:szCs w:val="20"/>
          <w:color w:val="auto"/>
        </w:rPr>
      </w:pPr>
      <w:r>
        <w:rPr>
          <w:rFonts w:ascii="Times New Roman" w:cs="Times New Roman" w:eastAsia="Times New Roman" w:hAnsi="Times New Roman"/>
          <w:sz w:val="18"/>
          <w:szCs w:val="18"/>
          <w:color w:val="auto"/>
        </w:rPr>
        <w:t>Accordingly, prior to publishing or disclosing the other Party’s Confidential Information (or, in the case of ACI, publishing or disclosing information regarding the Licensed Compounds or Licensed Products), the publishing Party shall provide the other Party with drafts of such proposed publications and disclosures at least [***] prior to submission for publication or presentation (except with respect to drafts of proposed abstracts, posters or summaries of presentations, which shall be provided at least [***] prior to submission for publication or presentation). The publishing Party shall respond promptly through its designated representative and in any event no later than [***] after the receipt of such proposed publication or presentation or such shorter period as may be required by the publication or presentation. If the other Party requests a delay in publication or presentation, the publishing Party shall delay such submission or presentation for a period (not to exceed [***]) to permit filings for Patent protection and to otherwise address issues of Confidential Information or related competitive harm. For clarity, from and after the Option Effective Date, ACI shall not, and shall cause each of its Affiliates and its and their respective licensors and (sub)licensees not to, make any publications or public disclosures regarding the Licensed Compounds or Licensed Products or any Confidential Information of Takeda without Takeda’s prior written consent.</w:t>
      </w:r>
    </w:p>
    <w:p>
      <w:pPr>
        <w:spacing w:after="0" w:line="144" w:lineRule="exact"/>
        <w:rPr>
          <w:sz w:val="20"/>
          <w:szCs w:val="20"/>
          <w:color w:val="auto"/>
        </w:rPr>
      </w:pPr>
    </w:p>
    <w:p>
      <w:pPr>
        <w:jc w:val="both"/>
        <w:ind w:left="200" w:right="219" w:firstLine="1051"/>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10.9. Return of Confidential Information. </w:t>
      </w:r>
      <w:r>
        <w:rPr>
          <w:rFonts w:ascii="Times New Roman" w:cs="Times New Roman" w:eastAsia="Times New Roman" w:hAnsi="Times New Roman"/>
          <w:sz w:val="16"/>
          <w:szCs w:val="16"/>
          <w:color w:val="auto"/>
        </w:rPr>
        <w:t>If this Agreement is terminated for any reason, upon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written request of a Party, the non-requesting Party shall either, at the requesting Party’s election: (a) promptly destroy all copies of the requesting Party’s Confidential Information in the possession or control of the non-requesting Party (other than Joint Know-How and the terms of this Agreement) and confirm such destruction in writing to the requesting Party or</w:t>
      </w:r>
    </w:p>
    <w:p>
      <w:pPr>
        <w:jc w:val="both"/>
        <w:ind w:left="200" w:right="199" w:hanging="7"/>
        <w:spacing w:after="0" w:line="258" w:lineRule="auto"/>
        <w:tabs>
          <w:tab w:leader="none" w:pos="48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deliver to the requesting Party, at the non-requesting Party’s sole cost and expense, all copies of the requesting Party’s Confidential Information in the possession or control of the non-requesting Party (other than Joint Know-How and the terms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of a termination of this Agreement with respect to one (1) or more (but not all) Licensed Products or countries in the Territory, the foregoing obligation to return or destroy shall only apply to Confidential Information solely related to such terminated Licensed Products or countries, as applicable. Notwithstanding the foregoing, the non-requesting Party shall be permitted to retain (x) such Confidential Information to the extent necessary or reasonably useful for purposes of performing any continuing obligations or exercising any ongoing rights under this Agreement (including with respect to any non-terminated Licensed Products and countries) and, in any event, a single copy of such Confidential Information for archival purposes and (y)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 All Confidential Information shall continue to be subject to the terms of this Agreement for the period set forth in Section 10‎.1. Upon written request of the requesting Party, the non-requesting Party shall certify that all actions required to be taken pursuant to this Section 10‎.9 have been completed. For clarity, the foregoing provisions of this Section 10‎.9 shall apply if (i) Takeda does not provide an Exercise Notice prior to the expiration of the Option Period, upon expiration of the Option Period, and</w:t>
      </w:r>
    </w:p>
    <w:p>
      <w:pPr>
        <w:spacing w:after="0" w:line="185" w:lineRule="exact"/>
        <w:rPr>
          <w:rFonts w:ascii="Times New Roman" w:cs="Times New Roman" w:eastAsia="Times New Roman" w:hAnsi="Times New Roman"/>
          <w:sz w:val="16"/>
          <w:szCs w:val="16"/>
          <w:color w:val="auto"/>
        </w:rPr>
      </w:pPr>
    </w:p>
    <w:p>
      <w:pPr>
        <w:ind w:left="460" w:hanging="267"/>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prior to the Option Effective Date, then upon the effective date of such termination.</w:t>
      </w:r>
    </w:p>
    <w:p>
      <w:pPr>
        <w:spacing w:after="0" w:line="143"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10.10. Protection of Personal Data. </w:t>
      </w:r>
      <w:r>
        <w:rPr>
          <w:rFonts w:ascii="Times New Roman" w:cs="Times New Roman" w:eastAsia="Times New Roman" w:hAnsi="Times New Roman"/>
          <w:sz w:val="18"/>
          <w:szCs w:val="18"/>
          <w:color w:val="auto"/>
        </w:rPr>
        <w:t>The Parties acknowledge and agree that each Party alone determines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purposes and means of the processing of Personal Data to be carried out by it, and thus that each Party is an independent Data Controller (as defined under the GDPR)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73" w:name="page74"/>
    <w:bookmarkEnd w:id="73"/>
    <w:p>
      <w:pPr>
        <w:jc w:val="both"/>
        <w:ind w:left="200" w:right="199"/>
        <w:spacing w:after="0" w:line="230" w:lineRule="auto"/>
        <w:rPr>
          <w:sz w:val="20"/>
          <w:szCs w:val="20"/>
          <w:color w:val="auto"/>
        </w:rPr>
      </w:pPr>
      <w:r>
        <w:rPr>
          <w:rFonts w:ascii="Times New Roman" w:cs="Times New Roman" w:eastAsia="Times New Roman" w:hAnsi="Times New Roman"/>
          <w:sz w:val="18"/>
          <w:szCs w:val="18"/>
          <w:color w:val="auto"/>
        </w:rPr>
        <w:t xml:space="preserve">in respect of its own processing of Personal Data and not a processor which processes Personal Data on behalf of the other Party. Consequently, each Party is itself responsible to comply with the obligations as a controller under applicable Data Protection Law, including compliance with any requirements related to the transfer of Personal Data outside of the country of origin to a Party’s Affiliates or subcontractors located in a third country. Each Party acknowledges that in respect of any data supplied to it by the other Party, it shall comply in all material respects with the applicable requirement of the protection of Personal Data including pseudonymized raw data and the Standard Contractual Clauses set forth on </w:t>
      </w:r>
      <w:r>
        <w:rPr>
          <w:rFonts w:ascii="Times New Roman" w:cs="Times New Roman" w:eastAsia="Times New Roman" w:hAnsi="Times New Roman"/>
          <w:sz w:val="18"/>
          <w:szCs w:val="18"/>
          <w:b w:val="1"/>
          <w:bCs w:val="1"/>
          <w:color w:val="auto"/>
        </w:rPr>
        <w:t xml:space="preserve">Schedule 10‎.10 </w:t>
      </w:r>
      <w:r>
        <w:rPr>
          <w:rFonts w:ascii="Times New Roman" w:cs="Times New Roman" w:eastAsia="Times New Roman" w:hAnsi="Times New Roman"/>
          <w:sz w:val="18"/>
          <w:szCs w:val="18"/>
          <w:color w:val="auto"/>
        </w:rPr>
        <w:t>to the extent applicable to each Party’s performance of its obligations under this Agreement.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foregoing, each Party that conducts a clinical trial with respect to the Licensed Compounds and Licensed Products shall provide a data privacy notice to all persons participating in such clinical trial and, when required by applicable Data Protection Law, obtain appropriate consent from such persons, in each case, in accordance with applicable Data Protection Law and that allow for the use of Personal Data as set forth in this Agreement. If any Party becomes aware that it has provided Personal Data to the other Party that may not be shared pursuant to such a consent or notice, or such person participating in a clinical trial has withdrawn his or her consent, requested deletion of or opted-out of certain processing of Personal Data, such Party shall promptly notify the other Party so that the affected Personal Data can be removed or anonymized as, and when, required under applicable Data Protection Law. In the event of a Personal Data breach affecting the Personal Data that is the subject of this Agreement, the Party suffering said Personal Data breach shall notify the other Party without undue delay. The Parties shall reasonably assist one another in responding to a Personal Data breach and in meeting their notification obligations to data subjects or data protection regulators, as may be required by applicable Data Protection Law.</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3" w:lineRule="exact"/>
        <w:rPr>
          <w:sz w:val="20"/>
          <w:szCs w:val="20"/>
          <w:color w:val="auto"/>
        </w:rPr>
      </w:pPr>
    </w:p>
    <w:p>
      <w:pPr>
        <w:jc w:val="both"/>
        <w:ind w:left="200" w:right="21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 Mutual Representations and Warranties. </w:t>
      </w:r>
      <w:r>
        <w:rPr>
          <w:rFonts w:ascii="Times New Roman" w:cs="Times New Roman" w:eastAsia="Times New Roman" w:hAnsi="Times New Roman"/>
          <w:sz w:val="18"/>
          <w:szCs w:val="18"/>
          <w:color w:val="auto"/>
        </w:rPr>
        <w:t>ACI and Takeda each represents and warrants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as of the Effective Date that:</w:t>
      </w:r>
    </w:p>
    <w:p>
      <w:pPr>
        <w:spacing w:after="0" w:line="129"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11.1.1. </w:t>
      </w:r>
      <w:r>
        <w:rPr>
          <w:rFonts w:ascii="Times New Roman" w:cs="Times New Roman" w:eastAsia="Times New Roman" w:hAnsi="Times New Roman"/>
          <w:sz w:val="18"/>
          <w:szCs w:val="18"/>
          <w:color w:val="auto"/>
        </w:rPr>
        <w:t>it is duly organized, validly existing and in good standing under the laws of the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organization and has all requisite power and authority, corporate or otherwise, to execute, deliver and perform this Agreement;</w:t>
      </w:r>
    </w:p>
    <w:p>
      <w:pPr>
        <w:spacing w:after="0" w:line="143" w:lineRule="exact"/>
        <w:rPr>
          <w:sz w:val="20"/>
          <w:szCs w:val="20"/>
          <w:color w:val="auto"/>
        </w:rPr>
      </w:pPr>
    </w:p>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11.1.2. </w:t>
      </w:r>
      <w:r>
        <w:rPr>
          <w:rFonts w:ascii="Times New Roman" w:cs="Times New Roman" w:eastAsia="Times New Roman" w:hAnsi="Times New Roman"/>
          <w:sz w:val="18"/>
          <w:szCs w:val="18"/>
          <w:color w:val="auto"/>
        </w:rPr>
        <w:t>the execution and delivery of this Agreement and the performance by it of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have been 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spacing w:after="0" w:line="146"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11.1.3. </w:t>
      </w:r>
      <w:r>
        <w:rPr>
          <w:rFonts w:ascii="Times New Roman" w:cs="Times New Roman" w:eastAsia="Times New Roman" w:hAnsi="Times New Roman"/>
          <w:sz w:val="18"/>
          <w:szCs w:val="18"/>
          <w:color w:val="auto"/>
        </w:rPr>
        <w:t>this Agreement is a legal, valid and binding obligation of such Party enforceable against it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 and</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74" w:name="page75"/>
    <w:bookmarkEnd w:id="74"/>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11.1.4. </w:t>
      </w:r>
      <w:r>
        <w:rPr>
          <w:rFonts w:ascii="Times New Roman" w:cs="Times New Roman" w:eastAsia="Times New Roman" w:hAnsi="Times New Roman"/>
          <w:sz w:val="18"/>
          <w:szCs w:val="18"/>
          <w:color w:val="auto"/>
        </w:rPr>
        <w:t>it is not under any obligation, contractual or otherwise, to any Person that conflicts with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inconsistent with the terms of this Agreement or that would impede the diligent and complete fulfillment of its obligations hereunder.</w:t>
      </w:r>
    </w:p>
    <w:p>
      <w:pPr>
        <w:spacing w:after="0" w:line="143"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11.2. Additional Representations and Warranties of ACI. </w:t>
      </w:r>
      <w:r>
        <w:rPr>
          <w:rFonts w:ascii="Times New Roman" w:cs="Times New Roman" w:eastAsia="Times New Roman" w:hAnsi="Times New Roman"/>
          <w:sz w:val="18"/>
          <w:szCs w:val="18"/>
          <w:color w:val="auto"/>
        </w:rPr>
        <w:t>ACI further represents and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Takeda that (a) (i) except as set forth in </w:t>
      </w:r>
      <w:r>
        <w:rPr>
          <w:rFonts w:ascii="Times New Roman" w:cs="Times New Roman" w:eastAsia="Times New Roman" w:hAnsi="Times New Roman"/>
          <w:sz w:val="18"/>
          <w:szCs w:val="18"/>
          <w:b w:val="1"/>
          <w:bCs w:val="1"/>
          <w:color w:val="auto"/>
        </w:rPr>
        <w:t>Schedule 11‎.2</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Initial Disclosure Schedule</w:t>
      </w:r>
      <w:r>
        <w:rPr>
          <w:rFonts w:ascii="Times New Roman" w:cs="Times New Roman" w:eastAsia="Times New Roman" w:hAnsi="Times New Roman"/>
          <w:sz w:val="18"/>
          <w:szCs w:val="18"/>
          <w:color w:val="auto"/>
        </w:rPr>
        <w:t>”) and (ii) excluding Section 11‎.2.18, in each case ((i) and (ii)), as of the Effective Date, (b) subject to Section 11‎.3, except as set forth in the Data Package Updated Disclosure Schedule as of the Data Package Bring Down Date and (c) subject to Section 11‎.3 and except, solely with respect to the last two sentences of Section 11‎.2.2, Section 11‎.2.3, the last sentence of Section 11‎.2.6 and the last sentence of Section 11‎.2.10, as set forth in the Bring Down Updated Disclosure Schedule, as of the Option Effective Date, as follows:</w:t>
      </w:r>
    </w:p>
    <w:p>
      <w:pPr>
        <w:spacing w:after="0" w:line="147" w:lineRule="exact"/>
        <w:rPr>
          <w:sz w:val="20"/>
          <w:szCs w:val="20"/>
          <w:color w:val="auto"/>
        </w:rPr>
      </w:pPr>
    </w:p>
    <w:p>
      <w:pPr>
        <w:jc w:val="both"/>
        <w:ind w:left="200" w:right="199" w:firstLine="1445"/>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11.2.1. </w:t>
      </w:r>
      <w:r>
        <w:rPr>
          <w:rFonts w:ascii="Times New Roman" w:cs="Times New Roman" w:eastAsia="Times New Roman" w:hAnsi="Times New Roman"/>
          <w:sz w:val="18"/>
          <w:szCs w:val="18"/>
          <w:color w:val="auto"/>
        </w:rPr>
        <w:t>All Licensed Patents existing as of the Effective Date, the Data Package Bring Down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Option Effective Date, as applicable, are listed on </w:t>
      </w:r>
      <w:r>
        <w:rPr>
          <w:rFonts w:ascii="Times New Roman" w:cs="Times New Roman" w:eastAsia="Times New Roman" w:hAnsi="Times New Roman"/>
          <w:sz w:val="18"/>
          <w:szCs w:val="18"/>
          <w:b w:val="1"/>
          <w:bCs w:val="1"/>
          <w:color w:val="auto"/>
        </w:rPr>
        <w:t>Schedule 1‎.138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Schedule 1‎.157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Existing Patents</w:t>
      </w:r>
      <w:r>
        <w:rPr>
          <w:rFonts w:ascii="Times New Roman" w:cs="Times New Roman" w:eastAsia="Times New Roman" w:hAnsi="Times New Roman"/>
          <w:sz w:val="18"/>
          <w:szCs w:val="18"/>
          <w:color w:val="auto"/>
        </w:rPr>
        <w:t>”), and ACI is the sole and exclusive owner of the entire right, title and interest in the Existing Patents, free of any encumbrance, lien or claim of ownership by any Third Party. All such Existing Patents (a) are subsisting and are not invalid or unenforceable, in whole or in part, (b) are being diligently prosecuted in the respective patent offices in the Territory in accordance with Applicable Law and (c) have been filed and maintained properly and correctly and all applicable fees have been paid on or before the due date for payment. With respect to pending applications in the Existing Patents, ACI and its Affiliates have presented all relevant references, documents and information of which it and the inventors are aware to the relevant patent examiner at the relevant patent office. ACI is entitled to grant the licenses specified herein.</w:t>
      </w:r>
    </w:p>
    <w:p>
      <w:pPr>
        <w:spacing w:after="0" w:line="144" w:lineRule="exact"/>
        <w:rPr>
          <w:sz w:val="20"/>
          <w:szCs w:val="20"/>
          <w:color w:val="auto"/>
        </w:rPr>
      </w:pPr>
    </w:p>
    <w:p>
      <w:pPr>
        <w:jc w:val="both"/>
        <w:ind w:left="200" w:right="199" w:firstLine="1445"/>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11.2.2. </w:t>
      </w:r>
      <w:r>
        <w:rPr>
          <w:rFonts w:ascii="Times New Roman" w:cs="Times New Roman" w:eastAsia="Times New Roman" w:hAnsi="Times New Roman"/>
          <w:sz w:val="18"/>
          <w:szCs w:val="18"/>
          <w:color w:val="auto"/>
        </w:rPr>
        <w:t>All Existing Agreements are listed on</w:t>
      </w:r>
      <w:r>
        <w:rPr>
          <w:rFonts w:ascii="Times New Roman" w:cs="Times New Roman" w:eastAsia="Times New Roman" w:hAnsi="Times New Roman"/>
          <w:sz w:val="18"/>
          <w:szCs w:val="18"/>
          <w:b w:val="1"/>
          <w:bCs w:val="1"/>
          <w:color w:val="auto"/>
        </w:rPr>
        <w:t xml:space="preserve"> Schedule 11‎.2.2</w:t>
      </w:r>
      <w:r>
        <w:rPr>
          <w:rFonts w:ascii="Times New Roman" w:cs="Times New Roman" w:eastAsia="Times New Roman" w:hAnsi="Times New Roman"/>
          <w:sz w:val="18"/>
          <w:szCs w:val="18"/>
          <w:color w:val="auto"/>
        </w:rPr>
        <w:t>. The rights and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hereunder are fully consistent with, and are not limited in any material respect by, the Existing Agreements. None of ACI or its Affiliates (a) is in breach of any Existing Agreement or (b) has received any written notice of breach or termination under any Existing Agreement from the counterparty thereto. To the Knowledge of ACI, (i) no facts or circumstances exist that would reasonably be expected to give rise to any such breach or termination and (ii) no counterparty is in breach of any Existing Agreement.</w:t>
      </w:r>
    </w:p>
    <w:p>
      <w:pPr>
        <w:spacing w:after="0" w:line="146" w:lineRule="exact"/>
        <w:rPr>
          <w:sz w:val="20"/>
          <w:szCs w:val="20"/>
          <w:color w:val="auto"/>
        </w:rPr>
      </w:pPr>
    </w:p>
    <w:p>
      <w:pPr>
        <w:jc w:val="both"/>
        <w:ind w:left="200" w:right="199" w:firstLine="1445"/>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11.2.3. </w:t>
      </w:r>
      <w:r>
        <w:rPr>
          <w:rFonts w:ascii="Times New Roman" w:cs="Times New Roman" w:eastAsia="Times New Roman" w:hAnsi="Times New Roman"/>
          <w:sz w:val="16"/>
          <w:szCs w:val="16"/>
          <w:color w:val="auto"/>
        </w:rPr>
        <w:t>There are no claims, judgments or settlements against, or amounts with respect thereto owed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ACI or any of its Affiliates relating to the Existing Regulatory Documentation, the Existing Patents or the Licensed Know-How. No claim or litigation has been brought or, to ACI’s Knowledge, threatened by any Person alleging, and ACI has no Knowledge of any claim, whether or not asserted, that (a) the Existing Patents or the Licensed Know-How are invalid or unenforceable or (b) the Existing Regulatory Documentation, the Existing Patents or the Licensed Know-How, or the disclosing, copying, making, assigning or licensing of the Existing Regulatory Documentation, the Existing Patents or the Licensed Know-How or the Development, Manufacture or Commercialization of the Licensed Compounds or Licensed Products (as such Licensed Compounds or Licensed Products exist as of the Effective Date, the Data Package Bring Down Date and the Option Effective Date) as contemplated herein, does or will violate, infringe, misappropriate or otherwise conflict or interfere with, any Patent or other intellectual property or proprietary right of any Person, and to ACI’s Knowledge, no facts or circumstances exist that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75" w:name="page76"/>
    <w:bookmarkEnd w:id="75"/>
    <w:p>
      <w:pPr>
        <w:jc w:val="both"/>
        <w:ind w:left="200" w:right="219"/>
        <w:spacing w:after="0"/>
        <w:rPr>
          <w:sz w:val="20"/>
          <w:szCs w:val="20"/>
          <w:color w:val="auto"/>
        </w:rPr>
      </w:pPr>
      <w:r>
        <w:rPr>
          <w:rFonts w:ascii="Times New Roman" w:cs="Times New Roman" w:eastAsia="Times New Roman" w:hAnsi="Times New Roman"/>
          <w:sz w:val="18"/>
          <w:szCs w:val="18"/>
          <w:color w:val="auto"/>
        </w:rPr>
        <w:t>would reasonably be expected to give rise to any such claims. To ACI’s Knowledge, no Person (i) has infringed or is infringing or threatening to infringe any Existing Patent or (ii) has misappropriated or is misappropriating or threatening to misappropriate the Licensed Know-How.</w:t>
      </w:r>
    </w:p>
    <w:p>
      <w:pPr>
        <w:spacing w:after="0" w:line="143" w:lineRule="exact"/>
        <w:rPr>
          <w:sz w:val="20"/>
          <w:szCs w:val="20"/>
          <w:color w:val="auto"/>
        </w:rPr>
      </w:pPr>
    </w:p>
    <w:p>
      <w:pPr>
        <w:jc w:val="both"/>
        <w:ind w:left="200" w:right="199" w:firstLine="1445"/>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11.2.4. </w:t>
      </w:r>
      <w:r>
        <w:rPr>
          <w:rFonts w:ascii="Times New Roman" w:cs="Times New Roman" w:eastAsia="Times New Roman" w:hAnsi="Times New Roman"/>
          <w:sz w:val="18"/>
          <w:szCs w:val="18"/>
          <w:color w:val="auto"/>
        </w:rPr>
        <w:t>ACI Controls all Information and Patents in its or its Affiliates’ ownership or control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reasonably useful to Develop, Manufacture or Commercialize the Licensed Compounds and the Licensed Products as contemplated herein and such Information and Patents are not subject to any other license or agreement to which ACI or any of its Affiliates is a party other than the Existing Agreements. ACI Controls all Active Immunotherapies that are Directed To Abeta in its or its Affiliates ownership or control.</w:t>
      </w:r>
    </w:p>
    <w:p>
      <w:pPr>
        <w:spacing w:after="0" w:line="142" w:lineRule="exact"/>
        <w:rPr>
          <w:sz w:val="20"/>
          <w:szCs w:val="20"/>
          <w:color w:val="auto"/>
        </w:rPr>
      </w:pPr>
    </w:p>
    <w:p>
      <w:pPr>
        <w:jc w:val="both"/>
        <w:ind w:left="200" w:right="199" w:firstLine="1445"/>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11.2.5. </w:t>
      </w:r>
      <w:r>
        <w:rPr>
          <w:rFonts w:ascii="Times New Roman" w:cs="Times New Roman" w:eastAsia="Times New Roman" w:hAnsi="Times New Roman"/>
          <w:sz w:val="18"/>
          <w:szCs w:val="18"/>
          <w:color w:val="auto"/>
        </w:rPr>
        <w:t>The Existing Patents represent all Patents within ACI’s or its Affiliates’ ownership or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Licensed Compounds or the Licensed Products or the Exploitation thereof. To ACI’s Knowledge, there is no Information owned or controlled by ACI or any of its Affiliates as of the Effective Date, the Data Package Bring Down Date and the Option Effective Date, as applicable, that relates to the Licensed Compounds or the Licensed Products existing as of the Effective Date, the Data Package Bring Down Date and the Option Effective Date that is not within the Licensed Know-How that exists as of the Effective Date, the Data Package Bring Down Date and the Option Effective Date.</w:t>
      </w:r>
    </w:p>
    <w:p>
      <w:pPr>
        <w:spacing w:after="0" w:line="147" w:lineRule="exact"/>
        <w:rPr>
          <w:sz w:val="20"/>
          <w:szCs w:val="20"/>
          <w:color w:val="auto"/>
        </w:rPr>
      </w:pPr>
    </w:p>
    <w:p>
      <w:pPr>
        <w:jc w:val="both"/>
        <w:ind w:left="200" w:right="199" w:firstLine="1445"/>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11.2.6. </w:t>
      </w:r>
      <w:r>
        <w:rPr>
          <w:rFonts w:ascii="Times New Roman" w:cs="Times New Roman" w:eastAsia="Times New Roman" w:hAnsi="Times New Roman"/>
          <w:sz w:val="18"/>
          <w:szCs w:val="18"/>
          <w:color w:val="auto"/>
        </w:rPr>
        <w:t>Each Person who has or has had any rights in or to any Existing Patents or any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Know-How has assigned and has executed an agreement assigning its entire right, title and interest in and to such Existing Patents and Licensed Know-How to ACI. To ACI’s Knowledge, no current officer, employee, agent or consultant of ACI or any of its Affiliates or its or their (sub)licensees is in violation of any term of any assignment or other agreement, including any employment contract, regarding the protection of Patents or other intellectual property or proprietary information of ACI or such Affiliate.</w:t>
      </w:r>
    </w:p>
    <w:p>
      <w:pPr>
        <w:spacing w:after="0" w:line="146" w:lineRule="exact"/>
        <w:rPr>
          <w:sz w:val="20"/>
          <w:szCs w:val="20"/>
          <w:color w:val="auto"/>
        </w:rPr>
      </w:pPr>
    </w:p>
    <w:p>
      <w:pPr>
        <w:jc w:val="both"/>
        <w:ind w:left="200" w:right="199" w:firstLine="1445"/>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11.2.7. </w:t>
      </w:r>
      <w:r>
        <w:rPr>
          <w:rFonts w:ascii="Times New Roman" w:cs="Times New Roman" w:eastAsia="Times New Roman" w:hAnsi="Times New Roman"/>
          <w:sz w:val="18"/>
          <w:szCs w:val="18"/>
          <w:color w:val="auto"/>
        </w:rPr>
        <w:t>ACI has obtained the right (including under any Patents and other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use all Information and all other materials (including any formulations and manufacturing processes and procedures) developed or delivered by any Third Party under any agreements between ACI and any such Third Party with respect to the Licensed Compounds and Licensed Products existing as of the Effective Date, the Data Package Bring Down Date and the Option Effective Date, and ACI has the rights under each such agreement to transfer such Information or other materials to Takeda and its designees and to grant Takeda the right to use such Information or other materials in the Development, Manufacture or Commercialization of the Licensed Compounds or Licensed Products without restriction.</w:t>
      </w:r>
    </w:p>
    <w:p>
      <w:pPr>
        <w:spacing w:after="0" w:line="144" w:lineRule="exact"/>
        <w:rPr>
          <w:sz w:val="20"/>
          <w:szCs w:val="20"/>
          <w:color w:val="auto"/>
        </w:rPr>
      </w:pPr>
    </w:p>
    <w:p>
      <w:pPr>
        <w:jc w:val="both"/>
        <w:ind w:left="200" w:right="199" w:firstLine="1445"/>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11.2.8. </w:t>
      </w:r>
      <w:r>
        <w:rPr>
          <w:rFonts w:ascii="Times New Roman" w:cs="Times New Roman" w:eastAsia="Times New Roman" w:hAnsi="Times New Roman"/>
          <w:sz w:val="18"/>
          <w:szCs w:val="18"/>
          <w:color w:val="auto"/>
        </w:rPr>
        <w:t>The inventions Covered by the Existing Patents (a) were not conceived, discovered,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developed or otherwise made in connection with any research activities funded, in whole or in part, by the federal government of the United States or any agency thereof, (b) are not a “subject invention” as that term is described in 35 U.S.C. Section 201(e), (c) are not otherwise subject to the provisions of the Patent and Trademark Law Amendments Act of 1980, as amended, codified at 35 U.S.C. §§200-212, as amended, as well as any regulations promulgated pursuant thereto, including in 37 C.F.R. Part 401 and (d) except as set forth on </w:t>
      </w:r>
      <w:r>
        <w:rPr>
          <w:rFonts w:ascii="Times New Roman" w:cs="Times New Roman" w:eastAsia="Times New Roman" w:hAnsi="Times New Roman"/>
          <w:sz w:val="18"/>
          <w:szCs w:val="18"/>
          <w:b w:val="1"/>
          <w:bCs w:val="1"/>
          <w:color w:val="auto"/>
        </w:rPr>
        <w:t>Schedule 11‎.2.8</w:t>
      </w:r>
      <w:r>
        <w:rPr>
          <w:rFonts w:ascii="Times New Roman" w:cs="Times New Roman" w:eastAsia="Times New Roman" w:hAnsi="Times New Roman"/>
          <w:sz w:val="18"/>
          <w:szCs w:val="18"/>
          <w:color w:val="auto"/>
        </w:rPr>
        <w:t>, are not the subject of any licenses, options or other rights of any other Governmental Authority, within or outside the United States, due to such Governmental Authority’s funding of research and</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76" w:name="page77"/>
    <w:bookmarkEnd w:id="76"/>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development or otherwise (other than the right to receive payments or any law of general application that applies to personal property generally, e.g., takings laws).</w:t>
      </w:r>
    </w:p>
    <w:p>
      <w:pPr>
        <w:spacing w:after="0" w:line="132" w:lineRule="exact"/>
        <w:rPr>
          <w:sz w:val="20"/>
          <w:szCs w:val="20"/>
          <w:color w:val="auto"/>
        </w:rPr>
      </w:pPr>
    </w:p>
    <w:p>
      <w:pPr>
        <w:jc w:val="both"/>
        <w:ind w:left="200" w:right="199" w:firstLine="1445"/>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11.2.9. </w:t>
      </w:r>
      <w:r>
        <w:rPr>
          <w:rFonts w:ascii="Times New Roman" w:cs="Times New Roman" w:eastAsia="Times New Roman" w:hAnsi="Times New Roman"/>
          <w:sz w:val="18"/>
          <w:szCs w:val="18"/>
          <w:color w:val="auto"/>
        </w:rPr>
        <w:t>The Licensed Know-How has been kept confidential or has been disclosed to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under terms of confidentiality. To the Knowledge of ACI, no breach of such confidentiality has been committed by any Third Party.</w:t>
      </w:r>
    </w:p>
    <w:p>
      <w:pPr>
        <w:spacing w:after="0" w:line="143" w:lineRule="exact"/>
        <w:rPr>
          <w:sz w:val="20"/>
          <w:szCs w:val="20"/>
          <w:color w:val="auto"/>
        </w:rPr>
      </w:pPr>
    </w:p>
    <w:p>
      <w:pPr>
        <w:jc w:val="both"/>
        <w:ind w:left="200" w:right="199" w:firstLine="1445"/>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11.2.10. </w:t>
      </w:r>
      <w:r>
        <w:rPr>
          <w:rFonts w:ascii="Times New Roman" w:cs="Times New Roman" w:eastAsia="Times New Roman" w:hAnsi="Times New Roman"/>
          <w:sz w:val="18"/>
          <w:szCs w:val="18"/>
          <w:color w:val="auto"/>
        </w:rPr>
        <w:t>ACI has made available to Takeda: (a) all Existing Regulatory Documentation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Agreements; and (b) all material Licensed Know-How and other Information in its possession or Control regarding or related to the Licensed Compounds or Licensed Products, including all material adverse information with respect to the safety and efficacy of the Licensed Compounds known to ACI or its Affiliates (except, solely as of the Effective Date, for the Proprietary CMC Information), and in each case ((a) through (b)), to ACI’s Knowledge, all such materials, Existing Regulatory Documentation, Existing Agreements, Licensed Know-How and other Information are true, complete and correct. Except as disclosed to Takeda in writing prior to the Effective Date, the Data Package Bring Down Date and the Option Effective Date, as applicable, ACI and its Affiliates have no Knowledge of any facts or circumstances that would be reasonably likely to adversely affect the scientific, therapeutic or commercial potential of the Licensed Compounds or Licensed Products (including the acceptance, or the subsequent approval, by any Regulatory Authority of any filing, application or request for any IND or Regulatory Approval).</w:t>
      </w:r>
    </w:p>
    <w:p>
      <w:pPr>
        <w:spacing w:after="0" w:line="151" w:lineRule="exact"/>
        <w:rPr>
          <w:sz w:val="20"/>
          <w:szCs w:val="20"/>
          <w:color w:val="auto"/>
        </w:rPr>
      </w:pPr>
    </w:p>
    <w:p>
      <w:pPr>
        <w:jc w:val="both"/>
        <w:ind w:left="200" w:right="199" w:firstLine="1445"/>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11.2.11. </w:t>
      </w:r>
      <w:r>
        <w:rPr>
          <w:rFonts w:ascii="Times New Roman" w:cs="Times New Roman" w:eastAsia="Times New Roman" w:hAnsi="Times New Roman"/>
          <w:sz w:val="18"/>
          <w:szCs w:val="18"/>
          <w:color w:val="auto"/>
        </w:rPr>
        <w:t>Neither ACI nor any of its Affiliates or its or their (sub)licensees have applied for,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obtained any Trademarks with respect to the Licensed Products in the Territory.</w:t>
      </w:r>
    </w:p>
    <w:p>
      <w:pPr>
        <w:spacing w:after="0" w:line="129" w:lineRule="exact"/>
        <w:rPr>
          <w:sz w:val="20"/>
          <w:szCs w:val="20"/>
          <w:color w:val="auto"/>
        </w:rPr>
      </w:pPr>
    </w:p>
    <w:p>
      <w:pPr>
        <w:jc w:val="both"/>
        <w:ind w:left="200" w:right="199" w:firstLine="1445"/>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11.2.12. </w:t>
      </w:r>
      <w:r>
        <w:rPr>
          <w:rFonts w:ascii="Times New Roman" w:cs="Times New Roman" w:eastAsia="Times New Roman" w:hAnsi="Times New Roman"/>
          <w:sz w:val="18"/>
          <w:szCs w:val="18"/>
          <w:color w:val="auto"/>
        </w:rPr>
        <w:t>Neither ACI nor any of its Affiliates or its or their (sub)licensees, nor any of its or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officers, employees or agents has made an untrue statement of material fact or fraudulent statement to the FDA or any other Regulatory Authority with respect to the Development of the Licensed Compounds or Licensed Products, failed to disclose a material fact required to be disclosed to the FDA or any other Regulatory Authority with respect to the Development of the Licensed Compounds or Licensed Products or committed an act, made a statement or failed to make a statement with respect to the Development of the Licensed Compounds or Licensed Products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147" w:lineRule="exact"/>
        <w:rPr>
          <w:sz w:val="20"/>
          <w:szCs w:val="20"/>
          <w:color w:val="auto"/>
        </w:rPr>
      </w:pPr>
    </w:p>
    <w:p>
      <w:pPr>
        <w:jc w:val="both"/>
        <w:ind w:left="200" w:right="199" w:firstLine="1445"/>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11.2.13. </w:t>
      </w:r>
      <w:r>
        <w:rPr>
          <w:rFonts w:ascii="Times New Roman" w:cs="Times New Roman" w:eastAsia="Times New Roman" w:hAnsi="Times New Roman"/>
          <w:sz w:val="18"/>
          <w:szCs w:val="18"/>
          <w:color w:val="auto"/>
        </w:rPr>
        <w:t>ACI and its Affiliates and its and their (sub)licensees have conducted,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and consultants have conducted, all Development and Manufacture of the Licensed Compounds and Licensed Products (including the generation, preparation, maintenance and retention of all Regulatory Documentation) that they have conducted prior to the Effective Date, the Data Package Bring Down Date and Option Effective Date, as applicable, in accordance with Applicable Law (including Good Laboratory Practices, Good Manufacturing Practices and Good Clinical Practices).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77" w:name="page78"/>
    <w:bookmarkEnd w:id="77"/>
    <w:p>
      <w:pPr>
        <w:jc w:val="both"/>
        <w:ind w:left="200" w:right="199" w:firstLine="1445"/>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11.2.14.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Schedule 11‎.2.14</w:t>
      </w:r>
      <w:r>
        <w:rPr>
          <w:rFonts w:ascii="Times New Roman" w:cs="Times New Roman" w:eastAsia="Times New Roman" w:hAnsi="Times New Roman"/>
          <w:sz w:val="18"/>
          <w:szCs w:val="18"/>
          <w:color w:val="auto"/>
        </w:rPr>
        <w:t>, there are no amounts that will be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a Third Party as a result of the Development, Manufacture or Commercialization of the Licensed Compounds or Licensed Products that arise out of any agreement (other than the Existing Agreements) to which ACI or any of its Affiliates is a party or, to ACI’s Knowledge, at all.</w:t>
      </w:r>
    </w:p>
    <w:p>
      <w:pPr>
        <w:spacing w:after="0" w:line="146" w:lineRule="exact"/>
        <w:rPr>
          <w:sz w:val="20"/>
          <w:szCs w:val="20"/>
          <w:color w:val="auto"/>
        </w:rPr>
      </w:pPr>
    </w:p>
    <w:p>
      <w:pPr>
        <w:jc w:val="both"/>
        <w:ind w:left="200" w:right="199" w:firstLine="1445"/>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11.2.15. </w:t>
      </w:r>
      <w:r>
        <w:rPr>
          <w:rFonts w:ascii="Times New Roman" w:cs="Times New Roman" w:eastAsia="Times New Roman" w:hAnsi="Times New Roman"/>
          <w:sz w:val="18"/>
          <w:szCs w:val="18"/>
          <w:color w:val="auto"/>
        </w:rPr>
        <w:t>ACI and its Affiliates and its and their (sub)licensees have complied in all material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Applicable Laws relating to the privacy, processing and security of Personal Data in all countries in connection with the Licensed Compounds and Licensed Products (including any transfer of Personal Data across national borders), all privacy related consents and notices that apply to the Licensed Compounds and Licensed Products and the requirements of any contract to which it is a party, in each case that were in effect at the time such Personal Data was collected, disclosed or otherwise processed and applicable to such collection, disclosure or processing at the time conducted. ACI, its Affiliates and its and their (sub)licensees has provided a data privacy notice to all persons participating in clinical trials with respect to the Licensed Compounds and Licensed Products and, when required by applicable Data Protection Law, obtained appropriate consent from such persons. Such notices and consents were made in accordance applicable Data Protection Law and allow for the disclosure and use of Personal Data by Takeda, its Affiliates and its and their Sublicensees as set forth in this Agreement.</w:t>
      </w:r>
    </w:p>
    <w:p>
      <w:pPr>
        <w:spacing w:after="0" w:line="151" w:lineRule="exact"/>
        <w:rPr>
          <w:sz w:val="20"/>
          <w:szCs w:val="20"/>
          <w:color w:val="auto"/>
        </w:rPr>
      </w:pPr>
    </w:p>
    <w:p>
      <w:pPr>
        <w:jc w:val="both"/>
        <w:ind w:left="200" w:right="219" w:firstLine="1445"/>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11.2.16. </w:t>
      </w:r>
      <w:r>
        <w:rPr>
          <w:rFonts w:ascii="Times New Roman" w:cs="Times New Roman" w:eastAsia="Times New Roman" w:hAnsi="Times New Roman"/>
          <w:sz w:val="18"/>
          <w:szCs w:val="18"/>
          <w:color w:val="auto"/>
        </w:rPr>
        <w:t>Neither ACI nor any of its Affiliates nor its or their (sub)licensees has been debarred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is subject to debarment and neither it nor any of its Affiliates will use in any capacity, in connection with the Licensed Compounds or Licensed Products, any Person who has been debarred pursuant to Section 306 of the FFDCA or who is the subject of a conviction described in such section.</w:t>
      </w:r>
    </w:p>
    <w:p>
      <w:pPr>
        <w:spacing w:after="0" w:line="146" w:lineRule="exact"/>
        <w:rPr>
          <w:sz w:val="20"/>
          <w:szCs w:val="20"/>
          <w:color w:val="auto"/>
        </w:rPr>
      </w:pPr>
    </w:p>
    <w:p>
      <w:pPr>
        <w:jc w:val="both"/>
        <w:ind w:left="200" w:right="199" w:firstLine="1445"/>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11.2.17. </w:t>
      </w:r>
      <w:r>
        <w:rPr>
          <w:rFonts w:ascii="Times New Roman" w:cs="Times New Roman" w:eastAsia="Times New Roman" w:hAnsi="Times New Roman"/>
          <w:sz w:val="18"/>
          <w:szCs w:val="18"/>
          <w:color w:val="auto"/>
        </w:rPr>
        <w:t>(a) None of ACI’s or its Affiliates’ or its or their (sub)licensees’ officers,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to ACI’s Knowledge, any other Person acting on its or their behalf, has directly or indirectly given, offered or promised to give money or anything of value to any Government Official in an effort to influence any Government Official or any other Person in a corrupt or improper effort to obtain or retain business or any commercial advantage, such as a permit or license to do business, and (b) all Persons acting on its or their behalf have materially complied with the U.S. Foreign Corrupt Practices Act, laws implementing the Convention on Combating Bribery of Foreign Public Officials in International Business Transactions and applicable local laws prohibiting bribery, kickbacks or other unlawful or improper means of obtaining business or commercial advantages, in each case ((a) and (b)), with respect to the Licensed Compounds or Licensed Products.</w:t>
      </w:r>
    </w:p>
    <w:p>
      <w:pPr>
        <w:spacing w:after="0" w:line="147" w:lineRule="exact"/>
        <w:rPr>
          <w:sz w:val="20"/>
          <w:szCs w:val="20"/>
          <w:color w:val="auto"/>
        </w:rPr>
      </w:pPr>
    </w:p>
    <w:p>
      <w:pPr>
        <w:jc w:val="both"/>
        <w:ind w:left="200" w:right="199" w:firstLine="1445"/>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11.2.18. </w:t>
      </w:r>
      <w:r>
        <w:rPr>
          <w:rFonts w:ascii="Times New Roman" w:cs="Times New Roman" w:eastAsia="Times New Roman" w:hAnsi="Times New Roman"/>
          <w:sz w:val="16"/>
          <w:szCs w:val="16"/>
          <w:color w:val="auto"/>
        </w:rPr>
        <w:t>Solely as of the Data Package Bring Down Date and the Option Effective Date, (a)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Data Package is complete in all material respects, (b) the Data Package has been prepared by employees of ACI who are qualified with appropriate skills, experience and expertise to accurately prepare such Information, and (c) if ACI has entered into any agreement with a Third Party in order to obtain a license or right under a Third Party Right pursuant to Section 9‎.7, (i) such agreement is in full force and effect and, by its terms, is sublicensable to Takeda as contemplated by this Agreement, (ii) the rights and obligations of the Parties hereunder are fully consistent with, and are not limited in any material respect by, such agreement and (iii) ACI has made available to Takeda a copy of any such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78" w:name="page79"/>
    <w:bookmarkEnd w:id="78"/>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11.3. Updated Disclosure Schedules. </w:t>
      </w:r>
      <w:r>
        <w:rPr>
          <w:rFonts w:ascii="Times New Roman" w:cs="Times New Roman" w:eastAsia="Times New Roman" w:hAnsi="Times New Roman"/>
          <w:sz w:val="18"/>
          <w:szCs w:val="18"/>
          <w:color w:val="auto"/>
        </w:rPr>
        <w:t>ACI shall provide to Takeda updated disclosure schedules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that no such updates are required) in respect of the representations and warranties made in Section 11‎.2, as follows:</w:t>
      </w:r>
    </w:p>
    <w:p>
      <w:pPr>
        <w:spacing w:after="0" w:line="143" w:lineRule="exact"/>
        <w:rPr>
          <w:sz w:val="20"/>
          <w:szCs w:val="20"/>
          <w:color w:val="auto"/>
        </w:rPr>
      </w:pPr>
    </w:p>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11.3.1. </w:t>
      </w:r>
      <w:r>
        <w:rPr>
          <w:rFonts w:ascii="Times New Roman" w:cs="Times New Roman" w:eastAsia="Times New Roman" w:hAnsi="Times New Roman"/>
          <w:sz w:val="18"/>
          <w:szCs w:val="18"/>
          <w:color w:val="auto"/>
        </w:rPr>
        <w:t>concurrently with ACI’s delivery to Takeda of the Data Package in accordance with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4‎.1.2, ACI shall provide to Takeda either (a) an updated </w:t>
      </w:r>
      <w:r>
        <w:rPr>
          <w:rFonts w:ascii="Times New Roman" w:cs="Times New Roman" w:eastAsia="Times New Roman" w:hAnsi="Times New Roman"/>
          <w:sz w:val="18"/>
          <w:szCs w:val="18"/>
          <w:b w:val="1"/>
          <w:bCs w:val="1"/>
          <w:color w:val="auto"/>
        </w:rPr>
        <w:t>Schedule 11‎.2.1</w:t>
      </w:r>
      <w:r>
        <w:rPr>
          <w:rFonts w:ascii="Times New Roman" w:cs="Times New Roman" w:eastAsia="Times New Roman" w:hAnsi="Times New Roman"/>
          <w:sz w:val="18"/>
          <w:szCs w:val="18"/>
          <w:color w:val="auto"/>
        </w:rPr>
        <w:t xml:space="preserve">, an updated </w:t>
      </w:r>
      <w:r>
        <w:rPr>
          <w:rFonts w:ascii="Times New Roman" w:cs="Times New Roman" w:eastAsia="Times New Roman" w:hAnsi="Times New Roman"/>
          <w:sz w:val="18"/>
          <w:szCs w:val="18"/>
          <w:b w:val="1"/>
          <w:bCs w:val="1"/>
          <w:color w:val="auto"/>
        </w:rPr>
        <w:t>Schedule 11‎.2.2</w:t>
      </w:r>
      <w:r>
        <w:rPr>
          <w:rFonts w:ascii="Times New Roman" w:cs="Times New Roman" w:eastAsia="Times New Roman" w:hAnsi="Times New Roman"/>
          <w:sz w:val="18"/>
          <w:szCs w:val="18"/>
          <w:color w:val="auto"/>
        </w:rPr>
        <w:t xml:space="preserve"> and a list of any exceptions to </w:t>
      </w:r>
      <w:r>
        <w:rPr>
          <w:rFonts w:ascii="Times New Roman" w:cs="Times New Roman" w:eastAsia="Times New Roman" w:hAnsi="Times New Roman"/>
          <w:sz w:val="18"/>
          <w:szCs w:val="18"/>
          <w:b w:val="1"/>
          <w:bCs w:val="1"/>
          <w:color w:val="auto"/>
        </w:rPr>
        <w:t>Schedule 11‎.2</w:t>
      </w:r>
      <w:r>
        <w:rPr>
          <w:rFonts w:ascii="Times New Roman" w:cs="Times New Roman" w:eastAsia="Times New Roman" w:hAnsi="Times New Roman"/>
          <w:sz w:val="18"/>
          <w:szCs w:val="18"/>
          <w:color w:val="auto"/>
        </w:rPr>
        <w:t xml:space="preserve"> (any such list of exceptions provided under this Section 11‎.3.1, the “</w:t>
      </w:r>
      <w:r>
        <w:rPr>
          <w:rFonts w:ascii="Times New Roman" w:cs="Times New Roman" w:eastAsia="Times New Roman" w:hAnsi="Times New Roman"/>
          <w:sz w:val="18"/>
          <w:szCs w:val="18"/>
          <w:b w:val="1"/>
          <w:bCs w:val="1"/>
          <w:color w:val="auto"/>
        </w:rPr>
        <w:t>Data Package Updated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Disclosure Schedule</w:t>
      </w:r>
      <w:r>
        <w:rPr>
          <w:rFonts w:ascii="Times New Roman" w:cs="Times New Roman" w:eastAsia="Times New Roman" w:hAnsi="Times New Roman"/>
          <w:sz w:val="18"/>
          <w:szCs w:val="18"/>
          <w:color w:val="auto"/>
        </w:rPr>
        <w:t>”); or (b) a written statement that no such updates are required and all such schedules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remain true and correct as of such date (the date that such updated schedules or such statement is provided, the “</w:t>
      </w:r>
      <w:r>
        <w:rPr>
          <w:rFonts w:ascii="Times New Roman" w:cs="Times New Roman" w:eastAsia="Times New Roman" w:hAnsi="Times New Roman"/>
          <w:sz w:val="18"/>
          <w:szCs w:val="18"/>
          <w:b w:val="1"/>
          <w:bCs w:val="1"/>
          <w:color w:val="auto"/>
        </w:rPr>
        <w:t>Data Package Bring Down Date</w:t>
      </w:r>
      <w:r>
        <w:rPr>
          <w:rFonts w:ascii="Times New Roman" w:cs="Times New Roman" w:eastAsia="Times New Roman" w:hAnsi="Times New Roman"/>
          <w:sz w:val="18"/>
          <w:szCs w:val="18"/>
          <w:color w:val="auto"/>
        </w:rPr>
        <w:t>”); and</w:t>
      </w:r>
    </w:p>
    <w:p>
      <w:pPr>
        <w:spacing w:after="0" w:line="146" w:lineRule="exact"/>
        <w:rPr>
          <w:sz w:val="20"/>
          <w:szCs w:val="20"/>
          <w:color w:val="auto"/>
        </w:rPr>
      </w:pPr>
    </w:p>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11.3.2. </w:t>
      </w:r>
      <w:r>
        <w:rPr>
          <w:rFonts w:ascii="Times New Roman" w:cs="Times New Roman" w:eastAsia="Times New Roman" w:hAnsi="Times New Roman"/>
          <w:sz w:val="18"/>
          <w:szCs w:val="18"/>
          <w:color w:val="auto"/>
        </w:rPr>
        <w:t>if Takeda provides an Exercise Notice within the Option Period, within [***] shall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Takeda either (x) an updated </w:t>
      </w:r>
      <w:r>
        <w:rPr>
          <w:rFonts w:ascii="Times New Roman" w:cs="Times New Roman" w:eastAsia="Times New Roman" w:hAnsi="Times New Roman"/>
          <w:sz w:val="18"/>
          <w:szCs w:val="18"/>
          <w:b w:val="1"/>
          <w:bCs w:val="1"/>
          <w:color w:val="auto"/>
        </w:rPr>
        <w:t>Schedule 11‎.2.1</w:t>
      </w:r>
      <w:r>
        <w:rPr>
          <w:rFonts w:ascii="Times New Roman" w:cs="Times New Roman" w:eastAsia="Times New Roman" w:hAnsi="Times New Roman"/>
          <w:sz w:val="18"/>
          <w:szCs w:val="18"/>
          <w:color w:val="auto"/>
        </w:rPr>
        <w:t xml:space="preserve">, an updated </w:t>
      </w:r>
      <w:r>
        <w:rPr>
          <w:rFonts w:ascii="Times New Roman" w:cs="Times New Roman" w:eastAsia="Times New Roman" w:hAnsi="Times New Roman"/>
          <w:sz w:val="18"/>
          <w:szCs w:val="18"/>
          <w:b w:val="1"/>
          <w:bCs w:val="1"/>
          <w:color w:val="auto"/>
        </w:rPr>
        <w:t>Schedule 11‎.2.2</w:t>
      </w:r>
      <w:r>
        <w:rPr>
          <w:rFonts w:ascii="Times New Roman" w:cs="Times New Roman" w:eastAsia="Times New Roman" w:hAnsi="Times New Roman"/>
          <w:sz w:val="18"/>
          <w:szCs w:val="18"/>
          <w:color w:val="auto"/>
        </w:rPr>
        <w:t xml:space="preserve"> and, solely with respect to the last two sentences of Section 11‎.2.2, Section 11‎.2.3, the last sentence of Section 11‎.2.6 and the last sentence of Section 11‎.2.10, a list of any exceptions to </w:t>
      </w:r>
      <w:r>
        <w:rPr>
          <w:rFonts w:ascii="Times New Roman" w:cs="Times New Roman" w:eastAsia="Times New Roman" w:hAnsi="Times New Roman"/>
          <w:sz w:val="18"/>
          <w:szCs w:val="18"/>
          <w:b w:val="1"/>
          <w:bCs w:val="1"/>
          <w:color w:val="auto"/>
        </w:rPr>
        <w:t>Schedule 11‎.2</w:t>
      </w:r>
      <w:r>
        <w:rPr>
          <w:rFonts w:ascii="Times New Roman" w:cs="Times New Roman" w:eastAsia="Times New Roman" w:hAnsi="Times New Roman"/>
          <w:sz w:val="18"/>
          <w:szCs w:val="18"/>
          <w:color w:val="auto"/>
        </w:rPr>
        <w:t xml:space="preserve"> (any such list of exceptions provided under this Section 11‎.3.2, a “</w:t>
      </w:r>
      <w:r>
        <w:rPr>
          <w:rFonts w:ascii="Times New Roman" w:cs="Times New Roman" w:eastAsia="Times New Roman" w:hAnsi="Times New Roman"/>
          <w:sz w:val="18"/>
          <w:szCs w:val="18"/>
          <w:b w:val="1"/>
          <w:bCs w:val="1"/>
          <w:color w:val="auto"/>
        </w:rPr>
        <w:t>Bring Down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Updated Disclosure Schedule</w:t>
      </w:r>
      <w:r>
        <w:rPr>
          <w:rFonts w:ascii="Times New Roman" w:cs="Times New Roman" w:eastAsia="Times New Roman" w:hAnsi="Times New Roman"/>
          <w:sz w:val="18"/>
          <w:szCs w:val="18"/>
          <w:color w:val="auto"/>
        </w:rPr>
        <w:t>”); or (y) a written statement that no such updates are required and all such schedules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remain true and correct as of such [***]</w:t>
      </w:r>
    </w:p>
    <w:p>
      <w:pPr>
        <w:spacing w:after="0" w:line="146" w:lineRule="exact"/>
        <w:rPr>
          <w:sz w:val="20"/>
          <w:szCs w:val="20"/>
          <w:color w:val="auto"/>
        </w:rPr>
      </w:pPr>
    </w:p>
    <w:p>
      <w:pPr>
        <w:jc w:val="both"/>
        <w:ind w:left="200" w:right="199"/>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any update in a Data Package Updated Disclosure Schedule or a Bring Down Updated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Schedule (as applicable) shall not be deemed to amend or supplement the Initial Disclosure Schedule as it exists as of the Effective Date or Data Package Updated Disclosure Schedule as it exists as of the Data Package Bring Down Date or prior to such amendment for any purposes hereunder, including for the purposes of the indemnification provisions under Section ‎12.2 (and therefore shall not cure any prior failure to disclose). For all representations and warranties for which ACI does not provide an updated schedule pursuant to clause (a) of Section ‎11.3.1 or clause (x) of Section ‎11.3.2 (as applicable), or if ACI fails to provide any updated schedules or such statement in clause (b) of Section ‎11.3.1 or clause (y) Section ‎11.3.2 (as applicable) within the time periods set forth in each such Section, ACI shall be deemed to have made the representations and warranties in Section ‎11.2 to Takeda as of the Data Package Bring Down Date and the Option Effective Date (as applicable) without additional qualification. For the avoidance of doubt, an exception made by ACI in a Data Package Updated Disclosure Schedule or a Bring Down Updated Disclosure Schedule (as applicable) shall not cure a deficiency in the Initial Disclosure Schedule or Data Package Updated Disclosure Schedule (as applicable). ACI acknowledges and agrees that any disclosure made in a Data Package Updated Disclosure Schedule or a Bring Down Updated Disclosure Schedule (as applicable) cannot cure a breach of any covenant or obligation of ACI hereunder, including Section ‎11.5, and no disclosure made in a Data Package Updated Disclosure Schedule or a Bring Down Updated Disclosure Schedule (as applicable) that relates to or reflects any such breach by ACI shall be deemed to qualify any representation or warranty hereunder.</w:t>
      </w:r>
    </w:p>
    <w:p>
      <w:pPr>
        <w:spacing w:after="0" w:line="152"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11.4. Anti-Bribery and Anti-Corruption Compliance. </w:t>
      </w:r>
      <w:r>
        <w:rPr>
          <w:rFonts w:ascii="Times New Roman" w:cs="Times New Roman" w:eastAsia="Times New Roman" w:hAnsi="Times New Roman"/>
          <w:sz w:val="18"/>
          <w:szCs w:val="18"/>
          <w:color w:val="auto"/>
        </w:rPr>
        <w:t>The Parties and its Affiliates have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undertake that they shall continue to update and maintain during the Term an internal compliance program under which each Party’s (or its Affiliates’) employees are required to comply with all Applicable Law, including applicable local and international anti-bribery and anti-corruption laws and regulations. Without limiting the foregoing, each Party shall, and shall</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79" w:name="page80"/>
    <w:bookmarkEnd w:id="79"/>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cause its Affiliates and its and their (sub)licensees/Sublicensees to, (a) not, directly or indirectly, give, offer or promise to give money or anything of value to any Government Official in an effort to influence any Government Official or any other Person in a corrupt or improper effort to obtain or retain business or any commercial advantage, such as a permit or license to do business and (b) materially comply with all Applicable Laws in connection with conducting its business operations, including the U.S. Foreign Corrupt Practices Act, laws implementing the Convention on Combating Bribery of Foreign Public Officials in International Business Transactions and local laws prohibiting bribery, kickbacks, or other unlawful or improper means of obtaining business or commercial advantages, in each case ((a) and (b)), with respect to the Licensed Compounds and Licensed Products.</w:t>
      </w:r>
    </w:p>
    <w:p>
      <w:pPr>
        <w:spacing w:after="0" w:line="148"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6"/>
          <w:szCs w:val="16"/>
          <w:b w:val="1"/>
          <w:bCs w:val="1"/>
          <w:color w:val="auto"/>
        </w:rPr>
        <w:t>Covenants.</w:t>
      </w:r>
    </w:p>
    <w:p>
      <w:pPr>
        <w:spacing w:after="0" w:line="165" w:lineRule="exact"/>
        <w:rPr>
          <w:sz w:val="20"/>
          <w:szCs w:val="20"/>
          <w:color w:val="auto"/>
        </w:rPr>
      </w:pPr>
    </w:p>
    <w:p>
      <w:pPr>
        <w:jc w:val="both"/>
        <w:ind w:left="200" w:right="219" w:firstLine="1576"/>
        <w:spacing w:after="0" w:line="317" w:lineRule="auto"/>
        <w:rPr>
          <w:sz w:val="20"/>
          <w:szCs w:val="20"/>
          <w:color w:val="auto"/>
        </w:rPr>
      </w:pPr>
      <w:r>
        <w:rPr>
          <w:rFonts w:ascii="Times New Roman" w:cs="Times New Roman" w:eastAsia="Times New Roman" w:hAnsi="Times New Roman"/>
          <w:sz w:val="16"/>
          <w:szCs w:val="16"/>
          <w:b w:val="1"/>
          <w:bCs w:val="1"/>
          <w:color w:val="auto"/>
        </w:rPr>
        <w:t xml:space="preserve">11.5.1. </w:t>
      </w:r>
      <w:r>
        <w:rPr>
          <w:rFonts w:ascii="Times New Roman" w:cs="Times New Roman" w:eastAsia="Times New Roman" w:hAnsi="Times New Roman"/>
          <w:sz w:val="16"/>
          <w:szCs w:val="16"/>
          <w:color w:val="auto"/>
        </w:rPr>
        <w:t>During the Term, neither ACI nor any of its Affiliates shall encumber or diminish the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granted (or to be granted as of the Option Effective Date) to Takeda hereunder with respect to the Licensed Patents.</w:t>
      </w:r>
    </w:p>
    <w:p>
      <w:pPr>
        <w:spacing w:after="0" w:line="83" w:lineRule="exact"/>
        <w:rPr>
          <w:sz w:val="20"/>
          <w:szCs w:val="20"/>
          <w:color w:val="auto"/>
        </w:rPr>
      </w:pPr>
    </w:p>
    <w:p>
      <w:pPr>
        <w:jc w:val="both"/>
        <w:ind w:left="200" w:right="199" w:firstLine="1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11.5.2. </w:t>
      </w:r>
      <w:r>
        <w:rPr>
          <w:rFonts w:ascii="Times New Roman" w:cs="Times New Roman" w:eastAsia="Times New Roman" w:hAnsi="Times New Roman"/>
          <w:sz w:val="16"/>
          <w:szCs w:val="16"/>
          <w:color w:val="auto"/>
        </w:rPr>
        <w:t>During the Option Period, neither Party shall, and shall cause its Affiliates not to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misappropriate any know-how of a Third Party or infringe any published or issued Patent (or, with respect to any Patent application, take any action that would constitute infringement if such application were to issue as a published Patent) or, to the extent known, or reasonably knowable, by such Party or any of its Affiliates, any other intellectual property rights of a Third Party, in each case, in connection with the Development or Manufacture of the Licensed Compounds and Licensed Products and (b) use any funds from the federal government of the United States or any agency thereof to fund, directly or indirectly, any Development or Manufacturing activities hereunder, in whole or in part.</w:t>
      </w:r>
    </w:p>
    <w:p>
      <w:pPr>
        <w:spacing w:after="0" w:line="127" w:lineRule="exact"/>
        <w:rPr>
          <w:sz w:val="20"/>
          <w:szCs w:val="20"/>
          <w:color w:val="auto"/>
        </w:rPr>
      </w:pPr>
    </w:p>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11.5.3. </w:t>
      </w:r>
      <w:r>
        <w:rPr>
          <w:rFonts w:ascii="Times New Roman" w:cs="Times New Roman" w:eastAsia="Times New Roman" w:hAnsi="Times New Roman"/>
          <w:sz w:val="18"/>
          <w:szCs w:val="18"/>
          <w:color w:val="auto"/>
        </w:rPr>
        <w:t>During the Term, each Party shall inform the other Party in writing promptly if it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who is performing or has performed services with respect to the Licensed Compounds or Licensed Products is debarred or is the subject of a conviction described in Section 306 of the FFDCA or if any action, suit, claim, investigation or legal or administrative proceeding is pending or, to such Party’s Knowledge, is threatened, relating to the debarment or conviction of it or any such Person performing (or who has performed) services with respect to the Licensed Compounds or Licensed Products.</w:t>
      </w:r>
    </w:p>
    <w:p>
      <w:pPr>
        <w:spacing w:after="0" w:line="146"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11.5.4. </w:t>
      </w:r>
      <w:r>
        <w:rPr>
          <w:rFonts w:ascii="Times New Roman" w:cs="Times New Roman" w:eastAsia="Times New Roman" w:hAnsi="Times New Roman"/>
          <w:sz w:val="18"/>
          <w:szCs w:val="18"/>
          <w:color w:val="auto"/>
        </w:rPr>
        <w:t>From the Effective Date until the Option Effective Date, ACI shall, and shall cause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to (a) refrain from taking any action or omitting to take any action that would have the effect of restricting or impairing the rights to be granted to Takeda hereunder or preventing either Party’s ability to perform its obligations under this Agreement, including (i) licensing, transferring or otherwise disposing of any Licensed Know-How or Licensed Patent or (ii) entering into, modifying, extending, renewing or amending any contract related to the Licensed Compounds or Licensed Products or the intellectual property rights granted hereunder in a manner that would materially limit or impair Takeda’s rights under this Agreement, (b) not commit any act or permit the occurrence of any omission that would cause any of the representations and warranties of ACI in Section 11‎.2 (as may be updated in accordance with and pursuant to Section 11‎.3) to be untrue as of the Option Effective Date and (c) promptly notify Takeda if it becomes aware that any of the representations or warranties in Section 11‎.2 are untrue.</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80" w:name="page81"/>
    <w:bookmarkEnd w:id="80"/>
    <w:p>
      <w:pPr>
        <w:jc w:val="both"/>
        <w:ind w:left="200" w:right="199" w:firstLine="1051"/>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11.6. DISCLAIMER OF WARRANTIES. </w:t>
      </w:r>
      <w:r>
        <w:rPr>
          <w:rFonts w:ascii="Times New Roman" w:cs="Times New Roman" w:eastAsia="Times New Roman" w:hAnsi="Times New Roman"/>
          <w:sz w:val="18"/>
          <w:szCs w:val="18"/>
          <w:color w:val="auto"/>
        </w:rPr>
        <w:t>EXCEPT FOR THE EXPRESS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SET FORTH HEREIN, NEITHER PARTY MAKES ANY REPRESENTATIONS OR GRANTS ANY REPRESENTATION AND WARRANTIES OF ANY KIND, EXPRESS OR IMPLIED, EITHER IN FACT OR BY OPERATION OF LAW, BY STATUTE OR OTHERWISE AND EACH PARTY SPECIFICALLY DISCLAIMS ANY OTHER REPRESENTATIONS AND WARRANTIES, WHETHER WRITTEN OR ORAL OR EXPRESS OR IMPLIED, INCLUDING ANY REPRESENTATION OR WARRANTY OF QUALITY, MERCHANTABILITY OR FITNESS FOR A PARTICULAR USE OR PURPOSE OR ANY REPRESENTATION OR WARRANTY AS TO THE VALIDITY OF ANY PATENTS OR THE NON-INFRINGEMENT OF ANY INTELLECTUAL PROPERTY RIGHTS OF THIRD PARTIES.</w:t>
      </w:r>
    </w:p>
    <w:p>
      <w:pPr>
        <w:spacing w:after="0" w:line="14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143" w:lineRule="exact"/>
        <w:rPr>
          <w:sz w:val="20"/>
          <w:szCs w:val="20"/>
          <w:color w:val="auto"/>
        </w:rPr>
      </w:pPr>
    </w:p>
    <w:p>
      <w:pPr>
        <w:jc w:val="both"/>
        <w:ind w:left="200" w:right="199" w:firstLine="1051"/>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12.1. Indemnification of ACI. </w:t>
      </w:r>
      <w:r>
        <w:rPr>
          <w:rFonts w:ascii="Times New Roman" w:cs="Times New Roman" w:eastAsia="Times New Roman" w:hAnsi="Times New Roman"/>
          <w:sz w:val="18"/>
          <w:szCs w:val="18"/>
          <w:color w:val="auto"/>
        </w:rPr>
        <w:t>Takeda shall indemnify ACI, its Affiliates and its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officers, employees and agents (“</w:t>
      </w:r>
      <w:r>
        <w:rPr>
          <w:rFonts w:ascii="Times New Roman" w:cs="Times New Roman" w:eastAsia="Times New Roman" w:hAnsi="Times New Roman"/>
          <w:sz w:val="18"/>
          <w:szCs w:val="18"/>
          <w:b w:val="1"/>
          <w:bCs w:val="1"/>
          <w:color w:val="auto"/>
        </w:rPr>
        <w:t>ACI Indemnitees</w:t>
      </w:r>
      <w:r>
        <w:rPr>
          <w:rFonts w:ascii="Times New Roman" w:cs="Times New Roman" w:eastAsia="Times New Roman" w:hAnsi="Times New Roman"/>
          <w:sz w:val="18"/>
          <w:szCs w:val="18"/>
          <w:color w:val="auto"/>
        </w:rPr>
        <w:t>”) and defend and save each of them harmless, from and against any and all losses, damages, liabilities, costs and expenses (including reasonable attorneys’ fees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in connection with any and all suits, investigations, claims or demands of Third Parties (collectively, “</w:t>
      </w:r>
      <w:r>
        <w:rPr>
          <w:rFonts w:ascii="Times New Roman" w:cs="Times New Roman" w:eastAsia="Times New Roman" w:hAnsi="Times New Roman"/>
          <w:sz w:val="18"/>
          <w:szCs w:val="18"/>
          <w:b w:val="1"/>
          <w:bCs w:val="1"/>
          <w:color w:val="auto"/>
        </w:rPr>
        <w:t>Third Party Claims</w:t>
      </w:r>
      <w:r>
        <w:rPr>
          <w:rFonts w:ascii="Times New Roman" w:cs="Times New Roman" w:eastAsia="Times New Roman" w:hAnsi="Times New Roman"/>
          <w:sz w:val="18"/>
          <w:szCs w:val="18"/>
          <w:color w:val="auto"/>
        </w:rPr>
        <w:t>”) arising from or occurring as a result [***], in each case ((a), (b) and (c)), to the extent that such Loss (x) in the case of Section 12‎.1(a) and Section 12‎.1(b), is based upon an action or omission for which ACI would have an obligation to indemnify a Takeda Indemnitee under Section 12‎.2(a) or Section 12‎.2(b) if such Loss were incurred by a Takeda Indemnitee, (y) in the case of Section 12‎.1(c), is based upon an action or omission for which ACI would have an obligation to indemnify a Takeda Indemnitee under Section 12‎.2 if such Loss were incurred by a Takeda Indemnitee, in each case ((x) and (y)), as to which Losses each Party shall indemnify the other to the extent of their respective liability or (z) arises from or occurs as a result of the negligence on the part of any ACI Indemnitee under this Agreement.</w:t>
      </w:r>
    </w:p>
    <w:p>
      <w:pPr>
        <w:spacing w:after="0" w:line="148" w:lineRule="exact"/>
        <w:rPr>
          <w:sz w:val="20"/>
          <w:szCs w:val="20"/>
          <w:color w:val="auto"/>
        </w:rPr>
      </w:pPr>
    </w:p>
    <w:p>
      <w:pPr>
        <w:jc w:val="both"/>
        <w:ind w:left="200" w:right="199" w:firstLine="105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12.2. Indemnification of Takeda. </w:t>
      </w:r>
      <w:r>
        <w:rPr>
          <w:rFonts w:ascii="Times New Roman" w:cs="Times New Roman" w:eastAsia="Times New Roman" w:hAnsi="Times New Roman"/>
          <w:sz w:val="16"/>
          <w:szCs w:val="16"/>
          <w:color w:val="auto"/>
        </w:rPr>
        <w:t>ACI shall indemnify Takeda, its Affiliates, its and their Sublicensees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distributors and its and their respective directors, officers, employees and agents (“</w:t>
      </w:r>
      <w:r>
        <w:rPr>
          <w:rFonts w:ascii="Times New Roman" w:cs="Times New Roman" w:eastAsia="Times New Roman" w:hAnsi="Times New Roman"/>
          <w:sz w:val="16"/>
          <w:szCs w:val="16"/>
          <w:b w:val="1"/>
          <w:bCs w:val="1"/>
          <w:color w:val="auto"/>
        </w:rPr>
        <w:t>Takeda Indemnitees</w:t>
      </w:r>
      <w:r>
        <w:rPr>
          <w:rFonts w:ascii="Times New Roman" w:cs="Times New Roman" w:eastAsia="Times New Roman" w:hAnsi="Times New Roman"/>
          <w:sz w:val="16"/>
          <w:szCs w:val="16"/>
          <w:color w:val="auto"/>
        </w:rPr>
        <w:t xml:space="preserve"> ”) and defend and save each of them harmless, from and against any and all Losses in connection with any and all Third Party Claims arising from or occurring as a result [***] except to the extent that such Loss, (x) in the case of Section 12‎.2(a) and Section 12‎.2(b), is based upon an action or omission for which Takeda would have an obligation to indemnify an ACI Indemnitee under Section 12‎.1(a) or Section 12‎.1(b) if such Loss were incurred by an ACI Indemnitee, and (y) in the case of Section 12‎.2(c), is based upon an action or omission for which Takeda would have an obligation to indemnify an ACI Indemnitee under Section 12‎.1 if such Loss were incurred by an ACI Indemnitee, in each case ((x) and (y)), as to which Losses each Party shall indemnify the other to the extent of their respective liability for the Losses, or (z) arises from or occurs as a result of the negligence on the part of any Takeda Indemnitee under this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81" w:name="page82"/>
    <w:bookmarkEnd w:id="81"/>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6"/>
          <w:szCs w:val="16"/>
          <w:b w:val="1"/>
          <w:bCs w:val="1"/>
          <w:color w:val="auto"/>
        </w:rPr>
        <w:t>Indemnification Procedures.</w:t>
      </w:r>
    </w:p>
    <w:p>
      <w:pPr>
        <w:spacing w:after="0" w:line="165"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12.3.1. Notice of Claim. </w:t>
      </w:r>
      <w:r>
        <w:rPr>
          <w:rFonts w:ascii="Times New Roman" w:cs="Times New Roman" w:eastAsia="Times New Roman" w:hAnsi="Times New Roman"/>
          <w:sz w:val="18"/>
          <w:szCs w:val="18"/>
          <w:color w:val="auto"/>
        </w:rPr>
        <w:t>All indemnification claims in respect of an ACI Indemnitee or Takeda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as applicable, shall be made solely by such Party to this Agreement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The Indemnified Party shall give the indemnifying Party written notice as soon as reasonably practicable (an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 Notice</w:t>
      </w:r>
      <w:r>
        <w:rPr>
          <w:rFonts w:ascii="Times New Roman" w:cs="Times New Roman" w:eastAsia="Times New Roman" w:hAnsi="Times New Roman"/>
          <w:sz w:val="18"/>
          <w:szCs w:val="18"/>
          <w:color w:val="auto"/>
        </w:rPr>
        <w:t>”) of any Losses or discovery of fact upon which such Indemnified Party intends to base a request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under this Article 12,‎ but in no event shall the indemnifying Party be liable for any Losses to the extent resulting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spacing w:after="0" w:line="147" w:lineRule="exact"/>
        <w:rPr>
          <w:sz w:val="20"/>
          <w:szCs w:val="20"/>
          <w:color w:val="auto"/>
        </w:rPr>
      </w:pPr>
    </w:p>
    <w:p>
      <w:pPr>
        <w:jc w:val="both"/>
        <w:ind w:left="200" w:right="199" w:firstLine="1576"/>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12.3.2. Control of Defense. </w:t>
      </w:r>
      <w:r>
        <w:rPr>
          <w:rFonts w:ascii="Times New Roman" w:cs="Times New Roman" w:eastAsia="Times New Roman" w:hAnsi="Times New Roman"/>
          <w:sz w:val="18"/>
          <w:szCs w:val="18"/>
          <w:color w:val="auto"/>
        </w:rPr>
        <w:t>Subject to the provisions of Section 9‎.4, Section 9‎.5 and Section 9‎.6,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option, the indemnifying Party may assume the defense of any Third Party Claim by giving written notice to the Indemnified Party within [***] after the indemnifying Party’s receipt of an Indemnification Claim Notice.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the defense of a Third Party Claim, except as provided in Section 12‎.3.3,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Losses incurred by the indemnifying Party in its defense of the Third Party Claim.</w:t>
      </w:r>
    </w:p>
    <w:p>
      <w:pPr>
        <w:spacing w:after="0" w:line="152"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12.3.3. Right to Participate in Defense. </w:t>
      </w:r>
      <w:r>
        <w:rPr>
          <w:rFonts w:ascii="Times New Roman" w:cs="Times New Roman" w:eastAsia="Times New Roman" w:hAnsi="Times New Roman"/>
          <w:sz w:val="18"/>
          <w:szCs w:val="18"/>
          <w:color w:val="auto"/>
        </w:rPr>
        <w:t>Without limiting Section 12‎.3.2, any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entitled to participate in, but not control (except as provided in Section 9‎.4, Section 9‎.5 and Section 9‎.6), the defense of such Third Party Claim and to employ counsel of its choice for such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employment shall be at the Indemnified Party’s own expense unless (a) the employment thereof, and the assumption by the indemnifying Party of such expense, has been specifically authorized by the indemnifying Party in writing, (b) the indemnifying Party has failed to assume the defense and employ counsel in accordance with Section 12‎.3.2 (in which case the Indemnified Party shall control the defense) or (c) the interests of the Indemnified Party and the indemnifying Party with respect to such Third Party Claim are sufficiently adverse to prohibit the representation by the same counsel of both Parties under Applicable Law, ethical rules or equitable principles. For clarity, if the Indemnified Party has the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82" w:name="page83"/>
    <w:bookmarkEnd w:id="82"/>
    <w:p>
      <w:pPr>
        <w:jc w:val="both"/>
        <w:ind w:left="200" w:right="219"/>
        <w:spacing w:after="0"/>
        <w:rPr>
          <w:sz w:val="20"/>
          <w:szCs w:val="20"/>
          <w:color w:val="auto"/>
        </w:rPr>
      </w:pPr>
      <w:r>
        <w:rPr>
          <w:rFonts w:ascii="Times New Roman" w:cs="Times New Roman" w:eastAsia="Times New Roman" w:hAnsi="Times New Roman"/>
          <w:sz w:val="18"/>
          <w:szCs w:val="18"/>
          <w:color w:val="auto"/>
        </w:rPr>
        <w:t>right to control the defense of a Third Party Claim pursuant to Section 9‎.4, Section 9‎.5 or Section 9‎.6, the Indemnified Party shall be entitled to control such Third Party Claim, without limiting the indemnifying Party’s responsibility for Losses under Section 12‎.1 or Section 12‎.2, as applicable.</w:t>
      </w:r>
    </w:p>
    <w:p>
      <w:pPr>
        <w:spacing w:after="0" w:line="143" w:lineRule="exact"/>
        <w:rPr>
          <w:sz w:val="20"/>
          <w:szCs w:val="20"/>
          <w:color w:val="auto"/>
        </w:rPr>
      </w:pPr>
    </w:p>
    <w:p>
      <w:pPr>
        <w:jc w:val="both"/>
        <w:ind w:left="200" w:right="199" w:firstLine="1576"/>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12.3.4. Settlement. </w:t>
      </w:r>
      <w:r>
        <w:rPr>
          <w:rFonts w:ascii="Times New Roman" w:cs="Times New Roman" w:eastAsia="Times New Roman" w:hAnsi="Times New Roman"/>
          <w:sz w:val="16"/>
          <w:szCs w:val="16"/>
          <w:color w:val="auto"/>
        </w:rPr>
        <w:t>With respect to any Losses relating solely to the payment of money damages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connection with a Third Party Claim and that shall not result in the Indemnified Party’s becoming subject to injunctive or other relief and as to which the indemnifying Party shall have acknowledged in writing the obligation to indemnify the Indemnified Party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 where the indemnifying Party has assumed the defense of the Third Party Claim in accordance with Section 12‎.3.2, the indemnifying Party shall have authority to consent to the entry of any judgment, enter into any settlement or otherwise dispose of such Loss;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it obtains the prior written consent of the Indemnified Party (which consent shall not be unreasonably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withheld, conditioned or delayed). If the indemnifying Party does not assume and conduct the defense of a Third Party Claim as provided above, the Indemnified Party may defend against such Third Party Claim. Without limiting the rights and obligations of the Parties under Article 9,‎ regardless of whether the indemnifying Party chooses to defend or prosecute any Third Party Claim, no Indemnified Party shall admit any liability with respect to, or settle, compromise or dispose of, any Third Party Claim without the prior written consent of the indemnifying Party. Except as provided in Article 9,‎ the indemnifying Party shall not be liable for any settlement, compromise or other disposition of a Loss by an Indemnified Party that is reached without the written consent of the indemnifying Party. For clarity, if a Third Party Claim, or the events giving rise to or resulting in such Third Party Claim, are subject to Article 9‎ and Section 12‎.1 or Section 12‎.2, then Article 9‎ shall apply with respect to the defense of such Third Party Claim and Section 12‎.1 or Section 12‎.2, as applicable, shall apply with respect to the allocation of financial responsibility for the related Losses.</w:t>
      </w:r>
    </w:p>
    <w:p>
      <w:pPr>
        <w:spacing w:after="0" w:line="330"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12.3.5. Cooperation. </w:t>
      </w:r>
      <w:r>
        <w:rPr>
          <w:rFonts w:ascii="Times New Roman" w:cs="Times New Roman" w:eastAsia="Times New Roman" w:hAnsi="Times New Roman"/>
          <w:sz w:val="18"/>
          <w:szCs w:val="18"/>
          <w:color w:val="auto"/>
        </w:rPr>
        <w:t>Regardless of whether the indemnifying Party chooses to defend or prosecute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Third Party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material provided hereunder and the indemnifying Party shall reimburse the Indemnified Party for all its reasonable and verifiable Out-of-Pocket Costs in connection therewith.</w:t>
      </w:r>
    </w:p>
    <w:p>
      <w:pPr>
        <w:spacing w:after="0" w:line="147"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12.4. Special, Indirect and Other Losses. </w:t>
      </w:r>
      <w:r>
        <w:rPr>
          <w:rFonts w:ascii="Times New Roman" w:cs="Times New Roman" w:eastAsia="Times New Roman" w:hAnsi="Times New Roman"/>
          <w:sz w:val="18"/>
          <w:szCs w:val="18"/>
          <w:color w:val="auto"/>
        </w:rPr>
        <w:t>EXCEPT [***] PARTY NOR ANY OF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OR THEIR SUBLICENSEES SHALL BE LIABLE FOR INDIRECT, INCIDENTAL, SPECIAL, EXEMPLARY, PUNITIVE OR CONSEQUENTIAL DAMAGES, HOWEVER CAUSED AND ON ANY THEORY OF LIABILITY, WHETHER IN CONTRACT, TORT, NEGLIGENCE, BREACH OF STATUTORY DUTY OR OTHERWISE IN CONNECTION WITH OR ARISING IN ANY WAY OUT OF THE TERMS OF THIS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83" w:name="page84"/>
    <w:bookmarkEnd w:id="83"/>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AGREEMENT OR THE TRANSACTIONS CONTEMPLATED HEREBY OR THE USE OF THE LICENSED COMPOUNDS OR LICENSED PRODUCTS, EVEN IF ADVISED OF THE POSSIBILITY OF SUCH DAMAGE.</w:t>
      </w:r>
    </w:p>
    <w:p>
      <w:pPr>
        <w:spacing w:after="0" w:line="132"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12.5. Insurance. </w:t>
      </w:r>
      <w:r>
        <w:rPr>
          <w:rFonts w:ascii="Times New Roman" w:cs="Times New Roman" w:eastAsia="Times New Roman" w:hAnsi="Times New Roman"/>
          <w:sz w:val="18"/>
          <w:szCs w:val="18"/>
          <w:color w:val="auto"/>
        </w:rPr>
        <w:t>Each Party shall have and maintain such types and amounts of insurance covering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Exploitation of the Licensed Compounds and Licensed Products as is (a) normal and customary in the biopharmaceutical industry generally for parties similarly situated and (b) otherwise required by Applicable Law, but in each case ((a) and (b)), not less than:</w:t>
      </w:r>
    </w:p>
    <w:p>
      <w:pPr>
        <w:spacing w:after="0" w:line="1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 xml:space="preserve">12.5.1. </w:t>
      </w:r>
      <w:r>
        <w:rPr>
          <w:rFonts w:ascii="Times New Roman" w:cs="Times New Roman" w:eastAsia="Times New Roman" w:hAnsi="Times New Roman"/>
          <w:sz w:val="16"/>
          <w:szCs w:val="16"/>
          <w:color w:val="auto"/>
        </w:rPr>
        <w:t>Workers Compensation or Employers Liability to limits required by local law or jurisdiction;</w:t>
      </w:r>
    </w:p>
    <w:p>
      <w:pPr>
        <w:spacing w:after="0" w:line="18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12.5.2. </w:t>
      </w:r>
      <w:r>
        <w:rPr>
          <w:rFonts w:ascii="Times New Roman" w:cs="Times New Roman" w:eastAsia="Times New Roman" w:hAnsi="Times New Roman"/>
          <w:sz w:val="18"/>
          <w:szCs w:val="18"/>
          <w:color w:val="auto"/>
        </w:rPr>
        <w:t>General liability insurance in [***]; and</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12.5.3. </w:t>
      </w:r>
      <w:r>
        <w:rPr>
          <w:rFonts w:ascii="Times New Roman" w:cs="Times New Roman" w:eastAsia="Times New Roman" w:hAnsi="Times New Roman"/>
          <w:sz w:val="18"/>
          <w:szCs w:val="18"/>
          <w:color w:val="auto"/>
        </w:rPr>
        <w:t>Clinical studies insurance to limits required under Applicable Law.</w:t>
      </w:r>
    </w:p>
    <w:p>
      <w:pPr>
        <w:spacing w:after="0" w:line="167" w:lineRule="exact"/>
        <w:rPr>
          <w:sz w:val="20"/>
          <w:szCs w:val="20"/>
          <w:color w:val="auto"/>
        </w:rPr>
      </w:pPr>
    </w:p>
    <w:p>
      <w:pPr>
        <w:jc w:val="both"/>
        <w:ind w:left="200" w:right="199"/>
        <w:spacing w:after="0" w:line="233" w:lineRule="auto"/>
        <w:rPr>
          <w:sz w:val="20"/>
          <w:szCs w:val="20"/>
          <w:color w:val="auto"/>
        </w:rPr>
      </w:pPr>
      <w:r>
        <w:rPr>
          <w:rFonts w:ascii="Times New Roman" w:cs="Times New Roman" w:eastAsia="Times New Roman" w:hAnsi="Times New Roman"/>
          <w:sz w:val="18"/>
          <w:szCs w:val="18"/>
          <w:color w:val="auto"/>
        </w:rPr>
        <w:t>All insurances maintained by a Party as required hereunder will be provided by a company having a financial rating of not less than A-Viii in the most current edition of Best’s Key Rating Guide. Upon request by a Party, each Party shall provide to the requesting Party evidence of its insurance coverage. Each Party will provide a minimum of [***] notice of any cancellation, with no replacement policy, to the other Party. The insurance policies shall be under an occurrence form, but if only a claims-made form is available to a Party, then such Party shall continue to maintain such insurance after the expiration or termination of this Agreement in its entirety for a period of [***] the foregoing, Takeda may self-insure in whole or in part the insurance requirements described above.</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143"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13.1. Term and Expiration. </w:t>
      </w:r>
      <w:r>
        <w:rPr>
          <w:rFonts w:ascii="Times New Roman" w:cs="Times New Roman" w:eastAsia="Times New Roman" w:hAnsi="Times New Roman"/>
          <w:sz w:val="18"/>
          <w:szCs w:val="18"/>
          <w:color w:val="auto"/>
        </w:rPr>
        <w:t>This Agreement shall commence on the Effective Date and, unless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in accordance with Section ‎13.2 (including any automatic termination of this Agreement pursuant to Section ‎4.4 and Section ‎13.2.2), shall continue in force and effect until the date of expiration of the last Royalty Term for the last Licensed Product (such period,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(it being understood that, notwithstanding the foregoing, certain rights and obligations of the Parties contained herein that expressly commence upon the Option Effective Date shall commence thereon and not be effective unless and until the Option Effective Date occurs). Upon the expiration of the Term as set forth in this Section ‎13.1, the Exclusive License shall become fully-paid, royalty-free, perpetual and irrevocable in its entirety.</w:t>
      </w:r>
    </w:p>
    <w:p>
      <w:pPr>
        <w:spacing w:after="0" w:line="144"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6"/>
          <w:szCs w:val="16"/>
          <w:b w:val="1"/>
          <w:bCs w:val="1"/>
          <w:color w:val="auto"/>
        </w:rPr>
        <w:t>Termination.</w:t>
      </w:r>
    </w:p>
    <w:p>
      <w:pPr>
        <w:spacing w:after="0" w:line="165" w:lineRule="exact"/>
        <w:rPr>
          <w:sz w:val="20"/>
          <w:szCs w:val="20"/>
          <w:color w:val="auto"/>
        </w:rPr>
      </w:pPr>
    </w:p>
    <w:p>
      <w:pPr>
        <w:jc w:val="both"/>
        <w:ind w:left="200" w:right="199" w:firstLine="1576"/>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13.2.1. Termination for Material Breach. </w:t>
      </w:r>
      <w:r>
        <w:rPr>
          <w:rFonts w:ascii="Times New Roman" w:cs="Times New Roman" w:eastAsia="Times New Roman" w:hAnsi="Times New Roman"/>
          <w:sz w:val="16"/>
          <w:szCs w:val="16"/>
          <w:color w:val="auto"/>
        </w:rPr>
        <w:t>In the event that either Party (the “</w:t>
      </w:r>
      <w:r>
        <w:rPr>
          <w:rFonts w:ascii="Times New Roman" w:cs="Times New Roman" w:eastAsia="Times New Roman" w:hAnsi="Times New Roman"/>
          <w:sz w:val="16"/>
          <w:szCs w:val="16"/>
          <w:b w:val="1"/>
          <w:bCs w:val="1"/>
          <w:color w:val="auto"/>
        </w:rPr>
        <w:t>Breaching Party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materially breaches any of its material obligations under this Agreement, in addition to any other right and remedy the other Party (the “</w:t>
      </w:r>
      <w:r>
        <w:rPr>
          <w:rFonts w:ascii="Times New Roman" w:cs="Times New Roman" w:eastAsia="Times New Roman" w:hAnsi="Times New Roman"/>
          <w:sz w:val="16"/>
          <w:szCs w:val="16"/>
          <w:b w:val="1"/>
          <w:bCs w:val="1"/>
          <w:color w:val="auto"/>
        </w:rPr>
        <w:t>Non-Breaching Party</w:t>
      </w:r>
      <w:r>
        <w:rPr>
          <w:rFonts w:ascii="Times New Roman" w:cs="Times New Roman" w:eastAsia="Times New Roman" w:hAnsi="Times New Roman"/>
          <w:sz w:val="16"/>
          <w:szCs w:val="16"/>
          <w:color w:val="auto"/>
        </w:rPr>
        <w:t>”) may have, the Non-Breaching Party may terminate this Agreement by providing</w:t>
      </w:r>
    </w:p>
    <w:p>
      <w:pPr>
        <w:spacing w:after="0" w:line="1" w:lineRule="exact"/>
        <w:rPr>
          <w:sz w:val="20"/>
          <w:szCs w:val="20"/>
          <w:color w:val="auto"/>
        </w:rPr>
      </w:pPr>
    </w:p>
    <w:p>
      <w:pPr>
        <w:ind w:left="4420" w:right="3159" w:hanging="4227"/>
        <w:spacing w:after="0" w:line="546" w:lineRule="auto"/>
        <w:tabs>
          <w:tab w:leader="none" w:pos="6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specifying the breach and its claim of right to terminate;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251460</wp:posOffset>
            </wp:positionV>
            <wp:extent cx="547624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84" w:name="page85"/>
    <w:bookmarkEnd w:id="84"/>
    <w:p>
      <w:pPr>
        <w:ind w:left="2820" w:hanging="525"/>
        <w:spacing w:after="0"/>
        <w:tabs>
          <w:tab w:leader="none" w:pos="2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material breach involves a failure to make a payment when</w:t>
      </w:r>
    </w:p>
    <w:p>
      <w:pPr>
        <w:spacing w:after="0" w:line="10"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the Notice Period shall be [***] after the Termination Notice is given to the Breaching Party;</w:t>
      </w:r>
    </w:p>
    <w:p>
      <w:pPr>
        <w:spacing w:after="0" w:line="145" w:lineRule="exact"/>
        <w:rPr>
          <w:rFonts w:ascii="Times New Roman" w:cs="Times New Roman" w:eastAsia="Times New Roman" w:hAnsi="Times New Roman"/>
          <w:sz w:val="18"/>
          <w:szCs w:val="18"/>
          <w:color w:val="auto"/>
        </w:rPr>
      </w:pPr>
    </w:p>
    <w:p>
      <w:pPr>
        <w:jc w:val="both"/>
        <w:ind w:left="200" w:right="199" w:firstLine="2095"/>
        <w:spacing w:after="0" w:line="271" w:lineRule="auto"/>
        <w:tabs>
          <w:tab w:leader="none" w:pos="282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shall not become effective at the end of the Notice Period if the Breaching Party cures the breach specified in the Termination Notice during the Notice Period (or, other than any material breach involving a failure to make a payment when due, if such breach cannot be cured within the Notice Period, if the Breaching Party commences actions to cure such breach within the Notice Period and diligently continues such actions, such termination shall not become effective for so long as the Breaching Party diligently continues such actions);</w:t>
      </w:r>
    </w:p>
    <w:p>
      <w:pPr>
        <w:spacing w:after="0" w:line="121" w:lineRule="exact"/>
        <w:rPr>
          <w:rFonts w:ascii="Times New Roman" w:cs="Times New Roman" w:eastAsia="Times New Roman" w:hAnsi="Times New Roman"/>
          <w:sz w:val="16"/>
          <w:szCs w:val="16"/>
          <w:color w:val="auto"/>
        </w:rPr>
      </w:pPr>
    </w:p>
    <w:p>
      <w:pPr>
        <w:jc w:val="both"/>
        <w:ind w:left="200" w:right="199" w:firstLine="2095"/>
        <w:spacing w:after="0" w:line="234" w:lineRule="auto"/>
        <w:tabs>
          <w:tab w:leader="none" w:pos="28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alleged breach by Takeda of its diligence obligations set forth in Section 7‎.4, ACI shall first provide written notice to Takeda and the Parties shall meet within [***] after delivery of such notice to Takeda to discuss in good faith such alleged breach and Takeda’s Development and Commercialization plans with respect to the applicable Licensed Product(s), which discussions shall be concluded before ACI may issue any Termination Notice with respect to such alleged breach (for clarity, the Notice Period shall not commence prior to the conclusion of such good faith discussions and the subsequent issuance of a Termination Notice by ACI); and</w:t>
      </w:r>
    </w:p>
    <w:p>
      <w:pPr>
        <w:spacing w:after="0" w:line="146" w:lineRule="exact"/>
        <w:rPr>
          <w:rFonts w:ascii="Times New Roman" w:cs="Times New Roman" w:eastAsia="Times New Roman" w:hAnsi="Times New Roman"/>
          <w:sz w:val="18"/>
          <w:szCs w:val="18"/>
          <w:color w:val="auto"/>
        </w:rPr>
      </w:pPr>
    </w:p>
    <w:p>
      <w:pPr>
        <w:jc w:val="both"/>
        <w:ind w:left="200" w:right="199" w:firstLine="2095"/>
        <w:spacing w:after="0" w:line="266" w:lineRule="auto"/>
        <w:tabs>
          <w:tab w:leader="none" w:pos="282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either Party initiates a dispute resolution procedure under Section 14‎.5.1 as permitted under this Agreement during the Notice Period to resolve the dispute for which termination is being sought and is pursuing such procedure in good faith, the Notice Period set forth in this Section 13‎.2.1 shall be suspended and the termination shall become effective only if such breach remains uncured for [***] after the final resolution of the dispute through such dispute resolution procedure (or, if the breach cannot be cured within such [***] period, if the Breaching Party commences actions to cure such breach within such period and thereafter diligently continues such actions, such termination shall not become effective for so long as the Breaching Party diligently continues such actions).</w:t>
      </w:r>
    </w:p>
    <w:p>
      <w:pPr>
        <w:spacing w:after="0" w:line="127" w:lineRule="exact"/>
        <w:rPr>
          <w:sz w:val="20"/>
          <w:szCs w:val="20"/>
          <w:color w:val="auto"/>
        </w:rPr>
      </w:pPr>
    </w:p>
    <w:p>
      <w:pPr>
        <w:jc w:val="both"/>
        <w:ind w:left="200" w:right="199"/>
        <w:spacing w:after="0" w:line="252" w:lineRule="auto"/>
        <w:rPr>
          <w:sz w:val="20"/>
          <w:szCs w:val="20"/>
          <w:color w:val="auto"/>
        </w:rPr>
      </w:pPr>
      <w:r>
        <w:rPr>
          <w:rFonts w:ascii="Times New Roman" w:cs="Times New Roman" w:eastAsia="Times New Roman" w:hAnsi="Times New Roman"/>
          <w:sz w:val="18"/>
          <w:szCs w:val="18"/>
          <w:color w:val="auto"/>
        </w:rPr>
        <w:t>It is understood that termination pursuant to this Section 13‎.2.1 shall be a remedy of last resort and may be invoked only in the case where the breach cannot be reasonably remedied by the payment of money damages.</w:t>
      </w:r>
    </w:p>
    <w:p>
      <w:pPr>
        <w:spacing w:after="0" w:line="1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13.2.2. Termination by [***]</w:t>
      </w:r>
    </w:p>
    <w:p>
      <w:pPr>
        <w:spacing w:after="0" w:line="165" w:lineRule="exact"/>
        <w:rPr>
          <w:sz w:val="20"/>
          <w:szCs w:val="20"/>
          <w:color w:val="auto"/>
        </w:rPr>
      </w:pPr>
    </w:p>
    <w:p>
      <w:pPr>
        <w:jc w:val="both"/>
        <w:ind w:left="200" w:right="199" w:firstLine="157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13.2.3. Termination for Insolvency. </w:t>
      </w:r>
      <w:r>
        <w:rPr>
          <w:rFonts w:ascii="Times New Roman" w:cs="Times New Roman" w:eastAsia="Times New Roman" w:hAnsi="Times New Roman"/>
          <w:sz w:val="16"/>
          <w:szCs w:val="16"/>
          <w:color w:val="auto"/>
        </w:rPr>
        <w:t>In the event that either Party (a) files for protection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bankruptcy or insolvency laws, (b) makes an assignment for the benefit of creditors, (c) appoints or suffers appointment of a receiver or trustee over substantially all of its property that is not discharged within [***] after such filing, (d) proposes a written agreement of composition or extension of its debts, (e) proposes or is a party to any dissolution or liquidation, (f) files a petition under any bankruptcy or insolvency act or has any such petition filed against it that is not discharged within</w:t>
      </w:r>
    </w:p>
    <w:p>
      <w:pPr>
        <w:spacing w:after="0" w:line="3" w:lineRule="exact"/>
        <w:rPr>
          <w:sz w:val="20"/>
          <w:szCs w:val="20"/>
          <w:color w:val="auto"/>
        </w:rPr>
      </w:pPr>
    </w:p>
    <w:p>
      <w:pPr>
        <w:jc w:val="both"/>
        <w:ind w:left="200" w:right="199" w:hanging="7"/>
        <w:spacing w:after="0" w:line="232"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filing or (g) admits in writing its inability generally to meet its obligations as they fall due in the general course, then the other Party may terminate this Agreement in its entirety effective immediately upon written notice to such Party.</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85" w:name="page86"/>
    <w:bookmarkEnd w:id="85"/>
    <w:p>
      <w:pPr>
        <w:jc w:val="both"/>
        <w:ind w:left="200" w:right="199" w:firstLine="1576"/>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13.2.4. Termination for Failure or Delay to Obtain Antitrust Clearance. </w:t>
      </w:r>
      <w:r>
        <w:rPr>
          <w:rFonts w:ascii="Times New Roman" w:cs="Times New Roman" w:eastAsia="Times New Roman" w:hAnsi="Times New Roman"/>
          <w:sz w:val="18"/>
          <w:szCs w:val="18"/>
          <w:color w:val="auto"/>
        </w:rPr>
        <w:t>If an Antitrust Filing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pursuant to Section 4‎.2.2, this Agreement shall terminate upon written notice given by Takeda to ACI if (a) Takeda receives a second request with respect to an Antitrust Filing with respect to the activities and licenses contemplated under this Agreement and Takeda delivers written notice of termination within [***] after receipt of such second request; or (b) Antitrust Clearance has not been obtained within [***] after the date on which the last Antitrust Filing is made and Takeda delivers written notice of termination within [***] the end of such [***] period.</w:t>
      </w:r>
    </w:p>
    <w:p>
      <w:pPr>
        <w:spacing w:after="0" w:line="146"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13.3. Rights in Bankruptcy. </w:t>
      </w:r>
      <w:r>
        <w:rPr>
          <w:rFonts w:ascii="Times New Roman" w:cs="Times New Roman" w:eastAsia="Times New Roman" w:hAnsi="Times New Roman"/>
          <w:sz w:val="18"/>
          <w:szCs w:val="18"/>
          <w:color w:val="auto"/>
        </w:rPr>
        <w:t>The Parties intend to take advantage of the protections of Section 365(n)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successor provision) of the U.S. Bankruptcy Code or any analogous provisions in any other country or jurisdiction to the maximum extent permitted by Applicable Law. All rights and licenses granted under or pursuant to this Agreement, but only to the extent they constitute licenses of a right to “intellectual property” as defined in Section 101 of the U.S. Bankruptcy Code, shall be deemed to be “intellectual property” for the purposes of Section 365(n) or any analogous provisions in any other country or jurisdiction. Each Party shall retain and may fully exercise all of its rights and elections under the U.S. Bankruptcy Code or any analogous provisions in any other country or jurisdiction, including the right to obtain the intellectual property from another entity.</w:t>
      </w:r>
    </w:p>
    <w:p>
      <w:pPr>
        <w:spacing w:after="0" w:line="144" w:lineRule="exact"/>
        <w:rPr>
          <w:sz w:val="20"/>
          <w:szCs w:val="20"/>
          <w:color w:val="auto"/>
        </w:rPr>
      </w:pPr>
    </w:p>
    <w:p>
      <w:pPr>
        <w:jc w:val="both"/>
        <w:ind w:left="200" w:right="199" w:firstLine="1576"/>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13.3.1. </w:t>
      </w:r>
      <w:r>
        <w:rPr>
          <w:rFonts w:ascii="Times New Roman" w:cs="Times New Roman" w:eastAsia="Times New Roman" w:hAnsi="Times New Roman"/>
          <w:sz w:val="16"/>
          <w:szCs w:val="16"/>
          <w:color w:val="auto"/>
        </w:rPr>
        <w:t>Each Party will, during the Term, create and maintain current and updated copies or, if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amenable to copying, detailed descriptions or other appropriate embodiments, to the extent feasible, of all intellectual property licensed to the other Party under this Agreement. Each Party acknowledges and agrees that “embodiments” of intellectual property within the meaning of Section 365(n) include (a) copies of research data; (b) laboratory samples;</w:t>
      </w:r>
    </w:p>
    <w:p>
      <w:pPr>
        <w:jc w:val="both"/>
        <w:ind w:left="200" w:right="199" w:hanging="7"/>
        <w:spacing w:after="0" w:line="229" w:lineRule="auto"/>
        <w:tabs>
          <w:tab w:leader="none" w:pos="4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samples and inventory; (d) formulas; (e) laboratory notes and notebooks; (f) data and results related to clinical trials; (g) Regulatory Documentation (including Regulatory Approvals); (h) rights of reference in respect of Regulatory Documentation (including Regulatory Approvals); (i) pre-clinical research data and results; (j) tangible Information (including Licensed Know-How and Joint Know-How); and (k) marketing, advertising and promotional materials that relate to such intellectual property. Upon the occurrence of an Insolvency Event by or against either Party, the other Party shall be entitled to a complete duplicate of (or complete access to, as appropriate) all such intellectual property (including all embodiments of such intellectual property), which, if not already in such Party’s possession, shall be promptly delivered to it upon such Party’s written request (x) upon commencement of a bankruptcy proceeding, unless the Party experiencing the Insolvency Event continues to perform all of its obligations under this Agreement, or (y) if not delivered pursuant to clause (x) above because the Party experiencing the Insolvency Event continues to perform, upon the rejection of this Agreement by or on behalf of such Party. Unless and until the Party experiencing the Insolvency Event rejects this Agreement, such Party shall perform all of its obligations under this Agreement or provide the intellectual property (including all embodiments of such intellectual property) to the other Party, and shall not interfere with the rights of the other Party to intellectual property as set forth in this Section 13‎.3, including the right to obtain the intellectual property from another entity.</w:t>
      </w:r>
    </w:p>
    <w:p>
      <w:pPr>
        <w:spacing w:after="0" w:line="146"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13.3.2. </w:t>
      </w:r>
      <w:r>
        <w:rPr>
          <w:rFonts w:ascii="Times New Roman" w:cs="Times New Roman" w:eastAsia="Times New Roman" w:hAnsi="Times New Roman"/>
          <w:sz w:val="18"/>
          <w:szCs w:val="18"/>
          <w:color w:val="auto"/>
        </w:rPr>
        <w:t>The Parties intend and agree that any sale of either Party’s assets under Section 363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Code shall be subject to the other Party’s rights under Section 365(n), that the other Party cannot be compelled to accept a money satisfaction of its interests in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86" w:name="page87"/>
    <w:bookmarkEnd w:id="86"/>
    <w:p>
      <w:pPr>
        <w:jc w:val="both"/>
        <w:ind w:left="200" w:right="199"/>
        <w:spacing w:after="0"/>
        <w:rPr>
          <w:sz w:val="20"/>
          <w:szCs w:val="20"/>
          <w:color w:val="auto"/>
        </w:rPr>
      </w:pPr>
      <w:r>
        <w:rPr>
          <w:rFonts w:ascii="Times New Roman" w:cs="Times New Roman" w:eastAsia="Times New Roman" w:hAnsi="Times New Roman"/>
          <w:sz w:val="18"/>
          <w:szCs w:val="18"/>
          <w:color w:val="auto"/>
        </w:rPr>
        <w:t>the intellectual property licensed pursuant to this Agreement, and that any such sale therefore may not be made to a purchaser “free and clear” of the other Party’s rights under this Agreement and Section 365(n) without the express, contemporaneous written consent of the other Party.</w:t>
      </w:r>
    </w:p>
    <w:p>
      <w:pPr>
        <w:spacing w:after="0" w:line="143"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13.3.3. </w:t>
      </w:r>
      <w:r>
        <w:rPr>
          <w:rFonts w:ascii="Times New Roman" w:cs="Times New Roman" w:eastAsia="Times New Roman" w:hAnsi="Times New Roman"/>
          <w:sz w:val="18"/>
          <w:szCs w:val="18"/>
          <w:color w:val="auto"/>
        </w:rPr>
        <w:t>All rights, powers and remedies each Party provided in this Section 13‎.3 are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substitution for any other rights, powers and remedies now or hereafter existing at law or in equity (including the U.S. Bankruptcy Code). The Parties intend the following rights to extend to the maximum extent permitted by Applicable Law, and to be enforceable under U.S. Bankruptcy Code Section 365(n):</w:t>
      </w:r>
    </w:p>
    <w:p>
      <w:pPr>
        <w:spacing w:after="0" w:line="148" w:lineRule="exact"/>
        <w:rPr>
          <w:sz w:val="20"/>
          <w:szCs w:val="20"/>
          <w:color w:val="auto"/>
        </w:rPr>
      </w:pPr>
    </w:p>
    <w:p>
      <w:pPr>
        <w:jc w:val="both"/>
        <w:ind w:left="200" w:right="199" w:firstLine="2095"/>
        <w:spacing w:after="0" w:line="235" w:lineRule="auto"/>
        <w:tabs>
          <w:tab w:leader="none" w:pos="28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access to any intellectual property rights (including all embodiments thereof) of the Party experiencing the Insolvency Event, or any Third Party with whom such Party contracts to perform an obligation of such Party under this Agreement, and, in the case of any such Third Party, that is necessary or reasonably useful for the Exploitation of any Licensed Compounds or Licensed Products or the exercise of any other rights granted to the other Party under this Agreement;</w:t>
      </w:r>
    </w:p>
    <w:p>
      <w:pPr>
        <w:spacing w:after="0" w:line="146"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contract directly with any Third Party to complete the contracted work;</w:t>
      </w:r>
    </w:p>
    <w:p>
      <w:pPr>
        <w:spacing w:after="0" w:line="10"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45" w:lineRule="exact"/>
        <w:rPr>
          <w:rFonts w:ascii="Times New Roman" w:cs="Times New Roman" w:eastAsia="Times New Roman" w:hAnsi="Times New Roman"/>
          <w:sz w:val="18"/>
          <w:szCs w:val="18"/>
          <w:color w:val="auto"/>
        </w:rPr>
      </w:pPr>
    </w:p>
    <w:p>
      <w:pPr>
        <w:ind w:left="200" w:right="219" w:firstLine="2095"/>
        <w:spacing w:after="0" w:line="252" w:lineRule="auto"/>
        <w:tabs>
          <w:tab w:leader="none" w:pos="28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cure any default under any such agreement with a Third Party and set off the costs thereof against amounts payable to the other Party under this Agreement.</w:t>
      </w:r>
    </w:p>
    <w:p>
      <w:pPr>
        <w:spacing w:after="0" w:line="132"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13.4. Consequences of Termination Prior to Option Effective Date. </w:t>
      </w:r>
      <w:r>
        <w:rPr>
          <w:rFonts w:ascii="Times New Roman" w:cs="Times New Roman" w:eastAsia="Times New Roman" w:hAnsi="Times New Roman"/>
          <w:sz w:val="18"/>
          <w:szCs w:val="18"/>
          <w:color w:val="auto"/>
        </w:rPr>
        <w:t>In the event of any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prior to the Option Effective Date by a Party pursuant to Section 13‎.2, all rights and licenses granted by one Party to the other Party shall immediately terminate (it being understood that all rights and licenses granted to Takeda hereunder shall immediately revert to ACI);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9‎.1.3 shall survive.</w:t>
      </w:r>
    </w:p>
    <w:p>
      <w:pPr>
        <w:spacing w:after="0" w:line="14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6"/>
          <w:szCs w:val="16"/>
          <w:b w:val="1"/>
          <w:bCs w:val="1"/>
          <w:color w:val="auto"/>
        </w:rPr>
        <w:t>Consequences of Termination After Option Effective Date.</w:t>
      </w:r>
    </w:p>
    <w:p>
      <w:pPr>
        <w:spacing w:after="0" w:line="165"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13.5.1. Termination in its Entirety. </w:t>
      </w:r>
      <w:r>
        <w:rPr>
          <w:rFonts w:ascii="Times New Roman" w:cs="Times New Roman" w:eastAsia="Times New Roman" w:hAnsi="Times New Roman"/>
          <w:sz w:val="18"/>
          <w:szCs w:val="18"/>
          <w:color w:val="auto"/>
        </w:rPr>
        <w:t>In the event of a termination of this Agreement in its 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Party after the Option Effective Date pursuant to Section 13‎.2 (but, for clarity, not if this Agreement expires pursuant to Section 13‎.1 or if this Agreement is terminated prior to the Option Effective Date), subject to Section 13‎.5.2, the following shall apply:</w:t>
      </w:r>
    </w:p>
    <w:p>
      <w:pPr>
        <w:spacing w:after="0" w:line="148" w:lineRule="exact"/>
        <w:rPr>
          <w:sz w:val="20"/>
          <w:szCs w:val="20"/>
          <w:color w:val="auto"/>
        </w:rPr>
      </w:pPr>
    </w:p>
    <w:p>
      <w:pPr>
        <w:jc w:val="both"/>
        <w:ind w:left="200" w:right="199" w:firstLine="2095"/>
        <w:spacing w:after="0" w:line="268" w:lineRule="auto"/>
        <w:tabs>
          <w:tab w:leader="none" w:pos="282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shall use good faith efforts to negotiate and enter into a termination transition plan to wind-down, cease and, except in connection with a termination by Takeda pursuant to Section 13‎.2.2(a), transition to ACI any ongoing clinical Development and Commercialization activities with respect to any terminated Licensed Product(s) in any terminated country(ies) in accordance with appropriate professional and ethical standards and Applicable Law. Each Party shall bear its own costs and expenses in connection with the foregoing transition and wind-down and otherwise incurred in the performance of activities under this Section 13‎.5;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t>
      </w:r>
    </w:p>
    <w:p>
      <w:pPr>
        <w:spacing w:after="0" w:line="124" w:lineRule="exact"/>
        <w:rPr>
          <w:rFonts w:ascii="Times New Roman" w:cs="Times New Roman" w:eastAsia="Times New Roman" w:hAnsi="Times New Roman"/>
          <w:sz w:val="16"/>
          <w:szCs w:val="16"/>
          <w:color w:val="auto"/>
        </w:rPr>
      </w:pPr>
    </w:p>
    <w:p>
      <w:pPr>
        <w:ind w:left="200" w:right="199" w:firstLine="2095"/>
        <w:spacing w:after="0" w:line="252" w:lineRule="auto"/>
        <w:tabs>
          <w:tab w:leader="none" w:pos="282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Takeda’s licenses under Section 5‎.1 shall immediately terminate with respect to any terminated Licensed Product(s) in any terminated country(ies);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87" w:name="page88"/>
    <w:bookmarkEnd w:id="87"/>
    <w:p>
      <w:pPr>
        <w:jc w:val="both"/>
        <w:ind w:left="200" w:right="199"/>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notwithstanding such termination, Takeda may perform activities in accordance with this Section 13‎.5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Takeda shall have, to the extent permissible pursuant to Applicable Law, the right [***] the effective date of such termination with respect to each Licensed Product and each country with respect to which such termination applies to sell or otherwise dispose of all Licensed Product then in its inventory and any in-progress inventory, as though this Agreement had not terminated with respect to such Licensed Product or such country, as applicable, and such sale or disposition shall not constitute infringement of ACI’s or its Affiliates’ Patent or other intellectual property or proprietary rights;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further, </w:t>
      </w:r>
      <w:r>
        <w:rPr>
          <w:rFonts w:ascii="Times New Roman" w:cs="Times New Roman" w:eastAsia="Times New Roman" w:hAnsi="Times New Roman"/>
          <w:sz w:val="16"/>
          <w:szCs w:val="16"/>
          <w:color w:val="auto"/>
        </w:rPr>
        <w:t>that (i) any and all such sales shall be included in the Net Sales for purposes of this Agreement, (ii) Takeda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make payments on such Licensed Product [***] (as if this Agreement had not terminated with respect to such Licensed Product or country) and (iii) any such inventory with respect to any terminated Licensed Product(s) in any terminated country(ies) remaining following the foregoing sell-off period shall be [***]</w:t>
      </w:r>
    </w:p>
    <w:p>
      <w:pPr>
        <w:spacing w:after="0" w:line="333" w:lineRule="exact"/>
        <w:rPr>
          <w:sz w:val="20"/>
          <w:szCs w:val="20"/>
          <w:color w:val="auto"/>
        </w:rPr>
      </w:pPr>
    </w:p>
    <w:p>
      <w:pPr>
        <w:jc w:val="both"/>
        <w:ind w:left="200" w:right="199" w:firstLine="2095"/>
        <w:spacing w:after="0" w:line="234" w:lineRule="auto"/>
        <w:tabs>
          <w:tab w:leader="none" w:pos="282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Section 13‎.5, as between the Parties, ACI shall be solely responsible for all ongoing and future Development, Manufacture, Commercialization and other Exploitation of terminated Licensed Compounds and Licensed Products in the Field with respect to each country with respect to which such termination applies, at its sole cost and expense, including regulatory reporting and long-term monitoring (for safety and efficacy) of patients who were or are administered a Licensed Product before, on or after the effective date of termination;</w:t>
      </w:r>
    </w:p>
    <w:p>
      <w:pPr>
        <w:spacing w:after="0" w:line="146" w:lineRule="exact"/>
        <w:rPr>
          <w:rFonts w:ascii="Times New Roman" w:cs="Times New Roman" w:eastAsia="Times New Roman" w:hAnsi="Times New Roman"/>
          <w:sz w:val="18"/>
          <w:szCs w:val="18"/>
          <w:color w:val="auto"/>
        </w:rPr>
      </w:pPr>
    </w:p>
    <w:p>
      <w:pPr>
        <w:ind w:left="200" w:right="199" w:firstLine="2095"/>
        <w:spacing w:after="0" w:line="252" w:lineRule="auto"/>
        <w:tabs>
          <w:tab w:leader="none" w:pos="282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Takeda shall [***] with respect to each Licensed Product and each country with respect to which such termination applies;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Takeda may [***]</w:t>
      </w:r>
    </w:p>
    <w:p>
      <w:pPr>
        <w:spacing w:after="0" w:line="134"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event of termination by Takeda pursuant to Section 13‎.2.2(a), [***]</w:t>
      </w:r>
    </w:p>
    <w:p>
      <w:pPr>
        <w:spacing w:after="0" w:line="165" w:lineRule="exact"/>
        <w:rPr>
          <w:rFonts w:ascii="Times New Roman" w:cs="Times New Roman" w:eastAsia="Times New Roman" w:hAnsi="Times New Roman"/>
          <w:sz w:val="18"/>
          <w:szCs w:val="18"/>
          <w:color w:val="auto"/>
        </w:rPr>
      </w:pPr>
    </w:p>
    <w:p>
      <w:pPr>
        <w:ind w:left="2820" w:hanging="525"/>
        <w:spacing w:after="0"/>
        <w:tabs>
          <w:tab w:leader="none" w:pos="28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8"/>
          <w:szCs w:val="18"/>
          <w:color w:val="auto"/>
        </w:rPr>
      </w:pPr>
    </w:p>
    <w:p>
      <w:pPr>
        <w:jc w:val="both"/>
        <w:ind w:left="200" w:right="199" w:firstLine="2095"/>
        <w:spacing w:after="0" w:line="265" w:lineRule="auto"/>
        <w:tabs>
          <w:tab w:leader="none" w:pos="282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ACI desires (i) a license [***] conceived, discovered, developed or otherwise made by or on behalf of Takeda or its Affiliates or its Sublicensees under this Agreement (and that is Controlled by Takeda or its Affiliates or its or their Sublicensees) that relates to any Licensed Product(s) that are the subject of such termination,</w:t>
      </w:r>
    </w:p>
    <w:p>
      <w:pPr>
        <w:spacing w:after="0" w:line="1" w:lineRule="exact"/>
        <w:rPr>
          <w:rFonts w:ascii="Times New Roman" w:cs="Times New Roman" w:eastAsia="Times New Roman" w:hAnsi="Times New Roman"/>
          <w:sz w:val="16"/>
          <w:szCs w:val="16"/>
          <w:color w:val="auto"/>
        </w:rPr>
      </w:pPr>
    </w:p>
    <w:p>
      <w:pPr>
        <w:jc w:val="both"/>
        <w:ind w:left="200" w:right="199" w:hanging="7"/>
        <w:spacing w:after="0" w:line="264" w:lineRule="auto"/>
        <w:tabs>
          <w:tab w:leader="none" w:pos="46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license or reversion to terminated Licensed Product(s) that are not Reversion Products or (iii) a license or reversion from Takeda in the event of termination by Takeda pursuant to Section 13‎.2.2(a), in each case ((i), (ii) and (iii)), then ACI may notify Takeda within [***] of the applicable notice of termination and the Parties shall use good faith efforts to negotiate for a period up to [***] (or such longer period as mutually agreed by the Parties) such license or reversion, as applicable, from Takeda to ACI (but, for clarity, Takeda shall not be required to agree to any such license or reversion);</w:t>
      </w:r>
    </w:p>
    <w:p>
      <w:pPr>
        <w:spacing w:after="0" w:line="128" w:lineRule="exact"/>
        <w:rPr>
          <w:rFonts w:ascii="Times New Roman" w:cs="Times New Roman" w:eastAsia="Times New Roman" w:hAnsi="Times New Roman"/>
          <w:sz w:val="16"/>
          <w:szCs w:val="16"/>
          <w:color w:val="auto"/>
        </w:rPr>
      </w:pPr>
    </w:p>
    <w:p>
      <w:pPr>
        <w:jc w:val="both"/>
        <w:ind w:left="200" w:right="219" w:firstLine="2095"/>
        <w:spacing w:after="0" w:line="237" w:lineRule="auto"/>
        <w:tabs>
          <w:tab w:leader="none" w:pos="282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Takeda owns any Product Trademarks that pertain specifically to any terminated Licensed Product in a terminated country that is necessary for the Commercialization of such Licensed Product in such country (as then currently marketed, but not including any Trademarks that include, in whole or part, any corporate name or logo of Takeda), [***] and</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88" w:name="page89"/>
    <w:bookmarkEnd w:id="88"/>
    <w:p>
      <w:pPr>
        <w:jc w:val="both"/>
        <w:ind w:left="200" w:right="199" w:firstLine="2095"/>
        <w:spacing w:after="0" w:line="265" w:lineRule="auto"/>
        <w:tabs>
          <w:tab w:leader="none" w:pos="2827"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Takeda and ACI cannot agree on [***] in each case, within [***] following the effective date of termination, Takeda and ACI will, as soon as reasonably practicable and in no event later than [***] following the expiration of such [***] period, mutually decide upon an Independent Expert to engage in determining the</w:t>
      </w:r>
    </w:p>
    <w:p>
      <w:pPr>
        <w:spacing w:after="0" w:line="1" w:lineRule="exact"/>
        <w:rPr>
          <w:rFonts w:ascii="Times New Roman" w:cs="Times New Roman" w:eastAsia="Times New Roman" w:hAnsi="Times New Roman"/>
          <w:sz w:val="16"/>
          <w:szCs w:val="16"/>
          <w:color w:val="auto"/>
        </w:rPr>
      </w:pPr>
    </w:p>
    <w:p>
      <w:pPr>
        <w:jc w:val="both"/>
        <w:ind w:left="200" w:right="199" w:hanging="7"/>
        <w:spacing w:after="0" w:line="230" w:lineRule="auto"/>
        <w:tabs>
          <w:tab w:leader="none" w:pos="7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Takeda and ACI shall submit to the Independent Expert and the other Party (i) its final proposal with respect to [***] within [***] after the retention of the Independent Expert and (ii) such other information as the Independent Expert may request within [***] of such request. The Independent Expert shall determine [***], as applicable, by selecting one or the other of the two final proposals submitted by Takeda and ACI, and, with respect [***] Such determination by the Independent Expert shall be final and binding on the Parties.</w:t>
      </w:r>
    </w:p>
    <w:p>
      <w:pPr>
        <w:spacing w:after="0" w:line="146" w:lineRule="exact"/>
        <w:rPr>
          <w:sz w:val="20"/>
          <w:szCs w:val="20"/>
          <w:color w:val="auto"/>
        </w:rPr>
      </w:pPr>
    </w:p>
    <w:p>
      <w:pPr>
        <w:jc w:val="both"/>
        <w:ind w:left="200" w:right="199" w:firstLine="157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13.5.2. Termination of this Agreement with respect to one (1) or more Licensed Products or Countries. </w:t>
      </w:r>
      <w:r>
        <w:rPr>
          <w:rFonts w:ascii="Times New Roman" w:cs="Times New Roman" w:eastAsia="Times New Roman" w:hAnsi="Times New Roman"/>
          <w:sz w:val="16"/>
          <w:szCs w:val="16"/>
          <w:color w:val="auto"/>
        </w:rPr>
        <w:t>If this Agreement is terminated pursuant to Section 13‎.2.2 with respect to one (1) or more Licensed Products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but not all Licensed Products or with respect to one (1) or more countries but not the entire Territory, (a) Section 13‎.5 shall apply solely with respect to the terminated Licensed Products in the terminated countries and (b) except for the surviving Sections and Articles set forth in Section 13‎.8.1, the provisions of this Agreement shall not apply to any such terminated Licensed Products or terminated country(ies);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of a termination with respect to one (1) or more countries but not the entire Territory, the termination of Takeda’s licenses pursuant to Section 13‎.5.1(b) shall not apply, and instead the rights and licenses granted to Takeda under this Agreement shall automatically be deemed to be amended with respect to the terminated country(ies) to be non-exclusive and only to include the right to Develop and Manufacture Licensed Compounds and Licensed Products in the terminated country(ies) solely for the purposes of supporting Regulatory Approval or Commercialization of the Licensed Products in the surviving countries in the Territory.</w:t>
      </w:r>
    </w:p>
    <w:p>
      <w:pPr>
        <w:spacing w:after="0" w:line="133" w:lineRule="exact"/>
        <w:rPr>
          <w:sz w:val="20"/>
          <w:szCs w:val="20"/>
          <w:color w:val="auto"/>
        </w:rPr>
      </w:pPr>
    </w:p>
    <w:p>
      <w:pPr>
        <w:ind w:left="124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13.6.1.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13.6.2.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13.6.3.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13.6.4. </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13.7. Remedies. </w:t>
      </w:r>
      <w:r>
        <w:rPr>
          <w:rFonts w:ascii="Times New Roman" w:cs="Times New Roman" w:eastAsia="Times New Roman" w:hAnsi="Times New Roman"/>
          <w:sz w:val="18"/>
          <w:szCs w:val="18"/>
          <w:color w:val="auto"/>
        </w:rPr>
        <w:t>Except as otherwise expressly provided herein, termination of this Agreement (either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entirety or with respect to one (1) or more Licensed Products or country(ies)) shall not limit remedies that may otherwise be available in law or equity.</w:t>
      </w:r>
    </w:p>
    <w:p>
      <w:pPr>
        <w:spacing w:after="0" w:line="143"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13.8. Accrued Rights; Surviving Obligations. </w:t>
      </w:r>
      <w:r>
        <w:rPr>
          <w:rFonts w:ascii="Times New Roman" w:cs="Times New Roman" w:eastAsia="Times New Roman" w:hAnsi="Times New Roman"/>
          <w:sz w:val="18"/>
          <w:szCs w:val="18"/>
          <w:color w:val="auto"/>
        </w:rPr>
        <w:t>Termination or expiration of this Agreement (either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entirety or with respect to one (1) or more Licensed Products or country(ies)) for any reason shall be without prejudice to any rights that have accrued to the benefit of a Party prior to such termination or expiration;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ACI accrue any rights to, and Takeda shall have no obligation to make, any milestone payment under Section 8‎.3 or Section 8‎.4 based on any milestone event with respect to a Licensed Product that occurs on or after the date of delivery by either Party of any termination notice with respect to such Licensed Product pursuant to Section 13‎.2. Such termination or expiration shall not relieve a Party from</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89" w:name="page90"/>
    <w:bookmarkEnd w:id="89"/>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obligations that are expressly indicated to survive the termination or expiration of this Agreement. Without limiting the foregoing:</w:t>
      </w:r>
    </w:p>
    <w:p>
      <w:pPr>
        <w:spacing w:after="0" w:line="132"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13.8.1. </w:t>
      </w:r>
      <w:r>
        <w:rPr>
          <w:rFonts w:ascii="Times New Roman" w:cs="Times New Roman" w:eastAsia="Times New Roman" w:hAnsi="Times New Roman"/>
          <w:sz w:val="18"/>
          <w:szCs w:val="18"/>
          <w:color w:val="auto"/>
        </w:rPr>
        <w:t>Sections 3‎.6.1 (for the period provided therein), 3‎.6.2 (for the period provided therein),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sentence), 5‎.3.1 (first sentence), 5‎.5.3, 8‎.3 through 8‎.12 (for final accounting for any payment obligations accrued prior to the date of termination of this Agreement, subject to the proviso in Section 13‎.8), 8‎.13 (for final accounting for any payment obligations accrued prior to the date of termination of this Agreement, except that Section 8‎.13.3 shall survive generally for the period set forth in Section 10‎.1), 9‎.1, 10‎.1 (for the period provided therein), 10‎.2, 10‎.3 (except for Section 10‎.3.4), 10‎.5, 10‎.6, 10‎.7 (except for the penultimate sentence), 10‎.9, 10‎.10, 11‎.6, 12‎.1 through 12‎.4, 12‎.5 (for the period provided therein), 13‎.3, 13‎.4 (as applicable), 13‎.5 (as applicable), 13‎.7 and this Section 13‎.8.1 and Article 1‎ (to the extent required to give effect to the provisions set forth in this Section 13‎.8.1) and Article 14‎ of this Agreement shall survive the termination of this Agreement for any reason; and</w:t>
      </w:r>
    </w:p>
    <w:p>
      <w:pPr>
        <w:spacing w:after="0" w:line="147" w:lineRule="exact"/>
        <w:rPr>
          <w:sz w:val="20"/>
          <w:szCs w:val="20"/>
          <w:color w:val="auto"/>
        </w:rPr>
      </w:pPr>
    </w:p>
    <w:p>
      <w:pPr>
        <w:jc w:val="both"/>
        <w:ind w:left="200" w:right="199" w:firstLine="1576"/>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13.8.2. </w:t>
      </w:r>
      <w:r>
        <w:rPr>
          <w:rFonts w:ascii="Times New Roman" w:cs="Times New Roman" w:eastAsia="Times New Roman" w:hAnsi="Times New Roman"/>
          <w:sz w:val="16"/>
          <w:szCs w:val="16"/>
          <w:color w:val="auto"/>
        </w:rPr>
        <w:t>Sections ‎3.6 (for the period provided therein), ‎4.5.4 (second sentence), ‎5.1.1, ‎5.2 (solely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first two sentences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sentences are limited to the applicable terms and conditions of this Agreement that survive expiration), ‎5.3.1, ‎5.4, ‎5.5.3, ‎7.1, ‎7.3, ‎7.5, ‎8.3 through ‎8.12 (for final accounting for any payment obligations accrued prior to the date of expiration of this Agreement), ‎8.13 (for final accounting for any payment obligations accrued prior to the date of termination of this Agreement, except that Section 8‎.13.3 shall survive generally for the period set forth in Section ‎10.1), ‎8.14, ‎9.1 (other than Section ‎9.1.3), ‎9.2.1, ‎9.3 through ‎9.8, ‎10.1 (for the period provided therein), ‎10.2, ‎10.3, ‎10.4, ‎10.6, ‎10.7, ‎10.8, ‎10.10, ‎11.6, ‎12.1 through ‎12.4, ‎12.5 (for the period provided therein), ‎13.1, ‎13.3, ‎13.7 and this Section ‎13.8.2 and Article ‎1 (to the extent required to give effect to the provisions set forth in this Section ‎13.8.2) and Article ‎14 of this Agreement shall survive the expiration of this Agreement for any reason.</w:t>
      </w:r>
    </w:p>
    <w:p>
      <w:pPr>
        <w:spacing w:after="0" w:line="129" w:lineRule="exact"/>
        <w:rPr>
          <w:sz w:val="20"/>
          <w:szCs w:val="20"/>
          <w:color w:val="auto"/>
        </w:rPr>
      </w:pPr>
    </w:p>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If this Agreement is terminated with respect to one (1) or more Licensed Products or one (1) or more countries but not in its entirety, then following such termination, the foregoing provisions of this Agreement set forth in Section 13‎.8.1 shall remain in effect with respect to the terminated Licensed Product(s) in the terminated country(ies) (to the extent they would survive and apply in the event this Agreement is terminated in its entirety or as otherwise necessary for any of Takeda and its Affiliates and its and their Sublicensees to exercise their rights for the other Licensed Products or other countries) and all provisions not surviving in accordance with the foregoing shall terminate upon termination of this Agreement and be of no further force and effect with respect to the terminated Licensed Product(s) for the terminated country(ies) (and for the avoidance of doubt all provisions of this Agreement shall remain in effect with respect to all non-terminated Licensed Products and non-terminated countries).</w:t>
      </w:r>
    </w:p>
    <w:p>
      <w:pPr>
        <w:spacing w:after="0" w:line="14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3"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14.1. Force Majeure. </w:t>
      </w:r>
      <w:r>
        <w:rPr>
          <w:rFonts w:ascii="Times New Roman" w:cs="Times New Roman" w:eastAsia="Times New Roman" w:hAnsi="Times New Roman"/>
          <w:sz w:val="18"/>
          <w:szCs w:val="18"/>
          <w:color w:val="auto"/>
        </w:rPr>
        <w:t>Neither Party shall be held liable or responsible to the other Party or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defaulted under or breached this Agreement for failure or delay in fulfilling or performing any term of this Agreement when such failure or delay is caused by or results from events beyond the reasonable control of the non-performing Party, including fires, floods, earthquakes, hurricanes, embargoes, shortages, pandemics, epidemics, quarantines, war,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90" w:name="page91"/>
    <w:bookmarkEnd w:id="90"/>
    <w:p>
      <w:pPr>
        <w:jc w:val="both"/>
        <w:ind w:left="200" w:right="199"/>
        <w:spacing w:after="0" w:line="232" w:lineRule="auto"/>
        <w:rPr>
          <w:sz w:val="20"/>
          <w:szCs w:val="20"/>
          <w:color w:val="auto"/>
        </w:rPr>
      </w:pPr>
      <w:r>
        <w:rPr>
          <w:rFonts w:ascii="Times New Roman" w:cs="Times New Roman" w:eastAsia="Times New Roman" w:hAnsi="Times New Roman"/>
          <w:sz w:val="18"/>
          <w:szCs w:val="18"/>
          <w:color w:val="auto"/>
        </w:rPr>
        <w:t>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(including any Regulatory Authority) (except to the extent such delay results from the breach by the non-performing Party or any of its Affiliates of any term or condition of this Agreement). The non-performing Party shall notify the other Party of such force majeure within [***] after such occurrence by providing a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45"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14.2. Export Control. </w:t>
      </w:r>
      <w:r>
        <w:rPr>
          <w:rFonts w:ascii="Times New Roman" w:cs="Times New Roman" w:eastAsia="Times New Roman" w:hAnsi="Times New Roman"/>
          <w:sz w:val="18"/>
          <w:szCs w:val="18"/>
          <w:color w:val="auto"/>
        </w:rPr>
        <w:t>This Agreement is made subject to any restrictions concerning the export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Authority in accordance with Applicable Law.</w:t>
      </w:r>
    </w:p>
    <w:p>
      <w:pPr>
        <w:spacing w:after="0" w:line="146"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14.3. Assignment. </w:t>
      </w:r>
      <w:r>
        <w:rPr>
          <w:rFonts w:ascii="Times New Roman" w:cs="Times New Roman" w:eastAsia="Times New Roman" w:hAnsi="Times New Roman"/>
          <w:sz w:val="18"/>
          <w:szCs w:val="18"/>
          <w:color w:val="auto"/>
        </w:rPr>
        <w:t>Neither Party may, directly or indirectly, assign or otherwise transfer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its rights or, except as provided in Section 3‎.4 and Section 7‎.5, delegate its obligations under this Agreement, whether by operation of law or otherwise, in whole or in part without the prior written consent of the other Party, which consent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46"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14.3.1. </w:t>
      </w:r>
      <w:r>
        <w:rPr>
          <w:rFonts w:ascii="Times New Roman" w:cs="Times New Roman" w:eastAsia="Times New Roman" w:hAnsi="Times New Roman"/>
          <w:sz w:val="18"/>
          <w:szCs w:val="18"/>
          <w:color w:val="auto"/>
        </w:rPr>
        <w:t>Takeda shall have the right, without ACI’s consent, (a) to perform any or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and exercise any or all of its rights under this Agreement through any of its Affiliates, distributors or its or their Sublicensees or distributors, and (b) to assign any or all of its rights and delegate any or all of its obligations to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p>
    <w:p>
      <w:pPr>
        <w:spacing w:after="0" w:line="146" w:lineRule="exact"/>
        <w:rPr>
          <w:sz w:val="20"/>
          <w:szCs w:val="20"/>
          <w:color w:val="auto"/>
        </w:rPr>
      </w:pPr>
    </w:p>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14.3.2. </w:t>
      </w:r>
      <w:r>
        <w:rPr>
          <w:rFonts w:ascii="Times New Roman" w:cs="Times New Roman" w:eastAsia="Times New Roman" w:hAnsi="Times New Roman"/>
          <w:sz w:val="18"/>
          <w:szCs w:val="18"/>
          <w:color w:val="auto"/>
        </w:rPr>
        <w:t>except as set forth in Section 14‎.3.1 and Section 14‎.3.3, Takeda shall not assign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this Agreement or any of its rights or obligations under this Agreement, in whole or in part, without ACI’s prior written consent (not to be unreasonably withheld, conditioned or delayed), to any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Takeda may assign or transfer this Agreement to a Third Party that, [***]</w:t>
      </w:r>
    </w:p>
    <w:p>
      <w:pPr>
        <w:spacing w:after="0" w:line="146" w:lineRule="exact"/>
        <w:rPr>
          <w:sz w:val="20"/>
          <w:szCs w:val="20"/>
          <w:color w:val="auto"/>
        </w:rPr>
      </w:pPr>
    </w:p>
    <w:p>
      <w:pPr>
        <w:jc w:val="both"/>
        <w:ind w:left="200" w:right="199" w:firstLine="157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14.3.3. </w:t>
      </w:r>
      <w:r>
        <w:rPr>
          <w:rFonts w:ascii="Times New Roman" w:cs="Times New Roman" w:eastAsia="Times New Roman" w:hAnsi="Times New Roman"/>
          <w:sz w:val="18"/>
          <w:szCs w:val="18"/>
          <w:color w:val="auto"/>
        </w:rPr>
        <w:t>each Party shall have the right, without such consent, to assign this Agreement and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obligations to any successor in interest in connection with a Change of Control of such Party;</w:t>
      </w:r>
    </w:p>
    <w:p>
      <w:pPr>
        <w:spacing w:after="0" w:line="129" w:lineRule="exact"/>
        <w:rPr>
          <w:sz w:val="20"/>
          <w:szCs w:val="20"/>
          <w:color w:val="auto"/>
        </w:rPr>
      </w:pPr>
    </w:p>
    <w:p>
      <w:pPr>
        <w:jc w:val="both"/>
        <w:ind w:left="200" w:right="199"/>
        <w:spacing w:after="0" w:line="276"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in each case in which this Agreement is assigned in its entirety to an Affiliate or Third Party, the assigning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Party shall provide written notice to the other Party within [***] such assignment. Any permitted successor of a Party or any permitted assignee of all of a Party’s rights under this Agreement that has also assumed all of such Party’s obligations hereunder in writing shall, upon any such succession or assignment and assumption, be deemed to be a party to this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91" w:name="page92"/>
    <w:bookmarkEnd w:id="91"/>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Agreement as though named herein in substitution for the assigning Party, whereupon the assigning Party shall cease to be a party to this Agreement and shall cease to have any rights or obligations under this Agreement; [***]</w:t>
      </w:r>
    </w:p>
    <w:p>
      <w:pPr>
        <w:spacing w:after="0" w:line="134"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18"/>
          <w:szCs w:val="18"/>
          <w:color w:val="auto"/>
        </w:rPr>
        <w:t xml:space="preserve">All validly assigned rights of a Party shall inure to the benefit of and be enforceable by, and all validly delegated obligations of such Party shall be binding on and be enforceable against, the permitted successors and assigns of such Party. Any attempted assignment or delegation in violation of this Section 14‎.3 shall be void and of no effect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left="200" w:right="199" w:firstLine="1051"/>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14.4. Severability. </w:t>
      </w:r>
      <w:r>
        <w:rPr>
          <w:rFonts w:ascii="Times New Roman" w:cs="Times New Roman" w:eastAsia="Times New Roman" w:hAnsi="Times New Roman"/>
          <w:sz w:val="16"/>
          <w:szCs w:val="16"/>
          <w:color w:val="auto"/>
        </w:rPr>
        <w:t>If, under Applicable Law, any one (1) or more of the provisions of this Agreement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held to be invalid, illegal or unenforceable at law or in equity in any court of competent jurisdiction and the rights of the Parties will not be materially and adversely affected thereby, (a) such invalid, illegal or unenforceable provision(s) shall be considered severed from this Agreement with respect to such jurisdiction, (b) this Agreement shall be construed and enforced as if such invalid, illegal or unenforceable provision(s) had never comprised a part hereof and (c) the Parties shall make a good faith effort to replace any invalid, illegal or unenforceable provision(s) with a valid, legal and enforceable provision(s) such that the objectives contemplated by the Parties when entering this Agreement may be realized (and, to the extent the Parties agree to a replacement provision, the remaining provisions of this Agreement shall remain in full force and effect and shall not be affected by the invalid, illegal or unenforceable provision(s) or by its or their severance herefrom). To the fullest extent permitted by Applicable Law, each Party hereby waives any provision of law that would render any provision hereof invalid, illegal or unenforceable in any respect.</w:t>
      </w:r>
    </w:p>
    <w:p>
      <w:pPr>
        <w:spacing w:after="0" w:line="326"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6"/>
          <w:szCs w:val="16"/>
          <w:b w:val="1"/>
          <w:bCs w:val="1"/>
          <w:color w:val="auto"/>
        </w:rPr>
        <w:t>Dispute Resolution.</w:t>
      </w:r>
    </w:p>
    <w:p>
      <w:pPr>
        <w:spacing w:after="0" w:line="165" w:lineRule="exact"/>
        <w:rPr>
          <w:sz w:val="20"/>
          <w:szCs w:val="20"/>
          <w:color w:val="auto"/>
        </w:rPr>
      </w:pPr>
    </w:p>
    <w:p>
      <w:pPr>
        <w:jc w:val="both"/>
        <w:ind w:left="200" w:right="199" w:firstLine="1576"/>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14.5.1. Executive Officers; Litigation. </w:t>
      </w:r>
      <w:r>
        <w:rPr>
          <w:rFonts w:ascii="Times New Roman" w:cs="Times New Roman" w:eastAsia="Times New Roman" w:hAnsi="Times New Roman"/>
          <w:sz w:val="18"/>
          <w:szCs w:val="18"/>
          <w:color w:val="auto"/>
        </w:rPr>
        <w:t>Except as provided in Section 2‎.6.2, Section 8‎.13.2,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13‎.5.1(i), Section 14‎.5.2 or Section 14‎.10, any disputes arising out of or in connection with this Agreement, including any questions regarding its existence, validity, interpretation, breach or termination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shall first be referred to the Executive Officers of the Parties, who shall confer in good faith on the resolution of such Dispute. Any final decision mutually agreed to by the Executive Officers shall be conclusive and binding on the Parties. If the Executive Officers are not able to agree on the resolution of any such issue within [***] (or such other period of time as mutually agreed by the Executive Officers) after such issue was first referred to them, then either Party may initiate litigation pursuant to Section 14‎.6.</w:t>
      </w:r>
    </w:p>
    <w:p>
      <w:pPr>
        <w:spacing w:after="0" w:line="144" w:lineRule="exact"/>
        <w:rPr>
          <w:sz w:val="20"/>
          <w:szCs w:val="20"/>
          <w:color w:val="auto"/>
        </w:rPr>
      </w:pPr>
    </w:p>
    <w:p>
      <w:pPr>
        <w:jc w:val="both"/>
        <w:ind w:left="200" w:right="21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14.5.2. Intellectual Property Disputes. </w:t>
      </w:r>
      <w:r>
        <w:rPr>
          <w:rFonts w:ascii="Times New Roman" w:cs="Times New Roman" w:eastAsia="Times New Roman" w:hAnsi="Times New Roman"/>
          <w:sz w:val="18"/>
          <w:szCs w:val="18"/>
          <w:color w:val="auto"/>
        </w:rPr>
        <w:t>In the event that a Dispute arises with respect the 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scope, enforceability, inventorship or ownership of any Patent, Trademark or other intellectual property rights, unless otherwise agreed by the Parties in writing, either Party may initiate litigation in a court of competent jurisdiction, notwithstanding Section 14‎.6, in any country or other jurisdiction in which such rights apply.</w:t>
      </w:r>
    </w:p>
    <w:p>
      <w:pPr>
        <w:sectPr>
          <w:pgSz w:w="11900" w:h="16838" w:orient="portrait"/>
          <w:cols w:equalWidth="0" w:num="1">
            <w:col w:w="9019"/>
          </w:cols>
          <w:pgMar w:left="1440" w:top="751" w:right="1440" w:bottom="1440" w:gutter="0" w:footer="0" w:header="0"/>
        </w:sectPr>
      </w:pPr>
    </w:p>
    <w:p>
      <w:pPr>
        <w:spacing w:after="0" w:line="146" w:lineRule="exact"/>
        <w:rPr>
          <w:sz w:val="20"/>
          <w:szCs w:val="20"/>
          <w:color w:val="auto"/>
        </w:rPr>
      </w:pPr>
    </w:p>
    <w:p>
      <w:pPr>
        <w:jc w:val="both"/>
        <w:ind w:left="200"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14.5.3. Adverse Ruling. </w:t>
      </w:r>
      <w:r>
        <w:rPr>
          <w:rFonts w:ascii="Times New Roman" w:cs="Times New Roman" w:eastAsia="Times New Roman" w:hAnsi="Times New Roman"/>
          <w:sz w:val="18"/>
          <w:szCs w:val="18"/>
          <w:color w:val="auto"/>
        </w:rPr>
        <w:t>is in material breach of its material obligations such material breach, if feasible.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199" w:firstLine="37"/>
        <w:spacing w:after="0" w:line="314" w:lineRule="auto"/>
        <w:rPr>
          <w:sz w:val="20"/>
          <w:szCs w:val="20"/>
          <w:color w:val="auto"/>
        </w:rPr>
      </w:pPr>
      <w:r>
        <w:rPr>
          <w:rFonts w:ascii="Times New Roman" w:cs="Times New Roman" w:eastAsia="Times New Roman" w:hAnsi="Times New Roman"/>
          <w:sz w:val="16"/>
          <w:szCs w:val="16"/>
          <w:color w:val="auto"/>
        </w:rPr>
        <w:t>Any determination pursuant to Section 14‎.5.1 or Section 14‎.6 that a Party hereunder shall specify a (non-exclusive) set of actions to be taken to cure</w:t>
      </w:r>
    </w:p>
    <w:p>
      <w:pPr>
        <w:spacing w:after="0" w:line="340" w:lineRule="exact"/>
        <w:rPr>
          <w:sz w:val="20"/>
          <w:szCs w:val="20"/>
          <w:color w:val="auto"/>
        </w:rPr>
      </w:pPr>
    </w:p>
    <w:p>
      <w:pPr>
        <w:sectPr>
          <w:pgSz w:w="11900" w:h="16838" w:orient="portrait"/>
          <w:cols w:equalWidth="0" w:num="2">
            <w:col w:w="3500" w:space="40"/>
            <w:col w:w="5479"/>
          </w:cols>
          <w:pgMar w:left="1440" w:top="751" w:right="1440" w:bottom="1440" w:gutter="0" w:footer="0" w:header="0"/>
          <w:type w:val="continuous"/>
        </w:sectPr>
      </w:pP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446405</wp:posOffset>
            </wp:positionV>
            <wp:extent cx="547624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type w:val="continuous"/>
        </w:sectPr>
      </w:pPr>
    </w:p>
    <w:bookmarkStart w:id="92" w:name="page93"/>
    <w:bookmarkEnd w:id="92"/>
    <w:p>
      <w:pPr>
        <w:jc w:val="both"/>
        <w:ind w:left="200" w:right="199" w:firstLine="1576"/>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14.5.4. Interim Relief. </w:t>
      </w:r>
      <w:r>
        <w:rPr>
          <w:rFonts w:ascii="Times New Roman" w:cs="Times New Roman" w:eastAsia="Times New Roman" w:hAnsi="Times New Roman"/>
          <w:sz w:val="18"/>
          <w:szCs w:val="18"/>
          <w:color w:val="auto"/>
        </w:rPr>
        <w:t>Notwithstanding anything herein to the contrary,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14‎.5 shall preclude either Party from seeking interim or provisional relief, including a temporary restraining order, preliminary injunction or other interim equitable relief concerning a Dispute, if necessary to protect the interests of such Party.</w:t>
      </w:r>
    </w:p>
    <w:p>
      <w:pPr>
        <w:spacing w:after="0" w:line="1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 xml:space="preserve">14.5.5. Specific Enforcement. </w:t>
      </w:r>
      <w:r>
        <w:rPr>
          <w:rFonts w:ascii="Times New Roman" w:cs="Times New Roman" w:eastAsia="Times New Roman" w:hAnsi="Times New Roman"/>
          <w:sz w:val="18"/>
          <w:szCs w:val="18"/>
          <w:color w:val="auto"/>
        </w:rPr>
        <w:t>This Section ‎14.5 shall be specifically enforceable.</w:t>
      </w:r>
    </w:p>
    <w:p>
      <w:pPr>
        <w:spacing w:after="0" w:line="165"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6"/>
          <w:szCs w:val="16"/>
          <w:b w:val="1"/>
          <w:bCs w:val="1"/>
          <w:color w:val="auto"/>
        </w:rPr>
        <w:t>Governing Law, Jurisdiction and Service.</w:t>
      </w:r>
    </w:p>
    <w:p>
      <w:pPr>
        <w:spacing w:after="0" w:line="165" w:lineRule="exact"/>
        <w:rPr>
          <w:sz w:val="20"/>
          <w:szCs w:val="20"/>
          <w:color w:val="auto"/>
        </w:rPr>
      </w:pPr>
    </w:p>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14.6.1. Governing Law. </w:t>
      </w:r>
      <w:r>
        <w:rPr>
          <w:rFonts w:ascii="Times New Roman" w:cs="Times New Roman" w:eastAsia="Times New Roman" w:hAnsi="Times New Roman"/>
          <w:sz w:val="18"/>
          <w:szCs w:val="18"/>
          <w:color w:val="auto"/>
        </w:rPr>
        <w:t>This Agreement and the performance, enforcement, breach or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be governed by and construed in accordance with the laws of New York, excluding any 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w:t>
      </w:r>
    </w:p>
    <w:p>
      <w:pPr>
        <w:spacing w:after="0" w:line="142" w:lineRule="exact"/>
        <w:rPr>
          <w:sz w:val="20"/>
          <w:szCs w:val="20"/>
          <w:color w:val="auto"/>
        </w:rPr>
      </w:pPr>
    </w:p>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14.6.2. Jurisdiction. </w:t>
      </w:r>
      <w:r>
        <w:rPr>
          <w:rFonts w:ascii="Times New Roman" w:cs="Times New Roman" w:eastAsia="Times New Roman" w:hAnsi="Times New Roman"/>
          <w:sz w:val="18"/>
          <w:szCs w:val="18"/>
          <w:color w:val="auto"/>
        </w:rPr>
        <w:t>Subject to Section 14‎.5 and Section 14‎.10, the Parties hereby irrevocably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unconditionally consent to the exclusive jurisdiction of the courts of New York for any action, suit or proceeding (other than appeals therefrom) arising out of or relating to this Agreement and agree not to commence any action, suit or proceeding (other than appeals therefrom) related thereto except in such courts. The Parties irrevocably and unconditionally waive their right to a jury trial.</w:t>
      </w:r>
    </w:p>
    <w:p>
      <w:pPr>
        <w:spacing w:after="0" w:line="142" w:lineRule="exact"/>
        <w:rPr>
          <w:sz w:val="20"/>
          <w:szCs w:val="20"/>
          <w:color w:val="auto"/>
        </w:rPr>
      </w:pPr>
    </w:p>
    <w:p>
      <w:pPr>
        <w:jc w:val="both"/>
        <w:ind w:left="200" w:right="199" w:firstLine="1576"/>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14.6.3. Venue. </w:t>
      </w:r>
      <w:r>
        <w:rPr>
          <w:rFonts w:ascii="Times New Roman" w:cs="Times New Roman" w:eastAsia="Times New Roman" w:hAnsi="Times New Roman"/>
          <w:sz w:val="18"/>
          <w:szCs w:val="18"/>
          <w:color w:val="auto"/>
        </w:rPr>
        <w:t>The Parties further hereby irrevocably and unconditionally waive any objection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laying of venue of any action, suit or proceeding (other than appeals therefrom) arising out of or relating to this Agreement in the courts of the Southern District of New York and hereby further irrevocably and unconditionally waive and agree not to plead or claim in any such court that any such action, suit or proceeding brought in any such court has been brought in an inconvenient forum.</w:t>
      </w:r>
    </w:p>
    <w:p>
      <w:pPr>
        <w:spacing w:after="0" w:line="142" w:lineRule="exact"/>
        <w:rPr>
          <w:sz w:val="20"/>
          <w:szCs w:val="20"/>
          <w:color w:val="auto"/>
        </w:rPr>
      </w:pPr>
    </w:p>
    <w:p>
      <w:pPr>
        <w:jc w:val="both"/>
        <w:ind w:left="200" w:right="199" w:firstLine="1576"/>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14.6.4. Service. </w:t>
      </w:r>
      <w:r>
        <w:rPr>
          <w:rFonts w:ascii="Times New Roman" w:cs="Times New Roman" w:eastAsia="Times New Roman" w:hAnsi="Times New Roman"/>
          <w:sz w:val="18"/>
          <w:szCs w:val="18"/>
          <w:color w:val="auto"/>
        </w:rPr>
        <w:t>Each Party further agrees that service of any process, summons,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by registered mail to its address set forth in Section 14‎.7.2 shall be effective service of process for any action, suit or proceeding brought against it under this Agreement in any such court.</w:t>
      </w:r>
    </w:p>
    <w:p>
      <w:pPr>
        <w:spacing w:after="0" w:line="143" w:lineRule="exact"/>
        <w:rPr>
          <w:sz w:val="20"/>
          <w:szCs w:val="20"/>
          <w:color w:val="auto"/>
        </w:rPr>
      </w:pPr>
    </w:p>
    <w:p>
      <w:pPr>
        <w:ind w:left="1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14.7.</w:t>
      </w:r>
      <w:r>
        <w:rPr>
          <w:sz w:val="20"/>
          <w:szCs w:val="20"/>
          <w:color w:val="auto"/>
        </w:rPr>
        <w:tab/>
      </w:r>
      <w:r>
        <w:rPr>
          <w:rFonts w:ascii="Times New Roman" w:cs="Times New Roman" w:eastAsia="Times New Roman" w:hAnsi="Times New Roman"/>
          <w:sz w:val="16"/>
          <w:szCs w:val="16"/>
          <w:b w:val="1"/>
          <w:bCs w:val="1"/>
          <w:color w:val="auto"/>
        </w:rPr>
        <w:t>Notices.</w:t>
      </w:r>
    </w:p>
    <w:p>
      <w:pPr>
        <w:spacing w:after="0" w:line="165" w:lineRule="exact"/>
        <w:rPr>
          <w:sz w:val="20"/>
          <w:szCs w:val="20"/>
          <w:color w:val="auto"/>
        </w:rPr>
      </w:pPr>
    </w:p>
    <w:p>
      <w:pPr>
        <w:jc w:val="both"/>
        <w:ind w:left="200" w:right="199" w:firstLine="1576"/>
        <w:spacing w:after="0" w:line="232" w:lineRule="auto"/>
        <w:rPr>
          <w:sz w:val="20"/>
          <w:szCs w:val="20"/>
          <w:color w:val="auto"/>
        </w:rPr>
      </w:pPr>
      <w:r>
        <w:rPr>
          <w:rFonts w:ascii="Times New Roman" w:cs="Times New Roman" w:eastAsia="Times New Roman" w:hAnsi="Times New Roman"/>
          <w:sz w:val="18"/>
          <w:szCs w:val="18"/>
          <w:b w:val="1"/>
          <w:bCs w:val="1"/>
          <w:color w:val="auto"/>
        </w:rPr>
        <w:t xml:space="preserve">14.7.1. Notice Requirements. </w:t>
      </w:r>
      <w:r>
        <w:rPr>
          <w:rFonts w:ascii="Times New Roman" w:cs="Times New Roman" w:eastAsia="Times New Roman" w:hAnsi="Times New Roman"/>
          <w:sz w:val="18"/>
          <w:szCs w:val="18"/>
          <w:color w:val="auto"/>
        </w:rPr>
        <w:t>Any notice, request, demand, waiver, consent, approval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permitted or required under this Agreement shall be in writing, shall refer specifically to this Agreement and shall be deemed given only if delivered by hand or by internationally recognized overnight delivery service that maintains records of delivery, addressed to the Parties at their respective addresses specified in Section 14‎.7.2 or to such other address as the Party to whom notice is to be given may have provided to the other Party in accordance with this Section 14‎.7.1. Such notice shall be deemed to have been given as of the date delivered by hand or on the second Business Day (at the place of delivery) after deposit with an internationally recognized overnight delivery service. A copy of any notice shall be provided via electronic mail to the email addresses specified in Section 14‎.7.2, if any (which copies, for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93" w:name="page94"/>
    <w:bookmarkEnd w:id="93"/>
    <w:p>
      <w:pPr>
        <w:ind w:left="200" w:right="219"/>
        <w:spacing w:after="0" w:line="252" w:lineRule="auto"/>
        <w:rPr>
          <w:sz w:val="20"/>
          <w:szCs w:val="20"/>
          <w:color w:val="auto"/>
        </w:rPr>
      </w:pPr>
      <w:r>
        <w:rPr>
          <w:rFonts w:ascii="Times New Roman" w:cs="Times New Roman" w:eastAsia="Times New Roman" w:hAnsi="Times New Roman"/>
          <w:sz w:val="18"/>
          <w:szCs w:val="18"/>
          <w:color w:val="auto"/>
        </w:rPr>
        <w:t>clarity, shall not constitute notice). This Section 14‎.7.1 is not intended to govern the day-to-day business communications necessary between the Parties in performing their obligations under the terms of this Agreement.</w:t>
      </w:r>
    </w:p>
    <w:p>
      <w:pPr>
        <w:spacing w:after="0" w:line="13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14.7.2. Address for Notice.</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If to Takeda, to:</w:t>
      </w:r>
    </w:p>
    <w:p>
      <w:pPr>
        <w:spacing w:after="0" w:line="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Takeda Pharmaceuticals, USA, Inc.</w:t>
      </w:r>
    </w:p>
    <w:p>
      <w:pPr>
        <w:ind w:left="1760"/>
        <w:spacing w:after="0"/>
        <w:rPr>
          <w:sz w:val="20"/>
          <w:szCs w:val="20"/>
          <w:color w:val="auto"/>
        </w:rPr>
      </w:pPr>
      <w:r>
        <w:rPr>
          <w:rFonts w:ascii="Times New Roman" w:cs="Times New Roman" w:eastAsia="Times New Roman" w:hAnsi="Times New Roman"/>
          <w:sz w:val="18"/>
          <w:szCs w:val="18"/>
          <w:color w:val="auto"/>
        </w:rPr>
        <w:t>95 Hayden Avenue</w:t>
      </w:r>
    </w:p>
    <w:p>
      <w:pPr>
        <w:ind w:left="1760"/>
        <w:spacing w:after="0" w:line="228" w:lineRule="auto"/>
        <w:rPr>
          <w:sz w:val="20"/>
          <w:szCs w:val="20"/>
          <w:color w:val="auto"/>
        </w:rPr>
      </w:pPr>
      <w:r>
        <w:rPr>
          <w:rFonts w:ascii="Times New Roman" w:cs="Times New Roman" w:eastAsia="Times New Roman" w:hAnsi="Times New Roman"/>
          <w:sz w:val="18"/>
          <w:szCs w:val="18"/>
          <w:color w:val="auto"/>
        </w:rPr>
        <w:t>Lexington, MA 02421</w:t>
      </w:r>
    </w:p>
    <w:p>
      <w:pPr>
        <w:ind w:left="1760"/>
        <w:spacing w:after="0" w:line="228" w:lineRule="auto"/>
        <w:rPr>
          <w:sz w:val="20"/>
          <w:szCs w:val="20"/>
          <w:color w:val="auto"/>
        </w:rPr>
      </w:pPr>
      <w:r>
        <w:rPr>
          <w:rFonts w:ascii="Times New Roman" w:cs="Times New Roman" w:eastAsia="Times New Roman" w:hAnsi="Times New Roman"/>
          <w:sz w:val="18"/>
          <w:szCs w:val="18"/>
          <w:color w:val="auto"/>
        </w:rPr>
        <w:t>Attention: Regional General Counsel</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Takeda Pharmaceutical Company Limited</w:t>
      </w:r>
    </w:p>
    <w:p>
      <w:pPr>
        <w:ind w:left="1760"/>
        <w:spacing w:after="0"/>
        <w:rPr>
          <w:sz w:val="20"/>
          <w:szCs w:val="20"/>
          <w:color w:val="auto"/>
        </w:rPr>
      </w:pPr>
      <w:r>
        <w:rPr>
          <w:rFonts w:ascii="Times New Roman" w:cs="Times New Roman" w:eastAsia="Times New Roman" w:hAnsi="Times New Roman"/>
          <w:sz w:val="18"/>
          <w:szCs w:val="18"/>
          <w:color w:val="auto"/>
        </w:rPr>
        <w:t>1-1 Doshomachi 4-chomeChuo-ku, Osaka</w:t>
      </w:r>
    </w:p>
    <w:p>
      <w:pPr>
        <w:ind w:left="1760"/>
        <w:spacing w:after="0" w:line="228" w:lineRule="auto"/>
        <w:rPr>
          <w:sz w:val="20"/>
          <w:szCs w:val="20"/>
          <w:color w:val="auto"/>
        </w:rPr>
      </w:pPr>
      <w:r>
        <w:rPr>
          <w:rFonts w:ascii="Times New Roman" w:cs="Times New Roman" w:eastAsia="Times New Roman" w:hAnsi="Times New Roman"/>
          <w:sz w:val="18"/>
          <w:szCs w:val="18"/>
          <w:color w:val="auto"/>
        </w:rPr>
        <w:t>540-8645, Japan</w:t>
      </w:r>
    </w:p>
    <w:p>
      <w:pPr>
        <w:ind w:left="1760"/>
        <w:spacing w:after="0" w:line="228" w:lineRule="auto"/>
        <w:rPr>
          <w:sz w:val="20"/>
          <w:szCs w:val="20"/>
          <w:color w:val="auto"/>
        </w:rPr>
      </w:pPr>
      <w:r>
        <w:rPr>
          <w:rFonts w:ascii="Times New Roman" w:cs="Times New Roman" w:eastAsia="Times New Roman" w:hAnsi="Times New Roman"/>
          <w:sz w:val="18"/>
          <w:szCs w:val="18"/>
          <w:color w:val="auto"/>
        </w:rPr>
        <w:t>Attention: Head of Center for External Innovation</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If to ACI, to:</w:t>
      </w:r>
    </w:p>
    <w:p>
      <w:pPr>
        <w:spacing w:after="0" w:line="1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AC Immune SA</w:t>
      </w:r>
    </w:p>
    <w:p>
      <w:pPr>
        <w:ind w:left="1760"/>
        <w:spacing w:after="0"/>
        <w:rPr>
          <w:sz w:val="20"/>
          <w:szCs w:val="20"/>
          <w:color w:val="auto"/>
        </w:rPr>
      </w:pPr>
      <w:r>
        <w:rPr>
          <w:rFonts w:ascii="Times New Roman" w:cs="Times New Roman" w:eastAsia="Times New Roman" w:hAnsi="Times New Roman"/>
          <w:sz w:val="18"/>
          <w:szCs w:val="18"/>
          <w:color w:val="auto"/>
        </w:rPr>
        <w:t>EPFL Innovation Park, Building B</w:t>
      </w:r>
    </w:p>
    <w:p>
      <w:pPr>
        <w:ind w:left="1760"/>
        <w:spacing w:after="0" w:line="228" w:lineRule="auto"/>
        <w:rPr>
          <w:sz w:val="20"/>
          <w:szCs w:val="20"/>
          <w:color w:val="auto"/>
        </w:rPr>
      </w:pPr>
      <w:r>
        <w:rPr>
          <w:rFonts w:ascii="Times New Roman" w:cs="Times New Roman" w:eastAsia="Times New Roman" w:hAnsi="Times New Roman"/>
          <w:sz w:val="18"/>
          <w:szCs w:val="18"/>
          <w:color w:val="auto"/>
        </w:rPr>
        <w:t>CH-1015 Lausanne, Switzerland</w:t>
      </w:r>
    </w:p>
    <w:p>
      <w:pPr>
        <w:ind w:left="1760"/>
        <w:spacing w:after="0" w:line="228"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7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AC Immune SA</w:t>
      </w:r>
    </w:p>
    <w:p>
      <w:pPr>
        <w:ind w:left="1760"/>
        <w:spacing w:after="0"/>
        <w:rPr>
          <w:sz w:val="20"/>
          <w:szCs w:val="20"/>
          <w:color w:val="auto"/>
        </w:rPr>
      </w:pPr>
      <w:r>
        <w:rPr>
          <w:rFonts w:ascii="Times New Roman" w:cs="Times New Roman" w:eastAsia="Times New Roman" w:hAnsi="Times New Roman"/>
          <w:sz w:val="18"/>
          <w:szCs w:val="18"/>
          <w:color w:val="auto"/>
        </w:rPr>
        <w:t>EPFL Innovation Park, Building B</w:t>
      </w:r>
    </w:p>
    <w:p>
      <w:pPr>
        <w:ind w:left="1760"/>
        <w:spacing w:after="0" w:line="228" w:lineRule="auto"/>
        <w:rPr>
          <w:sz w:val="20"/>
          <w:szCs w:val="20"/>
          <w:color w:val="auto"/>
        </w:rPr>
      </w:pPr>
      <w:r>
        <w:rPr>
          <w:rFonts w:ascii="Times New Roman" w:cs="Times New Roman" w:eastAsia="Times New Roman" w:hAnsi="Times New Roman"/>
          <w:sz w:val="18"/>
          <w:szCs w:val="18"/>
          <w:color w:val="auto"/>
        </w:rPr>
        <w:t>CH-1015 Lausanne, Switzerland</w:t>
      </w:r>
    </w:p>
    <w:p>
      <w:pPr>
        <w:ind w:left="1760"/>
        <w:spacing w:after="0"/>
        <w:rPr>
          <w:sz w:val="20"/>
          <w:szCs w:val="20"/>
          <w:color w:val="auto"/>
        </w:rPr>
      </w:pPr>
      <w:r>
        <w:rPr>
          <w:rFonts w:ascii="Times New Roman" w:cs="Times New Roman" w:eastAsia="Times New Roman" w:hAnsi="Times New Roman"/>
          <w:sz w:val="18"/>
          <w:szCs w:val="18"/>
          <w:color w:val="auto"/>
        </w:rPr>
        <w:t>Attention: General Counsel, Legal Department</w:t>
      </w:r>
    </w:p>
    <w:p>
      <w:pPr>
        <w:spacing w:after="0" w:line="165"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14.8. Entire Agreement; Amendments. </w:t>
      </w:r>
      <w:r>
        <w:rPr>
          <w:rFonts w:ascii="Times New Roman" w:cs="Times New Roman" w:eastAsia="Times New Roman" w:hAnsi="Times New Roman"/>
          <w:sz w:val="18"/>
          <w:szCs w:val="18"/>
          <w:color w:val="auto"/>
        </w:rPr>
        <w:t>This Agreement, together with the attached Schedules, 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and constitutes the entire agreement and understanding between the Parties with respect to the subject matter of this Agreement and all prior agreements, understandings and representations, whether written or oral, with respect thereto, including the Confidentiality Agreement, are superseded hereby.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w:t>
      </w:r>
    </w:p>
    <w:p>
      <w:pPr>
        <w:spacing w:after="0" w:line="147" w:lineRule="exact"/>
        <w:rPr>
          <w:sz w:val="20"/>
          <w:szCs w:val="20"/>
          <w:color w:val="auto"/>
        </w:rPr>
      </w:pPr>
    </w:p>
    <w:p>
      <w:pPr>
        <w:jc w:val="both"/>
        <w:ind w:left="200" w:right="199" w:firstLine="10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14.9. English Language. </w:t>
      </w:r>
      <w:r>
        <w:rPr>
          <w:rFonts w:ascii="Times New Roman" w:cs="Times New Roman" w:eastAsia="Times New Roman" w:hAnsi="Times New Roman"/>
          <w:sz w:val="18"/>
          <w:szCs w:val="18"/>
          <w:color w:val="auto"/>
        </w:rPr>
        <w:t>This Agreement shall be written and executed in, and all other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or in connection with this Agreement shall be in, the English</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94" w:name="page95"/>
    <w:bookmarkEnd w:id="94"/>
    <w:p>
      <w:pPr>
        <w:jc w:val="both"/>
        <w:ind w:left="200" w:right="219"/>
        <w:spacing w:after="0" w:line="252" w:lineRule="auto"/>
        <w:rPr>
          <w:sz w:val="20"/>
          <w:szCs w:val="20"/>
          <w:color w:val="auto"/>
        </w:rPr>
      </w:pPr>
      <w:r>
        <w:rPr>
          <w:rFonts w:ascii="Times New Roman" w:cs="Times New Roman" w:eastAsia="Times New Roman" w:hAnsi="Times New Roman"/>
          <w:sz w:val="18"/>
          <w:szCs w:val="18"/>
          <w:color w:val="auto"/>
        </w:rPr>
        <w:t>language. Any translation into any other language shall not be an official version and in the event of any conflict in interpretation between the English version and such translation, the English version shall control.</w:t>
      </w:r>
    </w:p>
    <w:p>
      <w:pPr>
        <w:spacing w:after="0" w:line="132" w:lineRule="exact"/>
        <w:rPr>
          <w:sz w:val="20"/>
          <w:szCs w:val="20"/>
          <w:color w:val="auto"/>
        </w:rPr>
      </w:pPr>
    </w:p>
    <w:p>
      <w:pPr>
        <w:jc w:val="both"/>
        <w:ind w:left="200" w:right="199" w:firstLine="1051"/>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14.10. Equitable Relief. </w:t>
      </w:r>
      <w:r>
        <w:rPr>
          <w:rFonts w:ascii="Times New Roman" w:cs="Times New Roman" w:eastAsia="Times New Roman" w:hAnsi="Times New Roman"/>
          <w:sz w:val="18"/>
          <w:szCs w:val="18"/>
          <w:color w:val="auto"/>
        </w:rPr>
        <w:t>Each Party acknowledges and agrees that the provisions of Section 4‎.5,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 and Articles 9‎ and 10‎ are reasonable and necessary to protect the legitimate interests of the other Party and that such other Party would not have entered into this Agreement in the absence of such provisions and that any breach or threatened breach of any provision of such Section or Articles will result in irreparable injury to such other Party for which there will be no adequate remedy at law. In the event of a breach or threatened breach of any provision of such Section or Articles, the non-breaching Party shall be authorized and entitled to obtain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Party (a) post a bond or other security as a condition for obtaining any such relief and (b) show irreparable harm, balancing of harms, consideration of the public interest or inadequacy of monetary damages as a remedy. Nothing in this Section 14‎.10 is intended or should be construed, to limit either Party’s right to equitable relief or any other remedy for a breach of any other provision of this Agreement.</w:t>
      </w:r>
    </w:p>
    <w:p>
      <w:pPr>
        <w:spacing w:after="0" w:line="146" w:lineRule="exact"/>
        <w:rPr>
          <w:sz w:val="20"/>
          <w:szCs w:val="20"/>
          <w:color w:val="auto"/>
        </w:rPr>
      </w:pPr>
    </w:p>
    <w:p>
      <w:pPr>
        <w:jc w:val="both"/>
        <w:ind w:left="200" w:right="199" w:firstLine="1051"/>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14.11. Waiver and Non-Exclusion of Remedies. </w:t>
      </w:r>
      <w:r>
        <w:rPr>
          <w:rFonts w:ascii="Times New Roman" w:cs="Times New Roman" w:eastAsia="Times New Roman" w:hAnsi="Times New Roman"/>
          <w:sz w:val="18"/>
          <w:szCs w:val="18"/>
          <w:color w:val="auto"/>
        </w:rPr>
        <w:t>Any term or condition of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at any time by the Party that is entitled to the benefit thereof, but no such waiver shall be effective unless set forth in a written instrument duly executed by or on behalf of the Party waiving such term or condition. The waiver by either Party of any right or of the failure to perform or of a breach by the other Party shall not be deemed a waiver of any other right or of any other breach or failure by such other Party whether of a similar nature or otherwise. The rights and remedies provided in this Agreement are cumulative and do not exclude any other right or remedy provided by Applicable Law or otherwise available, except as expressly provided herein.</w:t>
      </w:r>
    </w:p>
    <w:p>
      <w:pPr>
        <w:spacing w:after="0" w:line="147" w:lineRule="exact"/>
        <w:rPr>
          <w:sz w:val="20"/>
          <w:szCs w:val="20"/>
          <w:color w:val="auto"/>
        </w:rPr>
      </w:pPr>
    </w:p>
    <w:p>
      <w:pPr>
        <w:jc w:val="both"/>
        <w:ind w:left="200" w:right="199" w:firstLine="1051"/>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14.12. No Benefit to Third Parties. </w:t>
      </w:r>
      <w:r>
        <w:rPr>
          <w:rFonts w:ascii="Times New Roman" w:cs="Times New Roman" w:eastAsia="Times New Roman" w:hAnsi="Times New Roman"/>
          <w:sz w:val="18"/>
          <w:szCs w:val="18"/>
          <w:color w:val="auto"/>
        </w:rPr>
        <w:t>The Contracts (Rights of Third Parties) Act 1999 shall not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except with respect to Article 12‎. Except as provided in Article 12,‎ subject to the foregoing, the covenants and agreements set forth in this Agreement are for the sole benefit of the Parties and their successors and permitted assigns and they shall not be construed as conferring any rights on any other Persons (including any Third Party beneficiary rights) (whether under the Contracts (Rights of Third Parties) Act 1999 or otherwise).</w:t>
      </w:r>
    </w:p>
    <w:p>
      <w:pPr>
        <w:spacing w:after="0" w:line="142"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14.13. Further Assurance. </w:t>
      </w:r>
      <w:r>
        <w:rPr>
          <w:rFonts w:ascii="Times New Roman" w:cs="Times New Roman" w:eastAsia="Times New Roman" w:hAnsi="Times New Roman"/>
          <w:sz w:val="18"/>
          <w:szCs w:val="18"/>
          <w:color w:val="auto"/>
        </w:rPr>
        <w:t>Each Party shall duly execute and deliver or cause to be duly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such further instruments and do and cause to be done such further acts and things, including the filing of such assignments, agreements, documents and instruments, as may be necessary or as the other Party may reasonably request in connection with this Agreement.</w:t>
      </w:r>
    </w:p>
    <w:p>
      <w:pPr>
        <w:spacing w:after="0" w:line="146" w:lineRule="exact"/>
        <w:rPr>
          <w:sz w:val="20"/>
          <w:szCs w:val="20"/>
          <w:color w:val="auto"/>
        </w:rPr>
      </w:pPr>
    </w:p>
    <w:p>
      <w:pPr>
        <w:jc w:val="both"/>
        <w:ind w:left="200" w:right="21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14.14. Relationship of the Parties. </w:t>
      </w:r>
      <w:r>
        <w:rPr>
          <w:rFonts w:ascii="Times New Roman" w:cs="Times New Roman" w:eastAsia="Times New Roman" w:hAnsi="Times New Roman"/>
          <w:sz w:val="18"/>
          <w:szCs w:val="18"/>
          <w:color w:val="auto"/>
        </w:rPr>
        <w:t>It is expressly agreed that ACI, on the one hand, and Takeda,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hand, shall be independent contractors and that the relationship between the two Parties shall not constitute a partnership, joint venture or agency for any purpose.</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95" w:name="page96"/>
    <w:bookmarkEnd w:id="95"/>
    <w:p>
      <w:pPr>
        <w:jc w:val="both"/>
        <w:ind w:left="200" w:right="199"/>
        <w:spacing w:after="0" w:line="235" w:lineRule="auto"/>
        <w:rPr>
          <w:sz w:val="20"/>
          <w:szCs w:val="20"/>
          <w:color w:val="auto"/>
        </w:rPr>
      </w:pPr>
      <w:r>
        <w:rPr>
          <w:rFonts w:ascii="Times New Roman" w:cs="Times New Roman" w:eastAsia="Times New Roman" w:hAnsi="Times New Roman"/>
          <w:sz w:val="18"/>
          <w:szCs w:val="18"/>
          <w:color w:val="auto"/>
        </w:rPr>
        <w:t>Neither ACI, on the one hand, nor Takeda,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145" w:lineRule="exact"/>
        <w:rPr>
          <w:sz w:val="20"/>
          <w:szCs w:val="20"/>
          <w:color w:val="auto"/>
        </w:rPr>
      </w:pPr>
    </w:p>
    <w:p>
      <w:pPr>
        <w:jc w:val="both"/>
        <w:ind w:left="200" w:right="199" w:firstLine="1051"/>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14.15. Right to Offset. </w:t>
      </w:r>
      <w:r>
        <w:rPr>
          <w:rFonts w:ascii="Times New Roman" w:cs="Times New Roman" w:eastAsia="Times New Roman" w:hAnsi="Times New Roman"/>
          <w:sz w:val="18"/>
          <w:szCs w:val="18"/>
          <w:color w:val="auto"/>
        </w:rPr>
        <w:t>Takeda shall have the right to offset any amount owed by ACI to Takeda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this Agreement against any payments owed by Takeda to ACI under this Agreement. Such offsets shall be in addition to any other rights or remedies available under this Agreement and Applicable Law.</w:t>
      </w:r>
    </w:p>
    <w:p>
      <w:pPr>
        <w:spacing w:after="0" w:line="143" w:lineRule="exact"/>
        <w:rPr>
          <w:sz w:val="20"/>
          <w:szCs w:val="20"/>
          <w:color w:val="auto"/>
        </w:rPr>
      </w:pPr>
    </w:p>
    <w:p>
      <w:pPr>
        <w:jc w:val="both"/>
        <w:ind w:left="200" w:right="199" w:firstLine="1051"/>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14.16. References. </w:t>
      </w:r>
      <w:r>
        <w:rPr>
          <w:rFonts w:ascii="Times New Roman" w:cs="Times New Roman" w:eastAsia="Times New Roman" w:hAnsi="Times New Roman"/>
          <w:sz w:val="18"/>
          <w:szCs w:val="18"/>
          <w:color w:val="auto"/>
        </w:rPr>
        <w:t>Unless otherwise specified, (a) references in this Agreement to any Article, Section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shall 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46" w:lineRule="exact"/>
        <w:rPr>
          <w:sz w:val="20"/>
          <w:szCs w:val="20"/>
          <w:color w:val="auto"/>
        </w:rPr>
      </w:pPr>
    </w:p>
    <w:p>
      <w:pPr>
        <w:jc w:val="both"/>
        <w:ind w:left="200" w:right="199" w:firstLine="1051"/>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14.17. Construction. </w:t>
      </w:r>
      <w:r>
        <w:rPr>
          <w:rFonts w:ascii="Times New Roman" w:cs="Times New Roman" w:eastAsia="Times New Roman" w:hAnsi="Times New Roman"/>
          <w:sz w:val="16"/>
          <w:szCs w:val="16"/>
          <w:color w:val="auto"/>
        </w:rPr>
        <w:t>Except where the context otherwise requires, wherever used, the singular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 the plural, 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 term. All references to “will” are interchangeable with the word “shall” and shall be understood to be imperative or mandatory in nature. The language of this Agreement shall be deemed to be the language mutually chosen by the Parties and no rule of strict construction shall be applied against either Party.</w:t>
      </w:r>
    </w:p>
    <w:p>
      <w:pPr>
        <w:spacing w:after="0" w:line="127" w:lineRule="exact"/>
        <w:rPr>
          <w:sz w:val="20"/>
          <w:szCs w:val="20"/>
          <w:color w:val="auto"/>
        </w:rPr>
      </w:pPr>
    </w:p>
    <w:p>
      <w:pPr>
        <w:jc w:val="both"/>
        <w:ind w:left="200" w:right="199" w:firstLine="1051"/>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14.18. Counterparts. </w:t>
      </w:r>
      <w:r>
        <w:rPr>
          <w:rFonts w:ascii="Times New Roman" w:cs="Times New Roman" w:eastAsia="Times New Roman" w:hAnsi="Times New Roman"/>
          <w:sz w:val="18"/>
          <w:szCs w:val="18"/>
          <w:color w:val="auto"/>
        </w:rPr>
        <w:t>This Agreement may be executed in two (2) or more counterparts, each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an original, but all of which together shall constitute one (1) and the same instrument. This Agreement may be executed by PDF format via email or other electronically transmitted signatures and such signatures shall be deemed to bind each Party as if they were original signatures.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431800</wp:posOffset>
            </wp:positionV>
            <wp:extent cx="547624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96" w:name="page97"/>
    <w:bookmarkEnd w:id="96"/>
    <w:p>
      <w:pPr>
        <w:ind w:left="200"/>
        <w:spacing w:after="0"/>
        <w:rPr>
          <w:sz w:val="20"/>
          <w:szCs w:val="20"/>
          <w:color w:val="auto"/>
        </w:rPr>
      </w:pPr>
      <w:r>
        <w:rPr>
          <w:rFonts w:ascii="Times New Roman" w:cs="Times New Roman" w:eastAsia="Times New Roman" w:hAnsi="Times New Roman"/>
          <w:sz w:val="16"/>
          <w:szCs w:val="16"/>
          <w:color w:val="auto"/>
        </w:rPr>
        <w:t>THIS AGREEMENT IS EXECUTED by the authorized representatives of the Parties as of the Effective Date.</w:t>
      </w:r>
    </w:p>
    <w:p>
      <w:pPr>
        <w:sectPr>
          <w:pgSz w:w="11900" w:h="16838" w:orient="portrait"/>
          <w:cols w:equalWidth="0" w:num="1">
            <w:col w:w="9019"/>
          </w:cols>
          <w:pgMar w:left="1440" w:top="751" w:right="1440" w:bottom="1440" w:gutter="0" w:footer="0" w:header="0"/>
        </w:sectPr>
      </w:pPr>
    </w:p>
    <w:p>
      <w:pPr>
        <w:spacing w:after="0" w:line="383" w:lineRule="exact"/>
        <w:rPr>
          <w:sz w:val="20"/>
          <w:szCs w:val="20"/>
          <w:color w:val="auto"/>
        </w:rPr>
      </w:pPr>
    </w:p>
    <w:p>
      <w:pPr>
        <w:ind w:left="280"/>
        <w:spacing w:after="0"/>
        <w:tabs>
          <w:tab w:leader="none" w:pos="4560" w:val="left"/>
        </w:tabs>
        <w:rPr>
          <w:sz w:val="20"/>
          <w:szCs w:val="20"/>
          <w:color w:val="auto"/>
        </w:rPr>
      </w:pPr>
      <w:r>
        <w:rPr>
          <w:rFonts w:ascii="Times New Roman" w:cs="Times New Roman" w:eastAsia="Times New Roman" w:hAnsi="Times New Roman"/>
          <w:sz w:val="18"/>
          <w:szCs w:val="18"/>
          <w:b w:val="1"/>
          <w:bCs w:val="1"/>
          <w:color w:val="auto"/>
        </w:rPr>
        <w:t>TAKEDA PHARMACEUTICALS, USA, INC.</w:t>
      </w:r>
      <w:r>
        <w:rPr>
          <w:sz w:val="20"/>
          <w:szCs w:val="20"/>
          <w:color w:val="auto"/>
        </w:rPr>
        <w:tab/>
      </w:r>
      <w:r>
        <w:rPr>
          <w:rFonts w:ascii="Times New Roman" w:cs="Times New Roman" w:eastAsia="Times New Roman" w:hAnsi="Times New Roman"/>
          <w:sz w:val="16"/>
          <w:szCs w:val="16"/>
          <w:b w:val="1"/>
          <w:bCs w:val="1"/>
          <w:color w:val="auto"/>
        </w:rPr>
        <w:t>AC IMMUNE SA</w:t>
      </w:r>
    </w:p>
    <w:p>
      <w:pPr>
        <w:spacing w:after="0" w:line="189" w:lineRule="exact"/>
        <w:rPr>
          <w:sz w:val="20"/>
          <w:szCs w:val="20"/>
          <w:color w:val="auto"/>
        </w:rPr>
      </w:pPr>
    </w:p>
    <w:p>
      <w:pPr>
        <w:ind w:left="280"/>
        <w:spacing w:after="0"/>
        <w:tabs>
          <w:tab w:leader="none" w:pos="4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By:</w:t>
      </w:r>
    </w:p>
    <w:p>
      <w:pPr>
        <w:spacing w:after="0" w:line="165" w:lineRule="exact"/>
        <w:rPr>
          <w:sz w:val="20"/>
          <w:szCs w:val="20"/>
          <w:color w:val="auto"/>
        </w:rPr>
      </w:pPr>
    </w:p>
    <w:p>
      <w:pPr>
        <w:ind w:left="280"/>
        <w:spacing w:after="0"/>
        <w:tabs>
          <w:tab w:leader="none" w:pos="45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165" w:lineRule="exact"/>
        <w:rPr>
          <w:sz w:val="20"/>
          <w:szCs w:val="20"/>
          <w:color w:val="auto"/>
        </w:rPr>
      </w:pPr>
    </w:p>
    <w:p>
      <w:pPr>
        <w:ind w:left="280"/>
        <w:spacing w:after="0"/>
        <w:tabs>
          <w:tab w:leader="none" w:pos="4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w:t>
      </w:r>
    </w:p>
    <w:p>
      <w:pPr>
        <w:spacing w:after="0" w:line="1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1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Option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378460</wp:posOffset>
            </wp:positionV>
            <wp:extent cx="547624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503555</wp:posOffset>
            </wp:positionV>
            <wp:extent cx="547624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614680</wp:posOffset>
            </wp:positionV>
            <wp:extent cx="547624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99" w:name="page100"/>
    <w:bookmarkEnd w:id="99"/>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739775</wp:posOffset>
            </wp:positionV>
            <wp:extent cx="6365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365875"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100" w:name="page101"/>
    <w:bookmarkEnd w:id="100"/>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739775</wp:posOffset>
            </wp:positionV>
            <wp:extent cx="6365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365875"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01" w:name="page102"/>
    <w:bookmarkEnd w:id="101"/>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739775</wp:posOffset>
            </wp:positionV>
            <wp:extent cx="6365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365875"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102" w:name="page103"/>
    <w:bookmarkEnd w:id="102"/>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614680</wp:posOffset>
            </wp:positionV>
            <wp:extent cx="6365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365875"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864870</wp:posOffset>
            </wp:positionV>
            <wp:extent cx="547624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739775</wp:posOffset>
            </wp:positionV>
            <wp:extent cx="547624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628650</wp:posOffset>
            </wp:positionV>
            <wp:extent cx="547624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1010920</wp:posOffset>
            </wp:positionV>
            <wp:extent cx="547624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1010920</wp:posOffset>
            </wp:positionV>
            <wp:extent cx="547624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1010920</wp:posOffset>
            </wp:positionV>
            <wp:extent cx="547624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1010920</wp:posOffset>
            </wp:positionV>
            <wp:extent cx="547624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760730</wp:posOffset>
            </wp:positionV>
            <wp:extent cx="547624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11" w:name="page112"/>
    <w:bookmarkEnd w:id="111"/>
    <w:p>
      <w:pPr>
        <w:ind w:left="4000"/>
        <w:spacing w:after="0"/>
        <w:rPr>
          <w:sz w:val="20"/>
          <w:szCs w:val="20"/>
          <w:color w:val="auto"/>
        </w:rPr>
      </w:pPr>
      <w:r>
        <w:rPr>
          <w:rFonts w:ascii="Times New Roman" w:cs="Times New Roman" w:eastAsia="Times New Roman" w:hAnsi="Times New Roman"/>
          <w:sz w:val="18"/>
          <w:szCs w:val="18"/>
          <w:b w:val="1"/>
          <w:bCs w:val="1"/>
          <w:color w:val="auto"/>
        </w:rPr>
        <w:t>Schedule 10‎.7</w:t>
      </w:r>
    </w:p>
    <w:p>
      <w:pPr>
        <w:spacing w:after="0" w:line="1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2540</wp:posOffset>
            </wp:positionV>
            <wp:extent cx="5483225" cy="8826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48322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News Release</w:t>
      </w:r>
    </w:p>
    <w:p>
      <w:pPr>
        <w:spacing w:after="0" w:line="186" w:lineRule="exact"/>
        <w:rPr>
          <w:sz w:val="20"/>
          <w:szCs w:val="20"/>
          <w:color w:val="auto"/>
        </w:rPr>
      </w:pPr>
    </w:p>
    <w:p>
      <w:pPr>
        <w:jc w:val="center"/>
        <w:ind w:left="1660" w:right="60"/>
        <w:spacing w:after="0" w:line="271" w:lineRule="auto"/>
        <w:rPr>
          <w:sz w:val="20"/>
          <w:szCs w:val="20"/>
          <w:color w:val="auto"/>
        </w:rPr>
      </w:pPr>
      <w:r>
        <w:rPr>
          <w:rFonts w:ascii="Times New Roman" w:cs="Times New Roman" w:eastAsia="Times New Roman" w:hAnsi="Times New Roman"/>
          <w:sz w:val="16"/>
          <w:szCs w:val="16"/>
          <w:b w:val="1"/>
          <w:bCs w:val="1"/>
          <w:color w:val="auto"/>
        </w:rPr>
        <w:t>AC Immune and Takeda Sign Exclusive Option and License Agreement for Active Immunotherapy Targeting Amyloid Beta for Alzheimer’s Disease</w:t>
      </w:r>
    </w:p>
    <w:p>
      <w:pPr>
        <w:ind w:left="600" w:right="299" w:hanging="261"/>
        <w:spacing w:after="0" w:line="328" w:lineRule="auto"/>
        <w:tabs>
          <w:tab w:leader="none" w:pos="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Takeda to receive exclusive option to license global rights to ACI-24.060, a potential first-in-class active immunotherapy designed to delay or slow Alzheimer’s disease progression</w:t>
      </w:r>
    </w:p>
    <w:p>
      <w:pPr>
        <w:ind w:left="600" w:right="299" w:hanging="261"/>
        <w:spacing w:after="0" w:line="328" w:lineRule="auto"/>
        <w:tabs>
          <w:tab w:leader="none" w:pos="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AC Immune to receive upfront payment of $100 million upon closing and be eligible for an option exercise fee and additional potential milestones of up to approximately $2.1 billion</w:t>
      </w:r>
    </w:p>
    <w:p>
      <w:pPr>
        <w:ind w:left="600" w:hanging="261"/>
        <w:spacing w:after="0"/>
        <w:tabs>
          <w:tab w:leader="none" w:pos="6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i w:val="1"/>
          <w:iCs w:val="1"/>
          <w:color w:val="auto"/>
        </w:rPr>
        <w:t>AC Immune to host conference call and webcast today at 8:30 a.m. ET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OSAKA, Japan, CAMBRIDGE, Massachusetts, and LAUSANNE, Switzerland, May 13, 2024 – </w:t>
      </w:r>
      <w:r>
        <w:rPr>
          <w:rFonts w:ascii="Times New Roman" w:cs="Times New Roman" w:eastAsia="Times New Roman" w:hAnsi="Times New Roman"/>
          <w:sz w:val="16"/>
          <w:szCs w:val="16"/>
          <w:color w:val="auto"/>
        </w:rPr>
        <w:t>Takeda</w:t>
      </w:r>
    </w:p>
    <w:p>
      <w:pPr>
        <w:spacing w:after="0" w:line="22" w:lineRule="exact"/>
        <w:rPr>
          <w:sz w:val="20"/>
          <w:szCs w:val="20"/>
          <w:color w:val="auto"/>
        </w:rPr>
      </w:pPr>
    </w:p>
    <w:p>
      <w:pPr>
        <w:jc w:val="both"/>
        <w:ind w:left="200" w:right="459"/>
        <w:spacing w:after="0" w:line="247" w:lineRule="auto"/>
        <w:rPr>
          <w:sz w:val="20"/>
          <w:szCs w:val="20"/>
          <w:color w:val="auto"/>
        </w:rPr>
      </w:pP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TSE:4502/NYSE:TAK)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AC Immune SA (NASDAQ: ACIU) today announced an exclusive, worldwide option and license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for AC Immune’s active immunotherapies targeting toxic forms of amyloid beta (Abeta), including ACI-24.060 for the treatment of Alzheimer’s disease.</w:t>
      </w:r>
    </w:p>
    <w:p>
      <w:pPr>
        <w:spacing w:after="0" w:line="158" w:lineRule="exact"/>
        <w:rPr>
          <w:sz w:val="20"/>
          <w:szCs w:val="20"/>
          <w:color w:val="auto"/>
        </w:rPr>
      </w:pPr>
    </w:p>
    <w:p>
      <w:pPr>
        <w:ind w:left="200" w:right="299"/>
        <w:spacing w:after="0" w:line="252" w:lineRule="auto"/>
        <w:rPr>
          <w:sz w:val="20"/>
          <w:szCs w:val="20"/>
          <w:color w:val="auto"/>
        </w:rPr>
      </w:pPr>
      <w:r>
        <w:rPr>
          <w:rFonts w:ascii="Times New Roman" w:cs="Times New Roman" w:eastAsia="Times New Roman" w:hAnsi="Times New Roman"/>
          <w:sz w:val="16"/>
          <w:szCs w:val="16"/>
          <w:color w:val="auto"/>
        </w:rPr>
        <w:t>ACI-24.060 is an anti-Abeta active immunotherapy candidate designed to induce a robust antibody response against the toxic forms of Abeta believed to drive plaque formation and Alzheimer’s disease progression. By inducing plaque clearance and efficiently inhibiting plaque formation in the brain, ACI-24.060 has the potential to delay or slow Alzheimer’s disease progression. ACI-24.060 is being investigated in the ongoing ABATE randomized, double-blind, placebo-controlled Phase 1b/2 trial to assess the safety, tolerability, immunogenicity and pharmacodynamic effects of the investigational immunotherapy in subjects with prodromal Alzheimer’s disease and in adults with Down syndrome.</w:t>
      </w:r>
    </w:p>
    <w:p>
      <w:pPr>
        <w:spacing w:after="0" w:line="154" w:lineRule="exact"/>
        <w:rPr>
          <w:sz w:val="20"/>
          <w:szCs w:val="20"/>
          <w:color w:val="auto"/>
        </w:rPr>
      </w:pPr>
    </w:p>
    <w:p>
      <w:pPr>
        <w:ind w:left="200" w:right="219"/>
        <w:spacing w:after="0" w:line="247" w:lineRule="auto"/>
        <w:rPr>
          <w:sz w:val="20"/>
          <w:szCs w:val="20"/>
          <w:color w:val="auto"/>
        </w:rPr>
      </w:pPr>
      <w:r>
        <w:rPr>
          <w:rFonts w:ascii="Times New Roman" w:cs="Times New Roman" w:eastAsia="Times New Roman" w:hAnsi="Times New Roman"/>
          <w:sz w:val="16"/>
          <w:szCs w:val="16"/>
          <w:color w:val="auto"/>
        </w:rPr>
        <w:t>“As pioneers in the field of active immunotherapy, we are developing an innovative approach that could change the treatment paradigm for Alzheimer’s disease and address the multifaceted burden that patients and the broader community face. We believe the maximum impact of ACI-24.060 can best be realized by partnering with Takeda at this critical juncture in its development, which will help us move rapidly into Phase 3,” said Dr. Andrea Pfeifer, CEO of AC Immune. “This agreement allows us to leverage the developmental expertise, strategic vision and financial capacity of an accomplished organization that has demonstrated its ability to execute the type of comprehensive global program required for Phase 3 trials in Alzheimer’s disease while allowing us to focus on completing Phase 1b/2 development and accelerating our efforts to replicate this success with enhanced funding for our early-stage pipeline.”</w:t>
      </w:r>
    </w:p>
    <w:p>
      <w:pPr>
        <w:spacing w:after="0" w:line="83" w:lineRule="exact"/>
        <w:rPr>
          <w:sz w:val="20"/>
          <w:szCs w:val="20"/>
          <w:color w:val="auto"/>
        </w:rPr>
      </w:pPr>
    </w:p>
    <w:p>
      <w:pPr>
        <w:ind w:left="200" w:right="599"/>
        <w:spacing w:after="0" w:line="275" w:lineRule="auto"/>
        <w:rPr>
          <w:sz w:val="20"/>
          <w:szCs w:val="20"/>
          <w:color w:val="auto"/>
        </w:rPr>
      </w:pPr>
      <w:r>
        <w:rPr>
          <w:rFonts w:ascii="Times New Roman" w:cs="Times New Roman" w:eastAsia="Times New Roman" w:hAnsi="Times New Roman"/>
          <w:sz w:val="16"/>
          <w:szCs w:val="16"/>
          <w:color w:val="auto"/>
        </w:rPr>
        <w:t>AC Immune will be responsible for completing the ABATE trial. Following option exercise, Takeda would conduct and fund all further clinical development and be responsible for all global regulatory activities as well as worldwide commercialization.</w:t>
      </w:r>
    </w:p>
    <w:p>
      <w:pPr>
        <w:spacing w:after="0" w:line="147" w:lineRule="exact"/>
        <w:rPr>
          <w:sz w:val="20"/>
          <w:szCs w:val="20"/>
          <w:color w:val="auto"/>
        </w:rPr>
      </w:pPr>
    </w:p>
    <w:p>
      <w:pPr>
        <w:ind w:left="200" w:right="239"/>
        <w:spacing w:after="0" w:line="275" w:lineRule="auto"/>
        <w:rPr>
          <w:sz w:val="20"/>
          <w:szCs w:val="20"/>
          <w:color w:val="auto"/>
        </w:rPr>
      </w:pPr>
      <w:r>
        <w:rPr>
          <w:rFonts w:ascii="Times New Roman" w:cs="Times New Roman" w:eastAsia="Times New Roman" w:hAnsi="Times New Roman"/>
          <w:sz w:val="16"/>
          <w:szCs w:val="16"/>
          <w:color w:val="auto"/>
        </w:rPr>
        <w:t>“At Takeda, we are committed to tackling some of society’s most debilitating illnesses, including Alzheimer’s disease. We are excited to partner with AC Immune on this ground-breaking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459740</wp:posOffset>
            </wp:positionV>
            <wp:extent cx="547624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750" w:right="1440" w:bottom="1440" w:gutter="0" w:footer="0" w:header="0"/>
        </w:sectPr>
      </w:pPr>
    </w:p>
    <w:bookmarkStart w:id="112" w:name="page113"/>
    <w:bookmarkEnd w:id="112"/>
    <w:p>
      <w:pPr>
        <w:ind w:left="200" w:right="199"/>
        <w:spacing w:after="0" w:line="250" w:lineRule="auto"/>
        <w:rPr>
          <w:sz w:val="20"/>
          <w:szCs w:val="20"/>
          <w:color w:val="auto"/>
        </w:rPr>
      </w:pPr>
      <w:r>
        <w:rPr>
          <w:rFonts w:ascii="Times New Roman" w:cs="Times New Roman" w:eastAsia="Times New Roman" w:hAnsi="Times New Roman"/>
          <w:sz w:val="16"/>
          <w:szCs w:val="16"/>
          <w:color w:val="auto"/>
        </w:rPr>
        <w:t>approach, which leverages novel technology with the potential to offer patients a treatment with differentiated efficacy, safety and ease of administration,” said Sarah Sheikh, M.Sc., B.M., B.Ch, MRCP, Head, Neuroscience Therapeutic Area Unit and Head, Global Development at Takeda. “Combining AC Immune’s deep experience with active immunotherapy approaches with Takeda’s expertise in neuroscience drug development and commercialization, we have an incredible opportunity to deliver real impact to the Alzheimer’s community.”</w:t>
      </w:r>
    </w:p>
    <w:p>
      <w:pPr>
        <w:spacing w:after="0" w:line="158" w:lineRule="exact"/>
        <w:rPr>
          <w:sz w:val="20"/>
          <w:szCs w:val="20"/>
          <w:color w:val="auto"/>
        </w:rPr>
      </w:pPr>
    </w:p>
    <w:p>
      <w:pPr>
        <w:jc w:val="both"/>
        <w:ind w:left="200" w:right="379"/>
        <w:spacing w:after="0" w:line="253" w:lineRule="auto"/>
        <w:rPr>
          <w:sz w:val="20"/>
          <w:szCs w:val="20"/>
          <w:color w:val="auto"/>
        </w:rPr>
      </w:pPr>
      <w:r>
        <w:rPr>
          <w:rFonts w:ascii="Times New Roman" w:cs="Times New Roman" w:eastAsia="Times New Roman" w:hAnsi="Times New Roman"/>
          <w:sz w:val="16"/>
          <w:szCs w:val="16"/>
          <w:color w:val="auto"/>
        </w:rPr>
        <w:t>Under the terms of the agreement, AC Immune will receive an upfront payment of $100 million and be eligible to receive an option exercise fee and additional potential development, commercial and sales-based milestones of up to approximately $2.1 billion if all related milestones are achieved over the course of the agreement. Upon commercialization, AC Immune will be entitled to receive tiered double-digit royalties on worldwide net sales.</w:t>
      </w:r>
    </w:p>
    <w:p>
      <w:pPr>
        <w:spacing w:after="0" w:line="154" w:lineRule="exact"/>
        <w:rPr>
          <w:sz w:val="20"/>
          <w:szCs w:val="20"/>
          <w:color w:val="auto"/>
        </w:rPr>
      </w:pPr>
    </w:p>
    <w:p>
      <w:pPr>
        <w:jc w:val="both"/>
        <w:ind w:left="200" w:right="759"/>
        <w:spacing w:after="0" w:line="258" w:lineRule="auto"/>
        <w:rPr>
          <w:sz w:val="20"/>
          <w:szCs w:val="20"/>
          <w:color w:val="auto"/>
        </w:rPr>
      </w:pPr>
      <w:r>
        <w:rPr>
          <w:rFonts w:ascii="Times New Roman" w:cs="Times New Roman" w:eastAsia="Times New Roman" w:hAnsi="Times New Roman"/>
          <w:sz w:val="16"/>
          <w:szCs w:val="16"/>
          <w:color w:val="auto"/>
        </w:rPr>
        <w:t>Further details related to the agreement are available in the Form 6-K filed today by AC Immune with the U.S. Securities and Exchange Commission (SEC). The effectiveness of Takeda’s license following option exercise is subject to the termination or expiration of any applicable waiting periods under the Hart-Scott-Rodino Act.</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Conference Call and Webcast Information</w:t>
      </w:r>
    </w:p>
    <w:p>
      <w:pPr>
        <w:spacing w:after="0" w:line="234" w:lineRule="exact"/>
        <w:rPr>
          <w:sz w:val="20"/>
          <w:szCs w:val="20"/>
          <w:color w:val="auto"/>
        </w:rPr>
      </w:pPr>
    </w:p>
    <w:p>
      <w:pPr>
        <w:ind w:left="200" w:right="999"/>
        <w:spacing w:after="0" w:line="318" w:lineRule="auto"/>
        <w:rPr>
          <w:sz w:val="20"/>
          <w:szCs w:val="20"/>
          <w:color w:val="auto"/>
        </w:rPr>
      </w:pPr>
      <w:r>
        <w:rPr>
          <w:rFonts w:ascii="Times New Roman" w:cs="Times New Roman" w:eastAsia="Times New Roman" w:hAnsi="Times New Roman"/>
          <w:sz w:val="16"/>
          <w:szCs w:val="16"/>
          <w:color w:val="auto"/>
        </w:rPr>
        <w:t>AC Immune management will host a conference call and webcast today at 8:30 a.m. ET to provide a brief overview of the agreement.</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Monday, May 13 at 8:30 a.m. ET</w:t>
      </w:r>
    </w:p>
    <w:p>
      <w:pPr>
        <w:spacing w:after="0" w:line="254" w:lineRule="exact"/>
        <w:rPr>
          <w:sz w:val="20"/>
          <w:szCs w:val="20"/>
          <w:color w:val="auto"/>
        </w:rPr>
      </w:pPr>
    </w:p>
    <w:p>
      <w:pPr>
        <w:ind w:left="200" w:right="939"/>
        <w:spacing w:after="0" w:line="360" w:lineRule="auto"/>
        <w:rPr>
          <w:sz w:val="20"/>
          <w:szCs w:val="20"/>
          <w:color w:val="auto"/>
        </w:rPr>
      </w:pPr>
      <w:r>
        <w:rPr>
          <w:rFonts w:ascii="Times New Roman" w:cs="Times New Roman" w:eastAsia="Times New Roman" w:hAnsi="Times New Roman"/>
          <w:sz w:val="16"/>
          <w:szCs w:val="16"/>
          <w:color w:val="auto"/>
        </w:rPr>
        <w:t>Participants wishing to ask questions or to join the event via phone may call the following numbers 10 – 15 minutes before conference start:</w:t>
      </w:r>
    </w:p>
    <w:p>
      <w:pPr>
        <w:spacing w:after="0" w:line="92" w:lineRule="exact"/>
        <w:rPr>
          <w:sz w:val="20"/>
          <w:szCs w:val="20"/>
          <w:color w:val="auto"/>
        </w:rPr>
      </w:pPr>
    </w:p>
    <w:tbl>
      <w:tblPr>
        <w:tblLayout w:type="fixed"/>
        <w:tblInd w:w="210" w:type="dxa"/>
        <w:tblCellMar>
          <w:top w:w="0" w:type="dxa"/>
          <w:left w:w="0" w:type="dxa"/>
          <w:bottom w:w="0" w:type="dxa"/>
          <w:right w:w="0" w:type="dxa"/>
        </w:tblCellMar>
      </w:tblPr>
      <w:tr>
        <w:trPr>
          <w:trHeight w:val="234"/>
        </w:trPr>
        <w:tc>
          <w:tcPr>
            <w:tcW w:w="43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426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+1 (1) 631 570 56 13</w:t>
            </w:r>
          </w:p>
        </w:tc>
      </w:tr>
      <w:tr>
        <w:trPr>
          <w:trHeight w:val="204"/>
        </w:trPr>
        <w:tc>
          <w:tcPr>
            <w:tcW w:w="43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spacing w:after="0"/>
              <w:rPr>
                <w:sz w:val="17"/>
                <w:szCs w:val="17"/>
                <w:color w:val="auto"/>
              </w:rPr>
            </w:pPr>
          </w:p>
        </w:tc>
      </w:tr>
      <w:tr>
        <w:trPr>
          <w:trHeight w:val="214"/>
        </w:trPr>
        <w:tc>
          <w:tcPr>
            <w:tcW w:w="4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Switzerland / Europe</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+41 (0)</w:t>
            </w:r>
          </w:p>
        </w:tc>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58 310 50 00</w:t>
            </w:r>
          </w:p>
        </w:tc>
      </w:tr>
      <w:tr>
        <w:trPr>
          <w:trHeight w:val="204"/>
        </w:trPr>
        <w:tc>
          <w:tcPr>
            <w:tcW w:w="43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spacing w:after="0"/>
              <w:rPr>
                <w:sz w:val="17"/>
                <w:szCs w:val="17"/>
                <w:color w:val="auto"/>
              </w:rPr>
            </w:pPr>
          </w:p>
        </w:tc>
      </w:tr>
      <w:tr>
        <w:trPr>
          <w:trHeight w:val="214"/>
        </w:trPr>
        <w:tc>
          <w:tcPr>
            <w:tcW w:w="4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+44 (0)</w:t>
            </w:r>
          </w:p>
        </w:tc>
        <w:tc>
          <w:tcPr>
            <w:tcW w:w="3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207 107 06 13</w:t>
            </w:r>
          </w:p>
        </w:tc>
      </w:tr>
      <w:tr>
        <w:trPr>
          <w:trHeight w:val="204"/>
        </w:trPr>
        <w:tc>
          <w:tcPr>
            <w:tcW w:w="43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spacing w:after="0"/>
              <w:rPr>
                <w:sz w:val="17"/>
                <w:szCs w:val="17"/>
                <w:color w:val="auto"/>
              </w:rPr>
            </w:pPr>
          </w:p>
        </w:tc>
      </w:tr>
      <w:tr>
        <w:trPr>
          <w:trHeight w:val="214"/>
        </w:trPr>
        <w:tc>
          <w:tcPr>
            <w:tcW w:w="4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Other international numbers available</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HERE</w:t>
            </w:r>
          </w:p>
        </w:tc>
        <w:tc>
          <w:tcPr>
            <w:tcW w:w="3680" w:type="dxa"/>
            <w:vAlign w:val="bottom"/>
            <w:tcBorders>
              <w:right w:val="single" w:sz="8" w:color="auto"/>
            </w:tcBorders>
          </w:tcPr>
          <w:p>
            <w:pPr>
              <w:spacing w:after="0"/>
              <w:rPr>
                <w:sz w:val="18"/>
                <w:szCs w:val="18"/>
                <w:color w:val="auto"/>
              </w:rPr>
            </w:pPr>
          </w:p>
        </w:tc>
      </w:tr>
      <w:tr>
        <w:trPr>
          <w:trHeight w:val="204"/>
        </w:trPr>
        <w:tc>
          <w:tcPr>
            <w:tcW w:w="434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Webcast:</w:t>
      </w: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https://event.choruscall.com/mediaframe/webcast.html?webcastid=YteAZhdg</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Please note that there is a function to type in your questions via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902970</wp:posOffset>
            </wp:positionV>
            <wp:extent cx="5476240"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13" w:name="page114"/>
    <w:bookmarkEnd w:id="113"/>
    <w:p>
      <w:pPr>
        <w:ind w:left="200" w:right="2159"/>
        <w:spacing w:after="0" w:line="360" w:lineRule="auto"/>
        <w:rPr>
          <w:sz w:val="20"/>
          <w:szCs w:val="20"/>
          <w:color w:val="auto"/>
        </w:rPr>
      </w:pPr>
      <w:r>
        <w:rPr>
          <w:rFonts w:ascii="Times New Roman" w:cs="Times New Roman" w:eastAsia="Times New Roman" w:hAnsi="Times New Roman"/>
          <w:sz w:val="16"/>
          <w:szCs w:val="16"/>
          <w:color w:val="auto"/>
        </w:rPr>
        <w:t>A live and archived webcast will also be accessible in the Investors section of the Company's website at https://www.acimmune.com/.</w:t>
      </w:r>
    </w:p>
    <w:p>
      <w:pPr>
        <w:spacing w:after="0" w:line="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About ACI-24.060</w:t>
      </w:r>
    </w:p>
    <w:p>
      <w:pPr>
        <w:spacing w:after="0" w:line="22" w:lineRule="exact"/>
        <w:rPr>
          <w:sz w:val="20"/>
          <w:szCs w:val="20"/>
          <w:color w:val="auto"/>
        </w:rPr>
      </w:pPr>
    </w:p>
    <w:p>
      <w:pPr>
        <w:ind w:left="200" w:right="259"/>
        <w:spacing w:after="0" w:line="243" w:lineRule="auto"/>
        <w:rPr>
          <w:sz w:val="20"/>
          <w:szCs w:val="20"/>
          <w:color w:val="auto"/>
        </w:rPr>
      </w:pPr>
      <w:r>
        <w:rPr>
          <w:rFonts w:ascii="Times New Roman" w:cs="Times New Roman" w:eastAsia="Times New Roman" w:hAnsi="Times New Roman"/>
          <w:sz w:val="16"/>
          <w:szCs w:val="16"/>
          <w:color w:val="auto"/>
        </w:rPr>
        <w:t>This product is AC Immune’s anti-Abeta active immunotherapy candidate. The ABATE randomized, double-blind, placebo-controlled Phase 1b/2 trial of ACI-24.060 for treatment of Alzheimer’s disease (AD) continues fully blinded (NCT05462106). Enrolled patients are required to have a diagnosis of prodromal AD: MCI due to AD according to the National Institute on Aging Alzheimer’s Association (NIA-AA) criteria, and a PET scan at screening must be consistent with the presence of amyloid pathology. Patients will be randomized to one of several doses of ACI-24.060 or placebo. Following multiple data safety monitoring board (DSMB) reviews, no safety concerns have been raised to date, consistent with previous results. Immunogenicity of the immunotherapy is very encouraging with clear evidence of anti-Abeta antibody responses against toxic Abeta species observed in the blinded data. The six-month Abeta positron emission tomography (PET) imaging results are expected in Q2 2024, and the 12-month Abeta PET data are expected in Q4 2024.</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About Takeda</w:t>
      </w:r>
    </w:p>
    <w:p>
      <w:pPr>
        <w:spacing w:after="0" w:line="22" w:lineRule="exact"/>
        <w:rPr>
          <w:sz w:val="20"/>
          <w:szCs w:val="20"/>
          <w:color w:val="auto"/>
        </w:rPr>
      </w:pPr>
    </w:p>
    <w:p>
      <w:pPr>
        <w:ind w:left="200" w:right="219"/>
        <w:spacing w:after="0" w:line="244" w:lineRule="auto"/>
        <w:rPr>
          <w:sz w:val="20"/>
          <w:szCs w:val="20"/>
          <w:color w:val="auto"/>
        </w:rPr>
      </w:pPr>
      <w:r>
        <w:rPr>
          <w:rFonts w:ascii="Times New Roman" w:cs="Times New Roman" w:eastAsia="Times New Roman" w:hAnsi="Times New Roman"/>
          <w:sz w:val="16"/>
          <w:szCs w:val="16"/>
          <w:color w:val="auto"/>
        </w:rPr>
        <w:t>Takeda is focused on creating better health for people and a brighter future for the world. We aim to discover and deliver life-transforming treatments in our core therapeutic and business areas, including gastrointestinal and inflammation, rare diseases, plasma-derived therapies, oncology, neuroscience and vaccines. Together with our partners, we aim to improve the patient experience and advance a new frontier of treatment options through our dynamic and diverse pipeline. As a leading values-based, R&amp;D-driven biopharmaceutical company headquartered in Japan, we are guided by our commitment to patients, our people and the planet. Our employees in approximately 80 countries and regions are driven by our purpose and are grounded in the values that have defined us for more than two centuries. For more information, visit www.takeda.com.</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About AC Immune SA</w:t>
      </w:r>
    </w:p>
    <w:p>
      <w:pPr>
        <w:spacing w:after="0" w:line="22" w:lineRule="exact"/>
        <w:rPr>
          <w:sz w:val="20"/>
          <w:szCs w:val="20"/>
          <w:color w:val="auto"/>
        </w:rPr>
      </w:pPr>
    </w:p>
    <w:p>
      <w:pPr>
        <w:jc w:val="both"/>
        <w:ind w:left="200" w:right="199"/>
        <w:spacing w:after="0" w:line="244" w:lineRule="auto"/>
        <w:rPr>
          <w:sz w:val="20"/>
          <w:szCs w:val="20"/>
          <w:color w:val="auto"/>
        </w:rPr>
      </w:pPr>
      <w:r>
        <w:rPr>
          <w:rFonts w:ascii="Times New Roman" w:cs="Times New Roman" w:eastAsia="Times New Roman" w:hAnsi="Times New Roman"/>
          <w:sz w:val="16"/>
          <w:szCs w:val="16"/>
          <w:color w:val="auto"/>
        </w:rPr>
        <w:t>AC Immune SA is a clinical-stage biopharmaceutical company that aims to become a global leader in precision medicine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resulting in substantial non-dilutive funding to advance its proprietary programs and &gt;$4.5 billion in potential milestone payments.</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SupraAntigen® is a registered trademark of AC Immune SA in the following territories: AU, EU, CH, GB, JP, RU, SG and USA.</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Morphomer® is a registered trademark of AC Immune SA in CN, CH, GB, JP, KR, NO and RU.</w:t>
      </w:r>
    </w:p>
    <w:p>
      <w:pPr>
        <w:spacing w:after="0" w:line="170"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16"/>
          <w:szCs w:val="16"/>
          <w:color w:val="auto"/>
        </w:rPr>
        <w:t>The information on our website and any other websites referenced herein is expressly not incorporated by reference into, and does not constitute a part of, this press release.</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AC Immune Investor and Media Contacts: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SVP, Investor Relations &amp; Corporate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Communications</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Gary Waanders, Ph.D., MBA AC Immune</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Phone: +41 21 345 91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481330</wp:posOffset>
            </wp:positionV>
            <wp:extent cx="547624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14" w:name="page115"/>
    <w:bookmarkEnd w:id="114"/>
    <w:p>
      <w:pPr>
        <w:ind w:left="200"/>
        <w:spacing w:after="0"/>
        <w:rPr>
          <w:sz w:val="20"/>
          <w:szCs w:val="20"/>
          <w:color w:val="auto"/>
        </w:rPr>
      </w:pPr>
      <w:r>
        <w:rPr>
          <w:rFonts w:ascii="Times New Roman" w:cs="Times New Roman" w:eastAsia="Times New Roman" w:hAnsi="Times New Roman"/>
          <w:sz w:val="16"/>
          <w:szCs w:val="16"/>
          <w:color w:val="auto"/>
        </w:rPr>
        <w:t>gary.waanders@acimmune.com</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U.S. Investors</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Corey Davis, Ph.D.</w:t>
      </w:r>
    </w:p>
    <w:p>
      <w:pPr>
        <w:ind w:left="200"/>
        <w:spacing w:after="0" w:line="231" w:lineRule="auto"/>
        <w:rPr>
          <w:sz w:val="20"/>
          <w:szCs w:val="20"/>
          <w:color w:val="auto"/>
        </w:rPr>
      </w:pPr>
      <w:r>
        <w:rPr>
          <w:rFonts w:ascii="Times New Roman" w:cs="Times New Roman" w:eastAsia="Times New Roman" w:hAnsi="Times New Roman"/>
          <w:sz w:val="16"/>
          <w:szCs w:val="16"/>
          <w:color w:val="auto"/>
        </w:rPr>
        <w:t>LifeSci Advisors</w:t>
      </w:r>
    </w:p>
    <w:p>
      <w:pPr>
        <w:ind w:left="200"/>
        <w:spacing w:after="0" w:line="228" w:lineRule="auto"/>
        <w:rPr>
          <w:sz w:val="20"/>
          <w:szCs w:val="20"/>
          <w:color w:val="auto"/>
        </w:rPr>
      </w:pPr>
      <w:r>
        <w:rPr>
          <w:rFonts w:ascii="Times New Roman" w:cs="Times New Roman" w:eastAsia="Times New Roman" w:hAnsi="Times New Roman"/>
          <w:sz w:val="16"/>
          <w:szCs w:val="16"/>
          <w:color w:val="auto"/>
        </w:rPr>
        <w:t>Phone: +1 212 915 2577</w:t>
      </w:r>
    </w:p>
    <w:p>
      <w:pPr>
        <w:ind w:left="200"/>
        <w:spacing w:after="0"/>
        <w:rPr>
          <w:sz w:val="20"/>
          <w:szCs w:val="20"/>
          <w:color w:val="auto"/>
        </w:rPr>
      </w:pPr>
      <w:r>
        <w:rPr>
          <w:rFonts w:ascii="Times New Roman" w:cs="Times New Roman" w:eastAsia="Times New Roman" w:hAnsi="Times New Roman"/>
          <w:sz w:val="16"/>
          <w:szCs w:val="16"/>
          <w:color w:val="auto"/>
        </w:rPr>
        <w:t>cdavis@lifesciadvisors.com</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U.S. and International Media</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Chris Maggos, Cohesion Bureau</w:t>
      </w:r>
    </w:p>
    <w:p>
      <w:pPr>
        <w:ind w:left="200"/>
        <w:spacing w:after="0"/>
        <w:rPr>
          <w:sz w:val="20"/>
          <w:szCs w:val="20"/>
          <w:color w:val="auto"/>
        </w:rPr>
      </w:pPr>
      <w:r>
        <w:rPr>
          <w:rFonts w:ascii="Times New Roman" w:cs="Times New Roman" w:eastAsia="Times New Roman" w:hAnsi="Times New Roman"/>
          <w:sz w:val="16"/>
          <w:szCs w:val="16"/>
          <w:color w:val="auto"/>
        </w:rPr>
        <w:t>Phone: +41 79 367 6254</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chris.maggos@cohesionbureau.com</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Takeda Media Contacts: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Japanese Media</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Yuko Yoneyama</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yuko.yoneyama@takeda.com</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+81 70-2610-6609</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U.S. and International Media</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Chris Stamm</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chris.stamm@takeda.com</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+1 617-374-7726</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Takeda Important Notice</w:t>
      </w:r>
    </w:p>
    <w:p>
      <w:pPr>
        <w:spacing w:after="0" w:line="22" w:lineRule="exact"/>
        <w:rPr>
          <w:sz w:val="20"/>
          <w:szCs w:val="20"/>
          <w:color w:val="auto"/>
        </w:rPr>
      </w:pPr>
    </w:p>
    <w:p>
      <w:pPr>
        <w:ind w:left="200" w:right="259"/>
        <w:spacing w:after="0" w:line="243" w:lineRule="auto"/>
        <w:rPr>
          <w:sz w:val="20"/>
          <w:szCs w:val="20"/>
          <w:color w:val="auto"/>
        </w:rPr>
      </w:pPr>
      <w:r>
        <w:rPr>
          <w:rFonts w:ascii="Times New Roman" w:cs="Times New Roman" w:eastAsia="Times New Roman" w:hAnsi="Times New Roman"/>
          <w:sz w:val="16"/>
          <w:szCs w:val="16"/>
          <w:color w:val="auto"/>
        </w:rPr>
        <w:t>For the purposes of this notice, “press release” means this document, any oral presentation, any question and answer session and any written or oral material discussed or distributed by Takeda Pharmaceutical Company Limited (“Takeda”) regarding this release. This press release (including any oral briefing and any question-and-answer in connection with it) is not intended to, and does not constitute, represent or form part of any offer, invitation or solicitation of any offer to purchase, otherwise acquire, subscribe for, exchange, sell or otherwise dispose of, any securities or the solicitation of any vote or approval in any jurisdiction. No shares or other securities are being offered to the public by means of this press release. No offering of securities shall be made in the United States except pursuant to registration under the U.S. Securities Act of 1933, as amended, or an exemption therefrom. This press release is being given (together with any further information which may be provided to the recipient) on the condition that it is for use by the recipient for information purposes only (and not for the evaluation of any investment, acquisition, disposal or any other transaction). Any failure to comply with these restrictions may constitute a violation of applicable securities laws.</w:t>
      </w:r>
    </w:p>
    <w:p>
      <w:pPr>
        <w:spacing w:after="0" w:line="166" w:lineRule="exact"/>
        <w:rPr>
          <w:sz w:val="20"/>
          <w:szCs w:val="20"/>
          <w:color w:val="auto"/>
        </w:rPr>
      </w:pPr>
    </w:p>
    <w:p>
      <w:pPr>
        <w:ind w:left="200" w:right="259"/>
        <w:spacing w:after="0" w:line="253" w:lineRule="auto"/>
        <w:rPr>
          <w:sz w:val="20"/>
          <w:szCs w:val="20"/>
          <w:color w:val="auto"/>
        </w:rPr>
      </w:pPr>
      <w:r>
        <w:rPr>
          <w:rFonts w:ascii="Times New Roman" w:cs="Times New Roman" w:eastAsia="Times New Roman" w:hAnsi="Times New Roman"/>
          <w:sz w:val="16"/>
          <w:szCs w:val="16"/>
          <w:color w:val="auto"/>
        </w:rPr>
        <w:t>The companies in which Takeda directly and indirectly owns investments are separate entities. In this press release, “Takeda” is sometimes used for convenience where references are made to Takeda and its subsidiaries in general. Likewise, the words “we”, “us” and “our” are also used to refer to subsidiaries in general or to those who work for them. These expressions are also used where no useful purpose is served by identifying the particular company or companies.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Takeda Forward-Looking Statements</w:t>
      </w:r>
    </w:p>
    <w:p>
      <w:pPr>
        <w:spacing w:after="0" w:line="190" w:lineRule="exact"/>
        <w:rPr>
          <w:sz w:val="20"/>
          <w:szCs w:val="20"/>
          <w:color w:val="auto"/>
        </w:rPr>
      </w:pPr>
    </w:p>
    <w:p>
      <w:pPr>
        <w:ind w:left="200" w:right="279"/>
        <w:spacing w:after="0" w:line="258" w:lineRule="auto"/>
        <w:rPr>
          <w:sz w:val="20"/>
          <w:szCs w:val="20"/>
          <w:color w:val="auto"/>
        </w:rPr>
      </w:pPr>
      <w:r>
        <w:rPr>
          <w:rFonts w:ascii="Times New Roman" w:cs="Times New Roman" w:eastAsia="Times New Roman" w:hAnsi="Times New Roman"/>
          <w:sz w:val="16"/>
          <w:szCs w:val="16"/>
          <w:color w:val="auto"/>
        </w:rPr>
        <w:t>This press release and any materials distributed in connection with this press release may contain forward-looking statements, beliefs or opinions regarding Takeda’s future business, future position and results of operations, including estimates, forecasts, targets and plans for Takeda.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469265</wp:posOffset>
            </wp:positionV>
            <wp:extent cx="547624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15" w:name="page116"/>
    <w:bookmarkEnd w:id="115"/>
    <w:p>
      <w:pPr>
        <w:ind w:left="200" w:right="219"/>
        <w:spacing w:after="0" w:line="244" w:lineRule="auto"/>
        <w:rPr>
          <w:sz w:val="20"/>
          <w:szCs w:val="20"/>
          <w:color w:val="auto"/>
        </w:rPr>
      </w:pPr>
      <w:r>
        <w:rPr>
          <w:rFonts w:ascii="Times New Roman" w:cs="Times New Roman" w:eastAsia="Times New Roman" w:hAnsi="Times New Roman"/>
          <w:sz w:val="16"/>
          <w:szCs w:val="16"/>
          <w:color w:val="auto"/>
        </w:rPr>
        <w:t>forward-looking statements often include words such as “targets”, “plans”, “believes”, “hopes”, “continues”, “expects”, “aims”, “intends”, “ensures”, “will”, “may”, “should”, “would”, “could”, “anticipates”, “estimates”, “projects”, “forecasts”, “outlook” or similar expressions or the negative thereof. These forward-looking statements are based on assumptions about many important factors, including the following, which could cause actual results to differ materially from those expressed or implied by the forward-looking statements: the economic circumstances surrounding Takeda’s global business, including general economic conditions in Japan and the United States; competitive pressures and developments; changes to applicable laws and regulations; challenges inherent in new product development, including uncertainty of clinical success and decisions of regulatory authorities and the timing thereof; uncertainty of commercial success for new and existing products; manufacturing difficulties or delays; fluctuations in interest and currency exchange rates; claims or concerns regarding the safety or efficacy of marketed products or product candidates; the impact of health crises, like the novel coronavirus pandemic; the success of our environmental sustainability efforts, in enabling us to reduce our greenhouse gas emissions or meet our other environmental goals; the extent to which our efforts to increase efficiency, productivity or cost-savings, such as the integration of digital technologies, including artificial intelligence, in our business or other initiatives to restructure our operations will lead to the expected benefits; and other factors identified in Takeda’s most recent Annual Report on Form 20-F and Takeda’s other reports filed with the U.S. Securities and Exchange Commission, available on Takeda’s website at: https://www.takeda.com/investors/sec-filings-and-security-reports/ or at www.sec.gov. Takeda does not undertake to update any of the forward-looking statements contained in this press release or any other forward-looking statements it may make, except as required by law or stock exchange rule. Past performance is not an indicator of future results and the results or statements of Takeda in this press release may not be indicative of, and are not an estimate, forecast, guarantee or projection of Takeda’s future results.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AC Immune Forward Looking Statements</w:t>
      </w:r>
    </w:p>
    <w:p>
      <w:pPr>
        <w:spacing w:after="0" w:line="22" w:lineRule="exact"/>
        <w:rPr>
          <w:sz w:val="20"/>
          <w:szCs w:val="20"/>
          <w:color w:val="auto"/>
        </w:rPr>
      </w:pPr>
    </w:p>
    <w:p>
      <w:pPr>
        <w:ind w:left="200" w:right="219"/>
        <w:spacing w:after="0" w:line="242" w:lineRule="auto"/>
        <w:rPr>
          <w:sz w:val="20"/>
          <w:szCs w:val="20"/>
          <w:color w:val="auto"/>
        </w:rPr>
      </w:pPr>
      <w:r>
        <w:rPr>
          <w:rFonts w:ascii="Times New Roman" w:cs="Times New Roman" w:eastAsia="Times New Roman" w:hAnsi="Times New Roman"/>
          <w:sz w:val="16"/>
          <w:szCs w:val="16"/>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w:t>
      </w:r>
    </w:p>
    <w:p>
      <w:pPr>
        <w:spacing w:after="0" w:line="4" w:lineRule="exact"/>
        <w:rPr>
          <w:sz w:val="20"/>
          <w:szCs w:val="20"/>
          <w:color w:val="auto"/>
        </w:rPr>
      </w:pPr>
    </w:p>
    <w:p>
      <w:pPr>
        <w:ind w:left="200" w:right="219"/>
        <w:spacing w:after="0" w:line="245" w:lineRule="auto"/>
        <w:rPr>
          <w:sz w:val="20"/>
          <w:szCs w:val="20"/>
          <w:color w:val="auto"/>
        </w:rPr>
      </w:pPr>
      <w:r>
        <w:rPr>
          <w:rFonts w:ascii="Times New Roman" w:cs="Times New Roman" w:eastAsia="Times New Roman" w:hAnsi="Times New Roman"/>
          <w:sz w:val="16"/>
          <w:szCs w:val="16"/>
          <w:color w:val="auto"/>
        </w:rPr>
        <w:t>– Risk Factors” and “Item 5. Operating and Financial Review and Prospects” in AC Immune’s Annual Report on Form 20-F and other filings with the Securities and Exchange Commission. Forward- 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494030</wp:posOffset>
            </wp:positionV>
            <wp:extent cx="547624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16" w:name="page117"/>
    <w:bookmarkEnd w:id="116"/>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‎10.10</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Standard Contractual Clauses</w:t>
      </w:r>
    </w:p>
    <w:p>
      <w:pPr>
        <w:spacing w:after="0" w:line="34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Module 1: Controller to Controller Transfers</w:t>
      </w:r>
    </w:p>
    <w:p>
      <w:pPr>
        <w:spacing w:after="0" w:line="173" w:lineRule="exact"/>
        <w:rPr>
          <w:sz w:val="20"/>
          <w:szCs w:val="20"/>
          <w:color w:val="auto"/>
        </w:rPr>
      </w:pPr>
    </w:p>
    <w:p>
      <w:pPr>
        <w:jc w:val="both"/>
        <w:ind w:left="200" w:right="1400"/>
        <w:spacing w:after="0" w:line="270" w:lineRule="auto"/>
        <w:rPr>
          <w:sz w:val="20"/>
          <w:szCs w:val="20"/>
          <w:color w:val="auto"/>
        </w:rPr>
      </w:pPr>
      <w:r>
        <w:rPr>
          <w:rFonts w:ascii="Times New Roman" w:cs="Times New Roman" w:eastAsia="Times New Roman" w:hAnsi="Times New Roman"/>
          <w:sz w:val="15"/>
          <w:szCs w:val="15"/>
          <w:color w:val="auto"/>
        </w:rPr>
        <w:t>Takeda has entered into the Option and License Agreement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with AC Immune SA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under which the Parties will share Personal Data for the purpose of effectuating the rights granted within the Agreement.</w:t>
      </w:r>
    </w:p>
    <w:p>
      <w:pPr>
        <w:spacing w:after="0" w:line="161" w:lineRule="exact"/>
        <w:rPr>
          <w:sz w:val="20"/>
          <w:szCs w:val="20"/>
          <w:color w:val="auto"/>
        </w:rPr>
      </w:pPr>
    </w:p>
    <w:p>
      <w:pPr>
        <w:jc w:val="both"/>
        <w:ind w:left="200" w:right="1400"/>
        <w:spacing w:after="0" w:line="267" w:lineRule="auto"/>
        <w:rPr>
          <w:sz w:val="20"/>
          <w:szCs w:val="20"/>
          <w:color w:val="auto"/>
        </w:rPr>
      </w:pPr>
      <w:r>
        <w:rPr>
          <w:rFonts w:ascii="Times New Roman" w:cs="Times New Roman" w:eastAsia="Times New Roman" w:hAnsi="Times New Roman"/>
          <w:sz w:val="14"/>
          <w:szCs w:val="14"/>
          <w:color w:val="auto"/>
        </w:rPr>
        <w:t>The Parties agree that if a Party will store, have access to or otherwise process Personal Data of individuals residing in the European Economic Area (“</w:t>
      </w:r>
      <w:r>
        <w:rPr>
          <w:rFonts w:ascii="Times New Roman" w:cs="Times New Roman" w:eastAsia="Times New Roman" w:hAnsi="Times New Roman"/>
          <w:sz w:val="14"/>
          <w:szCs w:val="14"/>
          <w:b w:val="1"/>
          <w:bCs w:val="1"/>
          <w:color w:val="auto"/>
        </w:rPr>
        <w:t>EEA</w:t>
      </w:r>
      <w:r>
        <w:rPr>
          <w:rFonts w:ascii="Times New Roman" w:cs="Times New Roman" w:eastAsia="Times New Roman" w:hAnsi="Times New Roman"/>
          <w:sz w:val="14"/>
          <w:szCs w:val="14"/>
          <w:color w:val="auto"/>
        </w:rPr>
        <w:t>”), United Kingdom (“</w:t>
      </w:r>
      <w:r>
        <w:rPr>
          <w:rFonts w:ascii="Times New Roman" w:cs="Times New Roman" w:eastAsia="Times New Roman" w:hAnsi="Times New Roman"/>
          <w:sz w:val="14"/>
          <w:szCs w:val="14"/>
          <w:b w:val="1"/>
          <w:bCs w:val="1"/>
          <w:color w:val="auto"/>
        </w:rPr>
        <w:t>UK</w:t>
      </w:r>
      <w:r>
        <w:rPr>
          <w:rFonts w:ascii="Times New Roman" w:cs="Times New Roman" w:eastAsia="Times New Roman" w:hAnsi="Times New Roman"/>
          <w:sz w:val="14"/>
          <w:szCs w:val="14"/>
          <w:color w:val="auto"/>
        </w:rPr>
        <w:t xml:space="preserve">”) or Switzerland from any location other than </w:t>
      </w: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Safe Cluster</w:t>
      </w:r>
      <w:r>
        <w:rPr>
          <w:rFonts w:ascii="Times New Roman" w:cs="Times New Roman" w:eastAsia="Times New Roman" w:hAnsi="Times New Roman"/>
          <w:sz w:val="14"/>
          <w:szCs w:val="14"/>
          <w:color w:val="auto"/>
        </w:rPr>
        <w:t xml:space="preserve">” which comprises: countries in the EEA or adequate countries (Andorra, Argentina, Canada (commercial organisations), Faroe Islands, Guernsey, Israel, Isle of Man, Japan, Jersey, New Zealand, Republic of Korea, Switzerland, the UK, Uruguay, or as otherwise provided by the European Commission (at </w:t>
      </w:r>
      <w:r>
        <w:rPr>
          <w:rFonts w:ascii="Times New Roman" w:cs="Times New Roman" w:eastAsia="Times New Roman" w:hAnsi="Times New Roman"/>
          <w:sz w:val="14"/>
          <w:szCs w:val="14"/>
          <w:u w:val="single" w:color="auto"/>
          <w:color w:val="0563C1"/>
        </w:rPr>
        <w:t>https://ec.europa.eu/info/law/law-topic/data-protection/international-dimension-data-protection/adequacy-decisions_en</w:t>
      </w:r>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563C1"/>
        </w:rPr>
        <w:t xml:space="preserve"> </w:t>
      </w:r>
      <w:r>
        <w:rPr>
          <w:rFonts w:ascii="Times New Roman" w:cs="Times New Roman" w:eastAsia="Times New Roman" w:hAnsi="Times New Roman"/>
          <w:sz w:val="14"/>
          <w:szCs w:val="14"/>
          <w:b w:val="1"/>
          <w:bCs w:val="1"/>
          <w:color w:val="000000"/>
        </w:rPr>
        <w:t>(ii)</w:t>
      </w:r>
      <w:r>
        <w:rPr>
          <w:rFonts w:ascii="Times New Roman" w:cs="Times New Roman" w:eastAsia="Times New Roman" w:hAnsi="Times New Roman"/>
          <w:sz w:val="14"/>
          <w:szCs w:val="14"/>
          <w:color w:val="0563C1"/>
        </w:rPr>
        <w:t xml:space="preserve"> </w:t>
      </w:r>
      <w:r>
        <w:rPr>
          <w:rFonts w:ascii="Times New Roman" w:cs="Times New Roman" w:eastAsia="Times New Roman" w:hAnsi="Times New Roman"/>
          <w:sz w:val="14"/>
          <w:szCs w:val="14"/>
          <w:color w:val="000000"/>
        </w:rPr>
        <w:t>specifically for</w:t>
      </w:r>
      <w:r>
        <w:rPr>
          <w:rFonts w:ascii="Times New Roman" w:cs="Times New Roman" w:eastAsia="Times New Roman" w:hAnsi="Times New Roman"/>
          <w:sz w:val="14"/>
          <w:szCs w:val="14"/>
          <w:color w:val="0563C1"/>
        </w:rPr>
        <w:t xml:space="preserve"> </w:t>
      </w:r>
      <w:r>
        <w:rPr>
          <w:rFonts w:ascii="Times New Roman" w:cs="Times New Roman" w:eastAsia="Times New Roman" w:hAnsi="Times New Roman"/>
          <w:sz w:val="14"/>
          <w:szCs w:val="14"/>
          <w:color w:val="000000"/>
        </w:rPr>
        <w:t>transfers from the UK or Switzerland, any additional countries identified as adequate by the UK or Swiss authorities, then the Parties will comply with the terms set forth in this Module 1 of the European Commission Standard Contractual Clauses (“</w:t>
      </w:r>
      <w:r>
        <w:rPr>
          <w:rFonts w:ascii="Times New Roman" w:cs="Times New Roman" w:eastAsia="Times New Roman" w:hAnsi="Times New Roman"/>
          <w:sz w:val="14"/>
          <w:szCs w:val="14"/>
          <w:b w:val="1"/>
          <w:bCs w:val="1"/>
          <w:color w:val="000000"/>
        </w:rPr>
        <w:t>SCCs</w:t>
      </w:r>
      <w:r>
        <w:rPr>
          <w:rFonts w:ascii="Times New Roman" w:cs="Times New Roman" w:eastAsia="Times New Roman" w:hAnsi="Times New Roman"/>
          <w:sz w:val="14"/>
          <w:szCs w:val="14"/>
          <w:color w:val="000000"/>
        </w:rPr>
        <w:t>”) under which each Party acts as a controller of the EEA, UK or Swiss Personal Data. In the event of a conflict between the SCCs and the Agreement, the SCCs shall prevail.</w:t>
      </w:r>
    </w:p>
    <w:p>
      <w:pPr>
        <w:spacing w:after="0" w:line="141" w:lineRule="exact"/>
        <w:rPr>
          <w:sz w:val="20"/>
          <w:szCs w:val="20"/>
          <w:color w:val="auto"/>
        </w:rPr>
      </w:pPr>
    </w:p>
    <w:p>
      <w:pPr>
        <w:jc w:val="both"/>
        <w:ind w:left="200" w:right="1420"/>
        <w:spacing w:after="0" w:line="255" w:lineRule="auto"/>
        <w:rPr>
          <w:sz w:val="20"/>
          <w:szCs w:val="20"/>
          <w:color w:val="auto"/>
        </w:rPr>
      </w:pPr>
      <w:r>
        <w:rPr>
          <w:rFonts w:ascii="Times New Roman" w:cs="Times New Roman" w:eastAsia="Times New Roman" w:hAnsi="Times New Roman"/>
          <w:sz w:val="15"/>
          <w:szCs w:val="15"/>
          <w:b w:val="1"/>
          <w:bCs w:val="1"/>
          <w:u w:val="single" w:color="auto"/>
          <w:color w:val="auto"/>
        </w:rPr>
        <w:t>UK and Swiss transfers</w:t>
      </w:r>
      <w:r>
        <w:rPr>
          <w:rFonts w:ascii="Times New Roman" w:cs="Times New Roman" w:eastAsia="Times New Roman" w:hAnsi="Times New Roman"/>
          <w:sz w:val="15"/>
          <w:szCs w:val="15"/>
          <w:color w:val="auto"/>
        </w:rPr>
        <w:t>. For any storage, access to or processing of Personal Data of individuals residing in the UK or Switzerland, the following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amendments to the SCCs shall apply:</w:t>
      </w:r>
    </w:p>
    <w:p>
      <w:pPr>
        <w:spacing w:after="0" w:line="1" w:lineRule="exact"/>
        <w:rPr>
          <w:sz w:val="20"/>
          <w:szCs w:val="20"/>
          <w:color w:val="auto"/>
        </w:rPr>
      </w:pPr>
    </w:p>
    <w:p>
      <w:pPr>
        <w:jc w:val="both"/>
        <w:ind w:left="720" w:right="1400" w:hanging="1"/>
        <w:spacing w:after="0" w:line="243" w:lineRule="auto"/>
        <w:tabs>
          <w:tab w:leader="none" w:pos="1245"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UK Personal Data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storage, access to or processing of Personal Data of individuals residing in the UK, the SCCs shall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modified in accordance with the “International Data Transfer Addendum to the EU Commission Standard Contractual Clauses” (“</w:t>
      </w:r>
      <w:r>
        <w:rPr>
          <w:rFonts w:ascii="Times New Roman" w:cs="Times New Roman" w:eastAsia="Times New Roman" w:hAnsi="Times New Roman"/>
          <w:sz w:val="15"/>
          <w:szCs w:val="15"/>
          <w:b w:val="1"/>
          <w:bCs w:val="1"/>
          <w:color w:val="auto"/>
        </w:rPr>
        <w:t>UK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Addendum</w:t>
      </w:r>
      <w:r>
        <w:rPr>
          <w:rFonts w:ascii="Times New Roman" w:cs="Times New Roman" w:eastAsia="Times New Roman" w:hAnsi="Times New Roman"/>
          <w:sz w:val="15"/>
          <w:szCs w:val="15"/>
          <w:color w:val="auto"/>
        </w:rPr>
        <w:t>”) in Annex III;</w:t>
      </w:r>
    </w:p>
    <w:p>
      <w:pPr>
        <w:spacing w:after="0" w:line="1" w:lineRule="exact"/>
        <w:rPr>
          <w:rFonts w:ascii="Times New Roman" w:cs="Times New Roman" w:eastAsia="Times New Roman" w:hAnsi="Times New Roman"/>
          <w:sz w:val="15"/>
          <w:szCs w:val="15"/>
          <w:color w:val="auto"/>
        </w:rPr>
      </w:pPr>
    </w:p>
    <w:p>
      <w:pPr>
        <w:jc w:val="both"/>
        <w:ind w:left="720" w:right="1400" w:hanging="1"/>
        <w:spacing w:after="0" w:line="261" w:lineRule="auto"/>
        <w:tabs>
          <w:tab w:leader="none" w:pos="124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Swiss Personal Data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storage, access to or processing of Personal Data of individuals residing in Switzerland, the SCCs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modified in accordance with the statement of the Swiss Federal Data Protection and Information Commissioner (“</w:t>
      </w:r>
      <w:r>
        <w:rPr>
          <w:rFonts w:ascii="Times New Roman" w:cs="Times New Roman" w:eastAsia="Times New Roman" w:hAnsi="Times New Roman"/>
          <w:sz w:val="14"/>
          <w:szCs w:val="14"/>
          <w:b w:val="1"/>
          <w:bCs w:val="1"/>
          <w:color w:val="auto"/>
        </w:rPr>
        <w:t>FDPIC</w:t>
      </w:r>
      <w:r>
        <w:rPr>
          <w:rFonts w:ascii="Times New Roman" w:cs="Times New Roman" w:eastAsia="Times New Roman" w:hAnsi="Times New Roman"/>
          <w:sz w:val="14"/>
          <w:szCs w:val="14"/>
          <w:color w:val="auto"/>
        </w:rPr>
        <w:t>”) of 27</w:t>
      </w:r>
    </w:p>
    <w:p>
      <w:pPr>
        <w:ind w:left="7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August 2021 (available at: </w:t>
      </w:r>
      <w:r>
        <w:rPr>
          <w:rFonts w:ascii="Times New Roman" w:cs="Times New Roman" w:eastAsia="Times New Roman" w:hAnsi="Times New Roman"/>
          <w:sz w:val="14"/>
          <w:szCs w:val="14"/>
          <w:u w:val="single" w:color="auto"/>
          <w:color w:val="0563C1"/>
        </w:rPr>
        <w:t xml:space="preserve">https://www.edoeb.admin.ch/dam/edoeb/en/dokumente/2021/Paper%20SCC%20def.en%2024082021.pdf.download.pdf/Paper%20SCC%20def.en%2024082021.p </w:t>
      </w:r>
      <w:r>
        <w:rPr>
          <w:rFonts w:ascii="Times New Roman" w:cs="Times New Roman" w:eastAsia="Times New Roman" w:hAnsi="Times New Roman"/>
          <w:sz w:val="14"/>
          <w:szCs w:val="14"/>
          <w:color w:val="000000"/>
        </w:rPr>
        <w:t>In particular: the FDPIC shall be the competent supervisory authority insofar as the data transfer is governed by the Swiss Federal Act on</w:t>
      </w:r>
    </w:p>
    <w:p>
      <w:pPr>
        <w:jc w:val="both"/>
        <w:ind w:left="720" w:right="1420"/>
        <w:spacing w:after="0" w:line="24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Data Protection (“</w:t>
      </w:r>
      <w:r>
        <w:rPr>
          <w:rFonts w:ascii="Times New Roman" w:cs="Times New Roman" w:eastAsia="Times New Roman" w:hAnsi="Times New Roman"/>
          <w:sz w:val="15"/>
          <w:szCs w:val="15"/>
          <w:b w:val="1"/>
          <w:bCs w:val="1"/>
          <w:color w:val="auto"/>
        </w:rPr>
        <w:t>FADP</w:t>
      </w:r>
      <w:r>
        <w:rPr>
          <w:rFonts w:ascii="Times New Roman" w:cs="Times New Roman" w:eastAsia="Times New Roman" w:hAnsi="Times New Roman"/>
          <w:sz w:val="15"/>
          <w:szCs w:val="15"/>
          <w:color w:val="auto"/>
        </w:rPr>
        <w:t>”) (Clause 13); the law of the EEA country specified by Takeda in the SCCs shall be the governing law (Clause 17); the courts of the EEA country as specified by Takeda in the SCCs shall be the choice of forum (Clause 18), but this shall not exclude individuals in Switzerland from the possibility of bringing a claim in their place of habitual residence in Switzerland, in accordance with Clause 18(c).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840105</wp:posOffset>
            </wp:positionV>
            <wp:extent cx="547624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10220"/>
          </w:cols>
          <w:pgMar w:left="1440" w:top="1078" w:right="2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CONTRACTUAL CLAUSES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I</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Purpose and scope</w:t>
      </w:r>
    </w:p>
    <w:p>
      <w:pPr>
        <w:spacing w:after="0" w:line="220" w:lineRule="exact"/>
        <w:rPr>
          <w:sz w:val="20"/>
          <w:szCs w:val="20"/>
          <w:color w:val="auto"/>
        </w:rPr>
      </w:pPr>
    </w:p>
    <w:p>
      <w:pPr>
        <w:jc w:val="both"/>
        <w:ind w:left="720" w:right="219" w:hanging="527"/>
        <w:spacing w:after="0" w:line="237"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these standard contractual clauses is to ensure compliance with the requirements of Regulation (EU) 2016/679 of the European Parliament and of the Council of 27 April 2016 on the protection of natural persons with regard to the processing of personal data and on the free movement of such data (General Data Protection Regulation) for the transfer of personal data to a third country.</w:t>
      </w:r>
    </w:p>
    <w:p>
      <w:pPr>
        <w:spacing w:after="0" w:line="145"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w:t>
      </w:r>
    </w:p>
    <w:p>
      <w:pPr>
        <w:spacing w:after="0" w:line="165"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natural or legal person(s), public authority/ies, agency/ies or other body/ies (hereinafter “entity/ies”) transferring the personal data, as listed in Annex I.A. (hereinafter each “data exporter”), and</w:t>
      </w:r>
    </w:p>
    <w:p>
      <w:pPr>
        <w:spacing w:after="0" w:line="134"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entity/ies in a third country receiving the personal data from the data exporter, directly or indirectly via another entity also Party to these Clauses, as listed in Annex I.A. (hereinafter each “data importer”)</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have agreed to these standard contractual clauses (hereinafter: “Clauses”).</w:t>
      </w:r>
    </w:p>
    <w:p>
      <w:pPr>
        <w:spacing w:after="0" w:line="165" w:lineRule="exact"/>
        <w:rPr>
          <w:sz w:val="20"/>
          <w:szCs w:val="20"/>
          <w:color w:val="auto"/>
        </w:rPr>
      </w:pPr>
    </w:p>
    <w:p>
      <w:pPr>
        <w:ind w:left="720" w:hanging="527"/>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Clauses apply with respect to the transfer of personal data as specified in Annex I.B.</w:t>
      </w:r>
    </w:p>
    <w:p>
      <w:pPr>
        <w:spacing w:after="0" w:line="165"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Appendix to these Clauses containing the Annexes referred to therein forms an integral part of these Clauses.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2</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 and invariability of the Clauses</w:t>
      </w:r>
    </w:p>
    <w:p>
      <w:pPr>
        <w:spacing w:after="0" w:line="220" w:lineRule="exact"/>
        <w:rPr>
          <w:sz w:val="20"/>
          <w:szCs w:val="20"/>
          <w:color w:val="auto"/>
        </w:rPr>
      </w:pPr>
    </w:p>
    <w:p>
      <w:pPr>
        <w:jc w:val="both"/>
        <w:ind w:left="720" w:right="219" w:hanging="527"/>
        <w:spacing w:after="0" w:line="23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Clauses set out appropriate safeguards, including enforceable data subject rights and effective legal remedies, pursuant to Article 46(1) and Article 46 (2)(c) of Regulation (EU) 2016/679 and, with respect to data transfers from controllers to processors and/or processors to processors, standard contractual clauses pursuant to Article 28(7) of Regulation (EU) 2016/679, provided they are not modified, except to select the appropriate Module(s) or to add or update information in the Appendix. This does not prevent the Parties from including the standard contractual clauses laid down in these Clauses in a wider contract and/or to add other clauses or additional safeguards, provided that they do not contradict, directly or indirectly, these Clauses or prejudice the fundamental rights or freedoms of data subjects.</w:t>
      </w:r>
    </w:p>
    <w:p>
      <w:pPr>
        <w:spacing w:after="0" w:line="150"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Clauses are without prejudice to obligations to which the data exporter is subject by virtue of Regulation (EU) 2016/679.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579120</wp:posOffset>
            </wp:positionV>
            <wp:extent cx="547624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3</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Third-party beneficiaries</w:t>
      </w:r>
    </w:p>
    <w:p>
      <w:pPr>
        <w:spacing w:after="0" w:line="220" w:lineRule="exact"/>
        <w:rPr>
          <w:sz w:val="20"/>
          <w:szCs w:val="20"/>
          <w:color w:val="auto"/>
        </w:rPr>
      </w:pPr>
    </w:p>
    <w:p>
      <w:pPr>
        <w:ind w:left="720" w:right="219" w:hanging="527"/>
        <w:spacing w:after="0" w:line="252"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subjects may invoke and enforce these Clauses, as third-party beneficiaries, against the data exporter and/or data importer, with the following exceptions:</w:t>
      </w:r>
    </w:p>
    <w:p>
      <w:pPr>
        <w:spacing w:after="0" w:line="134"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 Clause 2, Clause 3, Clause 6, Clause 7;</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8 - Clause 8.5(e) and Clause 8.9(b);</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12 - Clause 12(a) and (d);</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13;</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15.1(c), (d) and (e);</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16(e);</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18 - Clause 18(a) and (b).</w:t>
      </w:r>
    </w:p>
    <w:p>
      <w:pPr>
        <w:spacing w:after="0" w:line="165"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is without prejudice to rights of data subjects under Regulation (EU) 2016/679.</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4</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Interpretation</w:t>
      </w:r>
    </w:p>
    <w:p>
      <w:pPr>
        <w:spacing w:after="0" w:line="231" w:lineRule="exact"/>
        <w:rPr>
          <w:sz w:val="20"/>
          <w:szCs w:val="20"/>
          <w:color w:val="auto"/>
        </w:rPr>
      </w:pPr>
    </w:p>
    <w:p>
      <w:pPr>
        <w:ind w:left="720" w:right="219" w:hanging="527"/>
        <w:spacing w:after="0" w:line="25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Clauses use terms that are defined in Regulation (EU) 2016/679, those terms shall have the same meaning as in that Regulation.</w:t>
      </w:r>
    </w:p>
    <w:p>
      <w:pPr>
        <w:spacing w:after="0" w:line="134"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Clauses shall be read and interpreted in the light of the provisions of Regulation (EU) 2016/679.</w:t>
      </w:r>
    </w:p>
    <w:p>
      <w:pPr>
        <w:spacing w:after="0" w:line="16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Clauses shall not be interpreted in a way that conflicts with rights and obligations provided for in Regulation (EU) 2016/679.</w:t>
      </w:r>
    </w:p>
    <w:p>
      <w:pPr>
        <w:spacing w:after="0" w:line="18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Clause 5</w:t>
      </w:r>
    </w:p>
    <w:p>
      <w:pPr>
        <w:spacing w:after="0" w:line="1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Hierarchy</w:t>
      </w:r>
    </w:p>
    <w:p>
      <w:pPr>
        <w:spacing w:after="0" w:line="231" w:lineRule="exact"/>
        <w:rPr>
          <w:sz w:val="20"/>
          <w:szCs w:val="20"/>
          <w:color w:val="auto"/>
        </w:rPr>
      </w:pPr>
    </w:p>
    <w:p>
      <w:pPr>
        <w:ind w:left="200" w:right="779"/>
        <w:spacing w:after="0" w:line="252" w:lineRule="auto"/>
        <w:rPr>
          <w:sz w:val="20"/>
          <w:szCs w:val="20"/>
          <w:color w:val="auto"/>
        </w:rPr>
      </w:pPr>
      <w:r>
        <w:rPr>
          <w:rFonts w:ascii="Times New Roman" w:cs="Times New Roman" w:eastAsia="Times New Roman" w:hAnsi="Times New Roman"/>
          <w:sz w:val="18"/>
          <w:szCs w:val="18"/>
          <w:color w:val="auto"/>
        </w:rPr>
        <w:t>In the event of a contradiction between these Clauses and the provisions of related agreements between the Parties, existing at the time these Clauses are agreed or entered into thereafter, these Clauses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579120</wp:posOffset>
            </wp:positionV>
            <wp:extent cx="5476240"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133"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6</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Description of the transfer(s)</w:t>
      </w:r>
    </w:p>
    <w:p>
      <w:pPr>
        <w:spacing w:after="0" w:line="220" w:lineRule="exact"/>
        <w:rPr>
          <w:sz w:val="20"/>
          <w:szCs w:val="20"/>
          <w:color w:val="auto"/>
        </w:rPr>
      </w:pPr>
    </w:p>
    <w:p>
      <w:pPr>
        <w:ind w:left="200" w:right="479"/>
        <w:spacing w:after="0" w:line="252" w:lineRule="auto"/>
        <w:rPr>
          <w:sz w:val="20"/>
          <w:szCs w:val="20"/>
          <w:color w:val="auto"/>
        </w:rPr>
      </w:pPr>
      <w:r>
        <w:rPr>
          <w:rFonts w:ascii="Times New Roman" w:cs="Times New Roman" w:eastAsia="Times New Roman" w:hAnsi="Times New Roman"/>
          <w:sz w:val="18"/>
          <w:szCs w:val="18"/>
          <w:color w:val="auto"/>
        </w:rPr>
        <w:t>The details of the transfer(s), and in particular the categories of personal data that are transferred and the purpose(s) for which they are transferred, are specified in Annex I.B.</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Clause 7 </w:t>
      </w:r>
      <w:r>
        <w:rPr>
          <w:rFonts w:ascii="Times New Roman" w:cs="Times New Roman" w:eastAsia="Times New Roman" w:hAnsi="Times New Roman"/>
          <w:sz w:val="18"/>
          <w:szCs w:val="18"/>
          <w:color w:val="auto"/>
        </w:rPr>
        <w:t>– Optional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Docking clause</w:t>
      </w:r>
    </w:p>
    <w:p>
      <w:pPr>
        <w:spacing w:after="0" w:line="231" w:lineRule="exact"/>
        <w:rPr>
          <w:sz w:val="20"/>
          <w:szCs w:val="20"/>
          <w:color w:val="auto"/>
        </w:rPr>
      </w:pPr>
    </w:p>
    <w:p>
      <w:pPr>
        <w:ind w:left="720" w:right="219" w:hanging="527"/>
        <w:spacing w:after="0" w:line="25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is not a Party to these Clauses may, with the agreement of the Parties, accede to these Clauses at any time, either as a data exporter or as a data importer, by completing the Appendix and signing Annex I.A.</w:t>
      </w:r>
    </w:p>
    <w:p>
      <w:pPr>
        <w:spacing w:after="0" w:line="134"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it has completed the Appendix and signed Annex I.A, the acceding entity shall become a Party to these Clauses and have the rights and obligations of a data exporter or data importer in accordance with its designation in Annex I.A.</w:t>
      </w:r>
    </w:p>
    <w:p>
      <w:pPr>
        <w:spacing w:after="0" w:line="14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acceding entity shall have no rights or obligations arising under these Clauses from the period prior to becoming a Party.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SECTION II </w:t>
      </w:r>
      <w:r>
        <w:rPr>
          <w:rFonts w:ascii="Times New Roman" w:cs="Times New Roman" w:eastAsia="Times New Roman" w:hAnsi="Times New Roman"/>
          <w:sz w:val="18"/>
          <w:szCs w:val="18"/>
          <w:color w:val="auto"/>
        </w:rPr>
        <w:t>– OBLIGATIONS OF THE PARTIES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8</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Data protection safeguards</w:t>
      </w:r>
    </w:p>
    <w:p>
      <w:pPr>
        <w:spacing w:after="0" w:line="231" w:lineRule="exact"/>
        <w:rPr>
          <w:sz w:val="20"/>
          <w:szCs w:val="20"/>
          <w:color w:val="auto"/>
        </w:rPr>
      </w:pPr>
    </w:p>
    <w:p>
      <w:pPr>
        <w:jc w:val="both"/>
        <w:ind w:left="200" w:right="699"/>
        <w:spacing w:after="0" w:line="314" w:lineRule="auto"/>
        <w:rPr>
          <w:sz w:val="20"/>
          <w:szCs w:val="20"/>
          <w:color w:val="auto"/>
        </w:rPr>
      </w:pPr>
      <w:r>
        <w:rPr>
          <w:rFonts w:ascii="Times New Roman" w:cs="Times New Roman" w:eastAsia="Times New Roman" w:hAnsi="Times New Roman"/>
          <w:sz w:val="16"/>
          <w:szCs w:val="16"/>
          <w:color w:val="auto"/>
        </w:rPr>
        <w:t>The data exporter warrants that it has used reasonable efforts to determine that the data importer is able, through the implementation of appropriate technical and organisational measures, to satisfy its obligations under these Clauses.</w:t>
      </w:r>
    </w:p>
    <w:p>
      <w:pPr>
        <w:spacing w:after="0" w:line="86"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6"/>
          <w:szCs w:val="16"/>
          <w:color w:val="auto"/>
        </w:rPr>
        <w:t>Purpose limitation</w:t>
      </w:r>
    </w:p>
    <w:p>
      <w:pPr>
        <w:spacing w:after="0" w:line="167" w:lineRule="exact"/>
        <w:rPr>
          <w:sz w:val="20"/>
          <w:szCs w:val="20"/>
          <w:color w:val="auto"/>
        </w:rPr>
      </w:pPr>
    </w:p>
    <w:p>
      <w:pPr>
        <w:ind w:left="720" w:right="699" w:hanging="527"/>
        <w:spacing w:after="0" w:line="25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process the personal data only for the specific purpose(s) of the transfer, as set out in Annex I. B. It may only process the personal data for another purpose:</w:t>
      </w:r>
    </w:p>
    <w:p>
      <w:pPr>
        <w:spacing w:after="0" w:line="134"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has obtained the data subject’s prior consent;</w:t>
      </w:r>
    </w:p>
    <w:p>
      <w:pPr>
        <w:spacing w:after="0" w:line="165"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necessary for the establishment, exercise or defence of legal claims in the context of specific administrative, regulatory or judicial proceedings; or</w:t>
      </w:r>
    </w:p>
    <w:p>
      <w:pPr>
        <w:spacing w:after="0" w:line="134"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necessary in order to protect the vital interests of the data subject or of another natural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598805</wp:posOffset>
            </wp:positionV>
            <wp:extent cx="5476240"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20" w:name="page121"/>
    <w:bookmarkEnd w:id="120"/>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6"/>
          <w:szCs w:val="16"/>
          <w:color w:val="auto"/>
        </w:rPr>
        <w:t>Transparency</w:t>
      </w:r>
    </w:p>
    <w:p>
      <w:pPr>
        <w:spacing w:after="0" w:line="167" w:lineRule="exact"/>
        <w:rPr>
          <w:sz w:val="20"/>
          <w:szCs w:val="20"/>
          <w:color w:val="auto"/>
        </w:rPr>
      </w:pPr>
    </w:p>
    <w:p>
      <w:pPr>
        <w:ind w:left="720" w:right="499" w:hanging="527"/>
        <w:spacing w:after="0" w:line="25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enable data subjects to effectively exercise their rights pursuant to Clause 10, the data importer shall inform them, either directly or through the data exporter:</w:t>
      </w:r>
    </w:p>
    <w:p>
      <w:pPr>
        <w:spacing w:after="0" w:line="134"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identity and contact details;</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categories of personal data processed;</w:t>
      </w:r>
    </w:p>
    <w:p>
      <w:pPr>
        <w:spacing w:after="0" w:line="16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right to obtain a copy of these Clauses;</w:t>
      </w:r>
    </w:p>
    <w:p>
      <w:pPr>
        <w:spacing w:after="0" w:line="165" w:lineRule="exact"/>
        <w:rPr>
          <w:rFonts w:ascii="Times New Roman" w:cs="Times New Roman" w:eastAsia="Times New Roman" w:hAnsi="Times New Roman"/>
          <w:sz w:val="18"/>
          <w:szCs w:val="18"/>
          <w:color w:val="auto"/>
        </w:rPr>
      </w:pPr>
    </w:p>
    <w:p>
      <w:pPr>
        <w:ind w:left="1240" w:right="319" w:hanging="521"/>
        <w:spacing w:after="0"/>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intends to onward transfer the personal data to any third party/ies, of the recipient or categories of recipients (as appropriate with a view to providing meaningful information), the purpose of such onward transfer and the ground therefore pursuant to Clause 8.7.</w:t>
      </w:r>
    </w:p>
    <w:p>
      <w:pPr>
        <w:spacing w:after="0" w:line="145" w:lineRule="exact"/>
        <w:rPr>
          <w:rFonts w:ascii="Times New Roman" w:cs="Times New Roman" w:eastAsia="Times New Roman" w:hAnsi="Times New Roman"/>
          <w:sz w:val="18"/>
          <w:szCs w:val="18"/>
          <w:color w:val="auto"/>
        </w:rPr>
      </w:pPr>
    </w:p>
    <w:p>
      <w:pPr>
        <w:jc w:val="both"/>
        <w:ind w:left="720" w:right="279" w:hanging="527"/>
        <w:spacing w:after="0" w:line="237"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shall not apply where the data subject already has the information, including when such information has already been provided by the data exporter, or providing the information proves impossible or would involve a disproportionate effort for the data importer. In the latter case, the data importer shall, to the extent possible, make the information publicly available.</w:t>
      </w:r>
    </w:p>
    <w:p>
      <w:pPr>
        <w:spacing w:after="0" w:line="145" w:lineRule="exact"/>
        <w:rPr>
          <w:rFonts w:ascii="Times New Roman" w:cs="Times New Roman" w:eastAsia="Times New Roman" w:hAnsi="Times New Roman"/>
          <w:sz w:val="18"/>
          <w:szCs w:val="18"/>
          <w:color w:val="auto"/>
        </w:rPr>
      </w:pPr>
    </w:p>
    <w:p>
      <w:pPr>
        <w:ind w:left="720" w:right="219" w:hanging="527"/>
        <w:spacing w:after="0" w:line="234"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request, the Parties shall make a copy of these Clauses, including the Appendix as completed by them, available to the data subject free of charge. To the extent necessary to protect business secrets or other confidential information, including personal data, the Parties may redact part of the text of the Appendix prior to sharing a copy, but shall provide a meaningful summary where the data subject would otherwise not be able to understand its content or exercise his/her rights. On request, the Parties shall provide the data subject with the reasons for the redactions, to the extent possible without revealing the redacted information.</w:t>
      </w:r>
    </w:p>
    <w:p>
      <w:pPr>
        <w:spacing w:after="0" w:line="146" w:lineRule="exact"/>
        <w:rPr>
          <w:rFonts w:ascii="Times New Roman" w:cs="Times New Roman" w:eastAsia="Times New Roman" w:hAnsi="Times New Roman"/>
          <w:sz w:val="18"/>
          <w:szCs w:val="18"/>
          <w:color w:val="auto"/>
        </w:rPr>
      </w:pPr>
    </w:p>
    <w:p>
      <w:pPr>
        <w:ind w:left="720" w:right="699" w:hanging="527"/>
        <w:spacing w:after="0" w:line="25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to (c) are without prejudice to the obligations of the data exporter under Articles 13 and 14 of Regulation (EU) 2016/679.</w:t>
      </w:r>
    </w:p>
    <w:p>
      <w:pPr>
        <w:spacing w:after="0" w:line="132"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6"/>
          <w:szCs w:val="16"/>
          <w:color w:val="auto"/>
        </w:rPr>
        <w:t>Accuracy and data minimisation</w:t>
      </w:r>
    </w:p>
    <w:p>
      <w:pPr>
        <w:spacing w:after="0" w:line="167" w:lineRule="exact"/>
        <w:rPr>
          <w:sz w:val="20"/>
          <w:szCs w:val="20"/>
          <w:color w:val="auto"/>
        </w:rPr>
      </w:pPr>
    </w:p>
    <w:p>
      <w:pPr>
        <w:ind w:left="720" w:right="339" w:hanging="527"/>
        <w:spacing w:after="0" w:line="25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ensure that the personal data is accurate and, where necessary, kept up to date. The data importer shall take every reasonable step to ensure that personal data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579120</wp:posOffset>
            </wp:positionV>
            <wp:extent cx="547624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253" w:right="1440" w:bottom="1440" w:gutter="0" w:footer="0" w:header="0"/>
        </w:sectPr>
      </w:pPr>
    </w:p>
    <w:bookmarkStart w:id="121" w:name="page122"/>
    <w:bookmarkEnd w:id="121"/>
    <w:p>
      <w:pPr>
        <w:ind w:left="720"/>
        <w:spacing w:after="0"/>
        <w:rPr>
          <w:sz w:val="20"/>
          <w:szCs w:val="20"/>
          <w:color w:val="auto"/>
        </w:rPr>
      </w:pPr>
      <w:r>
        <w:rPr>
          <w:rFonts w:ascii="Times New Roman" w:cs="Times New Roman" w:eastAsia="Times New Roman" w:hAnsi="Times New Roman"/>
          <w:sz w:val="18"/>
          <w:szCs w:val="18"/>
          <w:color w:val="auto"/>
        </w:rPr>
        <w:t>is inaccurate, having regard to the purpose(s) of processing, is erased or rectified without delay.</w:t>
      </w:r>
    </w:p>
    <w:p>
      <w:pPr>
        <w:spacing w:after="0" w:line="165" w:lineRule="exact"/>
        <w:rPr>
          <w:sz w:val="20"/>
          <w:szCs w:val="20"/>
          <w:color w:val="auto"/>
        </w:rPr>
      </w:pPr>
    </w:p>
    <w:p>
      <w:pPr>
        <w:ind w:left="720" w:right="779" w:hanging="527"/>
        <w:spacing w:after="0" w:line="25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one of the Parties becomes aware that the personal data it has transferred or received is inaccurate, or has become outdated, it shall inform the other Party without undue delay.</w:t>
      </w:r>
    </w:p>
    <w:p>
      <w:pPr>
        <w:spacing w:after="0" w:line="134" w:lineRule="exact"/>
        <w:rPr>
          <w:rFonts w:ascii="Times New Roman" w:cs="Times New Roman" w:eastAsia="Times New Roman" w:hAnsi="Times New Roman"/>
          <w:sz w:val="18"/>
          <w:szCs w:val="18"/>
          <w:color w:val="auto"/>
        </w:rPr>
      </w:pPr>
    </w:p>
    <w:p>
      <w:pPr>
        <w:ind w:left="720" w:right="699" w:hanging="527"/>
        <w:spacing w:after="0" w:line="252"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ensure that the personal data is adequate, relevant and limited to what is necessary in relation to the purpose(s) of processing.</w:t>
      </w:r>
    </w:p>
    <w:p>
      <w:pPr>
        <w:spacing w:after="0" w:line="132"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6"/>
          <w:szCs w:val="16"/>
          <w:color w:val="auto"/>
        </w:rPr>
        <w:t>Storage limitation</w:t>
      </w:r>
    </w:p>
    <w:p>
      <w:pPr>
        <w:spacing w:after="0" w:line="167" w:lineRule="exact"/>
        <w:rPr>
          <w:sz w:val="20"/>
          <w:szCs w:val="20"/>
          <w:color w:val="auto"/>
        </w:rPr>
      </w:pPr>
    </w:p>
    <w:p>
      <w:pPr>
        <w:ind w:left="200" w:right="259"/>
        <w:spacing w:after="0"/>
        <w:rPr>
          <w:sz w:val="20"/>
          <w:szCs w:val="20"/>
          <w:color w:val="auto"/>
        </w:rPr>
      </w:pPr>
      <w:r>
        <w:rPr>
          <w:rFonts w:ascii="Times New Roman" w:cs="Times New Roman" w:eastAsia="Times New Roman" w:hAnsi="Times New Roman"/>
          <w:sz w:val="18"/>
          <w:szCs w:val="18"/>
          <w:color w:val="auto"/>
        </w:rPr>
        <w:t>The data importer shall retain the personal data for no longer than necessary for the purpose(s) for which it is processed. It shall put in place appropriate technical or organisational measures to ensure compliance with this obligation, including erasure or anonymisation of the data and all back-ups at the end of the retention period.</w:t>
      </w:r>
    </w:p>
    <w:p>
      <w:pPr>
        <w:spacing w:after="0" w:line="143"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6"/>
          <w:szCs w:val="16"/>
          <w:color w:val="auto"/>
        </w:rPr>
        <w:t>Security of processing</w:t>
      </w:r>
    </w:p>
    <w:p>
      <w:pPr>
        <w:spacing w:after="0" w:line="167" w:lineRule="exact"/>
        <w:rPr>
          <w:sz w:val="20"/>
          <w:szCs w:val="20"/>
          <w:color w:val="auto"/>
        </w:rPr>
      </w:pPr>
    </w:p>
    <w:p>
      <w:pPr>
        <w:ind w:left="720" w:right="219" w:hanging="527"/>
        <w:spacing w:after="0" w:line="23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and, during transmission, also the data exporter shall implement appropriate technical and organisational measures to ensure the security of the personal data, including protection against a breach of security leading to accidental or unlawful destruction, loss, alteration, unauthorised disclosure or access (hereinafter “personal data breach”). In assessing the appropriate level of security, they shall take due account of the state of the art, the costs of implementation, the nature, scope, context and purpose(s) of processing and the risks involved in the processing for the data subject. The Parties shall in particular consider having recourse to encryption or pseudonymisation, including during transmission, where the purpose of processing can be fulfilled in that manner.</w:t>
      </w:r>
    </w:p>
    <w:p>
      <w:pPr>
        <w:spacing w:after="0" w:line="150" w:lineRule="exact"/>
        <w:rPr>
          <w:rFonts w:ascii="Times New Roman" w:cs="Times New Roman" w:eastAsia="Times New Roman" w:hAnsi="Times New Roman"/>
          <w:sz w:val="18"/>
          <w:szCs w:val="18"/>
          <w:color w:val="auto"/>
        </w:rPr>
      </w:pPr>
    </w:p>
    <w:p>
      <w:pPr>
        <w:ind w:left="720" w:right="379" w:hanging="527"/>
        <w:spacing w:after="0" w:line="314" w:lineRule="auto"/>
        <w:tabs>
          <w:tab w:leader="none" w:pos="7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have agreed on the technical and organisational measures set out in Annex II. The data importer shall carry out regular checks to ensure that these measures continue to provide an appropriate level of security.</w:t>
      </w:r>
    </w:p>
    <w:p>
      <w:pPr>
        <w:spacing w:after="0" w:line="87" w:lineRule="exact"/>
        <w:rPr>
          <w:rFonts w:ascii="Times New Roman" w:cs="Times New Roman" w:eastAsia="Times New Roman" w:hAnsi="Times New Roman"/>
          <w:sz w:val="16"/>
          <w:szCs w:val="16"/>
          <w:color w:val="auto"/>
        </w:rPr>
      </w:pPr>
    </w:p>
    <w:p>
      <w:pPr>
        <w:ind w:left="720" w:right="359" w:hanging="527"/>
        <w:spacing w:after="0" w:line="25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ensure that persons authorised to process the personal data have committed themselves to confidentiality or are under an appropriate statutory obligation of confidentiality.</w:t>
      </w:r>
    </w:p>
    <w:p>
      <w:pPr>
        <w:spacing w:after="0" w:line="134" w:lineRule="exact"/>
        <w:rPr>
          <w:rFonts w:ascii="Times New Roman" w:cs="Times New Roman" w:eastAsia="Times New Roman" w:hAnsi="Times New Roman"/>
          <w:sz w:val="18"/>
          <w:szCs w:val="18"/>
          <w:color w:val="auto"/>
        </w:rPr>
      </w:pPr>
    </w:p>
    <w:p>
      <w:pPr>
        <w:ind w:left="720" w:right="219" w:hanging="527"/>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personal data breach concerning personal data processed by the data importer under these Clauses, the data importer shall take appropriate measures to address the personal data breach, including measures to mitigate its possible adverse effects.</w:t>
      </w:r>
    </w:p>
    <w:p>
      <w:pPr>
        <w:spacing w:after="0" w:line="145" w:lineRule="exact"/>
        <w:rPr>
          <w:rFonts w:ascii="Times New Roman" w:cs="Times New Roman" w:eastAsia="Times New Roman" w:hAnsi="Times New Roman"/>
          <w:sz w:val="18"/>
          <w:szCs w:val="18"/>
          <w:color w:val="auto"/>
        </w:rPr>
      </w:pPr>
    </w:p>
    <w:p>
      <w:pPr>
        <w:ind w:left="720" w:right="299" w:hanging="527"/>
        <w:spacing w:after="0" w:line="234"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personal data breach that is likely to result in a risk to the rights and freedoms of natural persons, the data importer shall without undue delay notify both the data exporter and the competent supervisory authority pursuant to Clause 13. Such notification shall contain i) a description of the nature of the breach (including, where possible, categories and approximate number of data subjects and personal data records concerned), ii) its likely consequences, iii) the measures taken or proposed to address the breach, and iv) the details of a contact point from whom more information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586740</wp:posOffset>
            </wp:positionV>
            <wp:extent cx="547624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2" w:name="page123"/>
    <w:bookmarkEnd w:id="122"/>
    <w:p>
      <w:pPr>
        <w:ind w:left="720" w:right="539"/>
        <w:spacing w:after="0" w:line="252" w:lineRule="auto"/>
        <w:rPr>
          <w:sz w:val="20"/>
          <w:szCs w:val="20"/>
          <w:color w:val="auto"/>
        </w:rPr>
      </w:pPr>
      <w:r>
        <w:rPr>
          <w:rFonts w:ascii="Times New Roman" w:cs="Times New Roman" w:eastAsia="Times New Roman" w:hAnsi="Times New Roman"/>
          <w:sz w:val="18"/>
          <w:szCs w:val="18"/>
          <w:color w:val="auto"/>
        </w:rPr>
        <w:t>obtained. To the extent it is not possible for the data importer to provide all the information at the same time, it may do so in phases without undue further delay.</w:t>
      </w:r>
    </w:p>
    <w:p>
      <w:pPr>
        <w:spacing w:after="0" w:line="134" w:lineRule="exact"/>
        <w:rPr>
          <w:sz w:val="20"/>
          <w:szCs w:val="20"/>
          <w:color w:val="auto"/>
        </w:rPr>
      </w:pPr>
    </w:p>
    <w:p>
      <w:pPr>
        <w:ind w:left="720" w:right="219" w:hanging="527"/>
        <w:spacing w:after="0" w:line="233"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personal data breach that is likely to result in a high risk to the rights and freedoms of natural persons, the data importer shall also notify without undue delay the data subjects concerned of the personal data breach and its nature, if necessary in cooperation with the data exporter, together with the information referred to in paragraph (e), points ii) to iv), unless the data importer has implemented measures to significantly reduce the risk to the rights or freedoms of natural persons, or notification would involve disproportionate efforts. In the latter case, the data importer shall instead issue a public communication or take a similar measure to inform the public of the personal data breach.</w:t>
      </w:r>
    </w:p>
    <w:p>
      <w:pPr>
        <w:spacing w:after="0" w:line="147" w:lineRule="exact"/>
        <w:rPr>
          <w:rFonts w:ascii="Times New Roman" w:cs="Times New Roman" w:eastAsia="Times New Roman" w:hAnsi="Times New Roman"/>
          <w:sz w:val="18"/>
          <w:szCs w:val="18"/>
          <w:color w:val="auto"/>
        </w:rPr>
      </w:pPr>
    </w:p>
    <w:p>
      <w:pPr>
        <w:ind w:left="720" w:right="479" w:hanging="527"/>
        <w:spacing w:after="0" w:line="25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document all relevant facts relating to the personal data breach, including its effects and any remedial action taken, and keep a record thereof.</w:t>
      </w:r>
    </w:p>
    <w:p>
      <w:pPr>
        <w:spacing w:after="0" w:line="132"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6"/>
          <w:szCs w:val="16"/>
          <w:color w:val="auto"/>
        </w:rPr>
        <w:t>Sensitive data</w:t>
      </w:r>
    </w:p>
    <w:p>
      <w:pPr>
        <w:spacing w:after="0" w:line="167" w:lineRule="exact"/>
        <w:rPr>
          <w:sz w:val="20"/>
          <w:szCs w:val="20"/>
          <w:color w:val="auto"/>
        </w:rPr>
      </w:pPr>
    </w:p>
    <w:p>
      <w:pPr>
        <w:ind w:left="200" w:right="479"/>
        <w:spacing w:after="0" w:line="233" w:lineRule="auto"/>
        <w:rPr>
          <w:sz w:val="20"/>
          <w:szCs w:val="20"/>
          <w:color w:val="auto"/>
        </w:rPr>
      </w:pPr>
      <w:r>
        <w:rPr>
          <w:rFonts w:ascii="Times New Roman" w:cs="Times New Roman" w:eastAsia="Times New Roman" w:hAnsi="Times New Roman"/>
          <w:sz w:val="18"/>
          <w:szCs w:val="18"/>
          <w:color w:val="auto"/>
        </w:rPr>
        <w:t>Where the transfer involves personal data revealing racial or ethnic origin, political opinions, religious or philosophical beliefs, or trade union membership, genetic data, or biometric data for the purpose of uniquely identifying a natural person, data concerning health or a person’s sex life or sexual orientation, or data relating to criminal convictions or offences (hereinafter “sensitive data”), the data importer shall apply specific restrictions and/or additional safeguards adapted to the specific nature of the data and the risks involved. This may include restricting the personnel permitted to access the personal data, additional security measures (such as pseudonymisation) and/or additional restrictions with respect to further disclosure.</w:t>
      </w:r>
    </w:p>
    <w:p>
      <w:pPr>
        <w:spacing w:after="0" w:line="145"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6"/>
          <w:szCs w:val="16"/>
          <w:color w:val="auto"/>
        </w:rPr>
        <w:t>Onward transfers</w:t>
      </w:r>
    </w:p>
    <w:p>
      <w:pPr>
        <w:spacing w:after="0" w:line="167" w:lineRule="exact"/>
        <w:rPr>
          <w:sz w:val="20"/>
          <w:szCs w:val="20"/>
          <w:color w:val="auto"/>
        </w:rPr>
      </w:pPr>
    </w:p>
    <w:p>
      <w:pPr>
        <w:ind w:left="200" w:right="239"/>
        <w:spacing w:after="0" w:line="237" w:lineRule="auto"/>
        <w:rPr>
          <w:sz w:val="20"/>
          <w:szCs w:val="20"/>
          <w:color w:val="auto"/>
        </w:rPr>
      </w:pPr>
      <w:r>
        <w:rPr>
          <w:rFonts w:ascii="Times New Roman" w:cs="Times New Roman" w:eastAsia="Times New Roman" w:hAnsi="Times New Roman"/>
          <w:sz w:val="18"/>
          <w:szCs w:val="18"/>
          <w:color w:val="auto"/>
        </w:rPr>
        <w:t>The data importer shall not disclose the personal data to a third party located outside the European Union (in the same country as the data importer or in another third country, hereinafter “onward transfer”) unless the third party is or agrees to be bound by these Clauses, under the appropriate Module. Otherwise, an onward transfer by the data importer may only take place if:</w:t>
      </w:r>
    </w:p>
    <w:p>
      <w:pPr>
        <w:spacing w:after="0" w:line="146" w:lineRule="exact"/>
        <w:rPr>
          <w:sz w:val="20"/>
          <w:szCs w:val="20"/>
          <w:color w:val="auto"/>
        </w:rPr>
      </w:pPr>
    </w:p>
    <w:p>
      <w:pPr>
        <w:ind w:left="1240" w:right="219" w:hanging="521"/>
        <w:spacing w:after="0" w:line="252"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to a country benefitting from an adequacy decision pursuant to Article 45 of Regulation (EU) 2016/679 that covers the onward transfer;</w:t>
      </w:r>
    </w:p>
    <w:p>
      <w:pPr>
        <w:spacing w:after="0" w:line="134"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otherwise ensures appropriate safeguards pursuant to Articles 46 or 47 of Regulation (EU) 2016/679 with respect to the processing in question;</w:t>
      </w:r>
    </w:p>
    <w:p>
      <w:pPr>
        <w:spacing w:after="0" w:line="134" w:lineRule="exact"/>
        <w:rPr>
          <w:rFonts w:ascii="Times New Roman" w:cs="Times New Roman" w:eastAsia="Times New Roman" w:hAnsi="Times New Roman"/>
          <w:sz w:val="18"/>
          <w:szCs w:val="18"/>
          <w:color w:val="auto"/>
        </w:rPr>
      </w:pPr>
    </w:p>
    <w:p>
      <w:pPr>
        <w:jc w:val="both"/>
        <w:ind w:left="1240" w:right="219" w:hanging="521"/>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 enters into a binding instrument with the data importer ensuring the same level of data protection as under these Clauses, and the data importer provides a copy of these safeguards to the data exporter;</w:t>
      </w:r>
    </w:p>
    <w:p>
      <w:pPr>
        <w:spacing w:after="0" w:line="145"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necessary for the establishment, exercise or defence of legal claims in the context of specific administrative, regulatory or judicial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579120</wp:posOffset>
            </wp:positionV>
            <wp:extent cx="547624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123" w:name="page124"/>
    <w:bookmarkEnd w:id="123"/>
    <w:p>
      <w:pPr>
        <w:ind w:left="1240" w:hanging="521"/>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necessary in order to protect the vital interests of the data subject or of another natural person; or</w:t>
      </w:r>
    </w:p>
    <w:p>
      <w:pPr>
        <w:spacing w:after="0" w:line="165" w:lineRule="exact"/>
        <w:rPr>
          <w:rFonts w:ascii="Times New Roman" w:cs="Times New Roman" w:eastAsia="Times New Roman" w:hAnsi="Times New Roman"/>
          <w:sz w:val="18"/>
          <w:szCs w:val="18"/>
          <w:color w:val="auto"/>
        </w:rPr>
      </w:pPr>
    </w:p>
    <w:p>
      <w:pPr>
        <w:jc w:val="both"/>
        <w:ind w:left="1240" w:right="219" w:hanging="521"/>
        <w:spacing w:after="0" w:line="235"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none of the other conditions apply, the data importer has obtained the explicit consent of the data subject for an onward transfer in a specific situation, after having informed him/her of its purpose(s), the identity of the recipient and the possible risks of such transfer to him/her due to the lack of appropriate data protection safeguards. In this case, the data importer shall inform the data exporter and, at the request of the latter, shall transmit to it a copy of the information provided to the data subject.</w:t>
      </w:r>
    </w:p>
    <w:p>
      <w:pPr>
        <w:spacing w:after="0" w:line="147" w:lineRule="exact"/>
        <w:rPr>
          <w:sz w:val="20"/>
          <w:szCs w:val="20"/>
          <w:color w:val="auto"/>
        </w:rPr>
      </w:pPr>
    </w:p>
    <w:p>
      <w:pPr>
        <w:ind w:left="200" w:right="199"/>
        <w:spacing w:after="0" w:line="252" w:lineRule="auto"/>
        <w:rPr>
          <w:sz w:val="20"/>
          <w:szCs w:val="20"/>
          <w:color w:val="auto"/>
        </w:rPr>
      </w:pPr>
      <w:r>
        <w:rPr>
          <w:rFonts w:ascii="Times New Roman" w:cs="Times New Roman" w:eastAsia="Times New Roman" w:hAnsi="Times New Roman"/>
          <w:sz w:val="18"/>
          <w:szCs w:val="18"/>
          <w:color w:val="auto"/>
        </w:rPr>
        <w:t>Any onward transfer is subject to compliance by the data importer with all the other safeguards under these Clauses, in particular purpose limitation.</w:t>
      </w:r>
    </w:p>
    <w:p>
      <w:pPr>
        <w:spacing w:after="0" w:line="132"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6"/>
          <w:szCs w:val="16"/>
          <w:color w:val="auto"/>
        </w:rPr>
        <w:t>Processing under the authority of the data importer</w:t>
      </w:r>
    </w:p>
    <w:p>
      <w:pPr>
        <w:spacing w:after="0" w:line="167" w:lineRule="exact"/>
        <w:rPr>
          <w:sz w:val="20"/>
          <w:szCs w:val="20"/>
          <w:color w:val="auto"/>
        </w:rPr>
      </w:pPr>
    </w:p>
    <w:p>
      <w:pPr>
        <w:ind w:left="200" w:right="299"/>
        <w:spacing w:after="0" w:line="252" w:lineRule="auto"/>
        <w:rPr>
          <w:sz w:val="20"/>
          <w:szCs w:val="20"/>
          <w:color w:val="auto"/>
        </w:rPr>
      </w:pPr>
      <w:r>
        <w:rPr>
          <w:rFonts w:ascii="Times New Roman" w:cs="Times New Roman" w:eastAsia="Times New Roman" w:hAnsi="Times New Roman"/>
          <w:sz w:val="18"/>
          <w:szCs w:val="18"/>
          <w:color w:val="auto"/>
        </w:rPr>
        <w:t>The data importer shall ensure that any person acting under its authority, including a processor, processes the data only on its instructions.</w:t>
      </w:r>
    </w:p>
    <w:p>
      <w:pPr>
        <w:spacing w:after="0" w:line="132"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8.9</w:t>
      </w:r>
      <w:r>
        <w:rPr>
          <w:sz w:val="20"/>
          <w:szCs w:val="20"/>
          <w:color w:val="auto"/>
        </w:rPr>
        <w:tab/>
      </w:r>
      <w:r>
        <w:rPr>
          <w:rFonts w:ascii="Times New Roman" w:cs="Times New Roman" w:eastAsia="Times New Roman" w:hAnsi="Times New Roman"/>
          <w:sz w:val="16"/>
          <w:szCs w:val="16"/>
          <w:color w:val="auto"/>
        </w:rPr>
        <w:t>Documentation and compliance</w:t>
      </w:r>
    </w:p>
    <w:p>
      <w:pPr>
        <w:spacing w:after="0" w:line="167" w:lineRule="exact"/>
        <w:rPr>
          <w:sz w:val="20"/>
          <w:szCs w:val="20"/>
          <w:color w:val="auto"/>
        </w:rPr>
      </w:pPr>
    </w:p>
    <w:p>
      <w:pPr>
        <w:ind w:left="720" w:right="219" w:hanging="527"/>
        <w:spacing w:after="0" w:line="314" w:lineRule="auto"/>
        <w:tabs>
          <w:tab w:leader="none" w:pos="7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be able to demonstrate compliance with its obligations under these Clauses. In particular, the data importer shall keep appropriate documentation of the processing activities carried out under its responsibility.</w:t>
      </w:r>
    </w:p>
    <w:p>
      <w:pPr>
        <w:spacing w:after="0" w:line="87" w:lineRule="exact"/>
        <w:rPr>
          <w:rFonts w:ascii="Times New Roman" w:cs="Times New Roman" w:eastAsia="Times New Roman" w:hAnsi="Times New Roman"/>
          <w:sz w:val="16"/>
          <w:szCs w:val="16"/>
          <w:color w:val="auto"/>
        </w:rPr>
      </w:pPr>
    </w:p>
    <w:p>
      <w:pPr>
        <w:ind w:left="720" w:hanging="527"/>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make such documentation available to the competent supervisory authority on request.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Clause 9</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Use of sub-processors</w:t>
      </w:r>
    </w:p>
    <w:p>
      <w:pPr>
        <w:spacing w:after="0" w:line="220" w:lineRule="exact"/>
        <w:rPr>
          <w:sz w:val="20"/>
          <w:szCs w:val="20"/>
          <w:color w:val="auto"/>
        </w:rPr>
      </w:pPr>
    </w:p>
    <w:p>
      <w:pPr>
        <w:ind w:left="720" w:hanging="527"/>
        <w:spacing w:after="0"/>
        <w:tabs>
          <w:tab w:leader="none" w:pos="7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Clause 10</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Data subject rights</w:t>
      </w:r>
    </w:p>
    <w:p>
      <w:pPr>
        <w:spacing w:after="0" w:line="231" w:lineRule="exact"/>
        <w:rPr>
          <w:sz w:val="20"/>
          <w:szCs w:val="20"/>
          <w:color w:val="auto"/>
        </w:rPr>
      </w:pPr>
    </w:p>
    <w:p>
      <w:pPr>
        <w:jc w:val="both"/>
        <w:ind w:left="720" w:right="219" w:hanging="527"/>
        <w:spacing w:after="0" w:line="234"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where relevant with the assistance of the data exporter, shall deal with any enquiries and requests it receives from a data subject relating to the processing of his/her personal data and the exercise of his/her rights under these Clauses without undue delay and at the latest within one month of the receipt of the enquiry or request. The data importer shall take appropriate measures to facilitate such enquiries, requests and the exercise of data subject rights. Any information provided to the data subject shall be in an intelligible and easily accessible form, using clear and plain language.</w:t>
      </w:r>
    </w:p>
    <w:p>
      <w:pPr>
        <w:spacing w:after="0" w:line="146"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particular, upon request by the data subject the data importer shall,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598805</wp:posOffset>
            </wp:positionV>
            <wp:extent cx="547624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4" w:name="page125"/>
    <w:bookmarkEnd w:id="124"/>
    <w:p>
      <w:pPr>
        <w:jc w:val="both"/>
        <w:ind w:left="1240" w:right="219" w:hanging="521"/>
        <w:spacing w:after="0" w:line="233" w:lineRule="auto"/>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confirmation to the data subject as to whether personal data concerning him/her is being processed and, where this is the case, a copy of the data relating to him/her and the information in Annex I; if personal data has been or will be onward transferred, provide information on recipients or categories of recipients (as appropriate with a view to providing meaningful information) to which the personal data has been or will be onward transferred, the purpose of such onward transfers and their ground pursuant to Clause 8.7; and provide information on the right to lodge a complaint with a supervisory authority in accordance with Clause 12(c)(i);</w:t>
      </w:r>
    </w:p>
    <w:p>
      <w:pPr>
        <w:spacing w:after="0" w:line="147"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rectify inaccurate or incomplete data concerning the data subject;</w:t>
      </w:r>
    </w:p>
    <w:p>
      <w:pPr>
        <w:spacing w:after="0" w:line="165" w:lineRule="exact"/>
        <w:rPr>
          <w:rFonts w:ascii="Times New Roman" w:cs="Times New Roman" w:eastAsia="Times New Roman" w:hAnsi="Times New Roman"/>
          <w:sz w:val="18"/>
          <w:szCs w:val="18"/>
          <w:color w:val="auto"/>
        </w:rPr>
      </w:pPr>
    </w:p>
    <w:p>
      <w:pPr>
        <w:jc w:val="both"/>
        <w:ind w:left="1240" w:right="219" w:hanging="521"/>
        <w:spacing w:after="0"/>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erase personal data concerning the data subject if such data is being or has been processed in violation of any of these Clauses ensuring third-party beneficiary rights, or if the data subject withdraws the consent on which the processing is based.</w:t>
      </w:r>
    </w:p>
    <w:p>
      <w:pPr>
        <w:spacing w:after="0" w:line="14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data importer processes the personal data for direct marketing purposes, it shall cease processing for such purposes if the data subject objects to it.</w:t>
      </w:r>
    </w:p>
    <w:p>
      <w:pPr>
        <w:spacing w:after="0" w:line="134" w:lineRule="exact"/>
        <w:rPr>
          <w:rFonts w:ascii="Times New Roman" w:cs="Times New Roman" w:eastAsia="Times New Roman" w:hAnsi="Times New Roman"/>
          <w:sz w:val="18"/>
          <w:szCs w:val="18"/>
          <w:color w:val="auto"/>
        </w:rPr>
      </w:pPr>
    </w:p>
    <w:p>
      <w:pPr>
        <w:jc w:val="both"/>
        <w:ind w:left="720" w:right="219" w:hanging="527"/>
        <w:spacing w:after="0" w:line="234"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not make a decision based solely on the automated processing of the personal data transferred (hereinafter “automated decision”), which would produce legal effects concerning the data subject or similarly significantly affect him/her, unless with the explicit consent of the data subject or if authorised to do so under the laws of the country of destination, provided that such laws lays down suitable measures to safeguard the data subject’s rights and legitimate interests. In this case, the data importer shall, where necessary in cooperation with the data exporter:</w:t>
      </w:r>
    </w:p>
    <w:p>
      <w:pPr>
        <w:spacing w:after="0" w:line="146"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data subject about the envisaged automated decision, the envisaged consequences and the logic involved; and</w:t>
      </w:r>
    </w:p>
    <w:p>
      <w:pPr>
        <w:spacing w:after="0" w:line="134"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suitable safeguards, at least by enabling the data subject to contest the decision, express his/her point of view and obtain review by a human being.</w:t>
      </w:r>
    </w:p>
    <w:p>
      <w:pPr>
        <w:spacing w:after="0" w:line="134"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requests from a data subject are excessive, in particular because of their repetitive character, the data importer may either charge a reasonable fee taking into account the administrative costs of granting the request or refuse to act on the request.</w:t>
      </w:r>
    </w:p>
    <w:p>
      <w:pPr>
        <w:spacing w:after="0" w:line="145"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may refuse a data subject’s request if such refusal is allowed under the laws of the country of destination and is necessary and proportionate in a democratic society to protect one of the objectives listed in Article 23(1) of Regulation (EU) 2016/679.</w:t>
      </w:r>
    </w:p>
    <w:p>
      <w:pPr>
        <w:spacing w:after="0" w:line="145"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data importer intends to refuse a data subject’s request, it shall inform the data subject of the reasons for the refusal and the possibility of lodging a complaint with the competent supervisory authority and/or seeking judicial redress.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586105</wp:posOffset>
            </wp:positionV>
            <wp:extent cx="547624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11</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Redress</w:t>
      </w:r>
    </w:p>
    <w:p>
      <w:pPr>
        <w:spacing w:after="0" w:line="220" w:lineRule="exact"/>
        <w:rPr>
          <w:sz w:val="20"/>
          <w:szCs w:val="20"/>
          <w:color w:val="auto"/>
        </w:rPr>
      </w:pPr>
    </w:p>
    <w:p>
      <w:pPr>
        <w:jc w:val="both"/>
        <w:ind w:left="720" w:right="219" w:hanging="527"/>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inform data subjects in a transparent and easily accessible format, through individual notice or on its website, of a contact point authorised to handle complaints. It shall deal promptly with any complaints it receives from a data subject.</w:t>
      </w:r>
    </w:p>
    <w:p>
      <w:pPr>
        <w:spacing w:after="0" w:line="145"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dispute between a data subject and one of the Parties as regards compliance with these Clauses, that Party shall use its best efforts to resolve the issue amicably in a timely fashion. The Parties shall keep each other informed about such disputes and, where appropriate, cooperate in resolving them.</w:t>
      </w:r>
    </w:p>
    <w:p>
      <w:pPr>
        <w:spacing w:after="0" w:line="14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data subject invokes a third-party beneficiary right pursuant to Clause 3, the data importer shall accept the decision of the data subject to:</w:t>
      </w:r>
    </w:p>
    <w:p>
      <w:pPr>
        <w:spacing w:after="0" w:line="134"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lodge a complaint with the supervisory authority in the Member State of his/her habitual residence or place of work, or the competent supervisory authority pursuant to Clause 13;</w:t>
      </w:r>
    </w:p>
    <w:p>
      <w:pPr>
        <w:spacing w:after="0" w:line="134"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the dispute to the competent courts within the meaning of Clause 18.</w:t>
      </w:r>
    </w:p>
    <w:p>
      <w:pPr>
        <w:spacing w:after="0" w:line="16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accept that the data subject may be represented by a not-for-profit body, organisation or association under the conditions set out in Article 80(1) of Regulation (EU) 2016/679.</w:t>
      </w:r>
    </w:p>
    <w:p>
      <w:pPr>
        <w:spacing w:after="0" w:line="134"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abide by a decision that is binding under the applicable EU or Member State law.</w:t>
      </w:r>
    </w:p>
    <w:p>
      <w:pPr>
        <w:spacing w:after="0" w:line="16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that the choice made by the data subject will not prejudice his/her substantive and procedural rights to seek remedies in accordance with applicable laws.</w:t>
      </w:r>
    </w:p>
    <w:p>
      <w:pPr>
        <w:spacing w:after="0" w:line="18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Clause 12</w:t>
      </w:r>
    </w:p>
    <w:p>
      <w:pPr>
        <w:spacing w:after="0" w:line="1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Liability</w:t>
      </w:r>
    </w:p>
    <w:p>
      <w:pPr>
        <w:spacing w:after="0" w:line="231" w:lineRule="exact"/>
        <w:rPr>
          <w:sz w:val="20"/>
          <w:szCs w:val="20"/>
          <w:color w:val="auto"/>
        </w:rPr>
      </w:pPr>
    </w:p>
    <w:p>
      <w:pPr>
        <w:ind w:left="720" w:right="219" w:hanging="527"/>
        <w:spacing w:after="0" w:line="252"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liable to the other Party/ies for any damages it causes the other Party/ies by any breach of these Clauses.</w:t>
      </w:r>
    </w:p>
    <w:p>
      <w:pPr>
        <w:spacing w:after="0" w:line="134" w:lineRule="exact"/>
        <w:rPr>
          <w:rFonts w:ascii="Times New Roman" w:cs="Times New Roman" w:eastAsia="Times New Roman" w:hAnsi="Times New Roman"/>
          <w:sz w:val="18"/>
          <w:szCs w:val="18"/>
          <w:color w:val="auto"/>
        </w:rPr>
      </w:pPr>
    </w:p>
    <w:p>
      <w:pPr>
        <w:jc w:val="both"/>
        <w:ind w:left="720" w:right="219" w:hanging="527"/>
        <w:spacing w:after="0" w:line="237"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liable to the data subject, and the data subject shall be entitled to receive compensation, for any material or non-material damages that the Party causes the data subject by breaching the third-party beneficiary rights under these Clauses. This is without prejudice to the liability of the data exporter under Regulation (EU) 2016/679.</w:t>
      </w:r>
    </w:p>
    <w:p>
      <w:pPr>
        <w:spacing w:after="0" w:line="145"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more than one Party is responsible for any damage caused to the data subject as a result of a breach of these Clauses, all responsible Parties shall be jointly and severally liable and the data subject is entitled to bring an action in court against any of these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586105</wp:posOffset>
            </wp:positionV>
            <wp:extent cx="5476240"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26" w:name="page127"/>
    <w:bookmarkEnd w:id="126"/>
    <w:p>
      <w:pPr>
        <w:ind w:left="720" w:right="219" w:hanging="527"/>
        <w:spacing w:after="0" w:line="252" w:lineRule="auto"/>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if one Party is held liable under paragraph (c), it shall be entitled to claim back from the other Party/ies that part of the compensation corresponding to its/their responsibility for the damage.</w:t>
      </w:r>
    </w:p>
    <w:p>
      <w:pPr>
        <w:spacing w:after="0" w:line="134"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may not invoke the conduct of a processor or sub-processor to avoid its own liability.</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13</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Supervision</w:t>
      </w:r>
    </w:p>
    <w:p>
      <w:pPr>
        <w:spacing w:after="0" w:line="220" w:lineRule="exact"/>
        <w:rPr>
          <w:sz w:val="20"/>
          <w:szCs w:val="20"/>
          <w:color w:val="auto"/>
        </w:rPr>
      </w:pPr>
    </w:p>
    <w:p>
      <w:pPr>
        <w:jc w:val="both"/>
        <w:ind w:left="720" w:right="219" w:hanging="527"/>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data exporter is established in an EU Member State:] The supervisory authority with responsibility for ensuring compliance by the data exporter with Regulation (EU) 2016/679 as regards the data transfer, as indicated in Annex I.C, shall act as competent supervisory authority.</w:t>
      </w:r>
    </w:p>
    <w:p>
      <w:pPr>
        <w:spacing w:after="0" w:line="145" w:lineRule="exact"/>
        <w:rPr>
          <w:rFonts w:ascii="Times New Roman" w:cs="Times New Roman" w:eastAsia="Times New Roman" w:hAnsi="Times New Roman"/>
          <w:sz w:val="18"/>
          <w:szCs w:val="18"/>
          <w:color w:val="auto"/>
        </w:rPr>
      </w:pPr>
    </w:p>
    <w:p>
      <w:pPr>
        <w:ind w:left="720" w:right="33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data exporter is not established in an EU Member State, but falls within the territorial scope of application of Regulation (EU) 2016/679 in accordance with its Article 3(2) and has appointed a representative pursuant to Article 27(1) of Regulation (EU) 2016/679:] The supervisory authority of the Member State in which the representative within the meaning of Article 27(1) of Regulation (EU) 2016/679 is established, as indicated in Annex I.C, shall act as competent supervisory authority.</w:t>
      </w:r>
    </w:p>
    <w:p>
      <w:pPr>
        <w:spacing w:after="0" w:line="146" w:lineRule="exact"/>
        <w:rPr>
          <w:rFonts w:ascii="Times New Roman" w:cs="Times New Roman" w:eastAsia="Times New Roman" w:hAnsi="Times New Roman"/>
          <w:sz w:val="18"/>
          <w:szCs w:val="18"/>
          <w:color w:val="auto"/>
        </w:rPr>
      </w:pPr>
    </w:p>
    <w:p>
      <w:pPr>
        <w:ind w:left="720" w:right="339"/>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data exporter is not established in an EU Member State, but falls within the territorial scope of application of Regulation (EU) 2016/679 in accordance with its Article 3(2) without however having to appoint a representative pursuant to Article 27(2) of Regulation (EU) 2016/679:] The supervisory authority of one of the Member States in which the data subjects whose personal data is transferred under these Clauses in relation to the offering of goods or services to them, or whose behaviour is monitored, are located, as indicated in Annex I.C, shall act as competent supervisory authority.]</w:t>
      </w:r>
    </w:p>
    <w:p>
      <w:pPr>
        <w:spacing w:after="0" w:line="146" w:lineRule="exact"/>
        <w:rPr>
          <w:rFonts w:ascii="Times New Roman" w:cs="Times New Roman" w:eastAsia="Times New Roman" w:hAnsi="Times New Roman"/>
          <w:sz w:val="18"/>
          <w:szCs w:val="18"/>
          <w:color w:val="auto"/>
        </w:rPr>
      </w:pPr>
    </w:p>
    <w:p>
      <w:pPr>
        <w:jc w:val="both"/>
        <w:ind w:left="720" w:right="219" w:hanging="527"/>
        <w:spacing w:after="0" w:line="235"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to submit itself to the jurisdiction of and cooperate with the competent supervisory authority in any procedures aimed at ensuring compliance with these Clauses. In particular, the data importer agrees to respond to enquiries, submit to audits and comply with the measures adopted by the supervisory authority, including remedial and compensatory measures. It shall provide the supervisory authority with written confirmation that the necessary actions have been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698500</wp:posOffset>
            </wp:positionV>
            <wp:extent cx="547624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SECTION III </w:t>
      </w:r>
      <w:r>
        <w:rPr>
          <w:rFonts w:ascii="Times New Roman" w:cs="Times New Roman" w:eastAsia="Times New Roman" w:hAnsi="Times New Roman"/>
          <w:sz w:val="18"/>
          <w:szCs w:val="18"/>
          <w:color w:val="auto"/>
        </w:rPr>
        <w:t>– LOCAL LAWS AND OBLIGATIONS IN CASE OF ACCESS BY PUBLIC AUTHORITIES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14</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Local laws and practices affecting compliance with the Clauses</w:t>
      </w:r>
    </w:p>
    <w:p>
      <w:pPr>
        <w:spacing w:after="0" w:line="220" w:lineRule="exact"/>
        <w:rPr>
          <w:sz w:val="20"/>
          <w:szCs w:val="20"/>
          <w:color w:val="auto"/>
        </w:rPr>
      </w:pPr>
    </w:p>
    <w:p>
      <w:pPr>
        <w:jc w:val="both"/>
        <w:ind w:left="720" w:right="219" w:hanging="527"/>
        <w:spacing w:after="0" w:line="233"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warrant that they have no reason to believe that the laws and practices in the third country of destination applicable to the processing of the personal data by the data importer, including any requirements to disclose personal data or measures authorising access by public authorities, prevent the data importer from fulfilling its obligations under these Clauses. This is based on the understanding that laws and practices that respect the essence of the fundamental rights and freedoms and do not exceed what is necessary and proportionate in a democratic society to safeguard one of the objectives listed in Article 23(1) of Regulation (EU) 2016/679, are not in contradiction with these Clauses.</w:t>
      </w:r>
    </w:p>
    <w:p>
      <w:pPr>
        <w:spacing w:after="0" w:line="147"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declare that in providing the warranty in paragraph (a), they have taken due account in particular of the following elements:</w:t>
      </w:r>
    </w:p>
    <w:p>
      <w:pPr>
        <w:spacing w:after="0" w:line="134" w:lineRule="exact"/>
        <w:rPr>
          <w:rFonts w:ascii="Times New Roman" w:cs="Times New Roman" w:eastAsia="Times New Roman" w:hAnsi="Times New Roman"/>
          <w:sz w:val="18"/>
          <w:szCs w:val="18"/>
          <w:color w:val="auto"/>
        </w:rPr>
      </w:pPr>
    </w:p>
    <w:p>
      <w:pPr>
        <w:jc w:val="both"/>
        <w:ind w:left="1240" w:right="219" w:hanging="521"/>
        <w:spacing w:after="0" w:line="237" w:lineRule="auto"/>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circumstances of the transfer, including the length of the processing chain, the number of actors involved and the transmission channels used; intended onward transfers; the type of recipient; the purpose of processing; the categories and format of the transferred personal data; the economic sector in which the transfer occurs; the storage location of the data transferred;</w:t>
      </w:r>
    </w:p>
    <w:p>
      <w:pPr>
        <w:spacing w:after="0" w:line="145" w:lineRule="exact"/>
        <w:rPr>
          <w:rFonts w:ascii="Times New Roman" w:cs="Times New Roman" w:eastAsia="Times New Roman" w:hAnsi="Times New Roman"/>
          <w:sz w:val="18"/>
          <w:szCs w:val="18"/>
          <w:color w:val="auto"/>
        </w:rPr>
      </w:pPr>
    </w:p>
    <w:p>
      <w:pPr>
        <w:jc w:val="both"/>
        <w:ind w:left="1240" w:right="219" w:hanging="521"/>
        <w:spacing w:after="0"/>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practices of the third country of destination – including those requiring the disclosure of data to public authorities or authorising access by such authorities – relevant in light of the specific circumstances of the transfer, and the applicable limitations and safeguards;</w:t>
      </w:r>
    </w:p>
    <w:p>
      <w:pPr>
        <w:spacing w:after="0" w:line="145" w:lineRule="exact"/>
        <w:rPr>
          <w:rFonts w:ascii="Times New Roman" w:cs="Times New Roman" w:eastAsia="Times New Roman" w:hAnsi="Times New Roman"/>
          <w:sz w:val="18"/>
          <w:szCs w:val="18"/>
          <w:color w:val="auto"/>
        </w:rPr>
      </w:pPr>
    </w:p>
    <w:p>
      <w:pPr>
        <w:jc w:val="both"/>
        <w:ind w:left="1240" w:right="219" w:hanging="521"/>
        <w:spacing w:after="0"/>
        <w:tabs>
          <w:tab w:leader="none" w:pos="12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contractual, technical or organisational safeguards put in place to supplement the safeguards under these Clauses, including measures applied during transmission and to the processing of the personal data in the country of destination.</w:t>
      </w:r>
    </w:p>
    <w:p>
      <w:pPr>
        <w:spacing w:after="0" w:line="145"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warrants that, in carrying out the assessment under paragraph (b), it has made its best efforts to provide the data exporter with relevant information and agrees that it will continue to cooperate with the data exporter in ensuring compliance with these Clauses.</w:t>
      </w:r>
    </w:p>
    <w:p>
      <w:pPr>
        <w:spacing w:after="0" w:line="14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document the assessment under paragraph (b) and make it available to the competent supervisory authority on request.</w:t>
      </w:r>
    </w:p>
    <w:p>
      <w:pPr>
        <w:spacing w:after="0" w:line="134" w:lineRule="exact"/>
        <w:rPr>
          <w:rFonts w:ascii="Times New Roman" w:cs="Times New Roman" w:eastAsia="Times New Roman" w:hAnsi="Times New Roman"/>
          <w:sz w:val="18"/>
          <w:szCs w:val="18"/>
          <w:color w:val="auto"/>
        </w:rPr>
      </w:pPr>
    </w:p>
    <w:p>
      <w:pPr>
        <w:jc w:val="both"/>
        <w:ind w:left="720" w:right="219" w:hanging="527"/>
        <w:spacing w:after="0" w:line="237"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to notify the data exporter promptly if, after having agreed to these Clauses and for the duration of the contract, it has reason to believe that it is or has become subject to laws or practices not in line with the requirements under paragraph (a), including following a change in the laws of the third country or a measure (such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586740</wp:posOffset>
            </wp:positionV>
            <wp:extent cx="547624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100" w:right="1440" w:bottom="1440" w:gutter="0" w:footer="0" w:header="0"/>
        </w:sectPr>
      </w:pPr>
    </w:p>
    <w:bookmarkStart w:id="128" w:name="page129"/>
    <w:bookmarkEnd w:id="128"/>
    <w:p>
      <w:pPr>
        <w:ind w:left="720" w:right="219"/>
        <w:spacing w:after="0" w:line="252" w:lineRule="auto"/>
        <w:rPr>
          <w:sz w:val="20"/>
          <w:szCs w:val="20"/>
          <w:color w:val="auto"/>
        </w:rPr>
      </w:pPr>
      <w:r>
        <w:rPr>
          <w:rFonts w:ascii="Times New Roman" w:cs="Times New Roman" w:eastAsia="Times New Roman" w:hAnsi="Times New Roman"/>
          <w:sz w:val="18"/>
          <w:szCs w:val="18"/>
          <w:color w:val="auto"/>
        </w:rPr>
        <w:t>disclosure request) indicating an application of such laws in practice that is not in line with the requirements in paragraph (a).</w:t>
      </w:r>
    </w:p>
    <w:p>
      <w:pPr>
        <w:spacing w:after="0" w:line="134" w:lineRule="exact"/>
        <w:rPr>
          <w:sz w:val="20"/>
          <w:szCs w:val="20"/>
          <w:color w:val="auto"/>
        </w:rPr>
      </w:pPr>
    </w:p>
    <w:p>
      <w:pPr>
        <w:jc w:val="both"/>
        <w:ind w:left="720" w:right="219" w:hanging="527"/>
        <w:spacing w:after="0" w:line="232"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notification pursuant to paragraph (e), or if the data exporter otherwise has reason to believe that the data importer can no longer fulfil its obligations under these Clauses, the data exporter shall promptly identify appropriate measures (e.g. technical or organisational measures to ensure security and confidentiality) to be adopted by the data exporter and/or data importer to address the situation. The data exporter shall suspend the data transfer if it considers that no appropriate safeguards for such transfer can be ensured, or if instructed by the competent supervisory authority to do so. In this case, the data exporter shall be entitled to terminate the contract, insofar as it concerns the processing of personal data under these Clauses. If the contract involves more than two Parties, the data exporter may exercise this right to termination only with respect to the relevant Party, unless the Parties have agreed otherwise. Where the contract is terminated pursuant to this Clause, Clause 16(d) and (e) shall apply.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15</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Obligations of the data importer in case of access by public authorities</w:t>
      </w:r>
    </w:p>
    <w:p>
      <w:pPr>
        <w:spacing w:after="0" w:line="218"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6"/>
          <w:szCs w:val="16"/>
          <w:color w:val="auto"/>
        </w:rPr>
        <w:t>Notification</w:t>
      </w:r>
    </w:p>
    <w:p>
      <w:pPr>
        <w:spacing w:after="0" w:line="167" w:lineRule="exact"/>
        <w:rPr>
          <w:sz w:val="20"/>
          <w:szCs w:val="20"/>
          <w:color w:val="auto"/>
        </w:rPr>
      </w:pPr>
    </w:p>
    <w:p>
      <w:pPr>
        <w:ind w:left="720" w:right="219" w:hanging="527"/>
        <w:spacing w:after="0" w:line="252"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to notify the data exporter and, where possible, the data subject promptly (if necessary with the help of the data exporter) if it:</w:t>
      </w:r>
    </w:p>
    <w:p>
      <w:pPr>
        <w:spacing w:after="0" w:line="134" w:lineRule="exact"/>
        <w:rPr>
          <w:rFonts w:ascii="Times New Roman" w:cs="Times New Roman" w:eastAsia="Times New Roman" w:hAnsi="Times New Roman"/>
          <w:sz w:val="18"/>
          <w:szCs w:val="18"/>
          <w:color w:val="auto"/>
        </w:rPr>
      </w:pPr>
    </w:p>
    <w:p>
      <w:pPr>
        <w:jc w:val="both"/>
        <w:ind w:left="1240" w:right="219" w:hanging="521"/>
        <w:spacing w:after="0" w:line="237" w:lineRule="auto"/>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a legally binding request from a public authority, including judicial authorities, under the laws of the country of destination for the disclosure of personal data transferred pursuant to these Clauses; such notification shall include information about the personal data requested, the requesting authority, the legal basis for the request and the response provided; or</w:t>
      </w:r>
    </w:p>
    <w:p>
      <w:pPr>
        <w:spacing w:after="0" w:line="145" w:lineRule="exact"/>
        <w:rPr>
          <w:rFonts w:ascii="Times New Roman" w:cs="Times New Roman" w:eastAsia="Times New Roman" w:hAnsi="Times New Roman"/>
          <w:sz w:val="18"/>
          <w:szCs w:val="18"/>
          <w:color w:val="auto"/>
        </w:rPr>
      </w:pPr>
    </w:p>
    <w:p>
      <w:pPr>
        <w:jc w:val="both"/>
        <w:ind w:left="1240" w:right="219" w:hanging="521"/>
        <w:spacing w:after="0"/>
        <w:tabs>
          <w:tab w:leader="none" w:pos="12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aware of any direct access by public authorities to personal data transferred pursuant to these Clauses in accordance with the laws of the country of destination; such notification shall include all information available to the importer.</w:t>
      </w:r>
    </w:p>
    <w:p>
      <w:pPr>
        <w:spacing w:after="0" w:line="145" w:lineRule="exact"/>
        <w:rPr>
          <w:rFonts w:ascii="Times New Roman" w:cs="Times New Roman" w:eastAsia="Times New Roman" w:hAnsi="Times New Roman"/>
          <w:sz w:val="18"/>
          <w:szCs w:val="18"/>
          <w:color w:val="auto"/>
        </w:rPr>
      </w:pPr>
    </w:p>
    <w:p>
      <w:pPr>
        <w:jc w:val="both"/>
        <w:ind w:left="720" w:right="219" w:hanging="527"/>
        <w:spacing w:after="0" w:line="237"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data importer is prohibited from notifying the data exporter and/or the data subject under the laws of the country of destination, the data importer agrees to use its best efforts to obtain a waiver of the prohibition, with a view to communicating as much information as possible, as soon as possible. The data importer agrees to document its best efforts in order to be able to demonstrate them on request of the data exporter.</w:t>
      </w:r>
    </w:p>
    <w:p>
      <w:pPr>
        <w:spacing w:after="0" w:line="145" w:lineRule="exact"/>
        <w:rPr>
          <w:rFonts w:ascii="Times New Roman" w:cs="Times New Roman" w:eastAsia="Times New Roman" w:hAnsi="Times New Roman"/>
          <w:sz w:val="18"/>
          <w:szCs w:val="18"/>
          <w:color w:val="auto"/>
        </w:rPr>
      </w:pPr>
    </w:p>
    <w:p>
      <w:pPr>
        <w:jc w:val="both"/>
        <w:ind w:left="720" w:right="219" w:hanging="527"/>
        <w:spacing w:after="0" w:line="237" w:lineRule="auto"/>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permissible under the laws of the country of destination, the data importer agrees to provide the data exporter, at regular intervals for the duration of the contract, with as much relevant information as possible on the requests received (in particular, number of requests, type of data requested, requesting authority/ies, whether requests have been challenged and the outcome of such challenges,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586740</wp:posOffset>
            </wp:positionV>
            <wp:extent cx="547624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29" w:name="page130"/>
    <w:bookmarkEnd w:id="129"/>
    <w:p>
      <w:pPr>
        <w:ind w:left="720" w:right="219" w:hanging="527"/>
        <w:spacing w:after="0" w:line="25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to preserve the information pursuant to paragraphs (a) to (c) for the duration of the contract and make it available to the competent supervisory authority on request.</w:t>
      </w:r>
    </w:p>
    <w:p>
      <w:pPr>
        <w:spacing w:after="0" w:line="134"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to (c) are without prejudice to the obligation of the data importer pursuant to Clause 14(e) and Clause 16 to inform the data exporter promptly where it is unable to comply with these Clauses.</w:t>
      </w:r>
    </w:p>
    <w:p>
      <w:pPr>
        <w:spacing w:after="0" w:line="132"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6"/>
          <w:szCs w:val="16"/>
          <w:color w:val="auto"/>
        </w:rPr>
        <w:t>Review of legality and data minimisation</w:t>
      </w:r>
    </w:p>
    <w:p>
      <w:pPr>
        <w:spacing w:after="0" w:line="167" w:lineRule="exact"/>
        <w:rPr>
          <w:sz w:val="20"/>
          <w:szCs w:val="20"/>
          <w:color w:val="auto"/>
        </w:rPr>
      </w:pPr>
    </w:p>
    <w:p>
      <w:pPr>
        <w:jc w:val="both"/>
        <w:ind w:left="720" w:right="219" w:hanging="527"/>
        <w:spacing w:after="0" w:line="23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to review the legality of the request for disclosure, in particular whether it remains within the powers granted to the requesting public authority, and to challenge the request if, after careful assessment, it concludes that there are reasonable grounds to consider that the request is unlawful under the laws of the country of destination, applicable obligations under international law and principles of international comity. The data importer shall, under the same conditions, pursue possibilities of appeal. When challenging a request, the data importer shall seek interim measures with a view to suspending the effects of the request until the competent judicial authority has decided on its merits. It shall not disclose the personal data requested until required to do so under the applicable procedural rules. These requirements are without prejudice to the obligations of the data importer under Clause 14(e).</w:t>
      </w:r>
    </w:p>
    <w:p>
      <w:pPr>
        <w:spacing w:after="0" w:line="147"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to document its legal assessment and any challenge to the request for disclosure and, to the extent permissible under the laws of the country of destination, make the documentation available to the data exporter. It shall also make it available to the competent supervisory authority on request.</w:t>
      </w:r>
    </w:p>
    <w:p>
      <w:pPr>
        <w:spacing w:after="0" w:line="14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agrees to provide the minimum amount of information permissible when responding to a request for disclosure, based on a reasonable interpretation of the request.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SECTION IV </w:t>
      </w:r>
      <w:r>
        <w:rPr>
          <w:rFonts w:ascii="Times New Roman" w:cs="Times New Roman" w:eastAsia="Times New Roman" w:hAnsi="Times New Roman"/>
          <w:sz w:val="18"/>
          <w:szCs w:val="18"/>
          <w:color w:val="auto"/>
        </w:rPr>
        <w:t>– FINAL PROVISIONS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16</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Non-compliance with the Clauses and termination</w:t>
      </w:r>
    </w:p>
    <w:p>
      <w:pPr>
        <w:spacing w:after="0" w:line="220" w:lineRule="exact"/>
        <w:rPr>
          <w:sz w:val="20"/>
          <w:szCs w:val="20"/>
          <w:color w:val="auto"/>
        </w:rPr>
      </w:pPr>
    </w:p>
    <w:p>
      <w:pPr>
        <w:ind w:left="720" w:right="219" w:hanging="527"/>
        <w:spacing w:after="0" w:line="25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shall promptly inform the data exporter if it is unable to comply with these Clauses, for whatever reason.</w:t>
      </w:r>
    </w:p>
    <w:p>
      <w:pPr>
        <w:spacing w:after="0" w:line="134" w:lineRule="exact"/>
        <w:rPr>
          <w:rFonts w:ascii="Times New Roman" w:cs="Times New Roman" w:eastAsia="Times New Roman" w:hAnsi="Times New Roman"/>
          <w:sz w:val="18"/>
          <w:szCs w:val="18"/>
          <w:color w:val="auto"/>
        </w:rPr>
      </w:pPr>
    </w:p>
    <w:p>
      <w:pPr>
        <w:jc w:val="both"/>
        <w:ind w:left="720" w:right="219" w:hanging="527"/>
        <w:spacing w:after="0"/>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data importer is in breach of these Clauses or unable to comply with these Clauses, the data exporter shall suspend the transfer of personal data to the data importer until compliance is again ensured or the contract is terminated. This is without prejudice to Clause 14(f).</w:t>
      </w:r>
    </w:p>
    <w:p>
      <w:pPr>
        <w:spacing w:after="0" w:line="145" w:lineRule="exact"/>
        <w:rPr>
          <w:rFonts w:ascii="Times New Roman" w:cs="Times New Roman" w:eastAsia="Times New Roman" w:hAnsi="Times New Roman"/>
          <w:sz w:val="18"/>
          <w:szCs w:val="18"/>
          <w:color w:val="auto"/>
        </w:rPr>
      </w:pPr>
    </w:p>
    <w:p>
      <w:pPr>
        <w:ind w:left="720" w:right="219" w:hanging="527"/>
        <w:spacing w:after="0" w:line="252"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exporter shall be entitled to terminate the contract, insofar as it concerns the processing of personal data under these Clauses,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579120</wp:posOffset>
            </wp:positionV>
            <wp:extent cx="547624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30" w:name="page131"/>
    <w:bookmarkEnd w:id="130"/>
    <w:p>
      <w:pPr>
        <w:jc w:val="both"/>
        <w:ind w:left="1240" w:right="219" w:hanging="521"/>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exporter has suspended the transfer of personal data to the data importer pursuant to paragraph (b) and compliance with these Clauses is not restored within a reasonable time and in any event within one month of suspension;</w:t>
      </w:r>
    </w:p>
    <w:p>
      <w:pPr>
        <w:spacing w:after="0" w:line="145" w:lineRule="exact"/>
        <w:rPr>
          <w:rFonts w:ascii="Times New Roman" w:cs="Times New Roman" w:eastAsia="Times New Roman" w:hAnsi="Times New Roman"/>
          <w:sz w:val="18"/>
          <w:szCs w:val="18"/>
          <w:color w:val="auto"/>
        </w:rPr>
      </w:pPr>
    </w:p>
    <w:p>
      <w:pPr>
        <w:ind w:left="1240" w:hanging="521"/>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is in substantial or persistent breach of these Clauses; or</w:t>
      </w:r>
    </w:p>
    <w:p>
      <w:pPr>
        <w:spacing w:after="0" w:line="165" w:lineRule="exact"/>
        <w:rPr>
          <w:rFonts w:ascii="Times New Roman" w:cs="Times New Roman" w:eastAsia="Times New Roman" w:hAnsi="Times New Roman"/>
          <w:sz w:val="18"/>
          <w:szCs w:val="18"/>
          <w:color w:val="auto"/>
        </w:rPr>
      </w:pPr>
    </w:p>
    <w:p>
      <w:pPr>
        <w:ind w:left="1240" w:right="219" w:hanging="521"/>
        <w:spacing w:after="0" w:line="252" w:lineRule="auto"/>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importer fails to comply with a binding decision of a competent court or supervisory authority regarding its obligations under these Clauses.</w:t>
      </w:r>
    </w:p>
    <w:p>
      <w:pPr>
        <w:spacing w:after="0" w:line="134" w:lineRule="exact"/>
        <w:rPr>
          <w:sz w:val="20"/>
          <w:szCs w:val="20"/>
          <w:color w:val="auto"/>
        </w:rPr>
      </w:pPr>
    </w:p>
    <w:p>
      <w:pPr>
        <w:jc w:val="both"/>
        <w:ind w:left="720" w:right="519"/>
        <w:spacing w:after="0"/>
        <w:rPr>
          <w:sz w:val="20"/>
          <w:szCs w:val="20"/>
          <w:color w:val="auto"/>
        </w:rPr>
      </w:pPr>
      <w:r>
        <w:rPr>
          <w:rFonts w:ascii="Times New Roman" w:cs="Times New Roman" w:eastAsia="Times New Roman" w:hAnsi="Times New Roman"/>
          <w:sz w:val="18"/>
          <w:szCs w:val="18"/>
          <w:color w:val="auto"/>
        </w:rPr>
        <w:t>In these cases, it shall inform the competent supervisory authority of such non-compliance. Where the contract involves more than two Parties, the data exporter may exercise this right to termination only with respect to the relevant Party, unless the Parties have agreed otherwise.</w:t>
      </w:r>
    </w:p>
    <w:p>
      <w:pPr>
        <w:spacing w:after="0" w:line="145" w:lineRule="exact"/>
        <w:rPr>
          <w:sz w:val="20"/>
          <w:szCs w:val="20"/>
          <w:color w:val="auto"/>
        </w:rPr>
      </w:pPr>
    </w:p>
    <w:p>
      <w:pPr>
        <w:jc w:val="both"/>
        <w:ind w:left="720" w:right="219" w:hanging="527"/>
        <w:spacing w:after="0" w:line="233"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that has been transferred prior to the termination of the contract pursuant to paragraph (c) shall at the choice of the data exporter immediately be returned to the data exporter or deleted in its entirety. The same shall apply to any copies of the data. The data importer shall certify the deletion of the data to the data exporter. Until the data is deleted or returned, the data importer shall continue to ensure compliance with these Clauses. In case of local laws applicable to the data importer that prohibit the return or deletion of the transferred personal data, the data importer warrants that it will continue to ensure compliance with these Clauses and will only process the data to the extent and for as long as required under that local law.</w:t>
      </w:r>
    </w:p>
    <w:p>
      <w:pPr>
        <w:spacing w:after="0" w:line="147" w:lineRule="exact"/>
        <w:rPr>
          <w:rFonts w:ascii="Times New Roman" w:cs="Times New Roman" w:eastAsia="Times New Roman" w:hAnsi="Times New Roman"/>
          <w:sz w:val="18"/>
          <w:szCs w:val="18"/>
          <w:color w:val="auto"/>
        </w:rPr>
      </w:pPr>
    </w:p>
    <w:p>
      <w:pPr>
        <w:jc w:val="both"/>
        <w:ind w:left="720" w:right="219" w:hanging="527"/>
        <w:spacing w:after="0" w:line="235"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revoke its agreement to be bound by these Clauses where (i) the European Commission adopts a decision pursuant to Article 45(3) of Regulation (EU) 2016/679 that covers the transfer of personal data to which these Clauses apply; or (ii) Regulation (EU) 2016/679 becomes part of the legal framework of the country to which the personal data is transferred. This is without prejudice to other obligations applying to the processing in question under Regulation (EU) 2016/679.</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17</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Governing law</w:t>
      </w:r>
    </w:p>
    <w:p>
      <w:pPr>
        <w:spacing w:after="0" w:line="220" w:lineRule="exact"/>
        <w:rPr>
          <w:sz w:val="20"/>
          <w:szCs w:val="20"/>
          <w:color w:val="auto"/>
        </w:rPr>
      </w:pPr>
    </w:p>
    <w:p>
      <w:pPr>
        <w:ind w:left="200" w:right="539"/>
        <w:spacing w:after="0" w:line="252" w:lineRule="auto"/>
        <w:rPr>
          <w:sz w:val="20"/>
          <w:szCs w:val="20"/>
          <w:color w:val="auto"/>
        </w:rPr>
      </w:pPr>
      <w:r>
        <w:rPr>
          <w:rFonts w:ascii="Times New Roman" w:cs="Times New Roman" w:eastAsia="Times New Roman" w:hAnsi="Times New Roman"/>
          <w:sz w:val="18"/>
          <w:szCs w:val="18"/>
          <w:color w:val="auto"/>
        </w:rPr>
        <w:t>These Clauses shall be governed by the law of one of the EU Member States, provided such law allows for third-party beneficiary rights. The Parties agree that this shall be the law of Ireland.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Clause 18</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Choice of forum and jurisdiction</w:t>
      </w:r>
    </w:p>
    <w:p>
      <w:pPr>
        <w:spacing w:after="0" w:line="231" w:lineRule="exact"/>
        <w:rPr>
          <w:sz w:val="20"/>
          <w:szCs w:val="20"/>
          <w:color w:val="auto"/>
        </w:rPr>
      </w:pPr>
    </w:p>
    <w:p>
      <w:pPr>
        <w:ind w:left="720" w:hanging="527"/>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arising from these Clauses shall be resolved by the courts of an EU Member State.</w:t>
      </w:r>
    </w:p>
    <w:p>
      <w:pPr>
        <w:spacing w:after="0" w:line="165"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those shall be the courts of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598805</wp:posOffset>
            </wp:positionV>
            <wp:extent cx="5476240"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31" w:name="page132"/>
    <w:bookmarkEnd w:id="131"/>
    <w:p>
      <w:pPr>
        <w:ind w:left="720" w:right="219" w:hanging="527"/>
        <w:spacing w:after="0" w:line="252"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 subject may also bring legal proceedings against the data exporter and/or data importer before the courts of the Member State in which he/she has his/her habitual residence.</w:t>
      </w:r>
    </w:p>
    <w:p>
      <w:pPr>
        <w:spacing w:after="0" w:line="134" w:lineRule="exact"/>
        <w:rPr>
          <w:rFonts w:ascii="Times New Roman" w:cs="Times New Roman" w:eastAsia="Times New Roman" w:hAnsi="Times New Roman"/>
          <w:sz w:val="18"/>
          <w:szCs w:val="18"/>
          <w:color w:val="auto"/>
        </w:rPr>
      </w:pPr>
    </w:p>
    <w:p>
      <w:pPr>
        <w:ind w:left="720" w:hanging="527"/>
        <w:spacing w:after="0"/>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submit themselves to the jurisdiction of such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723900</wp:posOffset>
            </wp:positionV>
            <wp:extent cx="547624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1010920</wp:posOffset>
            </wp:positionV>
            <wp:extent cx="547624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753745</wp:posOffset>
            </wp:positionV>
            <wp:extent cx="547624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III to Module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UK Addendum to the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EU Commission Standard Contractual Clauses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EU Commission Standard Contractual Clauses</w:t>
      </w:r>
    </w:p>
    <w:p>
      <w:pPr>
        <w:spacing w:after="0" w:line="19" w:lineRule="exact"/>
        <w:rPr>
          <w:sz w:val="20"/>
          <w:szCs w:val="20"/>
          <w:color w:val="auto"/>
        </w:rPr>
      </w:pPr>
    </w:p>
    <w:p>
      <w:pPr>
        <w:ind w:left="200" w:right="680"/>
        <w:spacing w:after="0" w:line="282" w:lineRule="auto"/>
        <w:rPr>
          <w:sz w:val="20"/>
          <w:szCs w:val="20"/>
          <w:color w:val="auto"/>
        </w:rPr>
      </w:pPr>
      <w:r>
        <w:rPr>
          <w:rFonts w:ascii="Times New Roman" w:cs="Times New Roman" w:eastAsia="Times New Roman" w:hAnsi="Times New Roman"/>
          <w:sz w:val="14"/>
          <w:szCs w:val="14"/>
          <w:color w:val="auto"/>
        </w:rPr>
        <w:t>This Addendum has been issued by the Information Commissioner for Parties making Restricted Transfers. The Information Commissioner considers that it provides Appropriate Safeguards for Restricted Transfers when it is entered into as a legally binding contract.</w:t>
      </w:r>
    </w:p>
    <w:p>
      <w:pPr>
        <w:spacing w:after="0" w:line="1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Part 1: Tables</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Table 1: Parties</w:t>
      </w:r>
    </w:p>
    <w:p>
      <w:pPr>
        <w:spacing w:after="0" w:line="142" w:lineRule="exact"/>
        <w:rPr>
          <w:sz w:val="20"/>
          <w:szCs w:val="20"/>
          <w:color w:val="auto"/>
        </w:rPr>
      </w:pPr>
    </w:p>
    <w:tbl>
      <w:tblPr>
        <w:tblLayout w:type="fixed"/>
        <w:tblInd w:w="210" w:type="dxa"/>
        <w:tblCellMar>
          <w:top w:w="0" w:type="dxa"/>
          <w:left w:w="0" w:type="dxa"/>
          <w:bottom w:w="0" w:type="dxa"/>
          <w:right w:w="0" w:type="dxa"/>
        </w:tblCellMar>
      </w:tblPr>
      <w:tr>
        <w:trPr>
          <w:trHeight w:val="203"/>
        </w:trPr>
        <w:tc>
          <w:tcPr>
            <w:tcW w:w="1980" w:type="dxa"/>
            <w:vAlign w:val="bottom"/>
            <w:tcBorders>
              <w:top w:val="single" w:sz="8" w:color="auto"/>
              <w:left w:val="single" w:sz="8" w:color="auto"/>
              <w:right w:val="single" w:sz="8" w:color="D9D9D9"/>
            </w:tcBorders>
            <w:shd w:val="clear" w:color="auto" w:fill="D9D9D9"/>
          </w:tcPr>
          <w:p>
            <w:pPr>
              <w:ind w:left="80"/>
              <w:spacing w:after="0"/>
              <w:rPr>
                <w:sz w:val="20"/>
                <w:szCs w:val="20"/>
                <w:color w:val="auto"/>
              </w:rPr>
            </w:pPr>
            <w:r>
              <w:rPr>
                <w:rFonts w:ascii="Times New Roman" w:cs="Times New Roman" w:eastAsia="Times New Roman" w:hAnsi="Times New Roman"/>
                <w:sz w:val="15"/>
                <w:szCs w:val="15"/>
                <w:b w:val="1"/>
                <w:bCs w:val="1"/>
                <w:color w:val="auto"/>
              </w:rPr>
              <w:t>Start Date</w:t>
            </w:r>
          </w:p>
        </w:tc>
        <w:tc>
          <w:tcPr>
            <w:tcW w:w="560" w:type="dxa"/>
            <w:vAlign w:val="bottom"/>
            <w:tcBorders>
              <w:top w:val="single" w:sz="8" w:color="auto"/>
              <w:right w:val="single" w:sz="8" w:color="auto"/>
            </w:tcBorders>
            <w:shd w:val="clear" w:color="auto" w:fill="D9D9D9"/>
          </w:tcPr>
          <w:p>
            <w:pPr>
              <w:spacing w:after="0"/>
              <w:rPr>
                <w:sz w:val="17"/>
                <w:szCs w:val="17"/>
                <w:color w:val="auto"/>
              </w:rPr>
            </w:pPr>
          </w:p>
        </w:tc>
        <w:tc>
          <w:tcPr>
            <w:tcW w:w="6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date of this Agreement.</w:t>
            </w:r>
          </w:p>
        </w:tc>
      </w:tr>
      <w:tr>
        <w:trPr>
          <w:trHeight w:val="158"/>
        </w:trPr>
        <w:tc>
          <w:tcPr>
            <w:tcW w:w="1980" w:type="dxa"/>
            <w:vAlign w:val="bottom"/>
            <w:tcBorders>
              <w:left w:val="single" w:sz="8" w:color="auto"/>
              <w:bottom w:val="single" w:sz="8" w:color="auto"/>
              <w:right w:val="single" w:sz="8" w:color="D9D9D9"/>
            </w:tcBorders>
            <w:shd w:val="clear" w:color="auto" w:fill="D9D9D9"/>
          </w:tcPr>
          <w:p>
            <w:pPr>
              <w:spacing w:after="0"/>
              <w:rPr>
                <w:sz w:val="13"/>
                <w:szCs w:val="13"/>
                <w:color w:val="auto"/>
              </w:rPr>
            </w:pPr>
          </w:p>
        </w:tc>
        <w:tc>
          <w:tcPr>
            <w:tcW w:w="560" w:type="dxa"/>
            <w:vAlign w:val="bottom"/>
            <w:tcBorders>
              <w:bottom w:val="single" w:sz="8" w:color="auto"/>
              <w:right w:val="single" w:sz="8" w:color="auto"/>
            </w:tcBorders>
            <w:shd w:val="clear" w:color="auto" w:fill="D9D9D9"/>
          </w:tcPr>
          <w:p>
            <w:pPr>
              <w:spacing w:after="0"/>
              <w:rPr>
                <w:sz w:val="13"/>
                <w:szCs w:val="13"/>
                <w:color w:val="auto"/>
              </w:rPr>
            </w:pPr>
          </w:p>
        </w:tc>
        <w:tc>
          <w:tcPr>
            <w:tcW w:w="6060" w:type="dxa"/>
            <w:vAlign w:val="bottom"/>
            <w:tcBorders>
              <w:bottom w:val="single" w:sz="8" w:color="auto"/>
              <w:right w:val="single" w:sz="8" w:color="auto"/>
            </w:tcBorders>
          </w:tcPr>
          <w:p>
            <w:pPr>
              <w:spacing w:after="0"/>
              <w:rPr>
                <w:sz w:val="13"/>
                <w:szCs w:val="13"/>
                <w:color w:val="auto"/>
              </w:rPr>
            </w:pPr>
          </w:p>
        </w:tc>
      </w:tr>
      <w:tr>
        <w:trPr>
          <w:trHeight w:val="363"/>
        </w:trPr>
        <w:tc>
          <w:tcPr>
            <w:tcW w:w="1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r>
      <w:tr>
        <w:trPr>
          <w:trHeight w:val="183"/>
        </w:trPr>
        <w:tc>
          <w:tcPr>
            <w:tcW w:w="1980" w:type="dxa"/>
            <w:vAlign w:val="bottom"/>
            <w:tcBorders>
              <w:left w:val="single" w:sz="8" w:color="auto"/>
              <w:right w:val="single" w:sz="8" w:color="D9D9D9"/>
            </w:tcBorders>
            <w:shd w:val="clear" w:color="auto" w:fill="D9D9D9"/>
          </w:tcPr>
          <w:p>
            <w:pPr>
              <w:spacing w:after="0"/>
              <w:rPr>
                <w:sz w:val="15"/>
                <w:szCs w:val="15"/>
                <w:color w:val="auto"/>
              </w:rPr>
            </w:pPr>
          </w:p>
        </w:tc>
        <w:tc>
          <w:tcPr>
            <w:tcW w:w="560" w:type="dxa"/>
            <w:vAlign w:val="bottom"/>
            <w:tcBorders>
              <w:right w:val="single" w:sz="8" w:color="D9D9D9"/>
            </w:tcBorders>
            <w:shd w:val="clear" w:color="auto" w:fill="D9D9D9"/>
          </w:tcPr>
          <w:p>
            <w:pPr>
              <w:spacing w:after="0"/>
              <w:rPr>
                <w:sz w:val="15"/>
                <w:szCs w:val="15"/>
                <w:color w:val="auto"/>
              </w:rPr>
            </w:pPr>
          </w:p>
        </w:tc>
        <w:tc>
          <w:tcPr>
            <w:tcW w:w="6060" w:type="dxa"/>
            <w:vAlign w:val="bottom"/>
            <w:tcBorders>
              <w:right w:val="single" w:sz="8" w:color="auto"/>
            </w:tcBorders>
            <w:shd w:val="clear" w:color="auto" w:fill="D9D9D9"/>
          </w:tcPr>
          <w:p>
            <w:pPr>
              <w:ind w:left="1400"/>
              <w:spacing w:after="0"/>
              <w:rPr>
                <w:sz w:val="20"/>
                <w:szCs w:val="20"/>
                <w:color w:val="auto"/>
              </w:rPr>
            </w:pPr>
            <w:r>
              <w:rPr>
                <w:rFonts w:ascii="Times New Roman" w:cs="Times New Roman" w:eastAsia="Times New Roman" w:hAnsi="Times New Roman"/>
                <w:sz w:val="15"/>
                <w:szCs w:val="15"/>
                <w:b w:val="1"/>
                <w:bCs w:val="1"/>
                <w:color w:val="auto"/>
              </w:rPr>
              <w:t>The Parties</w:t>
            </w:r>
          </w:p>
        </w:tc>
      </w:tr>
      <w:tr>
        <w:trPr>
          <w:trHeight w:val="158"/>
        </w:trPr>
        <w:tc>
          <w:tcPr>
            <w:tcW w:w="1980" w:type="dxa"/>
            <w:vAlign w:val="bottom"/>
            <w:tcBorders>
              <w:left w:val="single" w:sz="8" w:color="auto"/>
              <w:bottom w:val="single" w:sz="8" w:color="auto"/>
              <w:right w:val="single" w:sz="8" w:color="D9D9D9"/>
            </w:tcBorders>
            <w:shd w:val="clear" w:color="auto" w:fill="D9D9D9"/>
          </w:tcPr>
          <w:p>
            <w:pPr>
              <w:spacing w:after="0"/>
              <w:rPr>
                <w:sz w:val="13"/>
                <w:szCs w:val="13"/>
                <w:color w:val="auto"/>
              </w:rPr>
            </w:pPr>
          </w:p>
        </w:tc>
        <w:tc>
          <w:tcPr>
            <w:tcW w:w="6620" w:type="dxa"/>
            <w:vAlign w:val="bottom"/>
            <w:tcBorders>
              <w:bottom w:val="single" w:sz="8" w:color="auto"/>
              <w:right w:val="single" w:sz="8" w:color="auto"/>
            </w:tcBorders>
            <w:gridSpan w:val="2"/>
            <w:shd w:val="clear" w:color="auto" w:fill="D9D9D9"/>
          </w:tcPr>
          <w:p>
            <w:pPr>
              <w:spacing w:after="0"/>
              <w:rPr>
                <w:sz w:val="13"/>
                <w:szCs w:val="13"/>
                <w:color w:val="auto"/>
              </w:rPr>
            </w:pPr>
          </w:p>
        </w:tc>
      </w:tr>
      <w:tr>
        <w:trPr>
          <w:trHeight w:val="183"/>
        </w:trPr>
        <w:tc>
          <w:tcPr>
            <w:tcW w:w="1980" w:type="dxa"/>
            <w:vAlign w:val="bottom"/>
            <w:tcBorders>
              <w:left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5"/>
                <w:szCs w:val="15"/>
                <w:b w:val="1"/>
                <w:bCs w:val="1"/>
                <w:color w:val="auto"/>
              </w:rPr>
              <w:t>Parties’ details</w:t>
            </w:r>
          </w:p>
        </w:tc>
        <w:tc>
          <w:tcPr>
            <w:tcW w:w="6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The details of the data exporter and the data importer can be found in Annex 1.A. of the attached EU SCCs.</w:t>
            </w:r>
          </w:p>
        </w:tc>
      </w:tr>
      <w:tr>
        <w:trPr>
          <w:trHeight w:val="158"/>
        </w:trPr>
        <w:tc>
          <w:tcPr>
            <w:tcW w:w="198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6620" w:type="dxa"/>
            <w:vAlign w:val="bottom"/>
            <w:tcBorders>
              <w:bottom w:val="single" w:sz="8" w:color="auto"/>
              <w:right w:val="single" w:sz="8" w:color="auto"/>
            </w:tcBorders>
            <w:gridSpan w:val="2"/>
          </w:tcPr>
          <w:p>
            <w:pPr>
              <w:spacing w:after="0"/>
              <w:rPr>
                <w:sz w:val="13"/>
                <w:szCs w:val="13"/>
                <w:color w:val="auto"/>
              </w:rPr>
            </w:pPr>
          </w:p>
        </w:tc>
      </w:tr>
      <w:tr>
        <w:trPr>
          <w:trHeight w:val="183"/>
        </w:trPr>
        <w:tc>
          <w:tcPr>
            <w:tcW w:w="1980" w:type="dxa"/>
            <w:vAlign w:val="bottom"/>
            <w:tcBorders>
              <w:left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5"/>
                <w:szCs w:val="15"/>
                <w:b w:val="1"/>
                <w:bCs w:val="1"/>
                <w:color w:val="auto"/>
              </w:rPr>
              <w:t>Key Contact</w:t>
            </w:r>
          </w:p>
        </w:tc>
        <w:tc>
          <w:tcPr>
            <w:tcW w:w="6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Key Contact information of the data exporter and the data importer can be found in Annex 1.A. of the</w:t>
            </w:r>
          </w:p>
        </w:tc>
      </w:tr>
      <w:tr>
        <w:trPr>
          <w:trHeight w:val="191"/>
        </w:trPr>
        <w:tc>
          <w:tcPr>
            <w:tcW w:w="1980" w:type="dxa"/>
            <w:vAlign w:val="bottom"/>
            <w:tcBorders>
              <w:left w:val="single" w:sz="8" w:color="auto"/>
              <w:right w:val="single" w:sz="8" w:color="auto"/>
            </w:tcBorders>
            <w:shd w:val="clear" w:color="auto" w:fill="D9D9D9"/>
          </w:tcPr>
          <w:p>
            <w:pPr>
              <w:spacing w:after="0"/>
              <w:rPr>
                <w:sz w:val="16"/>
                <w:szCs w:val="16"/>
                <w:color w:val="auto"/>
              </w:rPr>
            </w:pPr>
          </w:p>
        </w:tc>
        <w:tc>
          <w:tcPr>
            <w:tcW w:w="66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attached EU SCCs.</w:t>
            </w:r>
          </w:p>
        </w:tc>
      </w:tr>
      <w:tr>
        <w:trPr>
          <w:trHeight w:val="164"/>
        </w:trPr>
        <w:tc>
          <w:tcPr>
            <w:tcW w:w="1980" w:type="dxa"/>
            <w:vAlign w:val="bottom"/>
            <w:tcBorders>
              <w:left w:val="single" w:sz="8" w:color="auto"/>
              <w:bottom w:val="single" w:sz="8" w:color="auto"/>
              <w:right w:val="single" w:sz="8" w:color="auto"/>
            </w:tcBorders>
            <w:shd w:val="clear" w:color="auto" w:fill="D9D9D9"/>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60" w:type="dxa"/>
            <w:vAlign w:val="bottom"/>
            <w:tcBorders>
              <w:bottom w:val="single" w:sz="8" w:color="auto"/>
              <w:right w:val="single" w:sz="8" w:color="auto"/>
            </w:tcBorders>
          </w:tcPr>
          <w:p>
            <w:pPr>
              <w:spacing w:after="0"/>
              <w:rPr>
                <w:sz w:val="14"/>
                <w:szCs w:val="14"/>
                <w:color w:val="auto"/>
              </w:rPr>
            </w:pPr>
          </w:p>
        </w:tc>
      </w:tr>
    </w:tbl>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Table 2: Selected SCCs, Modules and Selected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102870</wp:posOffset>
            </wp:positionV>
            <wp:extent cx="5608320" cy="256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608320" cy="2564765"/>
                    </a:xfrm>
                    <a:prstGeom prst="rect">
                      <a:avLst/>
                    </a:prstGeom>
                    <a:noFill/>
                  </pic:spPr>
                </pic:pic>
              </a:graphicData>
            </a:graphic>
          </wp:anchor>
        </w:drawing>
      </w:r>
    </w:p>
    <w:p>
      <w:pPr>
        <w:spacing w:after="0" w:line="14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5"/>
          <w:szCs w:val="15"/>
          <w:color w:val="auto"/>
        </w:rPr>
        <w:t>The version of the Approved EU SCCs which this Addendum is appended to including the Appendix Information.</w:t>
      </w: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311"/>
        </w:trPr>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Addendum EU</w:t>
            </w:r>
          </w:p>
        </w:tc>
        <w:tc>
          <w:tcPr>
            <w:tcW w:w="1300" w:type="dxa"/>
            <w:vAlign w:val="bottom"/>
            <w:gridSpan w:val="2"/>
          </w:tcPr>
          <w:p>
            <w:pPr>
              <w:ind w:left="10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SCCS</w:t>
            </w:r>
          </w:p>
        </w:tc>
        <w:tc>
          <w:tcPr>
            <w:tcW w:w="4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1220" w:type="dxa"/>
            <w:vAlign w:val="bottom"/>
            <w:vMerge w:val="continue"/>
          </w:tcPr>
          <w:p>
            <w:pPr>
              <w:spacing w:after="0"/>
              <w:rPr>
                <w:sz w:val="8"/>
                <w:szCs w:val="8"/>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OR</w:t>
            </w: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2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2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120" w:type="dxa"/>
            <w:vAlign w:val="bottom"/>
            <w:tcBorders>
              <w:bottom w:val="single" w:sz="8" w:color="auto"/>
            </w:tcBorders>
            <w:gridSpan w:val="8"/>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7120" w:type="dxa"/>
            <w:vAlign w:val="bottom"/>
            <w:gridSpan w:val="8"/>
          </w:tcPr>
          <w:p>
            <w:pPr>
              <w:ind w:left="80"/>
              <w:spacing w:after="0"/>
              <w:rPr>
                <w:sz w:val="20"/>
                <w:szCs w:val="20"/>
                <w:color w:val="auto"/>
              </w:rPr>
            </w:pPr>
            <w:r>
              <w:rPr>
                <w:rFonts w:ascii="Times New Roman" w:cs="Times New Roman" w:eastAsia="Times New Roman" w:hAnsi="Times New Roman"/>
                <w:sz w:val="15"/>
                <w:szCs w:val="15"/>
                <w:color w:val="auto"/>
                <w:w w:val="98"/>
              </w:rPr>
              <w:t>the Approved EU SCCs, including the Appendix Information and with only the following modules, clauses or optional</w:t>
            </w:r>
          </w:p>
        </w:tc>
        <w:tc>
          <w:tcPr>
            <w:tcW w:w="0" w:type="dxa"/>
            <w:vAlign w:val="bottom"/>
          </w:tcPr>
          <w:p>
            <w:pPr>
              <w:spacing w:after="0"/>
              <w:rPr>
                <w:sz w:val="1"/>
                <w:szCs w:val="1"/>
                <w:color w:val="auto"/>
              </w:rPr>
            </w:pPr>
          </w:p>
        </w:tc>
      </w:tr>
      <w:tr>
        <w:trPr>
          <w:trHeight w:val="193"/>
        </w:trPr>
        <w:tc>
          <w:tcPr>
            <w:tcW w:w="1220" w:type="dxa"/>
            <w:vAlign w:val="bottom"/>
          </w:tcPr>
          <w:p>
            <w:pPr>
              <w:spacing w:after="0"/>
              <w:rPr>
                <w:sz w:val="16"/>
                <w:szCs w:val="16"/>
                <w:color w:val="auto"/>
              </w:rPr>
            </w:pPr>
          </w:p>
        </w:tc>
        <w:tc>
          <w:tcPr>
            <w:tcW w:w="480" w:type="dxa"/>
            <w:vAlign w:val="bottom"/>
            <w:tcBorders>
              <w:right w:val="single" w:sz="8" w:color="auto"/>
            </w:tcBorders>
            <w:vMerge w:val="restart"/>
          </w:tcPr>
          <w:p>
            <w:pPr>
              <w:ind w:left="10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5860" w:type="dxa"/>
            <w:vAlign w:val="bottom"/>
            <w:gridSpan w:val="6"/>
          </w:tcPr>
          <w:p>
            <w:pPr>
              <w:ind w:left="80"/>
              <w:spacing w:after="0"/>
              <w:rPr>
                <w:sz w:val="20"/>
                <w:szCs w:val="20"/>
                <w:color w:val="auto"/>
              </w:rPr>
            </w:pPr>
            <w:r>
              <w:rPr>
                <w:rFonts w:ascii="Times New Roman" w:cs="Times New Roman" w:eastAsia="Times New Roman" w:hAnsi="Times New Roman"/>
                <w:sz w:val="15"/>
                <w:szCs w:val="15"/>
                <w:color w:val="auto"/>
              </w:rPr>
              <w:t>provisions of the Approved EU SCCs brought into effect for the purposes of this Addendum:</w:t>
            </w: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Module</w:t>
            </w:r>
          </w:p>
        </w:tc>
        <w:tc>
          <w:tcPr>
            <w:tcW w:w="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Module in</w:t>
            </w:r>
          </w:p>
        </w:tc>
        <w:tc>
          <w:tcPr>
            <w:tcW w:w="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Clause 7</w:t>
            </w:r>
          </w:p>
        </w:tc>
        <w:tc>
          <w:tcPr>
            <w:tcW w:w="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Clause 11</w:t>
            </w: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Clause 9a (Prior</w:t>
            </w:r>
          </w:p>
        </w:tc>
        <w:tc>
          <w:tcPr>
            <w:tcW w:w="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Clause 9a</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Is personal data</w:t>
            </w:r>
          </w:p>
        </w:tc>
        <w:tc>
          <w:tcPr>
            <w:tcW w:w="0" w:type="dxa"/>
            <w:vAlign w:val="bottom"/>
          </w:tcPr>
          <w:p>
            <w:pPr>
              <w:spacing w:after="0"/>
              <w:rPr>
                <w:sz w:val="1"/>
                <w:szCs w:val="1"/>
                <w:color w:val="auto"/>
              </w:rPr>
            </w:pPr>
          </w:p>
        </w:tc>
      </w:tr>
      <w:tr>
        <w:trPr>
          <w:trHeight w:val="193"/>
        </w:trPr>
        <w:tc>
          <w:tcPr>
            <w:tcW w:w="12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operation</w:t>
            </w:r>
          </w:p>
        </w:tc>
        <w:tc>
          <w:tcPr>
            <w:tcW w:w="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(Docking</w:t>
            </w:r>
          </w:p>
        </w:tc>
        <w:tc>
          <w:tcPr>
            <w:tcW w:w="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(Option)</w:t>
            </w: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Authorisation or</w:t>
            </w:r>
          </w:p>
        </w:tc>
        <w:tc>
          <w:tcPr>
            <w:tcW w:w="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(Time</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received from the</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Clause)</w:t>
            </w:r>
          </w:p>
        </w:tc>
        <w:tc>
          <w:tcPr>
            <w:tcW w:w="8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General</w:t>
            </w:r>
          </w:p>
        </w:tc>
        <w:tc>
          <w:tcPr>
            <w:tcW w:w="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Period)</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Importer</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Authorisation)</w:t>
            </w:r>
          </w:p>
        </w:tc>
        <w:tc>
          <w:tcPr>
            <w:tcW w:w="900" w:type="dxa"/>
            <w:vAlign w:val="bottom"/>
            <w:tcBorders>
              <w:right w:val="single" w:sz="8" w:color="auto"/>
            </w:tcBorders>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combined with</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personal data</w:t>
            </w:r>
          </w:p>
        </w:tc>
        <w:tc>
          <w:tcPr>
            <w:tcW w:w="0" w:type="dxa"/>
            <w:vAlign w:val="bottom"/>
          </w:tcPr>
          <w:p>
            <w:pPr>
              <w:spacing w:after="0"/>
              <w:rPr>
                <w:sz w:val="1"/>
                <w:szCs w:val="1"/>
                <w:color w:val="auto"/>
              </w:rPr>
            </w:pPr>
          </w:p>
        </w:tc>
      </w:tr>
      <w:tr>
        <w:trPr>
          <w:trHeight w:val="197"/>
        </w:trPr>
        <w:tc>
          <w:tcPr>
            <w:tcW w:w="122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collected by the</w:t>
            </w:r>
          </w:p>
        </w:tc>
        <w:tc>
          <w:tcPr>
            <w:tcW w:w="0" w:type="dxa"/>
            <w:vAlign w:val="bottom"/>
          </w:tcPr>
          <w:p>
            <w:pPr>
              <w:spacing w:after="0"/>
              <w:rPr>
                <w:sz w:val="1"/>
                <w:szCs w:val="1"/>
                <w:color w:val="auto"/>
              </w:rPr>
            </w:pPr>
          </w:p>
        </w:tc>
      </w:tr>
      <w:tr>
        <w:trPr>
          <w:trHeight w:val="208"/>
        </w:trPr>
        <w:tc>
          <w:tcPr>
            <w:tcW w:w="1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Exporter?</w:t>
            </w: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1</w:t>
            </w:r>
          </w:p>
        </w:tc>
        <w:tc>
          <w:tcPr>
            <w:tcW w:w="98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2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9"/>
        </w:trPr>
        <w:tc>
          <w:tcPr>
            <w:tcW w:w="1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1078" w:right="1439" w:bottom="1440" w:gutter="0" w:footer="0" w:header="0"/>
        </w:sectPr>
      </w:pPr>
    </w:p>
    <w:bookmarkStart w:id="135" w:name="page136"/>
    <w:bookmarkEnd w:id="135"/>
    <w:p>
      <w:pPr>
        <w:ind w:left="19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1036320</wp:posOffset>
            </wp:positionH>
            <wp:positionV relativeFrom="page">
              <wp:posOffset>700405</wp:posOffset>
            </wp:positionV>
            <wp:extent cx="5608320" cy="694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608320" cy="694690"/>
                    </a:xfrm>
                    <a:prstGeom prst="rect">
                      <a:avLst/>
                    </a:prstGeom>
                    <a:noFill/>
                  </pic:spPr>
                </pic:pic>
              </a:graphicData>
            </a:graphic>
          </wp:anchor>
        </w:drawing>
        <w:t>2</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5"/>
          <w:szCs w:val="15"/>
          <w:color w:val="auto"/>
        </w:rPr>
        <w:t>3</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5"/>
          <w:szCs w:val="15"/>
          <w:color w:val="auto"/>
        </w:rPr>
        <w:t>4</w:t>
      </w:r>
    </w:p>
    <w:p>
      <w:pPr>
        <w:spacing w:after="0" w:line="200" w:lineRule="exact"/>
        <w:rPr>
          <w:sz w:val="20"/>
          <w:szCs w:val="20"/>
          <w:color w:val="auto"/>
        </w:rPr>
      </w:pPr>
    </w:p>
    <w:p>
      <w:pPr>
        <w:spacing w:after="0" w:line="3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Table 3: Appendix Information</w:t>
      </w:r>
    </w:p>
    <w:p>
      <w:pPr>
        <w:spacing w:after="0" w:line="178" w:lineRule="exact"/>
        <w:rPr>
          <w:sz w:val="20"/>
          <w:szCs w:val="20"/>
          <w:color w:val="auto"/>
        </w:rPr>
      </w:pPr>
    </w:p>
    <w:p>
      <w:pPr>
        <w:ind w:left="200" w:right="259"/>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Appendix Information</w:t>
      </w:r>
      <w:r>
        <w:rPr>
          <w:rFonts w:ascii="Times New Roman" w:cs="Times New Roman" w:eastAsia="Times New Roman" w:hAnsi="Times New Roman"/>
          <w:sz w:val="15"/>
          <w:szCs w:val="15"/>
          <w:color w:val="auto"/>
        </w:rPr>
        <w:t>” means the information which must be provided for the selected modules as set out in the Appendix of the Approved EU SCCs (other than the Parties), and which for this Addendum is set out in the Annexes to the Approved EU SCCs which this Addendum is appended to.</w:t>
      </w:r>
    </w:p>
    <w:p>
      <w:pPr>
        <w:spacing w:after="0" w:line="1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Table 4: Ending this Addendum when the Approved Addendum Changes</w:t>
      </w:r>
    </w:p>
    <w:p>
      <w:pPr>
        <w:spacing w:after="0" w:line="185" w:lineRule="exact"/>
        <w:rPr>
          <w:sz w:val="20"/>
          <w:szCs w:val="20"/>
          <w:color w:val="auto"/>
        </w:rPr>
      </w:pPr>
    </w:p>
    <w:tbl>
      <w:tblPr>
        <w:tblLayout w:type="fixed"/>
        <w:tblInd w:w="210" w:type="dxa"/>
        <w:tblCellMar>
          <w:top w:w="0" w:type="dxa"/>
          <w:left w:w="0" w:type="dxa"/>
          <w:bottom w:w="0" w:type="dxa"/>
          <w:right w:w="0" w:type="dxa"/>
        </w:tblCellMar>
      </w:tblPr>
      <w:tr>
        <w:trPr>
          <w:trHeight w:val="201"/>
        </w:trPr>
        <w:tc>
          <w:tcPr>
            <w:tcW w:w="3180" w:type="dxa"/>
            <w:vAlign w:val="bottom"/>
            <w:tcBorders>
              <w:top w:val="single" w:sz="8" w:color="auto"/>
              <w:left w:val="single" w:sz="8" w:color="auto"/>
              <w:right w:val="single" w:sz="8" w:color="auto"/>
            </w:tcBorders>
          </w:tcPr>
          <w:p>
            <w:pPr>
              <w:spacing w:after="0"/>
              <w:rPr>
                <w:sz w:val="17"/>
                <w:szCs w:val="17"/>
                <w:color w:val="auto"/>
              </w:rPr>
            </w:pPr>
          </w:p>
        </w:tc>
        <w:tc>
          <w:tcPr>
            <w:tcW w:w="542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Which Parties may end this Addendum as set out in Section 19:</w:t>
            </w:r>
          </w:p>
        </w:tc>
        <w:tc>
          <w:tcPr>
            <w:tcW w:w="0" w:type="dxa"/>
            <w:vAlign w:val="bottom"/>
          </w:tcPr>
          <w:p>
            <w:pPr>
              <w:spacing w:after="0"/>
              <w:rPr>
                <w:sz w:val="1"/>
                <w:szCs w:val="1"/>
                <w:color w:val="auto"/>
              </w:rPr>
            </w:pPr>
          </w:p>
        </w:tc>
      </w:tr>
      <w:tr>
        <w:trPr>
          <w:trHeight w:val="160"/>
        </w:trPr>
        <w:tc>
          <w:tcPr>
            <w:tcW w:w="3180" w:type="dxa"/>
            <w:vAlign w:val="bottom"/>
            <w:tcBorders>
              <w:left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7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3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Ending this Addendum when the Approved</w:t>
            </w:r>
          </w:p>
        </w:tc>
        <w:tc>
          <w:tcPr>
            <w:tcW w:w="6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Importer</w:t>
            </w:r>
          </w:p>
        </w:tc>
        <w:tc>
          <w:tcPr>
            <w:tcW w:w="0" w:type="dxa"/>
            <w:vAlign w:val="bottom"/>
          </w:tcPr>
          <w:p>
            <w:pPr>
              <w:spacing w:after="0"/>
              <w:rPr>
                <w:sz w:val="1"/>
                <w:szCs w:val="1"/>
                <w:color w:val="auto"/>
              </w:rPr>
            </w:pPr>
          </w:p>
        </w:tc>
      </w:tr>
      <w:tr>
        <w:trPr>
          <w:trHeight w:val="44"/>
        </w:trPr>
        <w:tc>
          <w:tcPr>
            <w:tcW w:w="3180" w:type="dxa"/>
            <w:vAlign w:val="bottom"/>
            <w:tcBorders>
              <w:left w:val="single" w:sz="8" w:color="auto"/>
              <w:right w:val="single" w:sz="8" w:color="auto"/>
            </w:tcBorders>
            <w:vMerge w:val="continue"/>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4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3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Addendum changes</w:t>
            </w:r>
          </w:p>
        </w:tc>
        <w:tc>
          <w:tcPr>
            <w:tcW w:w="640" w:type="dxa"/>
            <w:vAlign w:val="bottom"/>
            <w:tcBorders>
              <w:bottom w:val="single" w:sz="8" w:color="auto"/>
              <w:right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180" w:type="dxa"/>
            <w:vAlign w:val="bottom"/>
            <w:tcBorders>
              <w:left w:val="single" w:sz="8" w:color="auto"/>
              <w:right w:val="single" w:sz="8" w:color="auto"/>
            </w:tcBorders>
            <w:vMerge w:val="continue"/>
          </w:tcPr>
          <w:p>
            <w:pPr>
              <w:spacing w:after="0"/>
              <w:rPr>
                <w:sz w:val="10"/>
                <w:szCs w:val="10"/>
                <w:color w:val="auto"/>
              </w:rPr>
            </w:pPr>
          </w:p>
        </w:tc>
        <w:tc>
          <w:tcPr>
            <w:tcW w:w="640" w:type="dxa"/>
            <w:vAlign w:val="bottom"/>
            <w:tcBorders>
              <w:right w:val="single" w:sz="8" w:color="auto"/>
            </w:tcBorders>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Exporter</w:t>
            </w:r>
          </w:p>
        </w:tc>
        <w:tc>
          <w:tcPr>
            <w:tcW w:w="0" w:type="dxa"/>
            <w:vAlign w:val="bottom"/>
          </w:tcPr>
          <w:p>
            <w:pPr>
              <w:spacing w:after="0"/>
              <w:rPr>
                <w:sz w:val="1"/>
                <w:szCs w:val="1"/>
                <w:color w:val="auto"/>
              </w:rPr>
            </w:pPr>
          </w:p>
        </w:tc>
      </w:tr>
      <w:tr>
        <w:trPr>
          <w:trHeight w:val="163"/>
        </w:trPr>
        <w:tc>
          <w:tcPr>
            <w:tcW w:w="3180" w:type="dxa"/>
            <w:vAlign w:val="bottom"/>
            <w:tcBorders>
              <w:left w:val="single" w:sz="8" w:color="auto"/>
              <w:right w:val="single" w:sz="8" w:color="auto"/>
            </w:tcBorders>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4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180" w:type="dxa"/>
            <w:vAlign w:val="bottom"/>
            <w:tcBorders>
              <w:left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4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180" w:type="dxa"/>
            <w:vAlign w:val="bottom"/>
            <w:tcBorders>
              <w:left w:val="single" w:sz="8" w:color="auto"/>
              <w:right w:val="single" w:sz="8" w:color="auto"/>
            </w:tcBorders>
          </w:tcPr>
          <w:p>
            <w:pPr>
              <w:spacing w:after="0"/>
              <w:rPr>
                <w:sz w:val="24"/>
                <w:szCs w:val="24"/>
                <w:color w:val="auto"/>
              </w:rPr>
            </w:pPr>
          </w:p>
        </w:tc>
        <w:tc>
          <w:tcPr>
            <w:tcW w:w="6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neither Party</w:t>
            </w:r>
          </w:p>
        </w:tc>
        <w:tc>
          <w:tcPr>
            <w:tcW w:w="0" w:type="dxa"/>
            <w:vAlign w:val="bottom"/>
          </w:tcPr>
          <w:p>
            <w:pPr>
              <w:spacing w:after="0"/>
              <w:rPr>
                <w:sz w:val="1"/>
                <w:szCs w:val="1"/>
                <w:color w:val="auto"/>
              </w:rPr>
            </w:pPr>
          </w:p>
        </w:tc>
      </w:tr>
      <w:tr>
        <w:trPr>
          <w:trHeight w:val="89"/>
        </w:trPr>
        <w:tc>
          <w:tcPr>
            <w:tcW w:w="3180" w:type="dxa"/>
            <w:vAlign w:val="bottom"/>
            <w:tcBorders>
              <w:left w:val="single" w:sz="8" w:color="auto"/>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47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Part 2: Mandatory Clauses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Entering into this Addendum</w:t>
      </w:r>
    </w:p>
    <w:p>
      <w:pPr>
        <w:spacing w:after="0" w:line="191" w:lineRule="exact"/>
        <w:rPr>
          <w:sz w:val="20"/>
          <w:szCs w:val="20"/>
          <w:color w:val="auto"/>
        </w:rPr>
      </w:pPr>
    </w:p>
    <w:p>
      <w:pPr>
        <w:ind w:left="620" w:right="219" w:hanging="328"/>
        <w:spacing w:after="0" w:line="313" w:lineRule="auto"/>
        <w:tabs>
          <w:tab w:leader="none" w:pos="62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agrees to be bound by the terms and conditions set out in this Addendum, in exchange for the other Party also agreeing to be bound by this Addendum.</w:t>
      </w:r>
    </w:p>
    <w:p>
      <w:pPr>
        <w:spacing w:after="0" w:line="130" w:lineRule="exact"/>
        <w:rPr>
          <w:rFonts w:ascii="Times New Roman" w:cs="Times New Roman" w:eastAsia="Times New Roman" w:hAnsi="Times New Roman"/>
          <w:sz w:val="15"/>
          <w:szCs w:val="15"/>
          <w:color w:val="auto"/>
        </w:rPr>
      </w:pPr>
    </w:p>
    <w:p>
      <w:pPr>
        <w:ind w:left="620" w:hanging="328"/>
        <w:spacing w:after="0"/>
        <w:tabs>
          <w:tab w:leader="none" w:pos="62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Although Annex 1A and Clause 7 of the Approved EU SCCs require signature by the Parties, for the purpose of making Restricted</w:t>
      </w:r>
    </w:p>
    <w:p>
      <w:pPr>
        <w:spacing w:after="0" w:line="35" w:lineRule="exact"/>
        <w:rPr>
          <w:rFonts w:ascii="Times New Roman" w:cs="Times New Roman" w:eastAsia="Times New Roman" w:hAnsi="Times New Roman"/>
          <w:sz w:val="15"/>
          <w:szCs w:val="15"/>
          <w:color w:val="auto"/>
        </w:rPr>
      </w:pPr>
    </w:p>
    <w:p>
      <w:pPr>
        <w:jc w:val="both"/>
        <w:ind w:left="620" w:right="219"/>
        <w:spacing w:after="0" w:line="28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Transfers, the Parties may enter into this Addendum in any way that makes them legally binding on the Parties and allows data subjects to enforce their rights as set out in this Addendum. Entering into this Addendum will have the same effect as signing the Approved EU SCCs and any part of the Approved EU SCCs.</w:t>
      </w: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Interpretation of this Addendum</w:t>
      </w:r>
    </w:p>
    <w:p>
      <w:pPr>
        <w:spacing w:after="0" w:line="366" w:lineRule="exact"/>
        <w:rPr>
          <w:sz w:val="20"/>
          <w:szCs w:val="20"/>
          <w:color w:val="auto"/>
        </w:rPr>
      </w:pPr>
    </w:p>
    <w:p>
      <w:pPr>
        <w:ind w:left="620" w:right="219" w:hanging="328"/>
        <w:spacing w:after="0" w:line="313" w:lineRule="auto"/>
        <w:tabs>
          <w:tab w:leader="none" w:pos="62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this Addendum uses terms that are defined in the Approved EU SCCs those terms shall have the same meaning as in the Approved EU SCCs. In addition, the following terms have the following meanings:</w:t>
      </w:r>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340" w:type="dxa"/>
            <w:vAlign w:val="bottom"/>
            <w:tcBorders>
              <w:right w:val="single" w:sz="8" w:color="auto"/>
            </w:tcBorders>
          </w:tcPr>
          <w:p>
            <w:pPr>
              <w:spacing w:after="0"/>
              <w:rPr>
                <w:sz w:val="17"/>
                <w:szCs w:val="17"/>
                <w:color w:val="auto"/>
              </w:rPr>
            </w:pPr>
          </w:p>
        </w:tc>
        <w:tc>
          <w:tcPr>
            <w:tcW w:w="2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89"/>
              </w:rPr>
              <w:t>Term</w:t>
            </w:r>
          </w:p>
        </w:tc>
        <w:tc>
          <w:tcPr>
            <w:tcW w:w="5560" w:type="dxa"/>
            <w:vAlign w:val="bottom"/>
            <w:tcBorders>
              <w:top w:val="single" w:sz="8" w:color="auto"/>
              <w:right w:val="single" w:sz="8" w:color="auto"/>
            </w:tcBorders>
            <w:shd w:val="clear" w:color="auto" w:fill="D9D9D9"/>
          </w:tcPr>
          <w:p>
            <w:pPr>
              <w:ind w:left="2480"/>
              <w:spacing w:after="0"/>
              <w:rPr>
                <w:sz w:val="20"/>
                <w:szCs w:val="20"/>
                <w:color w:val="auto"/>
              </w:rPr>
            </w:pPr>
            <w:r>
              <w:rPr>
                <w:rFonts w:ascii="Times New Roman" w:cs="Times New Roman" w:eastAsia="Times New Roman" w:hAnsi="Times New Roman"/>
                <w:sz w:val="15"/>
                <w:szCs w:val="15"/>
                <w:b w:val="1"/>
                <w:bCs w:val="1"/>
                <w:color w:val="auto"/>
              </w:rPr>
              <w:t>Meaning</w:t>
            </w:r>
          </w:p>
        </w:tc>
        <w:tc>
          <w:tcPr>
            <w:tcW w:w="320" w:type="dxa"/>
            <w:vAlign w:val="bottom"/>
          </w:tcPr>
          <w:p>
            <w:pPr>
              <w:spacing w:after="0"/>
              <w:rPr>
                <w:sz w:val="17"/>
                <w:szCs w:val="17"/>
                <w:color w:val="auto"/>
              </w:rPr>
            </w:pPr>
          </w:p>
        </w:tc>
      </w:tr>
      <w:tr>
        <w:trPr>
          <w:trHeight w:val="158"/>
        </w:trPr>
        <w:tc>
          <w:tcPr>
            <w:tcW w:w="340" w:type="dxa"/>
            <w:vAlign w:val="bottom"/>
            <w:tcBorders>
              <w:right w:val="single" w:sz="8" w:color="auto"/>
            </w:tcBorders>
          </w:tcPr>
          <w:p>
            <w:pPr>
              <w:spacing w:after="0"/>
              <w:rPr>
                <w:sz w:val="13"/>
                <w:szCs w:val="13"/>
                <w:color w:val="auto"/>
              </w:rPr>
            </w:pPr>
          </w:p>
        </w:tc>
        <w:tc>
          <w:tcPr>
            <w:tcW w:w="2400" w:type="dxa"/>
            <w:vAlign w:val="bottom"/>
            <w:tcBorders>
              <w:bottom w:val="single" w:sz="8" w:color="auto"/>
              <w:right w:val="single" w:sz="8" w:color="auto"/>
            </w:tcBorders>
            <w:shd w:val="clear" w:color="auto" w:fill="D9D9D9"/>
          </w:tcPr>
          <w:p>
            <w:pPr>
              <w:spacing w:after="0"/>
              <w:rPr>
                <w:sz w:val="13"/>
                <w:szCs w:val="13"/>
                <w:color w:val="auto"/>
              </w:rPr>
            </w:pPr>
          </w:p>
        </w:tc>
        <w:tc>
          <w:tcPr>
            <w:tcW w:w="5560" w:type="dxa"/>
            <w:vAlign w:val="bottom"/>
            <w:tcBorders>
              <w:bottom w:val="single" w:sz="8" w:color="auto"/>
              <w:right w:val="single" w:sz="8" w:color="auto"/>
            </w:tcBorders>
            <w:shd w:val="clear" w:color="auto" w:fill="D9D9D9"/>
          </w:tcPr>
          <w:p>
            <w:pPr>
              <w:spacing w:after="0"/>
              <w:rPr>
                <w:sz w:val="13"/>
                <w:szCs w:val="13"/>
                <w:color w:val="auto"/>
              </w:rPr>
            </w:pPr>
          </w:p>
        </w:tc>
        <w:tc>
          <w:tcPr>
            <w:tcW w:w="320" w:type="dxa"/>
            <w:vAlign w:val="bottom"/>
          </w:tcPr>
          <w:p>
            <w:pPr>
              <w:spacing w:after="0"/>
              <w:rPr>
                <w:sz w:val="13"/>
                <w:szCs w:val="13"/>
                <w:color w:val="auto"/>
              </w:rPr>
            </w:pPr>
          </w:p>
        </w:tc>
      </w:tr>
      <w:tr>
        <w:trPr>
          <w:trHeight w:val="181"/>
        </w:trPr>
        <w:tc>
          <w:tcPr>
            <w:tcW w:w="34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Addendum</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This  International  Data Transfer Addendum which  is  made up of  this Addendum</w:t>
            </w:r>
          </w:p>
        </w:tc>
        <w:tc>
          <w:tcPr>
            <w:tcW w:w="320" w:type="dxa"/>
            <w:vAlign w:val="bottom"/>
          </w:tcPr>
          <w:p>
            <w:pPr>
              <w:spacing w:after="0"/>
              <w:rPr>
                <w:sz w:val="15"/>
                <w:szCs w:val="15"/>
                <w:color w:val="auto"/>
              </w:rPr>
            </w:pPr>
          </w:p>
        </w:tc>
      </w:tr>
      <w:tr>
        <w:trPr>
          <w:trHeight w:val="204"/>
        </w:trPr>
        <w:tc>
          <w:tcPr>
            <w:tcW w:w="34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incorporating the Addendum EU SCCs.</w:t>
            </w:r>
          </w:p>
        </w:tc>
        <w:tc>
          <w:tcPr>
            <w:tcW w:w="320" w:type="dxa"/>
            <w:vAlign w:val="bottom"/>
          </w:tcPr>
          <w:p>
            <w:pPr>
              <w:spacing w:after="0"/>
              <w:rPr>
                <w:sz w:val="17"/>
                <w:szCs w:val="17"/>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2400" w:type="dxa"/>
            <w:vAlign w:val="bottom"/>
            <w:tcBorders>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759"/>
        </w:trPr>
        <w:tc>
          <w:tcPr>
            <w:tcW w:w="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0" w:right="1440" w:bottom="1440" w:gutter="0" w:footer="0" w:header="0"/>
        </w:sectPr>
      </w:pPr>
    </w:p>
    <w:bookmarkStart w:id="136" w:name="page137"/>
    <w:bookmarkEnd w:id="136"/>
    <w:p>
      <w:pPr>
        <w:spacing w:after="0" w:line="1" w:lineRule="exact"/>
        <w:rPr>
          <w:sz w:val="20"/>
          <w:szCs w:val="20"/>
          <w:color w:val="auto"/>
        </w:rPr>
      </w:pPr>
    </w:p>
    <w:tbl>
      <w:tblPr>
        <w:tblLayout w:type="fixed"/>
        <w:tblInd w:w="530" w:type="dxa"/>
        <w:tblCellMar>
          <w:top w:w="0" w:type="dxa"/>
          <w:left w:w="0" w:type="dxa"/>
          <w:bottom w:w="0" w:type="dxa"/>
          <w:right w:w="0" w:type="dxa"/>
        </w:tblCellMar>
      </w:tblPr>
      <w:tr>
        <w:trPr>
          <w:trHeight w:val="201"/>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Addendum EU SCCs</w:t>
            </w:r>
          </w:p>
        </w:tc>
        <w:tc>
          <w:tcPr>
            <w:tcW w:w="55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version(s) of the Approved EU SCCs which this Addendum is appended to, as set out</w:t>
            </w:r>
          </w:p>
        </w:tc>
      </w:tr>
      <w:tr>
        <w:trPr>
          <w:trHeight w:val="193"/>
        </w:trPr>
        <w:tc>
          <w:tcPr>
            <w:tcW w:w="242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 Table 2, including the Appendix Information.</w:t>
            </w:r>
          </w:p>
        </w:tc>
      </w:tr>
      <w:tr>
        <w:trPr>
          <w:trHeight w:val="164"/>
        </w:trPr>
        <w:tc>
          <w:tcPr>
            <w:tcW w:w="2420" w:type="dxa"/>
            <w:vAlign w:val="bottom"/>
            <w:tcBorders>
              <w:left w:val="single" w:sz="8" w:color="auto"/>
              <w:bottom w:val="single" w:sz="8" w:color="auto"/>
              <w:right w:val="single" w:sz="8" w:color="auto"/>
            </w:tcBorders>
          </w:tcPr>
          <w:p>
            <w:pPr>
              <w:spacing w:after="0"/>
              <w:rPr>
                <w:sz w:val="14"/>
                <w:szCs w:val="14"/>
                <w:color w:val="auto"/>
              </w:rPr>
            </w:pPr>
          </w:p>
        </w:tc>
        <w:tc>
          <w:tcPr>
            <w:tcW w:w="5560" w:type="dxa"/>
            <w:vAlign w:val="bottom"/>
            <w:tcBorders>
              <w:bottom w:val="single" w:sz="8" w:color="auto"/>
              <w:right w:val="single" w:sz="8" w:color="auto"/>
            </w:tcBorders>
          </w:tcPr>
          <w:p>
            <w:pPr>
              <w:spacing w:after="0"/>
              <w:rPr>
                <w:sz w:val="14"/>
                <w:szCs w:val="14"/>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Appendix Information</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 set out in Table 3.</w:t>
            </w:r>
          </w:p>
        </w:tc>
      </w:tr>
      <w:tr>
        <w:trPr>
          <w:trHeight w:val="335"/>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Appropriate Safeguards</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standard of protection over the personal data and of data subjects’ rights, which is</w:t>
            </w:r>
          </w:p>
        </w:tc>
      </w:tr>
      <w:tr>
        <w:trPr>
          <w:trHeight w:val="193"/>
        </w:trPr>
        <w:tc>
          <w:tcPr>
            <w:tcW w:w="242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required by UK Data Protection Laws when you are making a Restricted Transfer relying</w:t>
            </w:r>
          </w:p>
        </w:tc>
      </w:tr>
      <w:tr>
        <w:trPr>
          <w:trHeight w:val="208"/>
        </w:trPr>
        <w:tc>
          <w:tcPr>
            <w:tcW w:w="2420" w:type="dxa"/>
            <w:vAlign w:val="bottom"/>
            <w:tcBorders>
              <w:left w:val="single" w:sz="8" w:color="auto"/>
              <w:right w:val="single" w:sz="8" w:color="auto"/>
            </w:tcBorders>
          </w:tcPr>
          <w:p>
            <w:pPr>
              <w:spacing w:after="0"/>
              <w:rPr>
                <w:sz w:val="18"/>
                <w:szCs w:val="18"/>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on standard data protection clauses under Article 46(2)(d) UK GDPR.</w:t>
            </w:r>
          </w:p>
        </w:tc>
      </w:tr>
      <w:tr>
        <w:trPr>
          <w:trHeight w:val="153"/>
        </w:trPr>
        <w:tc>
          <w:tcPr>
            <w:tcW w:w="2420" w:type="dxa"/>
            <w:vAlign w:val="bottom"/>
            <w:tcBorders>
              <w:left w:val="single" w:sz="8" w:color="auto"/>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spacing w:after="0"/>
              <w:rPr>
                <w:sz w:val="13"/>
                <w:szCs w:val="13"/>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Approved Addendum</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template Addendum issued by the ICO and laid before Parliament in accordance with</w:t>
            </w:r>
          </w:p>
        </w:tc>
      </w:tr>
      <w:tr>
        <w:trPr>
          <w:trHeight w:val="193"/>
        </w:trPr>
        <w:tc>
          <w:tcPr>
            <w:tcW w:w="242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s119A of the Data Protection Act 2018 on 2 February 2022, as it is revised under Section</w:t>
            </w:r>
          </w:p>
        </w:tc>
      </w:tr>
      <w:tr>
        <w:trPr>
          <w:trHeight w:val="208"/>
        </w:trPr>
        <w:tc>
          <w:tcPr>
            <w:tcW w:w="2420" w:type="dxa"/>
            <w:vAlign w:val="bottom"/>
            <w:tcBorders>
              <w:left w:val="single" w:sz="8" w:color="auto"/>
              <w:right w:val="single" w:sz="8" w:color="auto"/>
            </w:tcBorders>
          </w:tcPr>
          <w:p>
            <w:pPr>
              <w:spacing w:after="0"/>
              <w:rPr>
                <w:sz w:val="18"/>
                <w:szCs w:val="18"/>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18.</w:t>
            </w:r>
          </w:p>
        </w:tc>
      </w:tr>
      <w:tr>
        <w:trPr>
          <w:trHeight w:val="153"/>
        </w:trPr>
        <w:tc>
          <w:tcPr>
            <w:tcW w:w="2420" w:type="dxa"/>
            <w:vAlign w:val="bottom"/>
            <w:tcBorders>
              <w:left w:val="single" w:sz="8" w:color="auto"/>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spacing w:after="0"/>
              <w:rPr>
                <w:sz w:val="13"/>
                <w:szCs w:val="13"/>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Approved EU SCCs</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Standard Contractual Clauses set out in the Annex of Commission Implementing</w:t>
            </w:r>
          </w:p>
        </w:tc>
      </w:tr>
      <w:tr>
        <w:trPr>
          <w:trHeight w:val="193"/>
        </w:trPr>
        <w:tc>
          <w:tcPr>
            <w:tcW w:w="2420" w:type="dxa"/>
            <w:vAlign w:val="bottom"/>
            <w:tcBorders>
              <w:left w:val="single" w:sz="8" w:color="auto"/>
              <w:right w:val="single" w:sz="8" w:color="auto"/>
            </w:tcBorders>
          </w:tcPr>
          <w:p>
            <w:pPr>
              <w:spacing w:after="0"/>
              <w:rPr>
                <w:sz w:val="16"/>
                <w:szCs w:val="16"/>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Decision (EU) 2021/914 of 4 June 2021.</w:t>
            </w:r>
          </w:p>
        </w:tc>
      </w:tr>
      <w:tr>
        <w:trPr>
          <w:trHeight w:val="164"/>
        </w:trPr>
        <w:tc>
          <w:tcPr>
            <w:tcW w:w="2420" w:type="dxa"/>
            <w:vAlign w:val="bottom"/>
            <w:tcBorders>
              <w:left w:val="single" w:sz="8" w:color="auto"/>
              <w:bottom w:val="single" w:sz="8" w:color="auto"/>
              <w:right w:val="single" w:sz="8" w:color="auto"/>
            </w:tcBorders>
          </w:tcPr>
          <w:p>
            <w:pPr>
              <w:spacing w:after="0"/>
              <w:rPr>
                <w:sz w:val="14"/>
                <w:szCs w:val="14"/>
                <w:color w:val="auto"/>
              </w:rPr>
            </w:pPr>
          </w:p>
        </w:tc>
        <w:tc>
          <w:tcPr>
            <w:tcW w:w="5560" w:type="dxa"/>
            <w:vAlign w:val="bottom"/>
            <w:tcBorders>
              <w:bottom w:val="single" w:sz="8" w:color="auto"/>
              <w:right w:val="single" w:sz="8" w:color="auto"/>
            </w:tcBorders>
          </w:tcPr>
          <w:p>
            <w:pPr>
              <w:spacing w:after="0"/>
              <w:rPr>
                <w:sz w:val="14"/>
                <w:szCs w:val="14"/>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ICO</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Information Commissioner.</w:t>
            </w:r>
          </w:p>
        </w:tc>
      </w:tr>
      <w:tr>
        <w:trPr>
          <w:trHeight w:val="335"/>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Restricted Transfer</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 transfer which is covered by Chapter V of the UK GDPR.</w:t>
            </w:r>
          </w:p>
        </w:tc>
      </w:tr>
      <w:tr>
        <w:trPr>
          <w:trHeight w:val="335"/>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UK</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The United Kingdom of Great Britain and Northern Ireland.</w:t>
            </w:r>
          </w:p>
        </w:tc>
      </w:tr>
      <w:tr>
        <w:trPr>
          <w:trHeight w:val="423"/>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UK Data</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All laws relating to data protection, the processing of personal data, privacy and/or</w:t>
            </w:r>
          </w:p>
        </w:tc>
      </w:tr>
      <w:tr>
        <w:trPr>
          <w:trHeight w:val="193"/>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Protection Laws</w:t>
            </w: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electronic communications in force from time to time in the UK, including the UK GDPR</w:t>
            </w:r>
          </w:p>
        </w:tc>
      </w:tr>
      <w:tr>
        <w:trPr>
          <w:trHeight w:val="208"/>
        </w:trPr>
        <w:tc>
          <w:tcPr>
            <w:tcW w:w="2420" w:type="dxa"/>
            <w:vAlign w:val="bottom"/>
            <w:tcBorders>
              <w:left w:val="single" w:sz="8" w:color="auto"/>
              <w:right w:val="single" w:sz="8" w:color="auto"/>
            </w:tcBorders>
          </w:tcPr>
          <w:p>
            <w:pPr>
              <w:spacing w:after="0"/>
              <w:rPr>
                <w:sz w:val="18"/>
                <w:szCs w:val="18"/>
                <w:color w:val="auto"/>
              </w:rPr>
            </w:pPr>
          </w:p>
        </w:tc>
        <w:tc>
          <w:tcPr>
            <w:tcW w:w="5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and the Data Protection Act 2018.</w:t>
            </w:r>
          </w:p>
        </w:tc>
      </w:tr>
      <w:tr>
        <w:trPr>
          <w:trHeight w:val="153"/>
        </w:trPr>
        <w:tc>
          <w:tcPr>
            <w:tcW w:w="2420" w:type="dxa"/>
            <w:vAlign w:val="bottom"/>
            <w:tcBorders>
              <w:left w:val="single" w:sz="8" w:color="auto"/>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spacing w:after="0"/>
              <w:rPr>
                <w:sz w:val="13"/>
                <w:szCs w:val="13"/>
                <w:color w:val="auto"/>
              </w:rPr>
            </w:pPr>
          </w:p>
        </w:tc>
      </w:tr>
      <w:tr>
        <w:trPr>
          <w:trHeight w:val="18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UK GDPR</w:t>
            </w:r>
          </w:p>
        </w:tc>
        <w:tc>
          <w:tcPr>
            <w:tcW w:w="5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As defined in section 3 of the Data Protection Act 2018.</w:t>
            </w:r>
          </w:p>
        </w:tc>
      </w:tr>
      <w:tr>
        <w:trPr>
          <w:trHeight w:val="160"/>
        </w:trPr>
        <w:tc>
          <w:tcPr>
            <w:tcW w:w="2420" w:type="dxa"/>
            <w:vAlign w:val="bottom"/>
            <w:tcBorders>
              <w:left w:val="single" w:sz="8" w:color="auto"/>
              <w:bottom w:val="single" w:sz="8" w:color="auto"/>
              <w:right w:val="single" w:sz="8" w:color="auto"/>
            </w:tcBorders>
          </w:tcPr>
          <w:p>
            <w:pPr>
              <w:spacing w:after="0"/>
              <w:rPr>
                <w:sz w:val="13"/>
                <w:szCs w:val="13"/>
                <w:color w:val="auto"/>
              </w:rPr>
            </w:pPr>
          </w:p>
        </w:tc>
        <w:tc>
          <w:tcPr>
            <w:tcW w:w="5560" w:type="dxa"/>
            <w:vAlign w:val="bottom"/>
            <w:tcBorders>
              <w:bottom w:val="single" w:sz="8" w:color="auto"/>
              <w:right w:val="single" w:sz="8" w:color="auto"/>
            </w:tcBorders>
          </w:tcPr>
          <w:p>
            <w:pPr>
              <w:spacing w:after="0"/>
              <w:rPr>
                <w:sz w:val="13"/>
                <w:szCs w:val="13"/>
                <w:color w:val="auto"/>
              </w:rPr>
            </w:pPr>
          </w:p>
        </w:tc>
      </w:tr>
    </w:tbl>
    <w:p>
      <w:pPr>
        <w:spacing w:after="0" w:line="171" w:lineRule="exact"/>
        <w:rPr>
          <w:sz w:val="20"/>
          <w:szCs w:val="20"/>
          <w:color w:val="auto"/>
        </w:rPr>
      </w:pPr>
    </w:p>
    <w:p>
      <w:pPr>
        <w:ind w:left="620" w:right="219" w:hanging="328"/>
        <w:spacing w:after="0" w:line="298" w:lineRule="auto"/>
        <w:tabs>
          <w:tab w:leader="none" w:pos="62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Addendum must always be interpreted in a manner that is consistent with UK Data Protection Laws and so that it fulfils the Parties’ obligation to provide the Appropriate Safeguards.</w:t>
      </w:r>
    </w:p>
    <w:p>
      <w:pPr>
        <w:spacing w:after="0" w:line="151" w:lineRule="exact"/>
        <w:rPr>
          <w:rFonts w:ascii="Times New Roman" w:cs="Times New Roman" w:eastAsia="Times New Roman" w:hAnsi="Times New Roman"/>
          <w:sz w:val="15"/>
          <w:szCs w:val="15"/>
          <w:color w:val="auto"/>
        </w:rPr>
      </w:pPr>
    </w:p>
    <w:p>
      <w:pPr>
        <w:jc w:val="both"/>
        <w:ind w:left="620" w:right="219" w:hanging="328"/>
        <w:spacing w:after="0" w:line="293" w:lineRule="auto"/>
        <w:tabs>
          <w:tab w:leader="none" w:pos="62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provisions included in the Addendum EU SCCs amend the Approved SCCs in any way which is not permitted under the Approved EU SCCs or the Approved Addendum, such amendment(s) will not be incorporated in this Addendum and the equivalent provision of the Approved EU SCCs will take their place.</w:t>
      </w:r>
    </w:p>
    <w:p>
      <w:pPr>
        <w:spacing w:after="0" w:line="145" w:lineRule="exact"/>
        <w:rPr>
          <w:rFonts w:ascii="Times New Roman" w:cs="Times New Roman" w:eastAsia="Times New Roman" w:hAnsi="Times New Roman"/>
          <w:sz w:val="15"/>
          <w:szCs w:val="15"/>
          <w:color w:val="auto"/>
        </w:rPr>
      </w:pPr>
    </w:p>
    <w:p>
      <w:pPr>
        <w:ind w:left="620" w:hanging="328"/>
        <w:spacing w:after="0"/>
        <w:tabs>
          <w:tab w:leader="none" w:pos="62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there is any inconsistency or conflict between UK Data Protection Laws and this Addendum, UK Data Protection Laws applies.</w:t>
      </w:r>
    </w:p>
    <w:p>
      <w:pPr>
        <w:spacing w:after="0" w:line="199" w:lineRule="exact"/>
        <w:rPr>
          <w:rFonts w:ascii="Times New Roman" w:cs="Times New Roman" w:eastAsia="Times New Roman" w:hAnsi="Times New Roman"/>
          <w:sz w:val="15"/>
          <w:szCs w:val="15"/>
          <w:color w:val="auto"/>
        </w:rPr>
      </w:pPr>
    </w:p>
    <w:p>
      <w:pPr>
        <w:ind w:left="620" w:right="219" w:hanging="328"/>
        <w:spacing w:after="0" w:line="298" w:lineRule="auto"/>
        <w:tabs>
          <w:tab w:leader="none" w:pos="62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meaning of this Addendum is unclear or there is more than one meaning, the meaning which most closely aligns with UK Data Protection Laws applies.</w:t>
      </w:r>
    </w:p>
    <w:p>
      <w:pPr>
        <w:spacing w:after="0" w:line="151" w:lineRule="exact"/>
        <w:rPr>
          <w:rFonts w:ascii="Times New Roman" w:cs="Times New Roman" w:eastAsia="Times New Roman" w:hAnsi="Times New Roman"/>
          <w:sz w:val="15"/>
          <w:szCs w:val="15"/>
          <w:color w:val="auto"/>
        </w:rPr>
      </w:pPr>
    </w:p>
    <w:p>
      <w:pPr>
        <w:jc w:val="both"/>
        <w:ind w:left="620" w:right="219" w:hanging="328"/>
        <w:spacing w:after="0" w:line="293" w:lineRule="auto"/>
        <w:tabs>
          <w:tab w:leader="none" w:pos="62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references to legislation (or specific provisions of legislation) means that legislation (or specific provision) as it may change over time. This includes where that legislation (or specific provision) has been consolidated, re- enacted and/or replaced after this Addendum has been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574040</wp:posOffset>
            </wp:positionV>
            <wp:extent cx="547624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3" w:right="1440" w:bottom="1440" w:gutter="0" w:footer="0" w:header="0"/>
        </w:sectPr>
      </w:pPr>
    </w:p>
    <w:bookmarkStart w:id="137" w:name="page138"/>
    <w:bookmarkEnd w:id="137"/>
    <w:p>
      <w:pPr>
        <w:ind w:left="200"/>
        <w:spacing w:after="0"/>
        <w:rPr>
          <w:sz w:val="20"/>
          <w:szCs w:val="20"/>
          <w:color w:val="auto"/>
        </w:rPr>
      </w:pPr>
      <w:r>
        <w:rPr>
          <w:rFonts w:ascii="Times New Roman" w:cs="Times New Roman" w:eastAsia="Times New Roman" w:hAnsi="Times New Roman"/>
          <w:sz w:val="15"/>
          <w:szCs w:val="15"/>
          <w:b w:val="1"/>
          <w:bCs w:val="1"/>
          <w:color w:val="auto"/>
        </w:rPr>
        <w:t>Hierarchy</w:t>
      </w:r>
    </w:p>
    <w:p>
      <w:pPr>
        <w:spacing w:after="0" w:line="366" w:lineRule="exact"/>
        <w:rPr>
          <w:sz w:val="20"/>
          <w:szCs w:val="20"/>
          <w:color w:val="auto"/>
        </w:rPr>
      </w:pPr>
    </w:p>
    <w:p>
      <w:pPr>
        <w:ind w:left="620" w:right="219" w:hanging="328"/>
        <w:spacing w:after="0" w:line="298" w:lineRule="auto"/>
        <w:tabs>
          <w:tab w:leader="none" w:pos="62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Although Clause 5 of the Approved EU SCCs sets out that the Approved EU SCCs prevail over all related agreements between the parties, the parties agree that, for Restricted Transfers, the hierarchy in Section 10 will prevail.</w:t>
      </w:r>
    </w:p>
    <w:p>
      <w:pPr>
        <w:spacing w:after="0" w:line="151" w:lineRule="exact"/>
        <w:rPr>
          <w:rFonts w:ascii="Times New Roman" w:cs="Times New Roman" w:eastAsia="Times New Roman" w:hAnsi="Times New Roman"/>
          <w:sz w:val="15"/>
          <w:szCs w:val="15"/>
          <w:color w:val="auto"/>
        </w:rPr>
      </w:pPr>
    </w:p>
    <w:p>
      <w:pPr>
        <w:jc w:val="both"/>
        <w:ind w:left="620" w:right="219" w:hanging="328"/>
        <w:spacing w:after="0" w:line="293" w:lineRule="auto"/>
        <w:tabs>
          <w:tab w:leader="none" w:pos="62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there is any inconsistency or conflict between the Approved Addendum and the Addendum EU SCCs (as applicable), the Approved Addendum overrides the Addendum EU SCCs, except where (and in so far as) the inconsistent or conflicting terms of the Addendum EU SCCs provides greater protection for data subjects, in which case those terms will override the Approved Addendum.</w:t>
      </w:r>
    </w:p>
    <w:p>
      <w:pPr>
        <w:spacing w:after="0" w:line="145" w:lineRule="exact"/>
        <w:rPr>
          <w:rFonts w:ascii="Times New Roman" w:cs="Times New Roman" w:eastAsia="Times New Roman" w:hAnsi="Times New Roman"/>
          <w:sz w:val="15"/>
          <w:szCs w:val="15"/>
          <w:color w:val="auto"/>
        </w:rPr>
      </w:pPr>
    </w:p>
    <w:p>
      <w:pPr>
        <w:ind w:left="620" w:right="219" w:hanging="328"/>
        <w:spacing w:after="0" w:line="298" w:lineRule="auto"/>
        <w:tabs>
          <w:tab w:leader="none" w:pos="62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this Addendum incorporates Addendum EU SCCs which have been entered into to protect transfers subject to the General Data Protection Regulation (EU) 2016/679 then the Parties acknowledge that nothing in this Addendum impacts those Addendum EU SCCs.</w:t>
      </w: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Incorporation of and changes to the EU SCCs</w:t>
      </w:r>
    </w:p>
    <w:p>
      <w:pPr>
        <w:spacing w:after="0" w:line="366" w:lineRule="exact"/>
        <w:rPr>
          <w:sz w:val="20"/>
          <w:szCs w:val="20"/>
          <w:color w:val="auto"/>
        </w:rPr>
      </w:pPr>
    </w:p>
    <w:p>
      <w:pPr>
        <w:ind w:left="620" w:hanging="328"/>
        <w:spacing w:after="0"/>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Addendum incorporates the Addendum EU SCCs which are amended to the extent necessary so that:</w:t>
      </w:r>
    </w:p>
    <w:p>
      <w:pPr>
        <w:spacing w:after="0" w:line="199" w:lineRule="exact"/>
        <w:rPr>
          <w:rFonts w:ascii="Times New Roman" w:cs="Times New Roman" w:eastAsia="Times New Roman" w:hAnsi="Times New Roman"/>
          <w:sz w:val="15"/>
          <w:szCs w:val="15"/>
          <w:color w:val="auto"/>
        </w:rPr>
      </w:pPr>
    </w:p>
    <w:p>
      <w:pPr>
        <w:jc w:val="both"/>
        <w:ind w:left="1120" w:right="219" w:hanging="412"/>
        <w:spacing w:after="0" w:line="293" w:lineRule="auto"/>
        <w:tabs>
          <w:tab w:leader="none" w:pos="1120" w:val="left"/>
        </w:tabs>
        <w:numPr>
          <w:ilvl w:val="1"/>
          <w:numId w:val="91"/>
        </w:numPr>
        <w:rPr>
          <w:rFonts w:ascii="Arial" w:cs="Arial" w:eastAsia="Arial" w:hAnsi="Arial"/>
          <w:sz w:val="15"/>
          <w:szCs w:val="15"/>
          <w:color w:val="auto"/>
        </w:rPr>
      </w:pPr>
      <w:r>
        <w:rPr>
          <w:rFonts w:ascii="Times New Roman" w:cs="Times New Roman" w:eastAsia="Times New Roman" w:hAnsi="Times New Roman"/>
          <w:sz w:val="15"/>
          <w:szCs w:val="15"/>
          <w:color w:val="auto"/>
        </w:rPr>
        <w:t>together they operate for data transfers made by the data exporter to the data importer, to the extent that UK Data Protection Laws apply to the data exporter’s processing when making that data transfer, and they provide Appropriate Safeguards for those data transfers;</w:t>
      </w:r>
    </w:p>
    <w:p>
      <w:pPr>
        <w:spacing w:after="0" w:line="144" w:lineRule="exact"/>
        <w:rPr>
          <w:rFonts w:ascii="Arial" w:cs="Arial" w:eastAsia="Arial" w:hAnsi="Arial"/>
          <w:sz w:val="15"/>
          <w:szCs w:val="15"/>
          <w:color w:val="auto"/>
        </w:rPr>
      </w:pPr>
    </w:p>
    <w:p>
      <w:pPr>
        <w:ind w:left="1120" w:hanging="412"/>
        <w:spacing w:after="0"/>
        <w:tabs>
          <w:tab w:leader="none" w:pos="1120" w:val="left"/>
        </w:tabs>
        <w:numPr>
          <w:ilvl w:val="1"/>
          <w:numId w:val="91"/>
        </w:numPr>
        <w:rPr>
          <w:rFonts w:ascii="Arial" w:cs="Arial" w:eastAsia="Arial" w:hAnsi="Arial"/>
          <w:sz w:val="15"/>
          <w:szCs w:val="15"/>
          <w:color w:val="auto"/>
        </w:rPr>
      </w:pPr>
      <w:r>
        <w:rPr>
          <w:rFonts w:ascii="Times New Roman" w:cs="Times New Roman" w:eastAsia="Times New Roman" w:hAnsi="Times New Roman"/>
          <w:sz w:val="15"/>
          <w:szCs w:val="15"/>
          <w:color w:val="auto"/>
        </w:rPr>
        <w:t>Sections 9 to 11 override Clause 5 (Hierarchy) of the Addendum EU SCCs; and</w:t>
      </w:r>
    </w:p>
    <w:p>
      <w:pPr>
        <w:spacing w:after="0" w:line="198" w:lineRule="exact"/>
        <w:rPr>
          <w:rFonts w:ascii="Arial" w:cs="Arial" w:eastAsia="Arial" w:hAnsi="Arial"/>
          <w:sz w:val="15"/>
          <w:szCs w:val="15"/>
          <w:color w:val="auto"/>
        </w:rPr>
      </w:pPr>
    </w:p>
    <w:p>
      <w:pPr>
        <w:jc w:val="both"/>
        <w:ind w:left="1120" w:right="219" w:hanging="412"/>
        <w:spacing w:after="0" w:line="293" w:lineRule="auto"/>
        <w:tabs>
          <w:tab w:leader="none" w:pos="1120" w:val="left"/>
        </w:tabs>
        <w:numPr>
          <w:ilvl w:val="1"/>
          <w:numId w:val="91"/>
        </w:numPr>
        <w:rPr>
          <w:rFonts w:ascii="Arial" w:cs="Arial" w:eastAsia="Arial" w:hAnsi="Arial"/>
          <w:sz w:val="15"/>
          <w:szCs w:val="15"/>
          <w:color w:val="auto"/>
        </w:rPr>
      </w:pPr>
      <w:r>
        <w:rPr>
          <w:rFonts w:ascii="Times New Roman" w:cs="Times New Roman" w:eastAsia="Times New Roman" w:hAnsi="Times New Roman"/>
          <w:sz w:val="15"/>
          <w:szCs w:val="15"/>
          <w:color w:val="auto"/>
        </w:rPr>
        <w:t>this Addendum (including the Addendum EU SCCs incorporated into it) is (1) governed by the laws of England and Wales and (2) any dispute arising from it is resolved by the courts of England and Wales, in each case unless the laws and/or courts of Scotland or Northern Ireland have been expressly selected by the Parties.</w:t>
      </w:r>
    </w:p>
    <w:p>
      <w:pPr>
        <w:spacing w:after="0" w:line="144" w:lineRule="exact"/>
        <w:rPr>
          <w:rFonts w:ascii="Arial" w:cs="Arial" w:eastAsia="Arial" w:hAnsi="Arial"/>
          <w:sz w:val="15"/>
          <w:szCs w:val="15"/>
          <w:color w:val="auto"/>
        </w:rPr>
      </w:pPr>
    </w:p>
    <w:p>
      <w:pPr>
        <w:ind w:left="620" w:hanging="328"/>
        <w:spacing w:after="0"/>
        <w:tabs>
          <w:tab w:leader="none" w:pos="6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Parties have agreed alternative amendments which meet the requirements of Section 12, the provisions of Section 15 will apply.</w:t>
      </w:r>
    </w:p>
    <w:p>
      <w:pPr>
        <w:spacing w:after="0" w:line="211"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amendments to the Approved EU SCCs other than to meet the requirements of Section 12 may be made.</w:t>
      </w:r>
    </w:p>
    <w:p>
      <w:pPr>
        <w:spacing w:after="0" w:line="199" w:lineRule="exact"/>
        <w:rPr>
          <w:rFonts w:ascii="Times New Roman" w:cs="Times New Roman" w:eastAsia="Times New Roman" w:hAnsi="Times New Roman"/>
          <w:sz w:val="15"/>
          <w:szCs w:val="15"/>
          <w:color w:val="auto"/>
        </w:rPr>
      </w:pPr>
    </w:p>
    <w:p>
      <w:pPr>
        <w:ind w:left="620" w:hanging="328"/>
        <w:spacing w:after="0"/>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amendments to the Addendum EU SCCs (for the purpose of Section 12) are made:</w:t>
      </w:r>
    </w:p>
    <w:p>
      <w:pPr>
        <w:spacing w:after="0" w:line="199" w:lineRule="exact"/>
        <w:rPr>
          <w:rFonts w:ascii="Times New Roman" w:cs="Times New Roman" w:eastAsia="Times New Roman" w:hAnsi="Times New Roman"/>
          <w:sz w:val="15"/>
          <w:szCs w:val="15"/>
          <w:color w:val="auto"/>
        </w:rPr>
      </w:pPr>
    </w:p>
    <w:p>
      <w:pPr>
        <w:ind w:left="1120" w:hanging="412"/>
        <w:spacing w:after="0"/>
        <w:tabs>
          <w:tab w:leader="none" w:pos="1120" w:val="left"/>
        </w:tabs>
        <w:numPr>
          <w:ilvl w:val="1"/>
          <w:numId w:val="91"/>
        </w:numPr>
        <w:rPr>
          <w:rFonts w:ascii="Arial" w:cs="Arial" w:eastAsia="Arial" w:hAnsi="Arial"/>
          <w:sz w:val="15"/>
          <w:szCs w:val="15"/>
          <w:color w:val="auto"/>
        </w:rPr>
      </w:pPr>
      <w:r>
        <w:rPr>
          <w:rFonts w:ascii="Times New Roman" w:cs="Times New Roman" w:eastAsia="Times New Roman" w:hAnsi="Times New Roman"/>
          <w:sz w:val="15"/>
          <w:szCs w:val="15"/>
          <w:color w:val="auto"/>
        </w:rPr>
        <w:t>References to the “Clauses” means this Addendum, incorporating the Addendum EU SCCs;</w:t>
      </w:r>
    </w:p>
    <w:p>
      <w:pPr>
        <w:spacing w:after="0" w:line="198" w:lineRule="exact"/>
        <w:rPr>
          <w:rFonts w:ascii="Arial" w:cs="Arial" w:eastAsia="Arial" w:hAnsi="Arial"/>
          <w:sz w:val="15"/>
          <w:szCs w:val="15"/>
          <w:color w:val="auto"/>
        </w:rPr>
      </w:pPr>
    </w:p>
    <w:p>
      <w:pPr>
        <w:ind w:left="1120" w:hanging="412"/>
        <w:spacing w:after="0"/>
        <w:tabs>
          <w:tab w:leader="none" w:pos="1120" w:val="left"/>
        </w:tabs>
        <w:numPr>
          <w:ilvl w:val="1"/>
          <w:numId w:val="91"/>
        </w:numPr>
        <w:rPr>
          <w:rFonts w:ascii="Arial" w:cs="Arial" w:eastAsia="Arial" w:hAnsi="Arial"/>
          <w:sz w:val="15"/>
          <w:szCs w:val="15"/>
          <w:color w:val="auto"/>
        </w:rPr>
      </w:pPr>
      <w:r>
        <w:rPr>
          <w:rFonts w:ascii="Times New Roman" w:cs="Times New Roman" w:eastAsia="Times New Roman" w:hAnsi="Times New Roman"/>
          <w:sz w:val="15"/>
          <w:szCs w:val="15"/>
          <w:color w:val="auto"/>
        </w:rPr>
        <w:t>In Clause 2, delete the words:</w:t>
      </w:r>
    </w:p>
    <w:p>
      <w:pPr>
        <w:spacing w:after="0" w:line="188" w:lineRule="exact"/>
        <w:rPr>
          <w:rFonts w:ascii="Arial" w:cs="Arial" w:eastAsia="Arial" w:hAnsi="Arial"/>
          <w:sz w:val="15"/>
          <w:szCs w:val="15"/>
          <w:color w:val="auto"/>
        </w:rPr>
      </w:pPr>
    </w:p>
    <w:p>
      <w:pPr>
        <w:ind w:left="1120" w:right="219"/>
        <w:spacing w:after="0" w:line="267" w:lineRule="auto"/>
        <w:rPr>
          <w:rFonts w:ascii="Arial" w:cs="Arial" w:eastAsia="Arial" w:hAnsi="Arial"/>
          <w:sz w:val="15"/>
          <w:szCs w:val="15"/>
          <w:color w:val="auto"/>
        </w:rPr>
      </w:pPr>
      <w:r>
        <w:rPr>
          <w:rFonts w:ascii="Times New Roman" w:cs="Times New Roman" w:eastAsia="Times New Roman" w:hAnsi="Times New Roman"/>
          <w:sz w:val="15"/>
          <w:szCs w:val="15"/>
          <w:color w:val="auto"/>
        </w:rPr>
        <w:t>“and, with respect to data transfers from controllers to processors and/or processors to processors, standard contractual clauses pursuant to Article 28(7) of Regulation (EU) 2016/679”;</w:t>
      </w:r>
    </w:p>
    <w:p>
      <w:pPr>
        <w:spacing w:after="0" w:line="119" w:lineRule="exact"/>
        <w:rPr>
          <w:rFonts w:ascii="Arial" w:cs="Arial" w:eastAsia="Arial" w:hAnsi="Arial"/>
          <w:sz w:val="15"/>
          <w:szCs w:val="15"/>
          <w:color w:val="auto"/>
        </w:rPr>
      </w:pPr>
    </w:p>
    <w:p>
      <w:pPr>
        <w:ind w:left="1120" w:hanging="412"/>
        <w:spacing w:after="0"/>
        <w:tabs>
          <w:tab w:leader="none" w:pos="1120" w:val="left"/>
        </w:tabs>
        <w:numPr>
          <w:ilvl w:val="1"/>
          <w:numId w:val="91"/>
        </w:numPr>
        <w:rPr>
          <w:rFonts w:ascii="Arial" w:cs="Arial" w:eastAsia="Arial" w:hAnsi="Arial"/>
          <w:sz w:val="15"/>
          <w:szCs w:val="15"/>
          <w:color w:val="auto"/>
        </w:rPr>
      </w:pPr>
      <w:r>
        <w:rPr>
          <w:rFonts w:ascii="Times New Roman" w:cs="Times New Roman" w:eastAsia="Times New Roman" w:hAnsi="Times New Roman"/>
          <w:sz w:val="15"/>
          <w:szCs w:val="15"/>
          <w:color w:val="auto"/>
        </w:rPr>
        <w:t>Clause 6 (Description of the transfer(s)) is replaced with:</w:t>
      </w:r>
    </w:p>
    <w:p>
      <w:pPr>
        <w:spacing w:after="0" w:line="188"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Times New Roman" w:cs="Times New Roman" w:eastAsia="Times New Roman" w:hAnsi="Times New Roman"/>
          <w:sz w:val="15"/>
          <w:szCs w:val="15"/>
          <w:color w:val="auto"/>
        </w:rPr>
        <w:t>“The details of the transfers(s) and in particular the categories of personal data that are transferred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490220</wp:posOffset>
            </wp:positionV>
            <wp:extent cx="547624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138" w:name="page139"/>
    <w:bookmarkEnd w:id="138"/>
    <w:p>
      <w:pPr>
        <w:ind w:left="1120" w:right="219"/>
        <w:spacing w:after="0" w:line="267" w:lineRule="auto"/>
        <w:rPr>
          <w:sz w:val="20"/>
          <w:szCs w:val="20"/>
          <w:color w:val="auto"/>
        </w:rPr>
      </w:pPr>
      <w:r>
        <w:rPr>
          <w:rFonts w:ascii="Times New Roman" w:cs="Times New Roman" w:eastAsia="Times New Roman" w:hAnsi="Times New Roman"/>
          <w:sz w:val="15"/>
          <w:szCs w:val="15"/>
          <w:color w:val="auto"/>
        </w:rPr>
        <w:t>the purpose(s) for which they are transferred are those specified in Annex I.B where UK Data Protection Laws apply to the data exporter’s processing when making that transfer.”;</w:t>
      </w:r>
    </w:p>
    <w:p>
      <w:pPr>
        <w:spacing w:after="0" w:line="120" w:lineRule="exact"/>
        <w:rPr>
          <w:sz w:val="20"/>
          <w:szCs w:val="20"/>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Clause 8.7(i) of Module 1 is replaced with:</w:t>
      </w:r>
    </w:p>
    <w:p>
      <w:pPr>
        <w:spacing w:after="0" w:line="188" w:lineRule="exact"/>
        <w:rPr>
          <w:rFonts w:ascii="Arial" w:cs="Arial" w:eastAsia="Arial" w:hAnsi="Arial"/>
          <w:sz w:val="15"/>
          <w:szCs w:val="15"/>
          <w:color w:val="auto"/>
        </w:rPr>
      </w:pPr>
    </w:p>
    <w:p>
      <w:pPr>
        <w:ind w:left="1120" w:right="219"/>
        <w:spacing w:after="0" w:line="267" w:lineRule="auto"/>
        <w:rPr>
          <w:rFonts w:ascii="Arial" w:cs="Arial" w:eastAsia="Arial" w:hAnsi="Arial"/>
          <w:sz w:val="15"/>
          <w:szCs w:val="15"/>
          <w:color w:val="auto"/>
        </w:rPr>
      </w:pPr>
      <w:r>
        <w:rPr>
          <w:rFonts w:ascii="Times New Roman" w:cs="Times New Roman" w:eastAsia="Times New Roman" w:hAnsi="Times New Roman"/>
          <w:sz w:val="15"/>
          <w:szCs w:val="15"/>
          <w:color w:val="auto"/>
        </w:rPr>
        <w:t>“it is to a country benefitting from adequacy regulations pursuant to Section 17A of the UK GDPR that covers the onward transfer”;</w:t>
      </w:r>
    </w:p>
    <w:p>
      <w:pPr>
        <w:spacing w:after="0" w:line="130"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Clause 8.8(i) of Modules 2 and 3 is replaced with:</w:t>
      </w:r>
    </w:p>
    <w:p>
      <w:pPr>
        <w:spacing w:after="0" w:line="188" w:lineRule="exact"/>
        <w:rPr>
          <w:rFonts w:ascii="Arial" w:cs="Arial" w:eastAsia="Arial" w:hAnsi="Arial"/>
          <w:sz w:val="15"/>
          <w:szCs w:val="15"/>
          <w:color w:val="auto"/>
        </w:rPr>
      </w:pPr>
    </w:p>
    <w:p>
      <w:pPr>
        <w:ind w:left="1120" w:right="219"/>
        <w:spacing w:after="0" w:line="267" w:lineRule="auto"/>
        <w:rPr>
          <w:rFonts w:ascii="Arial" w:cs="Arial" w:eastAsia="Arial" w:hAnsi="Arial"/>
          <w:sz w:val="15"/>
          <w:szCs w:val="15"/>
          <w:color w:val="auto"/>
        </w:rPr>
      </w:pPr>
      <w:r>
        <w:rPr>
          <w:rFonts w:ascii="Times New Roman" w:cs="Times New Roman" w:eastAsia="Times New Roman" w:hAnsi="Times New Roman"/>
          <w:sz w:val="15"/>
          <w:szCs w:val="15"/>
          <w:color w:val="auto"/>
        </w:rPr>
        <w:t>“the onward transfer is to a country benefitting from adequacy regulations pursuant to Section 17A of the UK GDPR that covers the onward transfer;”</w:t>
      </w:r>
    </w:p>
    <w:p>
      <w:pPr>
        <w:spacing w:after="0" w:line="119" w:lineRule="exact"/>
        <w:rPr>
          <w:rFonts w:ascii="Arial" w:cs="Arial" w:eastAsia="Arial" w:hAnsi="Arial"/>
          <w:sz w:val="15"/>
          <w:szCs w:val="15"/>
          <w:color w:val="auto"/>
        </w:rPr>
      </w:pPr>
    </w:p>
    <w:p>
      <w:pPr>
        <w:jc w:val="both"/>
        <w:ind w:left="1120" w:right="219" w:hanging="412"/>
        <w:spacing w:after="0" w:line="313" w:lineRule="auto"/>
        <w:tabs>
          <w:tab w:leader="none" w:pos="1120" w:val="left"/>
        </w:tabs>
        <w:numPr>
          <w:ilvl w:val="0"/>
          <w:numId w:val="92"/>
        </w:numPr>
        <w:rPr>
          <w:rFonts w:ascii="Arial" w:cs="Arial" w:eastAsia="Arial" w:hAnsi="Arial"/>
          <w:sz w:val="14"/>
          <w:szCs w:val="14"/>
          <w:color w:val="auto"/>
        </w:rPr>
      </w:pPr>
      <w:r>
        <w:rPr>
          <w:rFonts w:ascii="Times New Roman" w:cs="Times New Roman" w:eastAsia="Times New Roman" w:hAnsi="Times New Roman"/>
          <w:sz w:val="14"/>
          <w:szCs w:val="14"/>
          <w:color w:val="auto"/>
        </w:rPr>
        <w:t>References to “Regulation (EU) 2016/679”, “Regulation (EU) 2016/679 of the European Parliament and of the Council of 27 April 2016 on the protection of natural persons with regard to the processing of personal data and on the free movement of such data (General Data Protection Regulation)”and “that Regulation” are all replaced by “UK Data Protection Laws”. References to specific Article(s) of “Regulation (EU) 2016/679” are replaced with the equivalent Article or Section of UK Data Protection Laws;</w:t>
      </w:r>
    </w:p>
    <w:p>
      <w:pPr>
        <w:spacing w:after="0" w:line="133" w:lineRule="exact"/>
        <w:rPr>
          <w:rFonts w:ascii="Arial" w:cs="Arial" w:eastAsia="Arial" w:hAnsi="Arial"/>
          <w:sz w:val="14"/>
          <w:szCs w:val="14"/>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References to Regulation (EU) 2018/1725 are removed;</w:t>
      </w:r>
    </w:p>
    <w:p>
      <w:pPr>
        <w:spacing w:after="0" w:line="198" w:lineRule="exact"/>
        <w:rPr>
          <w:rFonts w:ascii="Arial" w:cs="Arial" w:eastAsia="Arial" w:hAnsi="Arial"/>
          <w:sz w:val="15"/>
          <w:szCs w:val="15"/>
          <w:color w:val="auto"/>
        </w:rPr>
      </w:pPr>
    </w:p>
    <w:p>
      <w:pPr>
        <w:ind w:left="1120" w:right="219" w:hanging="412"/>
        <w:spacing w:after="0" w:line="297" w:lineRule="auto"/>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References to the “European Union”, “Union”, “EU”, “EU Member State”, “Member State” and “EU or Member State” are all replaced with the “UK”;</w:t>
      </w:r>
    </w:p>
    <w:p>
      <w:pPr>
        <w:spacing w:after="0" w:line="152"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The reference to “Clause 12(c)(i)” at Clause 10(b)(i) of Module one, is replaced with “Clause 11(c)(i)”;</w:t>
      </w:r>
    </w:p>
    <w:p>
      <w:pPr>
        <w:spacing w:after="0" w:line="198"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Clause 13(a) and Part C of Annex I are not used;</w:t>
      </w:r>
    </w:p>
    <w:p>
      <w:pPr>
        <w:spacing w:after="0" w:line="198"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The “competent supervisory authority” and “supervisory authority” are both replaced with the “Information Commissioner”;</w:t>
      </w:r>
    </w:p>
    <w:p>
      <w:pPr>
        <w:spacing w:after="0" w:line="198"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In Clause 16(e), subsection (i) is replaced with:</w:t>
      </w:r>
    </w:p>
    <w:p>
      <w:pPr>
        <w:spacing w:after="0" w:line="188" w:lineRule="exact"/>
        <w:rPr>
          <w:rFonts w:ascii="Arial" w:cs="Arial" w:eastAsia="Arial" w:hAnsi="Arial"/>
          <w:sz w:val="15"/>
          <w:szCs w:val="15"/>
          <w:color w:val="auto"/>
        </w:rPr>
      </w:pPr>
    </w:p>
    <w:p>
      <w:pPr>
        <w:ind w:left="1120" w:right="219"/>
        <w:spacing w:after="0" w:line="267" w:lineRule="auto"/>
        <w:rPr>
          <w:rFonts w:ascii="Arial" w:cs="Arial" w:eastAsia="Arial" w:hAnsi="Arial"/>
          <w:sz w:val="15"/>
          <w:szCs w:val="15"/>
          <w:color w:val="auto"/>
        </w:rPr>
      </w:pPr>
      <w:r>
        <w:rPr>
          <w:rFonts w:ascii="Times New Roman" w:cs="Times New Roman" w:eastAsia="Times New Roman" w:hAnsi="Times New Roman"/>
          <w:sz w:val="15"/>
          <w:szCs w:val="15"/>
          <w:color w:val="auto"/>
        </w:rPr>
        <w:t>“the Secretary of State makes regulations pursuant to Section 17A of the Data Protection Act 2018 that cover the transfer of personal data to which these clauses apply;”;</w:t>
      </w:r>
    </w:p>
    <w:p>
      <w:pPr>
        <w:spacing w:after="0" w:line="119"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Clause 17 is replaced with:</w:t>
      </w:r>
    </w:p>
    <w:p>
      <w:pPr>
        <w:spacing w:after="0" w:line="188"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Times New Roman" w:cs="Times New Roman" w:eastAsia="Times New Roman" w:hAnsi="Times New Roman"/>
          <w:sz w:val="15"/>
          <w:szCs w:val="15"/>
          <w:color w:val="auto"/>
        </w:rPr>
        <w:t>“These Clauses are governed by the laws of England and Wales.”;</w:t>
      </w:r>
    </w:p>
    <w:p>
      <w:pPr>
        <w:spacing w:after="0" w:line="166"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Clause 18 is replaced with:</w:t>
      </w:r>
    </w:p>
    <w:p>
      <w:pPr>
        <w:spacing w:after="0" w:line="188" w:lineRule="exact"/>
        <w:rPr>
          <w:rFonts w:ascii="Arial" w:cs="Arial" w:eastAsia="Arial" w:hAnsi="Arial"/>
          <w:sz w:val="15"/>
          <w:szCs w:val="15"/>
          <w:color w:val="auto"/>
        </w:rPr>
      </w:pPr>
    </w:p>
    <w:p>
      <w:pPr>
        <w:jc w:val="both"/>
        <w:ind w:left="1120" w:right="219"/>
        <w:spacing w:after="0" w:line="255" w:lineRule="auto"/>
        <w:rPr>
          <w:rFonts w:ascii="Arial" w:cs="Arial" w:eastAsia="Arial" w:hAnsi="Arial"/>
          <w:sz w:val="15"/>
          <w:szCs w:val="15"/>
          <w:color w:val="auto"/>
        </w:rPr>
      </w:pPr>
      <w:r>
        <w:rPr>
          <w:rFonts w:ascii="Times New Roman" w:cs="Times New Roman" w:eastAsia="Times New Roman" w:hAnsi="Times New Roman"/>
          <w:sz w:val="15"/>
          <w:szCs w:val="15"/>
          <w:color w:val="auto"/>
        </w:rPr>
        <w:t>“Any dispute arising from these Clauses shall be resolved by the courts of England and Wales. A data subject may also bring legal proceedings against the data exporter and/or data importer before the courts of any country in the UK. The Parties agree to submit themselves to the jurisdiction of such courts.”; and</w:t>
      </w:r>
    </w:p>
    <w:p>
      <w:pPr>
        <w:spacing w:after="0" w:line="128" w:lineRule="exact"/>
        <w:rPr>
          <w:rFonts w:ascii="Arial" w:cs="Arial" w:eastAsia="Arial" w:hAnsi="Arial"/>
          <w:sz w:val="15"/>
          <w:szCs w:val="15"/>
          <w:color w:val="auto"/>
        </w:rPr>
      </w:pPr>
    </w:p>
    <w:p>
      <w:pPr>
        <w:ind w:left="1120" w:hanging="412"/>
        <w:spacing w:after="0"/>
        <w:tabs>
          <w:tab w:leader="none" w:pos="1120" w:val="left"/>
        </w:tabs>
        <w:numPr>
          <w:ilvl w:val="0"/>
          <w:numId w:val="92"/>
        </w:numPr>
        <w:rPr>
          <w:rFonts w:ascii="Arial" w:cs="Arial" w:eastAsia="Arial" w:hAnsi="Arial"/>
          <w:sz w:val="15"/>
          <w:szCs w:val="15"/>
          <w:color w:val="auto"/>
        </w:rPr>
      </w:pPr>
      <w:r>
        <w:rPr>
          <w:rFonts w:ascii="Times New Roman" w:cs="Times New Roman" w:eastAsia="Times New Roman" w:hAnsi="Times New Roman"/>
          <w:sz w:val="15"/>
          <w:szCs w:val="15"/>
          <w:color w:val="auto"/>
        </w:rPr>
        <w:t>The footnotes to the Approved EU SCCs do not form part of the Addendum, except for footnotes 8, 9, 10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719455</wp:posOffset>
            </wp:positionV>
            <wp:extent cx="547624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88" w:right="1440" w:bottom="1440" w:gutter="0" w:footer="0" w:header="0"/>
        </w:sectPr>
      </w:pPr>
    </w:p>
    <w:bookmarkStart w:id="139" w:name="page140"/>
    <w:bookmarkEnd w:id="139"/>
    <w:p>
      <w:pPr>
        <w:ind w:left="200"/>
        <w:spacing w:after="0"/>
        <w:rPr>
          <w:sz w:val="20"/>
          <w:szCs w:val="20"/>
          <w:color w:val="auto"/>
        </w:rPr>
      </w:pPr>
      <w:r>
        <w:rPr>
          <w:rFonts w:ascii="Times New Roman" w:cs="Times New Roman" w:eastAsia="Times New Roman" w:hAnsi="Times New Roman"/>
          <w:sz w:val="15"/>
          <w:szCs w:val="15"/>
          <w:b w:val="1"/>
          <w:bCs w:val="1"/>
          <w:color w:val="auto"/>
        </w:rPr>
        <w:t>Amendments to this Addendum</w:t>
      </w:r>
    </w:p>
    <w:p>
      <w:pPr>
        <w:spacing w:after="0" w:line="366" w:lineRule="exact"/>
        <w:rPr>
          <w:sz w:val="20"/>
          <w:szCs w:val="20"/>
          <w:color w:val="auto"/>
        </w:rPr>
      </w:pPr>
    </w:p>
    <w:p>
      <w:pPr>
        <w:ind w:left="620" w:right="219" w:hanging="328"/>
        <w:spacing w:after="0" w:line="298" w:lineRule="auto"/>
        <w:tabs>
          <w:tab w:leader="none" w:pos="62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may agree to change Clauses 17 and/or 18 of the Addendum EU SCCs to refer to the laws and/or courts of Scotland or Northern Ireland.</w:t>
      </w:r>
    </w:p>
    <w:p>
      <w:pPr>
        <w:spacing w:after="0" w:line="151" w:lineRule="exact"/>
        <w:rPr>
          <w:rFonts w:ascii="Times New Roman" w:cs="Times New Roman" w:eastAsia="Times New Roman" w:hAnsi="Times New Roman"/>
          <w:sz w:val="15"/>
          <w:szCs w:val="15"/>
          <w:color w:val="auto"/>
        </w:rPr>
      </w:pPr>
    </w:p>
    <w:p>
      <w:pPr>
        <w:ind w:left="620" w:right="659" w:hanging="328"/>
        <w:spacing w:after="0" w:line="298" w:lineRule="auto"/>
        <w:tabs>
          <w:tab w:leader="none" w:pos="62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Parties wish to change the format of the information included in Part 1: Tables of the Approved Addendum, they may do so by agreeing to the change in writing, provided that the change does not reduce the Appropriate Safeguards.</w:t>
      </w:r>
    </w:p>
    <w:p>
      <w:pPr>
        <w:spacing w:after="0" w:line="151" w:lineRule="exact"/>
        <w:rPr>
          <w:rFonts w:ascii="Times New Roman" w:cs="Times New Roman" w:eastAsia="Times New Roman" w:hAnsi="Times New Roman"/>
          <w:sz w:val="15"/>
          <w:szCs w:val="15"/>
          <w:color w:val="auto"/>
        </w:rPr>
      </w:pPr>
    </w:p>
    <w:p>
      <w:pPr>
        <w:ind w:left="620" w:hanging="328"/>
        <w:spacing w:after="0"/>
        <w:tabs>
          <w:tab w:leader="none" w:pos="62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time to time, the ICO may issue a revised Approved Addendum which:</w:t>
      </w:r>
    </w:p>
    <w:p>
      <w:pPr>
        <w:spacing w:after="0" w:line="199" w:lineRule="exact"/>
        <w:rPr>
          <w:rFonts w:ascii="Times New Roman" w:cs="Times New Roman" w:eastAsia="Times New Roman" w:hAnsi="Times New Roman"/>
          <w:sz w:val="15"/>
          <w:szCs w:val="15"/>
          <w:color w:val="auto"/>
        </w:rPr>
      </w:pPr>
    </w:p>
    <w:p>
      <w:pPr>
        <w:ind w:left="1120" w:right="219" w:hanging="412"/>
        <w:spacing w:after="0" w:line="297" w:lineRule="auto"/>
        <w:tabs>
          <w:tab w:leader="none" w:pos="1120" w:val="left"/>
        </w:tabs>
        <w:numPr>
          <w:ilvl w:val="1"/>
          <w:numId w:val="93"/>
        </w:numPr>
        <w:rPr>
          <w:rFonts w:ascii="Arial" w:cs="Arial" w:eastAsia="Arial" w:hAnsi="Arial"/>
          <w:sz w:val="15"/>
          <w:szCs w:val="15"/>
          <w:color w:val="auto"/>
        </w:rPr>
      </w:pPr>
      <w:r>
        <w:rPr>
          <w:rFonts w:ascii="Times New Roman" w:cs="Times New Roman" w:eastAsia="Times New Roman" w:hAnsi="Times New Roman"/>
          <w:sz w:val="15"/>
          <w:szCs w:val="15"/>
          <w:color w:val="auto"/>
        </w:rPr>
        <w:t>makes reasonable and proportionate changes to the Approved Addendum, including correcting errors in the Approved Addendum; and/or</w:t>
      </w:r>
    </w:p>
    <w:p>
      <w:pPr>
        <w:spacing w:after="0" w:line="152" w:lineRule="exact"/>
        <w:rPr>
          <w:rFonts w:ascii="Arial" w:cs="Arial" w:eastAsia="Arial" w:hAnsi="Arial"/>
          <w:sz w:val="15"/>
          <w:szCs w:val="15"/>
          <w:color w:val="auto"/>
        </w:rPr>
      </w:pPr>
    </w:p>
    <w:p>
      <w:pPr>
        <w:ind w:left="1120" w:hanging="412"/>
        <w:spacing w:after="0"/>
        <w:tabs>
          <w:tab w:leader="none" w:pos="1120" w:val="left"/>
        </w:tabs>
        <w:numPr>
          <w:ilvl w:val="1"/>
          <w:numId w:val="93"/>
        </w:numPr>
        <w:rPr>
          <w:rFonts w:ascii="Arial" w:cs="Arial" w:eastAsia="Arial" w:hAnsi="Arial"/>
          <w:sz w:val="15"/>
          <w:szCs w:val="15"/>
          <w:color w:val="auto"/>
        </w:rPr>
      </w:pPr>
      <w:r>
        <w:rPr>
          <w:rFonts w:ascii="Times New Roman" w:cs="Times New Roman" w:eastAsia="Times New Roman" w:hAnsi="Times New Roman"/>
          <w:sz w:val="15"/>
          <w:szCs w:val="15"/>
          <w:color w:val="auto"/>
        </w:rPr>
        <w:t>reflects changes to UK Data Protection Laws;</w:t>
      </w:r>
    </w:p>
    <w:p>
      <w:pPr>
        <w:spacing w:after="0" w:line="199" w:lineRule="exact"/>
        <w:rPr>
          <w:sz w:val="20"/>
          <w:szCs w:val="20"/>
          <w:color w:val="auto"/>
        </w:rPr>
      </w:pPr>
    </w:p>
    <w:p>
      <w:pPr>
        <w:jc w:val="both"/>
        <w:ind w:left="720" w:right="199"/>
        <w:spacing w:after="0" w:line="293" w:lineRule="auto"/>
        <w:rPr>
          <w:sz w:val="20"/>
          <w:szCs w:val="20"/>
          <w:color w:val="auto"/>
        </w:rPr>
      </w:pPr>
      <w:r>
        <w:rPr>
          <w:rFonts w:ascii="Times New Roman" w:cs="Times New Roman" w:eastAsia="Times New Roman" w:hAnsi="Times New Roman"/>
          <w:sz w:val="15"/>
          <w:szCs w:val="15"/>
          <w:color w:val="auto"/>
        </w:rPr>
        <w:t>The revised Approved Addendum will specify the start date from which the changes to the Approved Addendum are effective and whether the Parties need to review this Addendum including the Appendix Information. This Addendum is automatically amended as set out in the revised Approved Addendum from the start date specified.</w:t>
      </w:r>
    </w:p>
    <w:p>
      <w:pPr>
        <w:spacing w:after="0" w:line="145" w:lineRule="exact"/>
        <w:rPr>
          <w:sz w:val="20"/>
          <w:szCs w:val="20"/>
          <w:color w:val="auto"/>
        </w:rPr>
      </w:pPr>
    </w:p>
    <w:p>
      <w:pPr>
        <w:jc w:val="both"/>
        <w:ind w:left="620" w:right="219" w:hanging="328"/>
        <w:spacing w:after="0" w:line="286" w:lineRule="auto"/>
        <w:tabs>
          <w:tab w:leader="none" w:pos="62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ICO issues a revised Approved Addendum under Section 18, if any Party selected in Table 4 “Ending the Addendum when the Approved Addendum changes”, will as a direct result of the changes in the Approved Addendum have a substantial, disproportionate and demonstrable increase in:</w:t>
      </w:r>
    </w:p>
    <w:p>
      <w:pPr>
        <w:spacing w:after="0" w:line="160" w:lineRule="exact"/>
        <w:rPr>
          <w:rFonts w:ascii="Times New Roman" w:cs="Times New Roman" w:eastAsia="Times New Roman" w:hAnsi="Times New Roman"/>
          <w:sz w:val="15"/>
          <w:szCs w:val="15"/>
          <w:color w:val="auto"/>
        </w:rPr>
      </w:pPr>
    </w:p>
    <w:p>
      <w:pPr>
        <w:ind w:left="1120" w:hanging="412"/>
        <w:spacing w:after="0"/>
        <w:tabs>
          <w:tab w:leader="none" w:pos="1120" w:val="left"/>
        </w:tabs>
        <w:numPr>
          <w:ilvl w:val="1"/>
          <w:numId w:val="94"/>
        </w:numPr>
        <w:rPr>
          <w:rFonts w:ascii="Arial" w:cs="Arial" w:eastAsia="Arial" w:hAnsi="Arial"/>
          <w:sz w:val="15"/>
          <w:szCs w:val="15"/>
          <w:color w:val="auto"/>
        </w:rPr>
      </w:pPr>
      <w:r>
        <w:rPr>
          <w:rFonts w:ascii="Times New Roman" w:cs="Times New Roman" w:eastAsia="Times New Roman" w:hAnsi="Times New Roman"/>
          <w:sz w:val="15"/>
          <w:szCs w:val="15"/>
          <w:color w:val="auto"/>
        </w:rPr>
        <w:t>its direct costs of performing its obligations under the Addendum; and/or</w:t>
      </w:r>
    </w:p>
    <w:p>
      <w:pPr>
        <w:spacing w:after="0" w:line="198" w:lineRule="exact"/>
        <w:rPr>
          <w:rFonts w:ascii="Arial" w:cs="Arial" w:eastAsia="Arial" w:hAnsi="Arial"/>
          <w:sz w:val="15"/>
          <w:szCs w:val="15"/>
          <w:color w:val="auto"/>
        </w:rPr>
      </w:pPr>
    </w:p>
    <w:p>
      <w:pPr>
        <w:ind w:left="1120" w:hanging="412"/>
        <w:spacing w:after="0"/>
        <w:tabs>
          <w:tab w:leader="none" w:pos="1120" w:val="left"/>
        </w:tabs>
        <w:numPr>
          <w:ilvl w:val="1"/>
          <w:numId w:val="94"/>
        </w:numPr>
        <w:rPr>
          <w:rFonts w:ascii="Arial" w:cs="Arial" w:eastAsia="Arial" w:hAnsi="Arial"/>
          <w:sz w:val="15"/>
          <w:szCs w:val="15"/>
          <w:color w:val="auto"/>
        </w:rPr>
      </w:pPr>
      <w:r>
        <w:rPr>
          <w:rFonts w:ascii="Times New Roman" w:cs="Times New Roman" w:eastAsia="Times New Roman" w:hAnsi="Times New Roman"/>
          <w:sz w:val="15"/>
          <w:szCs w:val="15"/>
          <w:color w:val="auto"/>
        </w:rPr>
        <w:t>its risk under the Addendum,</w:t>
      </w:r>
    </w:p>
    <w:p>
      <w:pPr>
        <w:spacing w:after="0" w:line="199" w:lineRule="exact"/>
        <w:rPr>
          <w:sz w:val="20"/>
          <w:szCs w:val="20"/>
          <w:color w:val="auto"/>
        </w:rPr>
      </w:pPr>
    </w:p>
    <w:p>
      <w:pPr>
        <w:jc w:val="both"/>
        <w:ind w:left="720" w:right="199"/>
        <w:spacing w:after="0" w:line="286" w:lineRule="auto"/>
        <w:rPr>
          <w:sz w:val="20"/>
          <w:szCs w:val="20"/>
          <w:color w:val="auto"/>
        </w:rPr>
      </w:pPr>
      <w:r>
        <w:rPr>
          <w:rFonts w:ascii="Times New Roman" w:cs="Times New Roman" w:eastAsia="Times New Roman" w:hAnsi="Times New Roman"/>
          <w:sz w:val="15"/>
          <w:szCs w:val="15"/>
          <w:color w:val="auto"/>
        </w:rPr>
        <w:t>and in either case it has first taken reasonable steps to reduce those costs or risks so that it is not substantial and disproportionate, then that Party may end this Addendum at the end of a reasonable notice period, by providing written notice for that period to the other Party before the start date of the revised Approved Addendum.</w:t>
      </w:r>
    </w:p>
    <w:p>
      <w:pPr>
        <w:spacing w:after="0" w:line="160" w:lineRule="exact"/>
        <w:rPr>
          <w:sz w:val="20"/>
          <w:szCs w:val="20"/>
          <w:color w:val="auto"/>
        </w:rPr>
      </w:pPr>
    </w:p>
    <w:p>
      <w:pPr>
        <w:ind w:left="620" w:right="219" w:hanging="328"/>
        <w:spacing w:after="0" w:line="298" w:lineRule="auto"/>
        <w:tabs>
          <w:tab w:leader="none" w:pos="62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do not need the consent of any third party to make changes to this Addendum, but any changes must be made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828675</wp:posOffset>
            </wp:positionV>
            <wp:extent cx="5476240"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476240" cy="13970"/>
                    </a:xfrm>
                    <a:prstGeom prst="rect">
                      <a:avLst/>
                    </a:prstGeom>
                    <a:noFill/>
                  </pic:spPr>
                </pic:pic>
              </a:graphicData>
            </a:graphic>
          </wp:anchor>
        </w:drawing>
      </w:r>
    </w:p>
    <w:p>
      <w:pPr>
        <w:sectPr>
          <w:pgSz w:w="11900" w:h="16838" w:orient="portrait"/>
          <w:cols w:equalWidth="0" w:num="1">
            <w:col w:w="9019"/>
          </w:cols>
          <w:pgMar w:left="1440" w:top="1086"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503555</wp:posOffset>
            </wp:positionV>
            <wp:extent cx="547624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275" w:right="144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503555</wp:posOffset>
            </wp:positionV>
            <wp:extent cx="547624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275" w:right="1440"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503555</wp:posOffset>
            </wp:positionV>
            <wp:extent cx="547624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476240" cy="20955"/>
                    </a:xfrm>
                    <a:prstGeom prst="rect">
                      <a:avLst/>
                    </a:prstGeom>
                    <a:noFill/>
                  </pic:spPr>
                </pic:pic>
              </a:graphicData>
            </a:graphic>
          </wp:anchor>
        </w:drawing>
      </w:r>
    </w:p>
    <w:p>
      <w:pPr>
        <w:sectPr>
          <w:pgSz w:w="11900" w:h="16838" w:orient="portrait"/>
          <w:cols w:equalWidth="0" w:num="1">
            <w:col w:w="9019"/>
          </w:cols>
          <w:pgMar w:left="1440" w:top="1078" w:right="1440" w:bottom="1440" w:gutter="0" w:footer="0" w:header="0"/>
        </w:sectPr>
      </w:pPr>
    </w:p>
    <w:bookmarkStart w:id="143" w:name="page144"/>
    <w:bookmarkEnd w:id="143"/>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w w:val="95"/>
              </w:rPr>
              <w:t>Exhibit 99.1</w:t>
            </w:r>
          </w:p>
        </w:tc>
        <w:tc>
          <w:tcPr>
            <w:tcW w:w="0" w:type="dxa"/>
            <w:vAlign w:val="bottom"/>
          </w:tcPr>
          <w:p>
            <w:pPr>
              <w:spacing w:after="0"/>
              <w:rPr>
                <w:sz w:val="1"/>
                <w:szCs w:val="1"/>
                <w:color w:val="auto"/>
              </w:rPr>
            </w:pPr>
          </w:p>
        </w:tc>
      </w:tr>
      <w:tr>
        <w:trPr>
          <w:trHeight w:val="333"/>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(Unaudited)</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940" w:type="dxa"/>
            <w:vAlign w:val="bottom"/>
          </w:tcPr>
          <w:p>
            <w:pPr>
              <w:spacing w:after="0"/>
              <w:rPr>
                <w:sz w:val="7"/>
                <w:szCs w:val="7"/>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1220" w:type="dxa"/>
            <w:vAlign w:val="bottom"/>
            <w:gridSpan w:val="3"/>
          </w:tcPr>
          <w:p>
            <w:pPr>
              <w:ind w:left="260"/>
              <w:spacing w:after="0" w:line="92" w:lineRule="exact"/>
              <w:rPr>
                <w:sz w:val="20"/>
                <w:szCs w:val="20"/>
                <w:color w:val="auto"/>
              </w:rPr>
            </w:pPr>
            <w:r>
              <w:rPr>
                <w:rFonts w:ascii="Times New Roman" w:cs="Times New Roman" w:eastAsia="Times New Roman" w:hAnsi="Times New Roman"/>
                <w:sz w:val="9"/>
                <w:szCs w:val="9"/>
                <w:b w:val="1"/>
                <w:bCs w:val="1"/>
                <w:color w:val="auto"/>
              </w:rPr>
              <w:t>June 30,</w:t>
            </w:r>
          </w:p>
        </w:tc>
        <w:tc>
          <w:tcPr>
            <w:tcW w:w="880" w:type="dxa"/>
            <w:vAlign w:val="bottom"/>
          </w:tcPr>
          <w:p>
            <w:pPr>
              <w:jc w:val="right"/>
              <w:ind w:right="68"/>
              <w:spacing w:after="0" w:line="92"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tcPr>
          <w:p>
            <w:pPr>
              <w:jc w:val="right"/>
              <w:ind w:right="289"/>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5</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2,926</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6</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8</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50,416</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Long-term financial assets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79"/>
              </w:rPr>
              <w:t>6</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56,992</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57,661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9</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income</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receivables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20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Short-term financial assets</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123,560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2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51,564</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6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180,543</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125,153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237,535</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182,814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Shareholders' equity and liabilities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Share capital</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premium</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476,074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474,907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Treasury shares</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(218)</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 translation differences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losses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(354,608)</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(316,197)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123,425</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160,643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Long-term deferred contract revenue</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3</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lease liabilities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6</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employee defined benefit liabilities</w:t>
            </w:r>
          </w:p>
        </w:tc>
        <w:tc>
          <w:tcPr>
            <w:tcW w:w="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13,580</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5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Trade and other payables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7</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Short-term deferred income</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deferred contract revenue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3</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86,468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Short-term lease liabilities</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79"/>
              </w:rPr>
              <w:t>6</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100,530</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13,576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6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114,110</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22,171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9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shareholders’ equity and liabilities</w:t>
            </w: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237,535</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182,814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400050</wp:posOffset>
            </wp:positionV>
            <wp:extent cx="567118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Income/(Loss) (Unaudited)</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 CHF thousands except for per share data)</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7"/>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the Six Months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Note</w:t>
            </w:r>
          </w:p>
        </w:tc>
        <w:tc>
          <w:tcPr>
            <w:tcW w:w="20" w:type="dxa"/>
            <w:vAlign w:val="bottom"/>
          </w:tcPr>
          <w:p>
            <w:pPr>
              <w:spacing w:after="0"/>
              <w:rPr>
                <w:sz w:val="12"/>
                <w:szCs w:val="12"/>
                <w:color w:val="auto"/>
              </w:rPr>
            </w:pPr>
          </w:p>
        </w:tc>
        <w:tc>
          <w:tcPr>
            <w:tcW w:w="1680" w:type="dxa"/>
            <w:vAlign w:val="bottom"/>
            <w:gridSpan w:val="7"/>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156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80" w:type="dxa"/>
            <w:vAlign w:val="bottom"/>
            <w:tcBorders>
              <w:top w:val="single" w:sz="8" w:color="auto"/>
            </w:tcBorders>
            <w:gridSpan w:val="2"/>
          </w:tcPr>
          <w:p>
            <w:pPr>
              <w:jc w:val="right"/>
              <w:ind w:right="154"/>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ind w:right="167"/>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jc w:val="right"/>
              <w:ind w:right="151"/>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48"/>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Revenue</w:t>
            </w: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Contract revenue</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revenue</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Research &amp; development expenses</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(17,138)</w:t>
            </w:r>
          </w:p>
        </w:tc>
        <w:tc>
          <w:tcPr>
            <w:tcW w:w="160" w:type="dxa"/>
            <w:vAlign w:val="bottom"/>
          </w:tcPr>
          <w:p>
            <w:pPr>
              <w:spacing w:after="0"/>
              <w:rPr>
                <w:sz w:val="15"/>
                <w:szCs w:val="15"/>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(13,682)</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(32,303)</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&amp; administrative expenses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(4,551)</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(3,681)</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(9,522)</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operating income/(expense), net</w:t>
            </w:r>
          </w:p>
        </w:tc>
        <w:tc>
          <w:tcPr>
            <w:tcW w:w="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5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(21,648)</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(17,046)</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(41,716)</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(34,617)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5"/>
                <w:szCs w:val="15"/>
                <w:color w:val="auto"/>
              </w:rPr>
              <w:t>(20,961)</w:t>
            </w: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5"/>
                <w:szCs w:val="15"/>
                <w:color w:val="auto"/>
              </w:rPr>
              <w:t>(17,046)</w:t>
            </w:r>
          </w:p>
        </w:tc>
        <w:tc>
          <w:tcPr>
            <w:tcW w:w="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(41,029)</w:t>
            </w:r>
          </w:p>
        </w:tc>
        <w:tc>
          <w:tcPr>
            <w:tcW w:w="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Times New Roman" w:cs="Times New Roman" w:eastAsia="Times New Roman" w:hAnsi="Times New Roman"/>
                <w:sz w:val="15"/>
                <w:szCs w:val="15"/>
                <w:color w:val="auto"/>
              </w:rPr>
              <w:t>(34,617)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9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Financial income</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expense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Exchange differences, net</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(2,504)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(891)</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Finance result, net</w:t>
            </w:r>
          </w:p>
        </w:tc>
        <w:tc>
          <w:tcPr>
            <w:tcW w:w="5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(1,799)</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216</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407</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before tax</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(22,760)</w:t>
            </w:r>
          </w:p>
        </w:tc>
        <w:tc>
          <w:tcPr>
            <w:tcW w:w="1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(16,830)</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(40,622)</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color w:val="auto"/>
              </w:rPr>
              <w:t>Income tax expense</w:t>
            </w: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Loss for the period</w:t>
            </w:r>
          </w:p>
        </w:tc>
        <w:tc>
          <w:tcPr>
            <w:tcW w:w="5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(22,760)</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(16,833)</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(40,622)</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(34,346)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per share: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Basic and diluted loss per share for the period attributable to equity holders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(0.23)</w:t>
            </w:r>
          </w:p>
        </w:tc>
        <w:tc>
          <w:tcPr>
            <w:tcW w:w="160" w:type="dxa"/>
            <w:vAlign w:val="bottom"/>
          </w:tcPr>
          <w:p>
            <w:pPr>
              <w:spacing w:after="0"/>
              <w:rPr>
                <w:sz w:val="16"/>
                <w:szCs w:val="16"/>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(0.20)</w:t>
            </w: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(0.41)</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56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Income/(Loss) (Unaudited)</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the Six Months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Note</w:t>
            </w:r>
          </w:p>
        </w:tc>
        <w:tc>
          <w:tcPr>
            <w:tcW w:w="20" w:type="dxa"/>
            <w:vAlign w:val="bottom"/>
          </w:tcPr>
          <w:p>
            <w:pPr>
              <w:spacing w:after="0"/>
              <w:rPr>
                <w:sz w:val="12"/>
                <w:szCs w:val="12"/>
                <w:color w:val="auto"/>
              </w:rPr>
            </w:pPr>
          </w:p>
        </w:tc>
        <w:tc>
          <w:tcPr>
            <w:tcW w:w="1680" w:type="dxa"/>
            <w:vAlign w:val="bottom"/>
            <w:gridSpan w:val="7"/>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Ended June 30,</w:t>
            </w:r>
          </w:p>
        </w:tc>
        <w:tc>
          <w:tcPr>
            <w:tcW w:w="156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jc w:val="right"/>
              <w:ind w:right="134"/>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ind w:right="147"/>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jc w:val="right"/>
              <w:ind w:right="151"/>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48"/>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Loss for the period</w:t>
            </w:r>
          </w:p>
        </w:tc>
        <w:tc>
          <w:tcPr>
            <w:tcW w:w="5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(22,760)</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(16,833)</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(40,622)</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(34,346)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5"/>
                <w:szCs w:val="15"/>
                <w:color w:val="auto"/>
              </w:rPr>
              <w:t>Items that will be reclassified to income or loss in subsequent periods (net of tax):</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 translation differences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Items that will not to be reclassified to income or loss in subsequent periods (net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 tax):</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Remeasurement gains on defined-benefit plans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98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comprehensive loss (net of tax)</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(22,760)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(16,841)</w:t>
            </w:r>
          </w:p>
        </w:tc>
        <w:tc>
          <w:tcPr>
            <w:tcW w:w="140" w:type="dxa"/>
            <w:vAlign w:val="bottom"/>
          </w:tcPr>
          <w:p>
            <w:pPr>
              <w:spacing w:after="0"/>
              <w:rPr>
                <w:sz w:val="14"/>
                <w:szCs w:val="14"/>
                <w:color w:val="auto"/>
              </w:rPr>
            </w:pPr>
          </w:p>
        </w:tc>
        <w:tc>
          <w:tcPr>
            <w:tcW w:w="70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(40,606)</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(34,362)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Equity (Unaudited)</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 CHF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Share</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2"/>
              </w:rPr>
              <w:t>Treasury</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Currency</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560" w:type="dxa"/>
            <w:vAlign w:val="bottom"/>
          </w:tcPr>
          <w:p>
            <w:pPr>
              <w:spacing w:after="0"/>
              <w:rPr>
                <w:sz w:val="10"/>
                <w:szCs w:val="10"/>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6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translation</w:t>
            </w: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35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0"/>
              </w:rPr>
              <w:t>losses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differences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5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as of January 1, 2023</w:t>
            </w:r>
          </w:p>
        </w:tc>
        <w:tc>
          <w:tcPr>
            <w:tcW w:w="3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1,797</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431,323</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(124)</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(264,015)</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168,991</w:t>
            </w:r>
          </w:p>
        </w:tc>
        <w:tc>
          <w:tcPr>
            <w:tcW w:w="0" w:type="dxa"/>
            <w:vAlign w:val="bottom"/>
          </w:tcPr>
          <w:p>
            <w:pPr>
              <w:spacing w:after="0"/>
              <w:rPr>
                <w:sz w:val="1"/>
                <w:szCs w:val="1"/>
                <w:color w:val="auto"/>
              </w:rPr>
            </w:pPr>
          </w:p>
        </w:tc>
      </w:tr>
      <w:tr>
        <w:trPr>
          <w:trHeight w:val="166"/>
        </w:trPr>
        <w:tc>
          <w:tcPr>
            <w:tcW w:w="400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Net loss for the period</w:t>
            </w:r>
          </w:p>
        </w:tc>
        <w:tc>
          <w:tcPr>
            <w:tcW w:w="5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(34,346)</w:t>
            </w:r>
          </w:p>
        </w:tc>
        <w:tc>
          <w:tcPr>
            <w:tcW w:w="14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(34,346)</w:t>
            </w:r>
          </w:p>
        </w:tc>
        <w:tc>
          <w:tcPr>
            <w:tcW w:w="0" w:type="dxa"/>
            <w:vAlign w:val="bottom"/>
          </w:tcPr>
          <w:p>
            <w:pPr>
              <w:spacing w:after="0"/>
              <w:rPr>
                <w:sz w:val="1"/>
                <w:szCs w:val="1"/>
                <w:color w:val="auto"/>
              </w:rPr>
            </w:pPr>
          </w:p>
        </w:tc>
      </w:tr>
      <w:tr>
        <w:trPr>
          <w:trHeight w:val="175"/>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66"/>
        </w:trPr>
        <w:tc>
          <w:tcPr>
            <w:tcW w:w="4000" w:type="dxa"/>
            <w:vAlign w:val="bottom"/>
            <w:tcBorders>
              <w:bottom w:val="single" w:sz="8" w:color="CCEEFF"/>
            </w:tcBorders>
            <w:gridSpan w:val="3"/>
          </w:tcPr>
          <w:p>
            <w:pPr>
              <w:spacing w:after="0" w:line="167" w:lineRule="exact"/>
              <w:rPr>
                <w:sz w:val="20"/>
                <w:szCs w:val="20"/>
                <w:color w:val="auto"/>
              </w:rPr>
            </w:pPr>
            <w:r>
              <w:rPr>
                <w:rFonts w:ascii="Times New Roman" w:cs="Times New Roman" w:eastAsia="Times New Roman" w:hAnsi="Times New Roman"/>
                <w:sz w:val="15"/>
                <w:szCs w:val="15"/>
                <w:color w:val="auto"/>
              </w:rPr>
              <w:t>Total comprehensive loss</w:t>
            </w:r>
          </w:p>
        </w:tc>
        <w:tc>
          <w:tcPr>
            <w:tcW w:w="5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(34,346)</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(16)</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(34,362)</w:t>
            </w:r>
          </w:p>
        </w:tc>
        <w:tc>
          <w:tcPr>
            <w:tcW w:w="0" w:type="dxa"/>
            <w:vAlign w:val="bottom"/>
          </w:tcPr>
          <w:p>
            <w:pPr>
              <w:spacing w:after="0"/>
              <w:rPr>
                <w:sz w:val="1"/>
                <w:szCs w:val="1"/>
                <w:color w:val="auto"/>
              </w:rPr>
            </w:pPr>
          </w:p>
        </w:tc>
      </w:tr>
      <w:tr>
        <w:trPr>
          <w:trHeight w:val="166"/>
        </w:trPr>
        <w:tc>
          <w:tcPr>
            <w:tcW w:w="3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Share-based payments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2,701</w:t>
            </w:r>
          </w:p>
        </w:tc>
        <w:tc>
          <w:tcPr>
            <w:tcW w:w="1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2,701</w:t>
            </w:r>
          </w:p>
        </w:tc>
        <w:tc>
          <w:tcPr>
            <w:tcW w:w="0" w:type="dxa"/>
            <w:vAlign w:val="bottom"/>
          </w:tcPr>
          <w:p>
            <w:pPr>
              <w:spacing w:after="0"/>
              <w:rPr>
                <w:sz w:val="1"/>
                <w:szCs w:val="1"/>
                <w:color w:val="auto"/>
              </w:rPr>
            </w:pPr>
          </w:p>
        </w:tc>
      </w:tr>
      <w:tr>
        <w:trPr>
          <w:trHeight w:val="160"/>
        </w:trPr>
        <w:tc>
          <w:tcPr>
            <w:tcW w:w="400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Proceeds from sale of treasury shares in public offerings,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of underwriting fees and transaction costs</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1,997</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2,011</w:t>
            </w:r>
          </w:p>
        </w:tc>
        <w:tc>
          <w:tcPr>
            <w:tcW w:w="0" w:type="dxa"/>
            <w:vAlign w:val="bottom"/>
          </w:tcPr>
          <w:p>
            <w:pPr>
              <w:spacing w:after="0"/>
              <w:rPr>
                <w:sz w:val="1"/>
                <w:szCs w:val="1"/>
                <w:color w:val="auto"/>
              </w:rPr>
            </w:pPr>
          </w:p>
        </w:tc>
      </w:tr>
      <w:tr>
        <w:trPr>
          <w:trHeight w:val="175"/>
        </w:trPr>
        <w:tc>
          <w:tcPr>
            <w:tcW w:w="40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Issuance of shares, net of transaction costs: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restricted share awards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(395)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75"/>
        </w:trPr>
        <w:tc>
          <w:tcPr>
            <w:tcW w:w="40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exercise of options</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66"/>
        </w:trPr>
        <w:tc>
          <w:tcPr>
            <w:tcW w:w="4000" w:type="dxa"/>
            <w:vAlign w:val="bottom"/>
            <w:tcBorders>
              <w:top w:val="single" w:sz="8" w:color="CCEEFF"/>
              <w:bottom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as of June 30, 2023</w:t>
            </w:r>
          </w:p>
        </w:tc>
        <w:tc>
          <w:tcPr>
            <w:tcW w:w="5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1,800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433,699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(296,055)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139,328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Share</w:t>
            </w: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2"/>
              </w:rPr>
              <w:t>Treasury</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Currency</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560" w:type="dxa"/>
            <w:vAlign w:val="bottom"/>
          </w:tcPr>
          <w:p>
            <w:pPr>
              <w:spacing w:after="0"/>
              <w:rPr>
                <w:sz w:val="10"/>
                <w:szCs w:val="10"/>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6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translation</w:t>
            </w: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356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premium</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losses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differences</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0</wp:posOffset>
            </wp:positionV>
            <wp:extent cx="5671185" cy="1181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671185" cy="1181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p>
      <w:pPr>
        <w:ind w:left="40"/>
        <w:spacing w:after="0"/>
        <w:rPr>
          <w:sz w:val="20"/>
          <w:szCs w:val="20"/>
          <w:color w:val="auto"/>
        </w:rPr>
      </w:pPr>
      <w:r>
        <w:rPr>
          <w:rFonts w:ascii="Times New Roman" w:cs="Times New Roman" w:eastAsia="Times New Roman" w:hAnsi="Times New Roman"/>
          <w:sz w:val="15"/>
          <w:szCs w:val="15"/>
          <w:b w:val="1"/>
          <w:bCs w:val="1"/>
          <w:color w:val="auto"/>
        </w:rPr>
        <w:t>Balance as of January 1, 2024</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Net loss for the period</w:t>
      </w:r>
    </w:p>
    <w:p>
      <w:pPr>
        <w:spacing w:after="0" w:line="14" w:lineRule="exact"/>
        <w:rPr>
          <w:sz w:val="20"/>
          <w:szCs w:val="20"/>
          <w:color w:val="auto"/>
        </w:rPr>
      </w:pPr>
    </w:p>
    <w:p>
      <w:pPr>
        <w:ind w:left="40" w:right="1280"/>
        <w:spacing w:after="0" w:line="282" w:lineRule="auto"/>
        <w:rPr>
          <w:sz w:val="20"/>
          <w:szCs w:val="20"/>
          <w:color w:val="auto"/>
        </w:rPr>
      </w:pPr>
      <w:r>
        <w:rPr>
          <w:rFonts w:ascii="Times New Roman" w:cs="Times New Roman" w:eastAsia="Times New Roman" w:hAnsi="Times New Roman"/>
          <w:sz w:val="14"/>
          <w:szCs w:val="14"/>
          <w:color w:val="auto"/>
        </w:rPr>
        <w:t>Other comprehensive income Total comprehensive income/(loss)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Share-based payments</w:t>
      </w:r>
    </w:p>
    <w:p>
      <w:pPr>
        <w:spacing w:after="0" w:line="17" w:lineRule="exact"/>
        <w:rPr>
          <w:sz w:val="20"/>
          <w:szCs w:val="20"/>
          <w:color w:val="auto"/>
        </w:rPr>
      </w:pPr>
    </w:p>
    <w:p>
      <w:pPr>
        <w:ind w:left="40"/>
        <w:spacing w:after="0" w:line="243" w:lineRule="auto"/>
        <w:rPr>
          <w:sz w:val="20"/>
          <w:szCs w:val="20"/>
          <w:color w:val="auto"/>
        </w:rPr>
      </w:pPr>
      <w:r>
        <w:rPr>
          <w:rFonts w:ascii="Times New Roman" w:cs="Times New Roman" w:eastAsia="Times New Roman" w:hAnsi="Times New Roman"/>
          <w:sz w:val="15"/>
          <w:szCs w:val="15"/>
          <w:color w:val="auto"/>
        </w:rPr>
        <w:t>Proceeds from sale of treasury shares in public offerings, net of underwriting fees and transaction costs Issuance of shares to be held as treasury shares Issuance of shares, net of transaction costs:</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restricted share awards</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exercise of options</w:t>
      </w:r>
    </w:p>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2,089</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474,907</w:t>
            </w:r>
          </w:p>
        </w:tc>
        <w:tc>
          <w:tcPr>
            <w:tcW w:w="1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(105)</w:t>
            </w:r>
          </w:p>
        </w:tc>
        <w:tc>
          <w:tcPr>
            <w:tcW w:w="1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(316,197)</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(51)</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160,643</w:t>
            </w:r>
          </w:p>
        </w:tc>
      </w:tr>
      <w:tr>
        <w:trPr>
          <w:trHeight w:val="151"/>
        </w:trPr>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(40,622)</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color w:val="auto"/>
              </w:rPr>
              <w:t>(40,622)</w:t>
            </w:r>
          </w:p>
        </w:tc>
      </w:tr>
      <w:tr>
        <w:trPr>
          <w:trHeight w:val="190"/>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66"/>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(40,622)</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16</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(40,606)</w:t>
            </w:r>
          </w:p>
        </w:tc>
      </w:tr>
      <w:tr>
        <w:trPr>
          <w:trHeight w:val="341"/>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3,277</w:t>
            </w: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3,277</w:t>
            </w:r>
          </w:p>
        </w:tc>
      </w:tr>
      <w:tr>
        <w:trPr>
          <w:trHeight w:val="263"/>
        </w:trPr>
        <w:tc>
          <w:tcPr>
            <w:tcW w:w="3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263"/>
        </w:trPr>
        <w:tc>
          <w:tcPr>
            <w:tcW w:w="3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6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35"/>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(1,066)</w:t>
            </w: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190"/>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166"/>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2,212</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476,074</w:t>
            </w:r>
          </w:p>
        </w:tc>
        <w:tc>
          <w:tcPr>
            <w:tcW w:w="1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(218)</w:t>
            </w:r>
          </w:p>
        </w:tc>
        <w:tc>
          <w:tcPr>
            <w:tcW w:w="1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(354,608)</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(35)</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123,425</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-1264285</wp:posOffset>
            </wp:positionV>
            <wp:extent cx="5671185"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671185" cy="11112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-1035050</wp:posOffset>
            </wp:positionV>
            <wp:extent cx="5671185" cy="1181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671185" cy="11811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-805815</wp:posOffset>
            </wp:positionV>
            <wp:extent cx="5671185" cy="2222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671185" cy="22225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-471805</wp:posOffset>
            </wp:positionV>
            <wp:extent cx="5671185"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671185" cy="11112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-249555</wp:posOffset>
            </wp:positionV>
            <wp:extent cx="5671185" cy="111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671185" cy="11112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360" w:space="240"/>
            <w:col w:w="5419"/>
          </w:cols>
          <w:pgMar w:left="1440" w:top="123"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4"/>
          <w:szCs w:val="14"/>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146" w:name="page147"/>
    <w:bookmarkEnd w:id="146"/>
    <w:p>
      <w:pPr>
        <w:ind w:left="4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 CHF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4"/>
          </w:tcPr>
          <w:p>
            <w:pPr>
              <w:jc w:val="right"/>
              <w:ind w:right="409"/>
              <w:spacing w:after="0"/>
              <w:rPr>
                <w:sz w:val="20"/>
                <w:szCs w:val="20"/>
                <w:color w:val="auto"/>
              </w:rPr>
            </w:pPr>
            <w:r>
              <w:rPr>
                <w:rFonts w:ascii="Times New Roman" w:cs="Times New Roman" w:eastAsia="Times New Roman" w:hAnsi="Times New Roman"/>
                <w:sz w:val="10"/>
                <w:szCs w:val="10"/>
                <w:b w:val="1"/>
                <w:bCs w:val="1"/>
                <w:color w:val="auto"/>
              </w:rPr>
              <w:t>For the Six Months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Note</w:t>
            </w:r>
          </w:p>
        </w:tc>
        <w:tc>
          <w:tcPr>
            <w:tcW w:w="12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Ended June 30,</w:t>
            </w: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tcPr>
          <w:p>
            <w:pPr>
              <w:jc w:val="right"/>
              <w:ind w:right="229"/>
              <w:spacing w:after="0" w:line="101"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jc w:val="right"/>
              <w:ind w:right="249"/>
              <w:spacing w:after="0" w:line="101"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4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Operating activities</w:t>
            </w:r>
          </w:p>
        </w:tc>
        <w:tc>
          <w:tcPr>
            <w:tcW w:w="6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Loss for the period</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(40,622)</w:t>
            </w: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(34,346)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Adjustments to reconcile net loss for the period to net cash flows:</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Depreciation of property, plant and equipment</w:t>
            </w:r>
          </w:p>
        </w:tc>
        <w:tc>
          <w:tcPr>
            <w:tcW w:w="6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color w:val="auto"/>
              </w:rPr>
              <w:t>5</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767</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842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Depreciation of right-of-use assets</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rPr>
              <w:t>6</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337</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269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Finance (income), net</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110</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(132)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Share-based compensation expense</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3,277</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2,701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Change in net employee defined benefit liability</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98</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558</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68</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125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Changes in working capital:</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(Increase)/decrease in prepaid expenses</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rPr>
              <w:t>9</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2,574</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(471)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(Increase)/decrease in accrued income</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(156)</w:t>
            </w: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(267)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(Increase)/decrease in accounts receivable</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w w:val="99"/>
              </w:rPr>
              <w:t>11</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14,800</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(Increase)/decrease in other current receivables</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(510)</w:t>
            </w: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89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(Decrease)/increase in accrued expenses</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rPr>
              <w:t>7</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1,328</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(633)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(Decrease)/increase in deferred contract revenue, short-term</w:t>
            </w:r>
          </w:p>
        </w:tc>
        <w:tc>
          <w:tcPr>
            <w:tcW w:w="6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color w:val="auto"/>
              </w:rPr>
              <w:t>3</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86,468</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(Decrease)/increase in deferred income</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(93)</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(157)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(Decrease)/increase in trade and other payables</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(246)</w:t>
            </w: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433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(Decrease)/increase in deferred contract revenue, long-term</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rPr>
              <w:t>3</w:t>
            </w:r>
          </w:p>
        </w:tc>
        <w:tc>
          <w:tcPr>
            <w:tcW w:w="16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5,170</w:t>
            </w:r>
          </w:p>
        </w:tc>
        <w:tc>
          <w:tcPr>
            <w:tcW w:w="16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4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Cash from/(used in) operating activities</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73,370</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(30,989)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Interest received</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749</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197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Interest paid</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(60)</w:t>
            </w: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Finance expenses paid</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(8)</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40"/>
        </w:trPr>
        <w:tc>
          <w:tcPr>
            <w:tcW w:w="636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cash flows from/(used in) operating activities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74,051</w:t>
            </w: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(30,917)</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Investing activities</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Short-term financial assets, net</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w w:val="99"/>
              </w:rPr>
              <w:t>10</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(99,006)</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38,000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Purchases of property, plant and equipment</w:t>
            </w:r>
          </w:p>
        </w:tc>
        <w:tc>
          <w:tcPr>
            <w:tcW w:w="640" w:type="dxa"/>
            <w:vAlign w:val="bottom"/>
          </w:tcPr>
          <w:p>
            <w:pPr>
              <w:jc w:val="center"/>
              <w:spacing w:after="0" w:line="110" w:lineRule="exact"/>
              <w:rPr>
                <w:sz w:val="20"/>
                <w:szCs w:val="20"/>
                <w:color w:val="auto"/>
              </w:rPr>
            </w:pPr>
            <w:r>
              <w:rPr>
                <w:rFonts w:ascii="Times New Roman" w:cs="Times New Roman" w:eastAsia="Times New Roman" w:hAnsi="Times New Roman"/>
                <w:sz w:val="10"/>
                <w:szCs w:val="10"/>
                <w:color w:val="auto"/>
              </w:rPr>
              <w:t>5</w:t>
            </w: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(317)</w:t>
            </w: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(355)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Rental deposits</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rPr>
              <w:t>6</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(54)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636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cash flows (used in)/provided by investing activities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(99,377)</w:t>
            </w: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37,645</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Financing activities</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Proceeds from sale of treasury shares in public offerings, net of underwriting fees and transaction costs</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w w:val="99"/>
              </w:rPr>
              <w:t>12</w:t>
            </w: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131</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2,057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Proceeds from issuance of common shares – equity plan, net of transaction costs</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6</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Transaction costs and stamp duty associated with the public offerings of common shares previously recorded in Accrued expenses</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(521)</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Transaction costs associated with the sale of treasury shares in public offering previously recorded in Accrued expenses</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(26)</w:t>
            </w: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Principal payments of lease obligations</w:t>
            </w:r>
          </w:p>
        </w:tc>
        <w:tc>
          <w:tcPr>
            <w:tcW w:w="6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0"/>
                <w:szCs w:val="10"/>
                <w:color w:val="auto"/>
              </w:rPr>
              <w:t>6</w:t>
            </w: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(340)</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40"/>
        </w:trPr>
        <w:tc>
          <w:tcPr>
            <w:tcW w:w="636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cash flows provided by/(used in) financing activities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(750)</w:t>
            </w: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1,774</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Net increase/(decrease) in cash and cash equivalents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(26,076)</w:t>
            </w:r>
          </w:p>
        </w:tc>
        <w:tc>
          <w:tcPr>
            <w:tcW w:w="300" w:type="dxa"/>
            <w:vAlign w:val="bottom"/>
          </w:tcPr>
          <w:p>
            <w:pPr>
              <w:spacing w:after="0"/>
              <w:rPr>
                <w:sz w:val="12"/>
                <w:szCs w:val="12"/>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8,502</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6340" w:type="dxa"/>
            <w:vAlign w:val="bottom"/>
          </w:tcPr>
          <w:p>
            <w:pPr>
              <w:spacing w:after="0" w:line="110" w:lineRule="exact"/>
              <w:rPr>
                <w:sz w:val="20"/>
                <w:szCs w:val="20"/>
                <w:color w:val="auto"/>
              </w:rPr>
            </w:pPr>
            <w:r>
              <w:rPr>
                <w:rFonts w:ascii="Times New Roman" w:cs="Times New Roman" w:eastAsia="Times New Roman" w:hAnsi="Times New Roman"/>
                <w:sz w:val="10"/>
                <w:szCs w:val="10"/>
                <w:color w:val="auto"/>
              </w:rPr>
              <w:t>Cash and cash equivalents at January 1</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78,494</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31,586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Exchange (loss)/gain on cash and cash equivalents</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auto"/>
              </w:rPr>
              <w:t>(854)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(81)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340" w:type="dxa"/>
            <w:vAlign w:val="bottom"/>
            <w:tcBorders>
              <w:bottom w:val="single" w:sz="8" w:color="CCEEFF"/>
            </w:tcBorders>
          </w:tcPr>
          <w:p>
            <w:pPr>
              <w:spacing w:after="0" w:line="110" w:lineRule="exact"/>
              <w:rPr>
                <w:sz w:val="20"/>
                <w:szCs w:val="20"/>
                <w:color w:val="auto"/>
              </w:rPr>
            </w:pPr>
            <w:r>
              <w:rPr>
                <w:rFonts w:ascii="Times New Roman" w:cs="Times New Roman" w:eastAsia="Times New Roman" w:hAnsi="Times New Roman"/>
                <w:sz w:val="10"/>
                <w:szCs w:val="10"/>
                <w:color w:val="auto"/>
              </w:rPr>
              <w:t>Cash and cash equivalents at June 30</w:t>
            </w:r>
          </w:p>
        </w:tc>
        <w:tc>
          <w:tcPr>
            <w:tcW w:w="64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51,564</w:t>
            </w:r>
          </w:p>
        </w:tc>
        <w:tc>
          <w:tcPr>
            <w:tcW w:w="1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40,007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34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increase/(decrease) in cash and cash equivalents</w:t>
            </w:r>
          </w:p>
        </w:tc>
        <w:tc>
          <w:tcPr>
            <w:tcW w:w="6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(26,076)</w:t>
            </w:r>
          </w:p>
        </w:tc>
        <w:tc>
          <w:tcPr>
            <w:tcW w:w="16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8,502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restart"/>
          </w:tcPr>
          <w:p>
            <w:pPr>
              <w:spacing w:after="0"/>
              <w:rPr>
                <w:sz w:val="7"/>
                <w:szCs w:val="7"/>
                <w:color w:val="auto"/>
              </w:rPr>
            </w:pPr>
          </w:p>
        </w:tc>
        <w:tc>
          <w:tcPr>
            <w:tcW w:w="6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6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Supplemental non-cash activity</w:t>
            </w: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0"/>
                <w:szCs w:val="10"/>
                <w:color w:val="auto"/>
              </w:rPr>
              <w:t>Transaction costs associated with the sale of treasury shares in public offering recorded in Accrued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12</w:t>
            </w: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5"/>
          <w:szCs w:val="15"/>
          <w:b w:val="1"/>
          <w:bCs w:val="1"/>
          <w:color w:val="auto"/>
        </w:rPr>
        <w:t>Notes to the Interim Condensed Consolidated Financial Statements (Unaudited)</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 CHF thousands, except share and per share amounts)</w:t>
      </w:r>
    </w:p>
    <w:p>
      <w:pPr>
        <w:spacing w:after="0" w:line="161" w:lineRule="exact"/>
        <w:rPr>
          <w:sz w:val="20"/>
          <w:szCs w:val="20"/>
          <w:color w:val="auto"/>
        </w:rPr>
      </w:pPr>
    </w:p>
    <w:p>
      <w:pPr>
        <w:ind w:left="300" w:hanging="266"/>
        <w:spacing w:after="0"/>
        <w:tabs>
          <w:tab w:leader="none" w:pos="300" w:val="left"/>
        </w:tabs>
        <w:numPr>
          <w:ilvl w:val="0"/>
          <w:numId w:val="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Corporate information</w:t>
      </w:r>
    </w:p>
    <w:p>
      <w:pPr>
        <w:spacing w:after="0" w:line="180" w:lineRule="exact"/>
        <w:rPr>
          <w:sz w:val="20"/>
          <w:szCs w:val="20"/>
          <w:color w:val="auto"/>
        </w:rPr>
      </w:pPr>
    </w:p>
    <w:p>
      <w:pPr>
        <w:ind w:left="40" w:right="119" w:firstLine="263"/>
        <w:spacing w:after="0" w:line="255" w:lineRule="auto"/>
        <w:rPr>
          <w:sz w:val="20"/>
          <w:szCs w:val="20"/>
          <w:color w:val="auto"/>
        </w:rPr>
      </w:pPr>
      <w:r>
        <w:rPr>
          <w:rFonts w:ascii="Times New Roman" w:cs="Times New Roman" w:eastAsia="Times New Roman" w:hAnsi="Times New Roman"/>
          <w:sz w:val="15"/>
          <w:szCs w:val="15"/>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51" w:lineRule="exact"/>
        <w:rPr>
          <w:sz w:val="20"/>
          <w:szCs w:val="20"/>
          <w:color w:val="auto"/>
        </w:rPr>
      </w:pPr>
    </w:p>
    <w:p>
      <w:pPr>
        <w:ind w:left="40" w:right="59" w:firstLine="263"/>
        <w:spacing w:after="0" w:line="247" w:lineRule="auto"/>
        <w:rPr>
          <w:sz w:val="20"/>
          <w:szCs w:val="20"/>
          <w:color w:val="auto"/>
        </w:rPr>
      </w:pPr>
      <w:r>
        <w:rPr>
          <w:rFonts w:ascii="Times New Roman" w:cs="Times New Roman" w:eastAsia="Times New Roman" w:hAnsi="Times New Roman"/>
          <w:sz w:val="15"/>
          <w:szCs w:val="15"/>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58" w:lineRule="exact"/>
        <w:rPr>
          <w:sz w:val="20"/>
          <w:szCs w:val="20"/>
          <w:color w:val="auto"/>
        </w:rPr>
      </w:pPr>
    </w:p>
    <w:p>
      <w:pPr>
        <w:ind w:left="40" w:right="359" w:firstLine="263"/>
        <w:spacing w:after="0" w:line="267" w:lineRule="auto"/>
        <w:rPr>
          <w:sz w:val="20"/>
          <w:szCs w:val="20"/>
          <w:color w:val="auto"/>
        </w:rPr>
      </w:pPr>
      <w:r>
        <w:rPr>
          <w:rFonts w:ascii="Times New Roman" w:cs="Times New Roman" w:eastAsia="Times New Roman" w:hAnsi="Times New Roman"/>
          <w:sz w:val="15"/>
          <w:szCs w:val="15"/>
          <w:color w:val="auto"/>
        </w:rPr>
        <w:t>The Interim Condensed Consolidated Financial Statements of AC Immune SA as of and for the three and six months ended June 30, 2024 were authorized for issuance by the Company’s Audit and Finance Committee on August 5, 2024.</w:t>
      </w:r>
    </w:p>
    <w:p>
      <w:pPr>
        <w:spacing w:after="0" w:line="140" w:lineRule="exact"/>
        <w:rPr>
          <w:sz w:val="20"/>
          <w:szCs w:val="20"/>
          <w:color w:val="auto"/>
        </w:rPr>
      </w:pPr>
    </w:p>
    <w:p>
      <w:pPr>
        <w:ind w:left="40" w:right="4319" w:hanging="6"/>
        <w:spacing w:after="0" w:line="488" w:lineRule="auto"/>
        <w:tabs>
          <w:tab w:leader="none" w:pos="303" w:val="left"/>
        </w:tabs>
        <w:numPr>
          <w:ilvl w:val="0"/>
          <w:numId w:val="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Basis of preparation and changes to the Company’s accounting policies Statement of compliance</w:t>
      </w:r>
    </w:p>
    <w:p>
      <w:pPr>
        <w:spacing w:after="0" w:line="1" w:lineRule="exact"/>
        <w:rPr>
          <w:sz w:val="20"/>
          <w:szCs w:val="20"/>
          <w:color w:val="auto"/>
        </w:rPr>
      </w:pPr>
    </w:p>
    <w:p>
      <w:pPr>
        <w:ind w:left="40" w:right="119" w:firstLine="263"/>
        <w:spacing w:after="0" w:line="251" w:lineRule="auto"/>
        <w:rPr>
          <w:sz w:val="20"/>
          <w:szCs w:val="20"/>
          <w:color w:val="auto"/>
        </w:rPr>
      </w:pPr>
      <w:r>
        <w:rPr>
          <w:rFonts w:ascii="Times New Roman" w:cs="Times New Roman" w:eastAsia="Times New Roman" w:hAnsi="Times New Roman"/>
          <w:sz w:val="15"/>
          <w:szCs w:val="15"/>
          <w:color w:val="auto"/>
        </w:rPr>
        <w:t xml:space="preserve">These Interim Condensed Consolidated Financial Statements as of June 30, 2024 and for the three and six months ended June 30, 2024 and 2023, have been prepared in accordance with International Accounting Standard 34 (IAS 34), </w:t>
      </w:r>
      <w:r>
        <w:rPr>
          <w:rFonts w:ascii="Times New Roman" w:cs="Times New Roman" w:eastAsia="Times New Roman" w:hAnsi="Times New Roman"/>
          <w:sz w:val="15"/>
          <w:szCs w:val="15"/>
          <w:i w:val="1"/>
          <w:iCs w:val="1"/>
          <w:color w:val="auto"/>
        </w:rPr>
        <w:t>Interim Financial Reporting</w:t>
      </w:r>
      <w:r>
        <w:rPr>
          <w:rFonts w:ascii="Times New Roman" w:cs="Times New Roman" w:eastAsia="Times New Roman" w:hAnsi="Times New Roman"/>
          <w:sz w:val="15"/>
          <w:szCs w:val="15"/>
          <w:color w:val="auto"/>
        </w:rPr>
        <w:t>, as issued by the International Accounting Standards Board (IASB), and such financial information should be read in conjunction with the audited consolidated financial statements in AC Immune’s Annual Report on Form 20-F for the year ended December 31, 2023.</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Basis of measurement</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These Interim Condensed Consolidated Financial Statements have been prepared under the historical cost convention.</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Functional and reporting currency</w:t>
      </w:r>
    </w:p>
    <w:p>
      <w:pPr>
        <w:spacing w:after="0" w:line="182" w:lineRule="exact"/>
        <w:rPr>
          <w:sz w:val="20"/>
          <w:szCs w:val="20"/>
          <w:color w:val="auto"/>
        </w:rPr>
      </w:pPr>
    </w:p>
    <w:p>
      <w:pPr>
        <w:ind w:left="40" w:right="179" w:firstLine="263"/>
        <w:spacing w:after="0" w:line="255" w:lineRule="auto"/>
        <w:rPr>
          <w:sz w:val="20"/>
          <w:szCs w:val="20"/>
          <w:color w:val="auto"/>
        </w:rPr>
      </w:pPr>
      <w:r>
        <w:rPr>
          <w:rFonts w:ascii="Times New Roman" w:cs="Times New Roman" w:eastAsia="Times New Roman" w:hAnsi="Times New Roman"/>
          <w:sz w:val="15"/>
          <w:szCs w:val="15"/>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3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For the</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92"/>
        </w:trPr>
        <w:tc>
          <w:tcPr>
            <w:tcW w:w="34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20" w:type="dxa"/>
            <w:vAlign w:val="bottom"/>
            <w:gridSpan w:val="5"/>
          </w:tcPr>
          <w:p>
            <w:pPr>
              <w:jc w:val="center"/>
              <w:ind w:right="120"/>
              <w:spacing w:after="0" w:line="92" w:lineRule="exact"/>
              <w:rPr>
                <w:sz w:val="20"/>
                <w:szCs w:val="20"/>
                <w:color w:val="auto"/>
              </w:rPr>
            </w:pPr>
            <w:r>
              <w:rPr>
                <w:rFonts w:ascii="Times New Roman" w:cs="Times New Roman" w:eastAsia="Times New Roman" w:hAnsi="Times New Roman"/>
                <w:sz w:val="9"/>
                <w:szCs w:val="9"/>
                <w:b w:val="1"/>
                <w:bCs w:val="1"/>
                <w:color w:val="auto"/>
              </w:rPr>
              <w:t>Three Months Ended</w:t>
            </w:r>
          </w:p>
        </w:tc>
        <w:tc>
          <w:tcPr>
            <w:tcW w:w="1480" w:type="dxa"/>
            <w:vAlign w:val="bottom"/>
            <w:gridSpan w:val="5"/>
          </w:tcPr>
          <w:p>
            <w:pPr>
              <w:ind w:left="220"/>
              <w:spacing w:after="0" w:line="92" w:lineRule="exact"/>
              <w:rPr>
                <w:sz w:val="20"/>
                <w:szCs w:val="20"/>
                <w:color w:val="auto"/>
              </w:rPr>
            </w:pPr>
            <w:r>
              <w:rPr>
                <w:rFonts w:ascii="Times New Roman" w:cs="Times New Roman" w:eastAsia="Times New Roman" w:hAnsi="Times New Roman"/>
                <w:sz w:val="9"/>
                <w:szCs w:val="9"/>
                <w:b w:val="1"/>
                <w:bCs w:val="1"/>
                <w:color w:val="auto"/>
              </w:rPr>
              <w:t>Six Months Ended</w:t>
            </w:r>
          </w:p>
        </w:tc>
        <w:tc>
          <w:tcPr>
            <w:tcW w:w="860" w:type="dxa"/>
            <w:vAlign w:val="bottom"/>
          </w:tcPr>
          <w:p>
            <w:pPr>
              <w:jc w:val="center"/>
              <w:spacing w:after="0" w:line="92" w:lineRule="exact"/>
              <w:rPr>
                <w:sz w:val="20"/>
                <w:szCs w:val="20"/>
                <w:color w:val="auto"/>
              </w:rPr>
            </w:pPr>
            <w:r>
              <w:rPr>
                <w:rFonts w:ascii="Times New Roman" w:cs="Times New Roman" w:eastAsia="Times New Roman" w:hAnsi="Times New Roman"/>
                <w:sz w:val="9"/>
                <w:szCs w:val="9"/>
                <w:b w:val="1"/>
                <w:bCs w:val="1"/>
                <w:color w:val="auto"/>
              </w:rPr>
              <w:t>Year Ended</w:t>
            </w:r>
          </w:p>
        </w:tc>
      </w:tr>
      <w:tr>
        <w:trPr>
          <w:trHeight w:val="140"/>
        </w:trPr>
        <w:tc>
          <w:tcPr>
            <w:tcW w:w="34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 w:type="dxa"/>
            <w:vAlign w:val="bottom"/>
            <w:tcBorders>
              <w:bottom w:val="single" w:sz="8" w:color="auto"/>
            </w:tcBorders>
            <w:gridSpan w:val="3"/>
          </w:tcPr>
          <w:p>
            <w:pPr>
              <w:jc w:val="center"/>
              <w:ind w:left="346"/>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r>
      <w:tr>
        <w:trPr>
          <w:trHeight w:val="111"/>
        </w:trPr>
        <w:tc>
          <w:tcPr>
            <w:tcW w:w="3400" w:type="dxa"/>
            <w:vAlign w:val="bottom"/>
            <w:tcBorders>
              <w:bottom w:val="single" w:sz="8" w:color="CCEEFF"/>
            </w:tcBorders>
          </w:tcPr>
          <w:p>
            <w:pPr>
              <w:spacing w:after="0"/>
              <w:rPr>
                <w:sz w:val="9"/>
                <w:szCs w:val="9"/>
                <w:color w:val="auto"/>
              </w:rPr>
            </w:pPr>
          </w:p>
        </w:tc>
        <w:tc>
          <w:tcPr>
            <w:tcW w:w="1760" w:type="dxa"/>
            <w:vAlign w:val="bottom"/>
            <w:tcBorders>
              <w:bottom w:val="single" w:sz="8" w:color="CCEEFF"/>
            </w:tcBorders>
          </w:tcPr>
          <w:p>
            <w:pPr>
              <w:spacing w:after="0"/>
              <w:rPr>
                <w:sz w:val="9"/>
                <w:szCs w:val="9"/>
                <w:color w:val="auto"/>
              </w:rPr>
            </w:pPr>
          </w:p>
        </w:tc>
        <w:tc>
          <w:tcPr>
            <w:tcW w:w="580" w:type="dxa"/>
            <w:vAlign w:val="bottom"/>
            <w:tcBorders>
              <w:bottom w:val="single" w:sz="8" w:color="auto"/>
            </w:tcBorders>
          </w:tcPr>
          <w:p>
            <w:pPr>
              <w:jc w:val="right"/>
              <w:ind w:right="126"/>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12"/>
              <w:spacing w:after="0" w:line="111"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2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tcPr>
          <w:p>
            <w:pPr>
              <w:ind w:left="180"/>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12"/>
              <w:spacing w:after="0" w:line="111"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4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w w:val="91"/>
              </w:rPr>
              <w:t>2023</w:t>
            </w:r>
          </w:p>
        </w:tc>
      </w:tr>
      <w:tr>
        <w:trPr>
          <w:trHeight w:val="166"/>
        </w:trPr>
        <w:tc>
          <w:tcPr>
            <w:tcW w:w="3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CHF/USD</w:t>
            </w:r>
          </w:p>
        </w:tc>
        <w:tc>
          <w:tcPr>
            <w:tcW w:w="1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5"/>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Closing rate, USD 1</w:t>
            </w:r>
          </w:p>
        </w:tc>
        <w:tc>
          <w:tcPr>
            <w:tcW w:w="23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0.909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0.908</w:t>
            </w:r>
          </w:p>
        </w:tc>
        <w:tc>
          <w:tcPr>
            <w:tcW w:w="120" w:type="dxa"/>
            <w:vAlign w:val="bottom"/>
          </w:tcPr>
          <w:p>
            <w:pPr>
              <w:spacing w:after="0"/>
              <w:rPr>
                <w:sz w:val="15"/>
                <w:szCs w:val="15"/>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0.909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0.908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0.851</w:t>
            </w:r>
          </w:p>
        </w:tc>
      </w:tr>
      <w:tr>
        <w:trPr>
          <w:trHeight w:val="17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exchange rate, USD 1</w:t>
            </w:r>
          </w:p>
        </w:tc>
        <w:tc>
          <w:tcPr>
            <w:tcW w:w="23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0.914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0.908</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0.898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0.921</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0.908</w:t>
            </w:r>
          </w:p>
        </w:tc>
      </w:tr>
      <w:tr>
        <w:trPr>
          <w:trHeight w:val="701"/>
        </w:trPr>
        <w:tc>
          <w:tcPr>
            <w:tcW w:w="3400" w:type="dxa"/>
            <w:vAlign w:val="bottom"/>
          </w:tcPr>
          <w:p>
            <w:pPr>
              <w:spacing w:after="0"/>
              <w:rPr>
                <w:sz w:val="24"/>
                <w:szCs w:val="24"/>
                <w:color w:val="auto"/>
              </w:rPr>
            </w:pPr>
          </w:p>
        </w:tc>
        <w:tc>
          <w:tcPr>
            <w:tcW w:w="1760" w:type="dxa"/>
            <w:vAlign w:val="bottom"/>
          </w:tcPr>
          <w:p>
            <w:pPr>
              <w:jc w:val="right"/>
              <w:ind w:right="587"/>
              <w:spacing w:after="0"/>
              <w:rPr>
                <w:sz w:val="20"/>
                <w:szCs w:val="20"/>
                <w:color w:val="auto"/>
              </w:rPr>
            </w:pPr>
            <w:r>
              <w:rPr>
                <w:rFonts w:ascii="Times New Roman" w:cs="Times New Roman" w:eastAsia="Times New Roman" w:hAnsi="Times New Roman"/>
                <w:sz w:val="15"/>
                <w:szCs w:val="15"/>
                <w:color w:val="auto"/>
              </w:rPr>
              <w:t>5</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0"/>
        </w:trPr>
        <w:tc>
          <w:tcPr>
            <w:tcW w:w="3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3"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5"/>
          <w:szCs w:val="15"/>
          <w:b w:val="1"/>
          <w:bCs w:val="1"/>
          <w:color w:val="auto"/>
        </w:rPr>
        <w:t>Critical judgments and accounting estimates</w:t>
      </w:r>
    </w:p>
    <w:p>
      <w:pPr>
        <w:spacing w:after="0" w:line="180" w:lineRule="exact"/>
        <w:rPr>
          <w:sz w:val="20"/>
          <w:szCs w:val="20"/>
          <w:color w:val="auto"/>
        </w:rPr>
      </w:pPr>
    </w:p>
    <w:p>
      <w:pPr>
        <w:jc w:val="both"/>
        <w:ind w:left="40" w:right="139" w:firstLine="263"/>
        <w:spacing w:after="0" w:line="282" w:lineRule="auto"/>
        <w:rPr>
          <w:sz w:val="20"/>
          <w:szCs w:val="20"/>
          <w:color w:val="auto"/>
        </w:rPr>
      </w:pPr>
      <w:r>
        <w:rPr>
          <w:rFonts w:ascii="Times New Roman" w:cs="Times New Roman" w:eastAsia="Times New Roman" w:hAnsi="Times New Roman"/>
          <w:sz w:val="14"/>
          <w:szCs w:val="14"/>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33" w:lineRule="exact"/>
        <w:rPr>
          <w:sz w:val="20"/>
          <w:szCs w:val="20"/>
          <w:color w:val="auto"/>
        </w:rPr>
      </w:pPr>
    </w:p>
    <w:p>
      <w:pPr>
        <w:ind w:left="40" w:right="339" w:firstLine="263"/>
        <w:spacing w:after="0" w:line="249" w:lineRule="auto"/>
        <w:rPr>
          <w:sz w:val="20"/>
          <w:szCs w:val="20"/>
          <w:color w:val="auto"/>
        </w:rPr>
      </w:pPr>
      <w:r>
        <w:rPr>
          <w:rFonts w:ascii="Times New Roman" w:cs="Times New Roman" w:eastAsia="Times New Roman" w:hAnsi="Times New Roman"/>
          <w:sz w:val="15"/>
          <w:szCs w:val="15"/>
          <w:color w:val="auto"/>
        </w:rPr>
        <w:t>The areas where AC Immune has had to make judgments, estimates and assumptions relate to (i) revenue recognition on Licensing and Collaboration Agreements (LCAs), (ii) clinical development accruals, (iii) net employee defined benefit liability, (iv) share-based compensation, (v) right-of-use assets and lease liabilities and (vi) our IPR&amp;D asset (intangible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Fair value of financial assets and liabilities</w:t>
      </w:r>
    </w:p>
    <w:p>
      <w:pPr>
        <w:spacing w:after="0" w:line="180" w:lineRule="exact"/>
        <w:rPr>
          <w:sz w:val="20"/>
          <w:szCs w:val="20"/>
          <w:color w:val="auto"/>
        </w:rPr>
      </w:pPr>
    </w:p>
    <w:p>
      <w:pPr>
        <w:ind w:left="40" w:right="219" w:firstLine="263"/>
        <w:spacing w:after="0" w:line="282" w:lineRule="auto"/>
        <w:rPr>
          <w:sz w:val="20"/>
          <w:szCs w:val="20"/>
          <w:color w:val="auto"/>
        </w:rPr>
      </w:pPr>
      <w:r>
        <w:rPr>
          <w:rFonts w:ascii="Times New Roman" w:cs="Times New Roman" w:eastAsia="Times New Roman" w:hAnsi="Times New Roman"/>
          <w:sz w:val="14"/>
          <w:szCs w:val="14"/>
          <w:color w:val="auto"/>
        </w:rPr>
        <w:t>The Company’s financial assets and liabilities are composed of receivables, short-term financial assets, cash and cash equivalents, trade payables, deferred contract revenue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Accounting policies, new standards, interpretations and amendments adopted by the Company</w:t>
      </w:r>
    </w:p>
    <w:p>
      <w:pPr>
        <w:spacing w:after="0" w:line="180" w:lineRule="exact"/>
        <w:rPr>
          <w:sz w:val="20"/>
          <w:szCs w:val="20"/>
          <w:color w:val="auto"/>
        </w:rPr>
      </w:pPr>
    </w:p>
    <w:p>
      <w:pPr>
        <w:ind w:left="40" w:right="159" w:firstLine="263"/>
        <w:spacing w:after="0" w:line="267" w:lineRule="auto"/>
        <w:rPr>
          <w:sz w:val="20"/>
          <w:szCs w:val="20"/>
          <w:color w:val="auto"/>
        </w:rPr>
      </w:pPr>
      <w:r>
        <w:rPr>
          <w:rFonts w:ascii="Times New Roman" w:cs="Times New Roman" w:eastAsia="Times New Roman" w:hAnsi="Times New Roman"/>
          <w:sz w:val="15"/>
          <w:szCs w:val="15"/>
          <w:color w:val="auto"/>
        </w:rPr>
        <w:t>The accounting policies adopted in the preparation of the Interim Condensed Consolidated Financial Statements are consistent with those followed in the preparation of the Company’s annual consolidated financial statements for the year ended December 31, 2023.</w:t>
      </w:r>
    </w:p>
    <w:p>
      <w:pPr>
        <w:spacing w:after="0" w:line="142" w:lineRule="exact"/>
        <w:rPr>
          <w:sz w:val="20"/>
          <w:szCs w:val="20"/>
          <w:color w:val="auto"/>
        </w:rPr>
      </w:pPr>
    </w:p>
    <w:p>
      <w:pPr>
        <w:ind w:left="40" w:right="79" w:firstLine="263"/>
        <w:spacing w:after="0" w:line="246" w:lineRule="auto"/>
        <w:rPr>
          <w:sz w:val="20"/>
          <w:szCs w:val="20"/>
          <w:color w:val="auto"/>
        </w:rPr>
      </w:pPr>
      <w:r>
        <w:rPr>
          <w:rFonts w:ascii="Times New Roman" w:cs="Times New Roman" w:eastAsia="Times New Roman" w:hAnsi="Times New Roman"/>
          <w:sz w:val="15"/>
          <w:szCs w:val="15"/>
          <w:color w:val="auto"/>
        </w:rPr>
        <w:t>As of January 1, 2024 the amendments to paragraphs 69 to 76 of IAS 1, Presentation of Financial Statements (IAS 1), as issued by the IASB became effective. The Company assessed the changes to the accounting standard and determined the amendments had an immaterial impact on the Company’s financial statements. There are no other new IFRS standards, amendments or interpretations that are mandatory as of January 1, 2024 that are relevant to the Company. Additionally, in April 2024, the IASB issued IFRS 18 Presentation and Disclosure in Financial Statements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This new standard will be effective for annual reporting periods beginning on January 1, 2027 and will require retroactive adoption. The Company is currently evaluating the new standard to determine how it will impact the presentation and disclosure in its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Going concern</w:t>
      </w:r>
    </w:p>
    <w:p>
      <w:pPr>
        <w:spacing w:after="0" w:line="180" w:lineRule="exact"/>
        <w:rPr>
          <w:sz w:val="20"/>
          <w:szCs w:val="20"/>
          <w:color w:val="auto"/>
        </w:rPr>
      </w:pPr>
    </w:p>
    <w:p>
      <w:pPr>
        <w:ind w:left="40" w:right="179" w:firstLine="263"/>
        <w:spacing w:after="0" w:line="255" w:lineRule="auto"/>
        <w:rPr>
          <w:sz w:val="20"/>
          <w:szCs w:val="20"/>
          <w:color w:val="auto"/>
        </w:rPr>
      </w:pPr>
      <w:r>
        <w:rPr>
          <w:rFonts w:ascii="Times New Roman" w:cs="Times New Roman" w:eastAsia="Times New Roman" w:hAnsi="Times New Roman"/>
          <w:sz w:val="15"/>
          <w:szCs w:val="15"/>
          <w:color w:val="auto"/>
        </w:rPr>
        <w:t>The Company believes that it will be able to meet all of its obligations as they fall due for at least 12 months from the filing date of this Form 6-K, after considering the Company’s cash position of CHF 51.6 million and short-term financial assets of CHF 123.6 million as of June 30, 2024. Hence, these unaudited Interim Condensed Consolidated Financial Statements have been prepared on a going-concern basis.</w:t>
      </w:r>
    </w:p>
    <w:p>
      <w:pPr>
        <w:spacing w:after="0" w:line="151" w:lineRule="exact"/>
        <w:rPr>
          <w:sz w:val="20"/>
          <w:szCs w:val="20"/>
          <w:color w:val="auto"/>
        </w:rPr>
      </w:pPr>
    </w:p>
    <w:p>
      <w:pPr>
        <w:ind w:left="40" w:right="179" w:firstLine="263"/>
        <w:spacing w:after="0" w:line="248" w:lineRule="auto"/>
        <w:rPr>
          <w:sz w:val="20"/>
          <w:szCs w:val="20"/>
          <w:color w:val="auto"/>
        </w:rPr>
      </w:pPr>
      <w:r>
        <w:rPr>
          <w:rFonts w:ascii="Times New Roman" w:cs="Times New Roman" w:eastAsia="Times New Roman" w:hAnsi="Times New Roman"/>
          <w:sz w:val="15"/>
          <w:szCs w:val="15"/>
          <w:color w:val="auto"/>
        </w:rPr>
        <w:t>To date, the Company has financed its cash requirements primarily from its public offerings, share issuances, contract revenues from its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9" w:name="page150"/>
    <w:bookmarkEnd w:id="149"/>
    <w:p>
      <w:pPr>
        <w:ind w:left="40" w:right="559"/>
        <w:spacing w:after="0" w:line="267" w:lineRule="auto"/>
        <w:rPr>
          <w:sz w:val="20"/>
          <w:szCs w:val="20"/>
          <w:color w:val="auto"/>
        </w:rPr>
      </w:pPr>
      <w:r>
        <w:rPr>
          <w:rFonts w:ascii="Times New Roman" w:cs="Times New Roman" w:eastAsia="Times New Roman" w:hAnsi="Times New Roman"/>
          <w:sz w:val="15"/>
          <w:szCs w:val="15"/>
          <w:color w:val="auto"/>
        </w:rPr>
        <w:t>successfully move its product candidates through clinical development, (iv) attract and retain key personnel and (v) acquire capital to support its operations.</w:t>
      </w:r>
    </w:p>
    <w:p>
      <w:pPr>
        <w:spacing w:after="0" w:line="315" w:lineRule="exact"/>
        <w:rPr>
          <w:sz w:val="20"/>
          <w:szCs w:val="20"/>
          <w:color w:val="auto"/>
        </w:rPr>
      </w:pPr>
    </w:p>
    <w:p>
      <w:pPr>
        <w:ind w:left="300" w:hanging="266"/>
        <w:spacing w:after="0"/>
        <w:tabs>
          <w:tab w:leader="none" w:pos="300" w:val="left"/>
        </w:tabs>
        <w:numPr>
          <w:ilvl w:val="0"/>
          <w:numId w:val="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Contract revenues and other operating income</w:t>
      </w:r>
    </w:p>
    <w:p>
      <w:pPr>
        <w:spacing w:after="0" w:line="180" w:lineRule="exact"/>
        <w:rPr>
          <w:sz w:val="20"/>
          <w:szCs w:val="20"/>
          <w:color w:val="auto"/>
        </w:rPr>
      </w:pPr>
    </w:p>
    <w:p>
      <w:pPr>
        <w:ind w:left="40" w:right="179" w:firstLine="263"/>
        <w:spacing w:after="0" w:line="267" w:lineRule="auto"/>
        <w:rPr>
          <w:sz w:val="20"/>
          <w:szCs w:val="20"/>
          <w:color w:val="auto"/>
        </w:rPr>
      </w:pPr>
      <w:r>
        <w:rPr>
          <w:rFonts w:ascii="Times New Roman" w:cs="Times New Roman" w:eastAsia="Times New Roman" w:hAnsi="Times New Roman"/>
          <w:sz w:val="15"/>
          <w:szCs w:val="15"/>
          <w:color w:val="auto"/>
        </w:rPr>
        <w:t>For the three and six months ended June 30, 2024, AC Immune generated CHF 0.7 million in contract revenue compared with no contract revenue in the prior comparable periods, respectively.</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c>
          <w:tcPr>
            <w:tcW w:w="0" w:type="dxa"/>
            <w:vAlign w:val="bottom"/>
          </w:tcPr>
          <w:p>
            <w:pPr>
              <w:spacing w:after="0"/>
              <w:rPr>
                <w:sz w:val="1"/>
                <w:szCs w:val="1"/>
                <w:color w:val="auto"/>
              </w:rPr>
            </w:pPr>
          </w:p>
        </w:tc>
      </w:tr>
      <w:tr>
        <w:trPr>
          <w:trHeight w:val="140"/>
        </w:trPr>
        <w:tc>
          <w:tcPr>
            <w:tcW w:w="7220" w:type="dxa"/>
            <w:vAlign w:val="bottom"/>
            <w:gridSpan w:val="2"/>
            <w:vMerge w:val="restart"/>
          </w:tcPr>
          <w:p>
            <w:pPr>
              <w:ind w:left="2740"/>
              <w:spacing w:after="0"/>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17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0" w:type="dxa"/>
            <w:vAlign w:val="bottom"/>
          </w:tcPr>
          <w:p>
            <w:pPr>
              <w:spacing w:after="0"/>
              <w:rPr>
                <w:sz w:val="1"/>
                <w:szCs w:val="1"/>
                <w:color w:val="auto"/>
              </w:rPr>
            </w:pPr>
          </w:p>
        </w:tc>
      </w:tr>
      <w:tr>
        <w:trPr>
          <w:trHeight w:val="111"/>
        </w:trPr>
        <w:tc>
          <w:tcPr>
            <w:tcW w:w="7220" w:type="dxa"/>
            <w:vAlign w:val="bottom"/>
            <w:gridSpan w:val="2"/>
            <w:vMerge w:val="continue"/>
          </w:tcPr>
          <w:p>
            <w:pPr>
              <w:spacing w:after="0"/>
              <w:rPr>
                <w:sz w:val="9"/>
                <w:szCs w:val="9"/>
                <w:color w:val="auto"/>
              </w:rPr>
            </w:pPr>
          </w:p>
        </w:tc>
        <w:tc>
          <w:tcPr>
            <w:tcW w:w="740" w:type="dxa"/>
            <w:vAlign w:val="bottom"/>
          </w:tcPr>
          <w:p>
            <w:pPr>
              <w:ind w:left="240"/>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9"/>
                <w:szCs w:val="9"/>
                <w:color w:val="auto"/>
              </w:rPr>
            </w:pPr>
          </w:p>
        </w:tc>
        <w:tc>
          <w:tcPr>
            <w:tcW w:w="740" w:type="dxa"/>
            <w:vAlign w:val="bottom"/>
          </w:tcPr>
          <w:p>
            <w:pPr>
              <w:ind w:left="260"/>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6"/>
        </w:trPr>
        <w:tc>
          <w:tcPr>
            <w:tcW w:w="70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Takeda</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46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722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contract revenue</w:t>
            </w:r>
          </w:p>
        </w:tc>
        <w:tc>
          <w:tcPr>
            <w:tcW w:w="740" w:type="dxa"/>
            <w:vAlign w:val="bottom"/>
            <w:tcBorders>
              <w:bottom w:val="single" w:sz="8" w:color="auto"/>
            </w:tcBorders>
          </w:tcPr>
          <w:p>
            <w:pPr>
              <w:ind w:left="46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For the Six Months</w:t>
            </w:r>
          </w:p>
        </w:tc>
        <w:tc>
          <w:tcPr>
            <w:tcW w:w="0" w:type="dxa"/>
            <w:vAlign w:val="bottom"/>
          </w:tcPr>
          <w:p>
            <w:pPr>
              <w:spacing w:after="0"/>
              <w:rPr>
                <w:sz w:val="1"/>
                <w:szCs w:val="1"/>
                <w:color w:val="auto"/>
              </w:rPr>
            </w:pPr>
          </w:p>
        </w:tc>
      </w:tr>
      <w:tr>
        <w:trPr>
          <w:trHeight w:val="140"/>
        </w:trPr>
        <w:tc>
          <w:tcPr>
            <w:tcW w:w="7220" w:type="dxa"/>
            <w:vAlign w:val="bottom"/>
            <w:gridSpan w:val="2"/>
            <w:vMerge w:val="restart"/>
          </w:tcPr>
          <w:p>
            <w:pPr>
              <w:ind w:left="2740"/>
              <w:spacing w:after="0"/>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17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0" w:type="dxa"/>
            <w:vAlign w:val="bottom"/>
          </w:tcPr>
          <w:p>
            <w:pPr>
              <w:spacing w:after="0"/>
              <w:rPr>
                <w:sz w:val="1"/>
                <w:szCs w:val="1"/>
                <w:color w:val="auto"/>
              </w:rPr>
            </w:pPr>
          </w:p>
        </w:tc>
      </w:tr>
      <w:tr>
        <w:trPr>
          <w:trHeight w:val="111"/>
        </w:trPr>
        <w:tc>
          <w:tcPr>
            <w:tcW w:w="7220" w:type="dxa"/>
            <w:vAlign w:val="bottom"/>
            <w:gridSpan w:val="2"/>
            <w:vMerge w:val="continue"/>
          </w:tcPr>
          <w:p>
            <w:pPr>
              <w:spacing w:after="0"/>
              <w:rPr>
                <w:sz w:val="9"/>
                <w:szCs w:val="9"/>
                <w:color w:val="auto"/>
              </w:rPr>
            </w:pPr>
          </w:p>
        </w:tc>
        <w:tc>
          <w:tcPr>
            <w:tcW w:w="740" w:type="dxa"/>
            <w:vAlign w:val="bottom"/>
          </w:tcPr>
          <w:p>
            <w:pPr>
              <w:ind w:left="240"/>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9"/>
                <w:szCs w:val="9"/>
                <w:color w:val="auto"/>
              </w:rPr>
            </w:pPr>
          </w:p>
        </w:tc>
        <w:tc>
          <w:tcPr>
            <w:tcW w:w="740" w:type="dxa"/>
            <w:vAlign w:val="bottom"/>
          </w:tcPr>
          <w:p>
            <w:pPr>
              <w:ind w:left="260"/>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6"/>
        </w:trPr>
        <w:tc>
          <w:tcPr>
            <w:tcW w:w="70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Takeda</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46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722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contract revenue</w:t>
            </w:r>
          </w:p>
        </w:tc>
        <w:tc>
          <w:tcPr>
            <w:tcW w:w="740" w:type="dxa"/>
            <w:vAlign w:val="bottom"/>
            <w:tcBorders>
              <w:bottom w:val="single" w:sz="8" w:color="auto"/>
            </w:tcBorders>
          </w:tcPr>
          <w:p>
            <w:pPr>
              <w:ind w:left="46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3.1 Licensing and collaboration agreements</w:t>
      </w:r>
    </w:p>
    <w:p>
      <w:pPr>
        <w:spacing w:after="0" w:line="180" w:lineRule="exact"/>
        <w:rPr>
          <w:sz w:val="20"/>
          <w:szCs w:val="20"/>
          <w:color w:val="auto"/>
        </w:rPr>
      </w:pPr>
    </w:p>
    <w:p>
      <w:pPr>
        <w:ind w:left="40" w:right="259" w:firstLine="263"/>
        <w:spacing w:after="0" w:line="267" w:lineRule="auto"/>
        <w:rPr>
          <w:sz w:val="20"/>
          <w:szCs w:val="20"/>
          <w:color w:val="auto"/>
        </w:rPr>
      </w:pPr>
      <w:r>
        <w:rPr>
          <w:rFonts w:ascii="Times New Roman" w:cs="Times New Roman" w:eastAsia="Times New Roman" w:hAnsi="Times New Roman"/>
          <w:sz w:val="15"/>
          <w:szCs w:val="15"/>
          <w:color w:val="auto"/>
        </w:rPr>
        <w:t>For a discussion of our licensing and collaboration agreements for the fiscal year ended December 31, 2023, please refer to Note 14.1 “Licensing and Collaboration agreements” of our Annual Report on Form 20-F for the year ended December 31, 2023 filed on March 14, 2024.</w:t>
      </w:r>
    </w:p>
    <w:p>
      <w:pPr>
        <w:spacing w:after="0" w:line="142" w:lineRule="exact"/>
        <w:rPr>
          <w:sz w:val="20"/>
          <w:szCs w:val="20"/>
          <w:color w:val="auto"/>
        </w:rPr>
      </w:pPr>
    </w:p>
    <w:p>
      <w:pPr>
        <w:ind w:left="40" w:right="579" w:firstLine="263"/>
        <w:spacing w:after="0" w:line="267" w:lineRule="auto"/>
        <w:rPr>
          <w:sz w:val="20"/>
          <w:szCs w:val="20"/>
          <w:color w:val="auto"/>
        </w:rPr>
      </w:pPr>
      <w:r>
        <w:rPr>
          <w:rFonts w:ascii="Times New Roman" w:cs="Times New Roman" w:eastAsia="Times New Roman" w:hAnsi="Times New Roman"/>
          <w:sz w:val="15"/>
          <w:szCs w:val="15"/>
          <w:color w:val="auto"/>
        </w:rPr>
        <w:t>On January 22, 2024, the Company announced that the development of semorinemab and crenezumab in the collaboration agreements with Genentech, a member of the Roche Group, was terminated. These terminations became effective in April 2024.</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Anti-Abeta Active Immunotherapy in AD – 2024 agreement Takeda Pharmaceuticals, USA, Inc.</w:t>
      </w:r>
    </w:p>
    <w:p>
      <w:pPr>
        <w:spacing w:after="0" w:line="180" w:lineRule="exact"/>
        <w:rPr>
          <w:sz w:val="20"/>
          <w:szCs w:val="20"/>
          <w:color w:val="auto"/>
        </w:rPr>
      </w:pPr>
    </w:p>
    <w:p>
      <w:pPr>
        <w:ind w:left="40" w:right="79" w:firstLine="263"/>
        <w:spacing w:after="0" w:line="268" w:lineRule="auto"/>
        <w:rPr>
          <w:sz w:val="20"/>
          <w:szCs w:val="20"/>
          <w:color w:val="auto"/>
        </w:rPr>
      </w:pPr>
      <w:r>
        <w:rPr>
          <w:rFonts w:ascii="Times New Roman" w:cs="Times New Roman" w:eastAsia="Times New Roman" w:hAnsi="Times New Roman"/>
          <w:sz w:val="14"/>
          <w:szCs w:val="14"/>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1.9) billion if all related milestones are achieved over the course of the agreement. Upon commercialization, AC Immune will be entitled to receive tiered mid-to-high teens percentages royalties on worldwide net sales.</w:t>
      </w:r>
    </w:p>
    <w:p>
      <w:pPr>
        <w:spacing w:after="0" w:line="143" w:lineRule="exact"/>
        <w:rPr>
          <w:sz w:val="20"/>
          <w:szCs w:val="20"/>
          <w:color w:val="auto"/>
        </w:rPr>
      </w:pPr>
    </w:p>
    <w:p>
      <w:pPr>
        <w:ind w:left="40" w:right="179" w:firstLine="263"/>
        <w:spacing w:after="0" w:line="255" w:lineRule="auto"/>
        <w:rPr>
          <w:sz w:val="20"/>
          <w:szCs w:val="20"/>
          <w:color w:val="auto"/>
        </w:rPr>
      </w:pPr>
      <w:r>
        <w:rPr>
          <w:rFonts w:ascii="Times New Roman" w:cs="Times New Roman" w:eastAsia="Times New Roman" w:hAnsi="Times New Roman"/>
          <w:sz w:val="15"/>
          <w:szCs w:val="15"/>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51" w:lineRule="exact"/>
        <w:rPr>
          <w:sz w:val="20"/>
          <w:szCs w:val="20"/>
          <w:color w:val="auto"/>
        </w:rPr>
      </w:pPr>
    </w:p>
    <w:p>
      <w:pPr>
        <w:ind w:left="40" w:right="79" w:firstLine="263"/>
        <w:spacing w:after="0" w:line="275" w:lineRule="auto"/>
        <w:rPr>
          <w:sz w:val="20"/>
          <w:szCs w:val="20"/>
          <w:color w:val="auto"/>
        </w:rPr>
      </w:pPr>
      <w:r>
        <w:rPr>
          <w:rFonts w:ascii="Times New Roman" w:cs="Times New Roman" w:eastAsia="Times New Roman" w:hAnsi="Times New Roman"/>
          <w:sz w:val="14"/>
          <w:szCs w:val="14"/>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0" w:name="page151"/>
    <w:bookmarkEnd w:id="150"/>
    <w:p>
      <w:pPr>
        <w:ind w:left="40" w:right="159"/>
        <w:spacing w:after="0" w:line="255" w:lineRule="auto"/>
        <w:rPr>
          <w:sz w:val="20"/>
          <w:szCs w:val="20"/>
          <w:color w:val="auto"/>
        </w:rPr>
      </w:pPr>
      <w:r>
        <w:rPr>
          <w:rFonts w:ascii="Times New Roman" w:cs="Times New Roman" w:eastAsia="Times New Roman" w:hAnsi="Times New Roman"/>
          <w:sz w:val="15"/>
          <w:szCs w:val="15"/>
          <w:color w:val="auto"/>
        </w:rPr>
        <w:t>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51" w:lineRule="exact"/>
        <w:rPr>
          <w:sz w:val="20"/>
          <w:szCs w:val="20"/>
          <w:color w:val="auto"/>
        </w:rPr>
      </w:pPr>
    </w:p>
    <w:p>
      <w:pPr>
        <w:ind w:left="40" w:right="59" w:firstLine="263"/>
        <w:spacing w:after="0" w:line="246" w:lineRule="auto"/>
        <w:rPr>
          <w:sz w:val="20"/>
          <w:szCs w:val="20"/>
          <w:color w:val="auto"/>
        </w:rPr>
      </w:pPr>
      <w:r>
        <w:rPr>
          <w:rFonts w:ascii="Times New Roman" w:cs="Times New Roman" w:eastAsia="Times New Roman" w:hAnsi="Times New Roman"/>
          <w:sz w:val="15"/>
          <w:szCs w:val="15"/>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 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58" w:lineRule="exact"/>
        <w:rPr>
          <w:sz w:val="20"/>
          <w:szCs w:val="20"/>
          <w:color w:val="auto"/>
        </w:rPr>
      </w:pPr>
    </w:p>
    <w:p>
      <w:pPr>
        <w:ind w:left="40" w:right="79" w:firstLine="263"/>
        <w:spacing w:after="0" w:line="247" w:lineRule="auto"/>
        <w:rPr>
          <w:sz w:val="20"/>
          <w:szCs w:val="20"/>
          <w:color w:val="auto"/>
        </w:rPr>
      </w:pPr>
      <w:r>
        <w:rPr>
          <w:rFonts w:ascii="Times New Roman" w:cs="Times New Roman" w:eastAsia="Times New Roman" w:hAnsi="Times New Roman"/>
          <w:sz w:val="15"/>
          <w:szCs w:val="15"/>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56" w:lineRule="exact"/>
        <w:rPr>
          <w:sz w:val="20"/>
          <w:szCs w:val="20"/>
          <w:color w:val="auto"/>
        </w:rPr>
      </w:pPr>
    </w:p>
    <w:p>
      <w:pPr>
        <w:ind w:left="40" w:right="139" w:firstLine="263"/>
        <w:spacing w:after="0" w:line="251" w:lineRule="auto"/>
        <w:rPr>
          <w:sz w:val="20"/>
          <w:szCs w:val="20"/>
          <w:color w:val="auto"/>
        </w:rPr>
      </w:pPr>
      <w:r>
        <w:rPr>
          <w:rFonts w:ascii="Times New Roman" w:cs="Times New Roman" w:eastAsia="Times New Roman" w:hAnsi="Times New Roman"/>
          <w:sz w:val="15"/>
          <w:szCs w:val="15"/>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54" w:lineRule="exact"/>
        <w:rPr>
          <w:sz w:val="20"/>
          <w:szCs w:val="20"/>
          <w:color w:val="auto"/>
        </w:rPr>
      </w:pPr>
    </w:p>
    <w:p>
      <w:pPr>
        <w:ind w:left="40" w:right="59" w:firstLine="263"/>
        <w:spacing w:after="0" w:line="247" w:lineRule="auto"/>
        <w:rPr>
          <w:sz w:val="20"/>
          <w:szCs w:val="20"/>
          <w:color w:val="auto"/>
        </w:rPr>
      </w:pPr>
      <w:r>
        <w:rPr>
          <w:rFonts w:ascii="Times New Roman" w:cs="Times New Roman" w:eastAsia="Times New Roman" w:hAnsi="Times New Roman"/>
          <w:sz w:val="15"/>
          <w:szCs w:val="15"/>
          <w:color w:val="auto"/>
        </w:rPr>
        <w:t>During the three and six months ended June 30, 2024, the Company recorded contract revenue of CHF 0.7 million, reflecting its efforts under this agreement. As of June 30, 2024, the Company recorded CHF 91.6 million in deferred contract revenue related to the unsatisfied performance obligations under this agreement. The deferred contract revenue allocated to the license option is classified as short-term on the condensed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condensed consolidated balance sheets, based on the expected timing of satisfaction of the performance obligations.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3.2 Grant income</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Grants from the Michael J. Fox Foundation</w:t>
      </w:r>
    </w:p>
    <w:p>
      <w:pPr>
        <w:spacing w:after="0" w:line="180" w:lineRule="exact"/>
        <w:rPr>
          <w:sz w:val="20"/>
          <w:szCs w:val="20"/>
          <w:color w:val="auto"/>
        </w:rPr>
      </w:pPr>
    </w:p>
    <w:p>
      <w:pPr>
        <w:ind w:left="40" w:right="199" w:firstLine="263"/>
        <w:spacing w:after="0" w:line="267" w:lineRule="auto"/>
        <w:rPr>
          <w:sz w:val="20"/>
          <w:szCs w:val="20"/>
          <w:color w:val="auto"/>
        </w:rPr>
      </w:pPr>
      <w:r>
        <w:rPr>
          <w:rFonts w:ascii="Times New Roman" w:cs="Times New Roman" w:eastAsia="Times New Roman" w:hAnsi="Times New Roman"/>
          <w:sz w:val="15"/>
          <w:szCs w:val="15"/>
          <w:color w:val="auto"/>
        </w:rPr>
        <w:t>For a discussion of our Grants from the Michael J. Fox Foundation (MJFF) for the fiscal year ended December 31, 2023, please refer to Note 14.2 “Grant Income” of our Annual Report on Form 20-F for the year ended December 31, 2023 filed on March 14, 2024.</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1" w:name="page152"/>
    <w:bookmarkEnd w:id="151"/>
    <w:p>
      <w:pPr>
        <w:ind w:left="40" w:right="159" w:firstLine="263"/>
        <w:spacing w:after="0" w:line="255" w:lineRule="auto"/>
        <w:rPr>
          <w:sz w:val="20"/>
          <w:szCs w:val="20"/>
          <w:color w:val="auto"/>
        </w:rPr>
      </w:pPr>
      <w:r>
        <w:rPr>
          <w:rFonts w:ascii="Times New Roman" w:cs="Times New Roman" w:eastAsia="Times New Roman" w:hAnsi="Times New Roman"/>
          <w:sz w:val="15"/>
          <w:szCs w:val="15"/>
          <w:color w:val="auto"/>
        </w:rPr>
        <w:t>For the three months ended June 30, 2024 and 2023, the Company has recognized less than CHF 0.1 million and CHF 0.3 million in grant income, respectively. For the six months ended June 30, 2024 and 2023, the Company has recognized less than CHF 0.1 million and CHF 0.7 million in grant income, respectively.</w:t>
      </w:r>
    </w:p>
    <w:p>
      <w:pPr>
        <w:spacing w:after="0" w:line="324"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5"/>
          <w:szCs w:val="15"/>
          <w:b w:val="1"/>
          <w:bCs w:val="1"/>
          <w:color w:val="auto"/>
        </w:rPr>
        <w:t>4.</w:t>
      </w:r>
      <w:r>
        <w:rPr>
          <w:sz w:val="20"/>
          <w:szCs w:val="20"/>
          <w:color w:val="auto"/>
        </w:rPr>
        <w:tab/>
      </w:r>
      <w:r>
        <w:rPr>
          <w:rFonts w:ascii="Times New Roman" w:cs="Times New Roman" w:eastAsia="Times New Roman" w:hAnsi="Times New Roman"/>
          <w:sz w:val="14"/>
          <w:szCs w:val="14"/>
          <w:b w:val="1"/>
          <w:bCs w:val="1"/>
          <w:color w:val="auto"/>
        </w:rPr>
        <w:t>Loss per share</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0" w:type="dxa"/>
            <w:vAlign w:val="bottom"/>
          </w:tcPr>
          <w:p>
            <w:pPr>
              <w:spacing w:after="0"/>
              <w:rPr>
                <w:sz w:val="1"/>
                <w:szCs w:val="1"/>
                <w:color w:val="auto"/>
              </w:rPr>
            </w:pPr>
          </w:p>
        </w:tc>
      </w:tr>
      <w:tr>
        <w:trPr>
          <w:trHeight w:val="140"/>
        </w:trPr>
        <w:tc>
          <w:tcPr>
            <w:tcW w:w="6940" w:type="dxa"/>
            <w:vAlign w:val="bottom"/>
            <w:gridSpan w:val="4"/>
            <w:vMerge w:val="restart"/>
          </w:tcPr>
          <w:p>
            <w:pPr>
              <w:ind w:left="2040"/>
              <w:spacing w:after="0"/>
              <w:rPr>
                <w:sz w:val="20"/>
                <w:szCs w:val="20"/>
                <w:color w:val="auto"/>
              </w:rPr>
            </w:pPr>
            <w:r>
              <w:rPr>
                <w:rFonts w:ascii="Times New Roman" w:cs="Times New Roman" w:eastAsia="Times New Roman" w:hAnsi="Times New Roman"/>
                <w:sz w:val="12"/>
                <w:szCs w:val="12"/>
                <w:b w:val="1"/>
                <w:bCs w:val="1"/>
                <w:color w:val="auto"/>
              </w:rPr>
              <w:t>In CHF thousands except for share and per share data</w:t>
            </w: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0" w:type="dxa"/>
            <w:vAlign w:val="bottom"/>
          </w:tcPr>
          <w:p>
            <w:pPr>
              <w:spacing w:after="0"/>
              <w:rPr>
                <w:sz w:val="1"/>
                <w:szCs w:val="1"/>
                <w:color w:val="auto"/>
              </w:rPr>
            </w:pPr>
          </w:p>
        </w:tc>
      </w:tr>
      <w:tr>
        <w:trPr>
          <w:trHeight w:val="111"/>
        </w:trPr>
        <w:tc>
          <w:tcPr>
            <w:tcW w:w="6940" w:type="dxa"/>
            <w:vAlign w:val="bottom"/>
            <w:gridSpan w:val="4"/>
            <w:vMerge w:val="continue"/>
          </w:tcPr>
          <w:p>
            <w:pPr>
              <w:spacing w:after="0"/>
              <w:rPr>
                <w:sz w:val="9"/>
                <w:szCs w:val="9"/>
                <w:color w:val="auto"/>
              </w:rPr>
            </w:pPr>
          </w:p>
        </w:tc>
        <w:tc>
          <w:tcPr>
            <w:tcW w:w="880" w:type="dxa"/>
            <w:vAlign w:val="bottom"/>
          </w:tcPr>
          <w:p>
            <w:pPr>
              <w:jc w:val="right"/>
              <w:ind w:right="234"/>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jc w:val="right"/>
              <w:ind w:right="271"/>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6"/>
        </w:trPr>
        <w:tc>
          <w:tcPr>
            <w:tcW w:w="6780" w:type="dxa"/>
            <w:vAlign w:val="bottom"/>
            <w:tcBorders>
              <w:top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Loss per share (EPS)</w:t>
            </w: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equity holders of the Company</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(22,760)</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(16,833)</w:t>
            </w:r>
          </w:p>
        </w:tc>
        <w:tc>
          <w:tcPr>
            <w:tcW w:w="0" w:type="dxa"/>
            <w:vAlign w:val="bottom"/>
          </w:tcPr>
          <w:p>
            <w:pPr>
              <w:spacing w:after="0"/>
              <w:rPr>
                <w:sz w:val="1"/>
                <w:szCs w:val="1"/>
                <w:color w:val="auto"/>
              </w:rPr>
            </w:pPr>
          </w:p>
        </w:tc>
      </w:tr>
      <w:tr>
        <w:trPr>
          <w:trHeight w:val="175"/>
        </w:trPr>
        <w:tc>
          <w:tcPr>
            <w:tcW w:w="69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940" w:type="dxa"/>
            <w:vAlign w:val="bottom"/>
            <w:gridSpan w:val="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Weighted-average number of shares outstanding used to compute EPS basic and diluted attributable to equity</w:t>
            </w: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holders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99,549,910</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84,612,997</w:t>
            </w:r>
          </w:p>
        </w:tc>
        <w:tc>
          <w:tcPr>
            <w:tcW w:w="0" w:type="dxa"/>
            <w:vAlign w:val="bottom"/>
          </w:tcPr>
          <w:p>
            <w:pPr>
              <w:spacing w:after="0"/>
              <w:rPr>
                <w:sz w:val="1"/>
                <w:szCs w:val="1"/>
                <w:color w:val="auto"/>
              </w:rPr>
            </w:pPr>
          </w:p>
        </w:tc>
      </w:tr>
      <w:tr>
        <w:trPr>
          <w:trHeight w:val="166"/>
        </w:trPr>
        <w:tc>
          <w:tcPr>
            <w:tcW w:w="6940" w:type="dxa"/>
            <w:vAlign w:val="bottom"/>
            <w:gridSpan w:val="4"/>
          </w:tcPr>
          <w:p>
            <w:pPr>
              <w:spacing w:after="0" w:line="167" w:lineRule="exact"/>
              <w:rPr>
                <w:sz w:val="20"/>
                <w:szCs w:val="20"/>
                <w:color w:val="auto"/>
              </w:rPr>
            </w:pPr>
            <w:r>
              <w:rPr>
                <w:rFonts w:ascii="Times New Roman" w:cs="Times New Roman" w:eastAsia="Times New Roman" w:hAnsi="Times New Roman"/>
                <w:sz w:val="15"/>
                <w:szCs w:val="15"/>
                <w:color w:val="auto"/>
              </w:rPr>
              <w:t>Basic and diluted loss per share for the period attributable to equity holders</w:t>
            </w:r>
          </w:p>
        </w:tc>
        <w:tc>
          <w:tcPr>
            <w:tcW w:w="92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(0.23)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(0.20)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6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the Six Months</w:t>
            </w:r>
          </w:p>
        </w:tc>
        <w:tc>
          <w:tcPr>
            <w:tcW w:w="0" w:type="dxa"/>
            <w:vAlign w:val="bottom"/>
          </w:tcPr>
          <w:p>
            <w:pPr>
              <w:spacing w:after="0"/>
              <w:rPr>
                <w:sz w:val="1"/>
                <w:szCs w:val="1"/>
                <w:color w:val="auto"/>
              </w:rPr>
            </w:pPr>
          </w:p>
        </w:tc>
      </w:tr>
      <w:tr>
        <w:trPr>
          <w:trHeight w:val="140"/>
        </w:trPr>
        <w:tc>
          <w:tcPr>
            <w:tcW w:w="6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0" w:type="dxa"/>
            <w:vAlign w:val="bottom"/>
          </w:tcPr>
          <w:p>
            <w:pPr>
              <w:spacing w:after="0"/>
              <w:rPr>
                <w:sz w:val="1"/>
                <w:szCs w:val="1"/>
                <w:color w:val="auto"/>
              </w:rPr>
            </w:pPr>
          </w:p>
        </w:tc>
      </w:tr>
      <w:tr>
        <w:trPr>
          <w:trHeight w:val="155"/>
        </w:trPr>
        <w:tc>
          <w:tcPr>
            <w:tcW w:w="6940" w:type="dxa"/>
            <w:vAlign w:val="bottom"/>
            <w:gridSpan w:val="4"/>
          </w:tcPr>
          <w:p>
            <w:pPr>
              <w:ind w:left="2020"/>
              <w:spacing w:after="0"/>
              <w:rPr>
                <w:sz w:val="20"/>
                <w:szCs w:val="20"/>
                <w:color w:val="auto"/>
              </w:rPr>
            </w:pPr>
            <w:r>
              <w:rPr>
                <w:rFonts w:ascii="Times New Roman" w:cs="Times New Roman" w:eastAsia="Times New Roman" w:hAnsi="Times New Roman"/>
                <w:sz w:val="12"/>
                <w:szCs w:val="12"/>
                <w:b w:val="1"/>
                <w:bCs w:val="1"/>
                <w:color w:val="auto"/>
              </w:rPr>
              <w:t>In CHF thousands except for share and per share data</w:t>
            </w: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6"/>
        </w:trPr>
        <w:tc>
          <w:tcPr>
            <w:tcW w:w="67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Loss per share (EPS)</w:t>
            </w:r>
          </w:p>
        </w:tc>
        <w:tc>
          <w:tcPr>
            <w:tcW w:w="1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equity holders of the Company</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(40,622)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(34,346)</w:t>
            </w:r>
          </w:p>
        </w:tc>
        <w:tc>
          <w:tcPr>
            <w:tcW w:w="0" w:type="dxa"/>
            <w:vAlign w:val="bottom"/>
          </w:tcPr>
          <w:p>
            <w:pPr>
              <w:spacing w:after="0"/>
              <w:rPr>
                <w:sz w:val="1"/>
                <w:szCs w:val="1"/>
                <w:color w:val="auto"/>
              </w:rPr>
            </w:pPr>
          </w:p>
        </w:tc>
      </w:tr>
      <w:tr>
        <w:trPr>
          <w:trHeight w:val="175"/>
        </w:trPr>
        <w:tc>
          <w:tcPr>
            <w:tcW w:w="694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940" w:type="dxa"/>
            <w:vAlign w:val="bottom"/>
            <w:gridSpan w:val="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Weighted-average number of shares outstanding used to compute EPS basic and diluted attributable to equity</w:t>
            </w: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holders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99,467,690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83,654,663</w:t>
            </w:r>
          </w:p>
        </w:tc>
        <w:tc>
          <w:tcPr>
            <w:tcW w:w="0" w:type="dxa"/>
            <w:vAlign w:val="bottom"/>
          </w:tcPr>
          <w:p>
            <w:pPr>
              <w:spacing w:after="0"/>
              <w:rPr>
                <w:sz w:val="1"/>
                <w:szCs w:val="1"/>
                <w:color w:val="auto"/>
              </w:rPr>
            </w:pPr>
          </w:p>
        </w:tc>
      </w:tr>
      <w:tr>
        <w:trPr>
          <w:trHeight w:val="166"/>
        </w:trPr>
        <w:tc>
          <w:tcPr>
            <w:tcW w:w="690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Basic and diluted loss per share for the period attributable to equity holders</w:t>
            </w:r>
          </w:p>
        </w:tc>
        <w:tc>
          <w:tcPr>
            <w:tcW w:w="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(0.41)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(0.41)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0" w:right="239" w:firstLine="263"/>
        <w:spacing w:after="0" w:line="267" w:lineRule="auto"/>
        <w:rPr>
          <w:sz w:val="20"/>
          <w:szCs w:val="20"/>
          <w:color w:val="auto"/>
        </w:rPr>
      </w:pPr>
      <w:r>
        <w:rPr>
          <w:rFonts w:ascii="Times New Roman" w:cs="Times New Roman" w:eastAsia="Times New Roman" w:hAnsi="Times New Roman"/>
          <w:sz w:val="15"/>
          <w:szCs w:val="15"/>
          <w:color w:val="auto"/>
        </w:rPr>
        <w:t>The weighted-average number of potentially dilutive securities that were not included in the diluted per share calculations because they would be anti-dilutive were as follows:</w:t>
      </w:r>
    </w:p>
    <w:p>
      <w:pPr>
        <w:spacing w:after="0" w:line="14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2"/>
          <w:szCs w:val="12"/>
          <w:b w:val="1"/>
          <w:bCs w:val="1"/>
          <w:color w:val="auto"/>
        </w:rPr>
        <w:t>For the Three Months</w:t>
      </w:r>
    </w:p>
    <w:p>
      <w:pPr>
        <w:ind w:left="7620"/>
        <w:spacing w:after="0" w:line="218" w:lineRule="auto"/>
        <w:rPr>
          <w:sz w:val="20"/>
          <w:szCs w:val="20"/>
          <w:color w:val="auto"/>
        </w:rPr>
      </w:pPr>
      <w:r>
        <w:rPr>
          <w:rFonts w:ascii="Times New Roman" w:cs="Times New Roman" w:eastAsia="Times New Roman" w:hAnsi="Times New Roman"/>
          <w:sz w:val="12"/>
          <w:szCs w:val="12"/>
          <w:b w:val="1"/>
          <w:bCs w:val="1"/>
          <w:color w:val="auto"/>
        </w:rPr>
        <w:t>Ended June 30,</w:t>
      </w:r>
    </w:p>
    <w:tbl>
      <w:tblPr>
        <w:tblLayout w:type="fixed"/>
        <w:tblInd w:w="40" w:type="dxa"/>
        <w:tblCellMar>
          <w:top w:w="0" w:type="dxa"/>
          <w:left w:w="0" w:type="dxa"/>
          <w:bottom w:w="0" w:type="dxa"/>
          <w:right w:w="0" w:type="dxa"/>
        </w:tblCellMar>
      </w:tblPr>
      <w:tr>
        <w:trPr>
          <w:trHeight w:val="111"/>
        </w:trPr>
        <w:tc>
          <w:tcPr>
            <w:tcW w:w="3620" w:type="dxa"/>
            <w:vAlign w:val="bottom"/>
            <w:tcBorders>
              <w:bottom w:val="single" w:sz="8" w:color="CCEEFF"/>
            </w:tcBorders>
          </w:tcPr>
          <w:p>
            <w:pPr>
              <w:spacing w:after="0"/>
              <w:rPr>
                <w:sz w:val="9"/>
                <w:szCs w:val="9"/>
                <w:color w:val="auto"/>
              </w:rPr>
            </w:pPr>
          </w:p>
        </w:tc>
        <w:tc>
          <w:tcPr>
            <w:tcW w:w="3400" w:type="dxa"/>
            <w:vAlign w:val="bottom"/>
            <w:tcBorders>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237"/>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bottom w:val="single" w:sz="8" w:color="CCEEFF"/>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232"/>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166"/>
        </w:trPr>
        <w:tc>
          <w:tcPr>
            <w:tcW w:w="3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Share options issued and outstanding</w:t>
            </w:r>
          </w:p>
        </w:tc>
        <w:tc>
          <w:tcPr>
            <w:tcW w:w="3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1,578,645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97,875</w:t>
            </w: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Restricted share awards subject to future vesting</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1,631,911</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1,213,703</w:t>
            </w:r>
          </w:p>
        </w:tc>
      </w:tr>
      <w:tr>
        <w:trPr>
          <w:trHeight w:val="272"/>
        </w:trPr>
        <w:tc>
          <w:tcPr>
            <w:tcW w:w="36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1900" w:type="dxa"/>
            <w:vAlign w:val="bottom"/>
            <w:gridSpan w:val="3"/>
          </w:tcPr>
          <w:p>
            <w:pPr>
              <w:jc w:val="right"/>
              <w:ind w:right="392"/>
              <w:spacing w:after="0"/>
              <w:rPr>
                <w:sz w:val="20"/>
                <w:szCs w:val="20"/>
                <w:color w:val="auto"/>
              </w:rPr>
            </w:pPr>
            <w:r>
              <w:rPr>
                <w:rFonts w:ascii="Times New Roman" w:cs="Times New Roman" w:eastAsia="Times New Roman" w:hAnsi="Times New Roman"/>
                <w:sz w:val="12"/>
                <w:szCs w:val="12"/>
                <w:b w:val="1"/>
                <w:bCs w:val="1"/>
                <w:color w:val="auto"/>
              </w:rPr>
              <w:t>For the Six Months</w:t>
            </w:r>
          </w:p>
        </w:tc>
      </w:tr>
      <w:tr>
        <w:trPr>
          <w:trHeight w:val="140"/>
        </w:trPr>
        <w:tc>
          <w:tcPr>
            <w:tcW w:w="3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2"/>
                <w:szCs w:val="12"/>
                <w:b w:val="1"/>
                <w:bCs w:val="1"/>
                <w:color w:val="auto"/>
              </w:rPr>
              <w:t>Ended June 30,</w:t>
            </w:r>
          </w:p>
        </w:tc>
      </w:tr>
      <w:tr>
        <w:trPr>
          <w:trHeight w:val="111"/>
        </w:trPr>
        <w:tc>
          <w:tcPr>
            <w:tcW w:w="3620" w:type="dxa"/>
            <w:vAlign w:val="bottom"/>
            <w:tcBorders>
              <w:bottom w:val="single" w:sz="8" w:color="CCEEFF"/>
            </w:tcBorders>
          </w:tcPr>
          <w:p>
            <w:pPr>
              <w:spacing w:after="0"/>
              <w:rPr>
                <w:sz w:val="9"/>
                <w:szCs w:val="9"/>
                <w:color w:val="auto"/>
              </w:rPr>
            </w:pPr>
          </w:p>
        </w:tc>
        <w:tc>
          <w:tcPr>
            <w:tcW w:w="34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ind w:right="237"/>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ind w:right="232"/>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166"/>
        </w:trPr>
        <w:tc>
          <w:tcPr>
            <w:tcW w:w="3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Share options issued and outstanding</w:t>
            </w:r>
          </w:p>
        </w:tc>
        <w:tc>
          <w:tcPr>
            <w:tcW w:w="3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1,659,854</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97,875</w:t>
            </w: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5"/>
                <w:szCs w:val="15"/>
                <w:color w:val="auto"/>
              </w:rPr>
              <w:t>Restricted share awards subject to future vesting</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1,684,826</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1,225,175</w:t>
            </w:r>
          </w:p>
        </w:tc>
      </w:tr>
      <w:tr>
        <w:trPr>
          <w:trHeight w:val="697"/>
        </w:trPr>
        <w:tc>
          <w:tcPr>
            <w:tcW w:w="3620" w:type="dxa"/>
            <w:vAlign w:val="bottom"/>
          </w:tcPr>
          <w:p>
            <w:pPr>
              <w:spacing w:after="0"/>
              <w:rPr>
                <w:sz w:val="24"/>
                <w:szCs w:val="24"/>
                <w:color w:val="auto"/>
              </w:rPr>
            </w:pPr>
          </w:p>
        </w:tc>
        <w:tc>
          <w:tcPr>
            <w:tcW w:w="3400" w:type="dxa"/>
            <w:vAlign w:val="bottom"/>
          </w:tcPr>
          <w:p>
            <w:pPr>
              <w:jc w:val="right"/>
              <w:ind w:right="2447"/>
              <w:spacing w:after="0"/>
              <w:rPr>
                <w:sz w:val="20"/>
                <w:szCs w:val="20"/>
                <w:color w:val="auto"/>
              </w:rPr>
            </w:pPr>
            <w:r>
              <w:rPr>
                <w:rFonts w:ascii="Times New Roman" w:cs="Times New Roman" w:eastAsia="Times New Roman" w:hAnsi="Times New Roman"/>
                <w:sz w:val="15"/>
                <w:szCs w:val="15"/>
                <w:color w:val="auto"/>
              </w:rPr>
              <w:t>9</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0"/>
        </w:trPr>
        <w:tc>
          <w:tcPr>
            <w:tcW w:w="36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52" w:name="page153"/>
    <w:bookmarkEnd w:id="152"/>
    <w:p>
      <w:pPr>
        <w:ind w:left="300" w:hanging="266"/>
        <w:spacing w:after="0"/>
        <w:tabs>
          <w:tab w:leader="none" w:pos="300" w:val="left"/>
        </w:tabs>
        <w:numPr>
          <w:ilvl w:val="0"/>
          <w:numId w:val="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plant and equipment</w:t>
      </w:r>
    </w:p>
    <w:p>
      <w:pPr>
        <w:spacing w:after="0" w:line="179" w:lineRule="exact"/>
        <w:rPr>
          <w:rFonts w:ascii="Times New Roman" w:cs="Times New Roman" w:eastAsia="Times New Roman" w:hAnsi="Times New Roman"/>
          <w:sz w:val="15"/>
          <w:szCs w:val="15"/>
          <w:b w:val="1"/>
          <w:bCs w:val="1"/>
          <w:color w:val="auto"/>
        </w:rPr>
      </w:pPr>
    </w:p>
    <w:p>
      <w:pPr>
        <w:ind w:left="30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shows the movement in the net book values of property, plant and equipment for the six months ended June 30, 2024:</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2"/>
                <w:szCs w:val="12"/>
                <w:b w:val="1"/>
                <w:bCs w:val="1"/>
                <w:color w:val="auto"/>
              </w:rPr>
              <w:t>As of June 30, 2024</w:t>
            </w: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86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Furniture</w:t>
            </w:r>
          </w:p>
        </w:tc>
        <w:tc>
          <w:tcPr>
            <w:tcW w:w="820" w:type="dxa"/>
            <w:vAlign w:val="bottom"/>
            <w:gridSpan w:val="2"/>
          </w:tcPr>
          <w:p>
            <w:pPr>
              <w:jc w:val="center"/>
              <w:ind w:right="140"/>
              <w:spacing w:after="0" w:line="92" w:lineRule="exact"/>
              <w:rPr>
                <w:sz w:val="20"/>
                <w:szCs w:val="20"/>
                <w:color w:val="auto"/>
              </w:rPr>
            </w:pPr>
            <w:r>
              <w:rPr>
                <w:rFonts w:ascii="Times New Roman" w:cs="Times New Roman" w:eastAsia="Times New Roman" w:hAnsi="Times New Roman"/>
                <w:sz w:val="9"/>
                <w:szCs w:val="9"/>
                <w:b w:val="1"/>
                <w:bCs w:val="1"/>
                <w:color w:val="auto"/>
              </w:rPr>
              <w:t>IT</w:t>
            </w:r>
          </w:p>
        </w:tc>
        <w:tc>
          <w:tcPr>
            <w:tcW w:w="800" w:type="dxa"/>
            <w:vAlign w:val="bottom"/>
            <w:gridSpan w:val="2"/>
          </w:tcPr>
          <w:p>
            <w:pPr>
              <w:jc w:val="right"/>
              <w:ind w:right="360"/>
              <w:spacing w:after="0" w:line="92" w:lineRule="exact"/>
              <w:rPr>
                <w:sz w:val="20"/>
                <w:szCs w:val="20"/>
                <w:color w:val="auto"/>
              </w:rPr>
            </w:pPr>
            <w:r>
              <w:rPr>
                <w:rFonts w:ascii="Times New Roman" w:cs="Times New Roman" w:eastAsia="Times New Roman" w:hAnsi="Times New Roman"/>
                <w:sz w:val="9"/>
                <w:szCs w:val="9"/>
                <w:b w:val="1"/>
                <w:bCs w:val="1"/>
                <w:color w:val="auto"/>
              </w:rPr>
              <w:t>Lab</w:t>
            </w:r>
          </w:p>
        </w:tc>
        <w:tc>
          <w:tcPr>
            <w:tcW w:w="1060" w:type="dxa"/>
            <w:vAlign w:val="bottom"/>
            <w:gridSpan w:val="2"/>
          </w:tcPr>
          <w:p>
            <w:pPr>
              <w:jc w:val="center"/>
              <w:ind w:right="140"/>
              <w:spacing w:after="0" w:line="92" w:lineRule="exact"/>
              <w:rPr>
                <w:sz w:val="20"/>
                <w:szCs w:val="20"/>
                <w:color w:val="auto"/>
              </w:rPr>
            </w:pPr>
            <w:r>
              <w:rPr>
                <w:rFonts w:ascii="Times New Roman" w:cs="Times New Roman" w:eastAsia="Times New Roman" w:hAnsi="Times New Roman"/>
                <w:sz w:val="9"/>
                <w:szCs w:val="9"/>
                <w:b w:val="1"/>
                <w:bCs w:val="1"/>
                <w:color w:val="auto"/>
              </w:rPr>
              <w:t>Leasehold</w:t>
            </w:r>
          </w:p>
        </w:tc>
        <w:tc>
          <w:tcPr>
            <w:tcW w:w="960" w:type="dxa"/>
            <w:vAlign w:val="bottom"/>
            <w:gridSpan w:val="2"/>
          </w:tcPr>
          <w:p>
            <w:pPr>
              <w:ind w:left="80"/>
              <w:spacing w:after="0" w:line="92" w:lineRule="exact"/>
              <w:rPr>
                <w:sz w:val="20"/>
                <w:szCs w:val="20"/>
                <w:color w:val="auto"/>
              </w:rPr>
            </w:pPr>
            <w:r>
              <w:rPr>
                <w:rFonts w:ascii="Times New Roman" w:cs="Times New Roman" w:eastAsia="Times New Roman" w:hAnsi="Times New Roman"/>
                <w:sz w:val="9"/>
                <w:szCs w:val="9"/>
                <w:b w:val="1"/>
                <w:bCs w:val="1"/>
                <w:color w:val="auto"/>
              </w:rPr>
              <w:t>Assets under</w:t>
            </w:r>
          </w:p>
        </w:tc>
        <w:tc>
          <w:tcPr>
            <w:tcW w:w="660" w:type="dxa"/>
            <w:vAlign w:val="bottom"/>
            <w:vMerge w:val="restart"/>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equipment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improvements</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Acquisition cost:</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2,168</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10,233</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w:t>
            </w:r>
          </w:p>
        </w:tc>
        <w:tc>
          <w:tcPr>
            <w:tcW w:w="140" w:type="dxa"/>
            <w:vAlign w:val="bottom"/>
          </w:tcPr>
          <w:p>
            <w:pPr>
              <w:spacing w:after="0"/>
              <w:rPr>
                <w:sz w:val="15"/>
                <w:szCs w:val="15"/>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1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7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Accumulated depreciation:</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(1,851)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(8,101)</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(832)</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expense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(504)</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(135)</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(237)</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(1,954)</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(8,605)</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(967)</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Carrying amount:</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2,132</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140" w:type="dxa"/>
            <w:vAlign w:val="bottom"/>
          </w:tcPr>
          <w:p>
            <w:pPr>
              <w:spacing w:after="0"/>
              <w:rPr>
                <w:sz w:val="15"/>
                <w:szCs w:val="15"/>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00" w:hanging="266"/>
        <w:spacing w:after="0"/>
        <w:tabs>
          <w:tab w:leader="none" w:pos="300" w:val="left"/>
        </w:tabs>
        <w:numPr>
          <w:ilvl w:val="0"/>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Right-of-use assets, long-term financial assets and lease liabilities</w:t>
      </w:r>
    </w:p>
    <w:p>
      <w:pPr>
        <w:spacing w:after="0" w:line="179" w:lineRule="exact"/>
        <w:rPr>
          <w:rFonts w:ascii="Times New Roman" w:cs="Times New Roman" w:eastAsia="Times New Roman" w:hAnsi="Times New Roman"/>
          <w:sz w:val="15"/>
          <w:szCs w:val="15"/>
          <w:b w:val="1"/>
          <w:bCs w:val="1"/>
          <w:color w:val="auto"/>
        </w:rPr>
      </w:pPr>
    </w:p>
    <w:p>
      <w:pPr>
        <w:ind w:left="30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AC Immune recognized additions of less than CHF 0.1 million for its right-of-use of leased assets for the six months ended June 30, 2024.</w:t>
      </w:r>
    </w:p>
    <w:p>
      <w:pPr>
        <w:spacing w:after="0" w:line="178" w:lineRule="exact"/>
        <w:rPr>
          <w:sz w:val="20"/>
          <w:szCs w:val="20"/>
          <w:color w:val="auto"/>
        </w:rPr>
      </w:pPr>
    </w:p>
    <w:p>
      <w:pPr>
        <w:jc w:val="both"/>
        <w:ind w:left="40" w:right="259" w:firstLine="263"/>
        <w:spacing w:after="0" w:line="255" w:lineRule="auto"/>
        <w:rPr>
          <w:sz w:val="20"/>
          <w:szCs w:val="20"/>
          <w:color w:val="auto"/>
        </w:rPr>
      </w:pPr>
      <w:r>
        <w:rPr>
          <w:rFonts w:ascii="Times New Roman" w:cs="Times New Roman" w:eastAsia="Times New Roman" w:hAnsi="Times New Roman"/>
          <w:sz w:val="15"/>
          <w:szCs w:val="15"/>
          <w:color w:val="auto"/>
        </w:rPr>
        <w:t>Regarding lease liabilities, the amortization depends on the rate implicit in the contract or the incremental borrowing rate for the respective lease component. The weighted averages of the incremental borrowing rates are 3.5% for buildings, 3.3% for office equipment and 2.6% for IT equipment, respectively.</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shows the movements in the net book values of right-of-use of leased assets for the six months ended June 30, 2024:</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68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Buildings</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Office</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IT</w:t>
            </w:r>
          </w:p>
        </w:tc>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5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equipment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5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3,446</w:t>
            </w:r>
          </w:p>
        </w:tc>
        <w:tc>
          <w:tcPr>
            <w:tcW w:w="1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w:t>
            </w: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3,508</w:t>
            </w:r>
          </w:p>
        </w:tc>
        <w:tc>
          <w:tcPr>
            <w:tcW w:w="0" w:type="dxa"/>
            <w:vAlign w:val="bottom"/>
          </w:tcPr>
          <w:p>
            <w:pPr>
              <w:spacing w:after="0"/>
              <w:rPr>
                <w:sz w:val="1"/>
                <w:szCs w:val="1"/>
                <w:color w:val="auto"/>
              </w:rPr>
            </w:pPr>
          </w:p>
        </w:tc>
      </w:tr>
      <w:tr>
        <w:trPr>
          <w:trHeight w:val="175"/>
        </w:trPr>
        <w:tc>
          <w:tcPr>
            <w:tcW w:w="5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Additions and remeasurements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75"/>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(318)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0" w:type="dxa"/>
            <w:vAlign w:val="bottom"/>
          </w:tcPr>
          <w:p>
            <w:pPr>
              <w:spacing w:after="0"/>
              <w:rPr>
                <w:sz w:val="1"/>
                <w:szCs w:val="1"/>
                <w:color w:val="auto"/>
              </w:rPr>
            </w:pPr>
          </w:p>
        </w:tc>
      </w:tr>
      <w:tr>
        <w:trPr>
          <w:trHeight w:val="166"/>
        </w:trPr>
        <w:tc>
          <w:tcPr>
            <w:tcW w:w="568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3,128</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102</w:t>
            </w: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3,235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0" w:right="119" w:firstLine="263"/>
        <w:spacing w:after="0" w:line="267" w:lineRule="auto"/>
        <w:rPr>
          <w:sz w:val="20"/>
          <w:szCs w:val="20"/>
          <w:color w:val="auto"/>
        </w:rPr>
      </w:pPr>
      <w:r>
        <w:rPr>
          <w:rFonts w:ascii="Times New Roman" w:cs="Times New Roman" w:eastAsia="Times New Roman" w:hAnsi="Times New Roman"/>
          <w:sz w:val="15"/>
          <w:szCs w:val="15"/>
          <w:color w:val="auto"/>
        </w:rPr>
        <w:t>There are no variable lease payments that are not included in the measurement of lease obligations. All extension options have been included in the measurement of lease obligations.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3" w:name="page154"/>
    <w:bookmarkEnd w:id="153"/>
    <w:p>
      <w:pPr>
        <w:ind w:left="40" w:right="119" w:firstLine="263"/>
        <w:spacing w:after="0" w:line="267" w:lineRule="auto"/>
        <w:rPr>
          <w:sz w:val="20"/>
          <w:szCs w:val="20"/>
          <w:color w:val="auto"/>
        </w:rPr>
      </w:pPr>
      <w:r>
        <w:rPr>
          <w:rFonts w:ascii="Times New Roman" w:cs="Times New Roman" w:eastAsia="Times New Roman" w:hAnsi="Times New Roman"/>
          <w:sz w:val="15"/>
          <w:szCs w:val="15"/>
          <w:color w:val="auto"/>
        </w:rPr>
        <w:t>For the three and six months ended June 30, 2024, and 2023, the impact on the Company’s condensed consolidated statements of income/(loss) and the condensed consolidated statements of cash flows is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0" w:type="dxa"/>
            <w:vAlign w:val="bottom"/>
            <w:gridSpan w:val="2"/>
            <w:vMerge w:val="restart"/>
          </w:tcPr>
          <w:p>
            <w:pPr>
              <w:ind w:left="292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0" w:type="dxa"/>
            <w:vAlign w:val="bottom"/>
            <w:gridSpan w:val="2"/>
            <w:vMerge w:val="continue"/>
          </w:tcPr>
          <w:p>
            <w:pPr>
              <w:spacing w:after="0"/>
              <w:rPr>
                <w:sz w:val="9"/>
                <w:szCs w:val="9"/>
                <w:color w:val="auto"/>
              </w:rPr>
            </w:pPr>
          </w:p>
        </w:tc>
        <w:tc>
          <w:tcPr>
            <w:tcW w:w="700" w:type="dxa"/>
            <w:vAlign w:val="bottom"/>
          </w:tcPr>
          <w:p>
            <w:pPr>
              <w:jc w:val="right"/>
              <w:ind w:right="93"/>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ind w:right="230"/>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Statements of income/(loss)</w:t>
            </w: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of right-of-use assets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on lease liabilities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Expense for short-term leases and leases of low value</w:t>
            </w: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w:t>
            </w:r>
          </w:p>
        </w:tc>
        <w:tc>
          <w:tcPr>
            <w:tcW w:w="840" w:type="dxa"/>
            <w:vAlign w:val="bottom"/>
            <w:tcBorders>
              <w:bottom w:val="single" w:sz="8" w:color="auto"/>
            </w:tcBorders>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368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Statements of cash flows</w:t>
            </w:r>
          </w:p>
        </w:tc>
        <w:tc>
          <w:tcPr>
            <w:tcW w:w="7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2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Total cash outflow for leases</w:t>
            </w:r>
          </w:p>
        </w:tc>
        <w:tc>
          <w:tcPr>
            <w:tcW w:w="840" w:type="dxa"/>
            <w:vAlign w:val="bottom"/>
            <w:tcBorders>
              <w:bottom w:val="single" w:sz="8" w:color="auto"/>
            </w:tcBorders>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6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the Six Months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0" w:type="dxa"/>
            <w:vAlign w:val="bottom"/>
            <w:gridSpan w:val="2"/>
            <w:vMerge w:val="restart"/>
          </w:tcPr>
          <w:p>
            <w:pPr>
              <w:ind w:left="292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0" w:type="dxa"/>
            <w:vAlign w:val="bottom"/>
            <w:gridSpan w:val="2"/>
            <w:vMerge w:val="continue"/>
          </w:tcPr>
          <w:p>
            <w:pPr>
              <w:spacing w:after="0"/>
              <w:rPr>
                <w:sz w:val="9"/>
                <w:szCs w:val="9"/>
                <w:color w:val="auto"/>
              </w:rPr>
            </w:pPr>
          </w:p>
        </w:tc>
        <w:tc>
          <w:tcPr>
            <w:tcW w:w="700" w:type="dxa"/>
            <w:vAlign w:val="bottom"/>
          </w:tcPr>
          <w:p>
            <w:pPr>
              <w:jc w:val="right"/>
              <w:ind w:right="93"/>
              <w:spacing w:after="0" w:line="111"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jc w:val="right"/>
              <w:ind w:right="230"/>
              <w:spacing w:after="0" w:line="111"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Statements of income/(loss)</w:t>
            </w: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of right-of-use assets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on lease liabilities</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Expense for short-term leases and leases of low value</w:t>
            </w: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363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w:t>
            </w:r>
          </w:p>
        </w:tc>
        <w:tc>
          <w:tcPr>
            <w:tcW w:w="840" w:type="dxa"/>
            <w:vAlign w:val="bottom"/>
            <w:tcBorders>
              <w:bottom w:val="single" w:sz="8" w:color="auto"/>
            </w:tcBorders>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759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Statements of cash flows</w:t>
            </w:r>
          </w:p>
        </w:tc>
        <w:tc>
          <w:tcPr>
            <w:tcW w:w="7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02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color w:val="auto"/>
              </w:rPr>
              <w:t>Total cash outflow for leases</w:t>
            </w:r>
          </w:p>
        </w:tc>
        <w:tc>
          <w:tcPr>
            <w:tcW w:w="840" w:type="dxa"/>
            <w:vAlign w:val="bottom"/>
            <w:tcBorders>
              <w:bottom w:val="single" w:sz="8" w:color="auto"/>
            </w:tcBorders>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762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color w:val="auto"/>
              </w:rPr>
              <w:t>The following table presents the contractual undiscounted cash flows for lease obligations as of June 30, 2024:</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000" w:type="dxa"/>
            <w:vAlign w:val="bottom"/>
            <w:gridSpan w:val="2"/>
            <w:vMerge w:val="restart"/>
          </w:tcPr>
          <w:p>
            <w:pPr>
              <w:ind w:left="338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w w:val="97"/>
              </w:rPr>
              <w:t>June 30, 2024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Less than one year</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789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1-3 years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3-5 years</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0" w:type="dxa"/>
            <w:vAlign w:val="bottom"/>
          </w:tcPr>
          <w:p>
            <w:pPr>
              <w:spacing w:after="0"/>
              <w:rPr>
                <w:sz w:val="1"/>
                <w:szCs w:val="1"/>
                <w:color w:val="auto"/>
              </w:rPr>
            </w:pPr>
          </w:p>
        </w:tc>
      </w:tr>
      <w:tr>
        <w:trPr>
          <w:trHeight w:val="166"/>
        </w:trPr>
        <w:tc>
          <w:tcPr>
            <w:tcW w:w="702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0" w:right="159" w:firstLine="263"/>
        <w:spacing w:after="0" w:line="304" w:lineRule="auto"/>
        <w:rPr>
          <w:sz w:val="20"/>
          <w:szCs w:val="20"/>
          <w:color w:val="auto"/>
        </w:rPr>
      </w:pPr>
      <w:r>
        <w:rPr>
          <w:rFonts w:ascii="Times New Roman" w:cs="Times New Roman" w:eastAsia="Times New Roman" w:hAnsi="Times New Roman"/>
          <w:sz w:val="14"/>
          <w:szCs w:val="14"/>
          <w:color w:val="auto"/>
        </w:rPr>
        <w:t>The Company also has deposits in escrow accounts totaling CHF 0.4 million for leases of the Company’s premises as of both June 30, 2024 and December 31, 2023, respectively. These deposits are presented in Long-term financial assets on the Company’s condensed consolidated balance sheets.</w:t>
      </w:r>
    </w:p>
    <w:p>
      <w:pPr>
        <w:spacing w:after="0" w:line="116" w:lineRule="exact"/>
        <w:rPr>
          <w:sz w:val="20"/>
          <w:szCs w:val="20"/>
          <w:color w:val="auto"/>
        </w:rPr>
      </w:pPr>
    </w:p>
    <w:p>
      <w:pPr>
        <w:ind w:left="40"/>
        <w:spacing w:after="0"/>
        <w:tabs>
          <w:tab w:leader="none" w:pos="280" w:val="left"/>
        </w:tabs>
        <w:rPr>
          <w:sz w:val="20"/>
          <w:szCs w:val="20"/>
          <w:color w:val="auto"/>
        </w:rPr>
      </w:pPr>
      <w:r>
        <w:rPr>
          <w:rFonts w:ascii="Times New Roman" w:cs="Times New Roman" w:eastAsia="Times New Roman" w:hAnsi="Times New Roman"/>
          <w:sz w:val="15"/>
          <w:szCs w:val="15"/>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Accrued expenses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6500" w:type="dxa"/>
            <w:vAlign w:val="bottom"/>
            <w:gridSpan w:val="2"/>
            <w:vMerge w:val="restart"/>
          </w:tcPr>
          <w:p>
            <w:pPr>
              <w:ind w:left="270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10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012"/>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0" w:type="dxa"/>
            <w:vAlign w:val="bottom"/>
          </w:tcPr>
          <w:p>
            <w:pPr>
              <w:spacing w:after="0"/>
              <w:rPr>
                <w:sz w:val="1"/>
                <w:szCs w:val="1"/>
                <w:color w:val="auto"/>
              </w:rPr>
            </w:pPr>
          </w:p>
        </w:tc>
      </w:tr>
      <w:tr>
        <w:trPr>
          <w:trHeight w:val="111"/>
        </w:trPr>
        <w:tc>
          <w:tcPr>
            <w:tcW w:w="6500" w:type="dxa"/>
            <w:vAlign w:val="bottom"/>
            <w:gridSpan w:val="2"/>
            <w:vMerge w:val="continue"/>
          </w:tcPr>
          <w:p>
            <w:pPr>
              <w:spacing w:after="0"/>
              <w:rPr>
                <w:sz w:val="9"/>
                <w:szCs w:val="9"/>
                <w:color w:val="auto"/>
              </w:rPr>
            </w:pPr>
          </w:p>
        </w:tc>
        <w:tc>
          <w:tcPr>
            <w:tcW w:w="1060" w:type="dxa"/>
            <w:vAlign w:val="bottom"/>
          </w:tcPr>
          <w:p>
            <w:pPr>
              <w:jc w:val="right"/>
              <w:ind w:right="132"/>
              <w:spacing w:after="0" w:line="111"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180" w:type="dxa"/>
            <w:vAlign w:val="bottom"/>
          </w:tcPr>
          <w:p>
            <w:pPr>
              <w:spacing w:after="0"/>
              <w:rPr>
                <w:sz w:val="9"/>
                <w:szCs w:val="9"/>
                <w:color w:val="auto"/>
              </w:rPr>
            </w:pPr>
          </w:p>
        </w:tc>
        <w:tc>
          <w:tcPr>
            <w:tcW w:w="1180" w:type="dxa"/>
            <w:vAlign w:val="bottom"/>
          </w:tcPr>
          <w:p>
            <w:pPr>
              <w:jc w:val="right"/>
              <w:ind w:right="52"/>
              <w:spacing w:after="0" w:line="111"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66"/>
        </w:trPr>
        <w:tc>
          <w:tcPr>
            <w:tcW w:w="63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Accrued expenses</w:t>
            </w:r>
          </w:p>
        </w:tc>
        <w:tc>
          <w:tcPr>
            <w:tcW w:w="1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11,895</w:t>
            </w:r>
          </w:p>
        </w:tc>
        <w:tc>
          <w:tcPr>
            <w:tcW w:w="1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11,087</w:t>
            </w:r>
          </w:p>
        </w:tc>
        <w:tc>
          <w:tcPr>
            <w:tcW w:w="0" w:type="dxa"/>
            <w:vAlign w:val="bottom"/>
          </w:tcPr>
          <w:p>
            <w:pPr>
              <w:spacing w:after="0"/>
              <w:rPr>
                <w:sz w:val="1"/>
                <w:szCs w:val="1"/>
                <w:color w:val="auto"/>
              </w:rPr>
            </w:pPr>
          </w:p>
        </w:tc>
      </w:tr>
      <w:tr>
        <w:trPr>
          <w:trHeight w:val="166"/>
        </w:trPr>
        <w:tc>
          <w:tcPr>
            <w:tcW w:w="65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accrued expenses</w:t>
            </w:r>
          </w:p>
        </w:tc>
        <w:tc>
          <w:tcPr>
            <w:tcW w:w="10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11,895</w:t>
            </w:r>
          </w:p>
        </w:tc>
        <w:tc>
          <w:tcPr>
            <w:tcW w:w="18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11,087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0" w:right="259" w:firstLine="263"/>
        <w:spacing w:after="0" w:line="267" w:lineRule="auto"/>
        <w:rPr>
          <w:sz w:val="20"/>
          <w:szCs w:val="20"/>
          <w:color w:val="auto"/>
        </w:rPr>
      </w:pPr>
      <w:r>
        <w:rPr>
          <w:rFonts w:ascii="Times New Roman" w:cs="Times New Roman" w:eastAsia="Times New Roman" w:hAnsi="Times New Roman"/>
          <w:sz w:val="15"/>
          <w:szCs w:val="15"/>
          <w:color w:val="auto"/>
        </w:rPr>
        <w:t>Accrued expenses consists of accrued R&amp;D costs, accrued payroll expenses and other accrued expenses totaling CHF 11.9 million and CHF 11.1 million as of June 30, 2024 and December 31, 2023, respectively.</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4" w:name="page155"/>
    <w:bookmarkEnd w:id="154"/>
    <w:p>
      <w:pPr>
        <w:ind w:left="300" w:hanging="266"/>
        <w:spacing w:after="0"/>
        <w:tabs>
          <w:tab w:leader="none" w:pos="300" w:val="left"/>
        </w:tabs>
        <w:numPr>
          <w:ilvl w:val="0"/>
          <w:numId w:val="1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Intangible assets</w:t>
      </w:r>
    </w:p>
    <w:p>
      <w:pPr>
        <w:spacing w:after="0" w:line="180" w:lineRule="exact"/>
        <w:rPr>
          <w:sz w:val="20"/>
          <w:szCs w:val="20"/>
          <w:color w:val="auto"/>
        </w:rPr>
      </w:pPr>
    </w:p>
    <w:p>
      <w:pPr>
        <w:ind w:left="40" w:right="79" w:firstLine="263"/>
        <w:spacing w:after="0" w:line="255" w:lineRule="auto"/>
        <w:rPr>
          <w:sz w:val="20"/>
          <w:szCs w:val="20"/>
          <w:color w:val="auto"/>
        </w:rPr>
      </w:pPr>
      <w:r>
        <w:rPr>
          <w:rFonts w:ascii="Times New Roman" w:cs="Times New Roman" w:eastAsia="Times New Roman" w:hAnsi="Times New Roman"/>
          <w:sz w:val="15"/>
          <w:szCs w:val="15"/>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As of June 30, 2024</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Borders>
              <w:bottom w:val="single" w:sz="8" w:color="auto"/>
            </w:tcBorders>
            <w:gridSpan w:val="5"/>
          </w:tcPr>
          <w:p>
            <w:pPr>
              <w:jc w:val="center"/>
              <w:ind w:left="477"/>
              <w:spacing w:after="0"/>
              <w:rPr>
                <w:sz w:val="20"/>
                <w:szCs w:val="20"/>
                <w:color w:val="auto"/>
              </w:rPr>
            </w:pPr>
            <w:r>
              <w:rPr>
                <w:rFonts w:ascii="Times New Roman" w:cs="Times New Roman" w:eastAsia="Times New Roman" w:hAnsi="Times New Roman"/>
                <w:sz w:val="12"/>
                <w:szCs w:val="12"/>
                <w:b w:val="1"/>
                <w:bCs w:val="1"/>
                <w:color w:val="auto"/>
                <w:w w:val="96"/>
              </w:rPr>
              <w:t>As of December 31, 2023</w:t>
            </w: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160"/>
              <w:spacing w:after="0" w:line="114" w:lineRule="exact"/>
              <w:rPr>
                <w:sz w:val="20"/>
                <w:szCs w:val="20"/>
                <w:color w:val="auto"/>
              </w:rPr>
            </w:pPr>
            <w:r>
              <w:rPr>
                <w:rFonts w:ascii="Times New Roman" w:cs="Times New Roman" w:eastAsia="Times New Roman" w:hAnsi="Times New Roman"/>
                <w:sz w:val="12"/>
                <w:szCs w:val="12"/>
                <w:b w:val="1"/>
                <w:bCs w:val="1"/>
                <w:color w:val="auto"/>
              </w:rPr>
              <w:t>Gross</w:t>
            </w:r>
          </w:p>
        </w:tc>
        <w:tc>
          <w:tcPr>
            <w:tcW w:w="140" w:type="dxa"/>
            <w:vAlign w:val="bottom"/>
          </w:tcPr>
          <w:p>
            <w:pPr>
              <w:spacing w:after="0"/>
              <w:rPr>
                <w:sz w:val="9"/>
                <w:szCs w:val="9"/>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Net Book</w:t>
            </w:r>
          </w:p>
        </w:tc>
        <w:tc>
          <w:tcPr>
            <w:tcW w:w="7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2"/>
                <w:szCs w:val="12"/>
                <w:b w:val="1"/>
                <w:bCs w:val="1"/>
                <w:color w:val="auto"/>
              </w:rPr>
              <w:t>Gross</w:t>
            </w: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Net Book</w:t>
            </w:r>
          </w:p>
        </w:tc>
        <w:tc>
          <w:tcPr>
            <w:tcW w:w="0" w:type="dxa"/>
            <w:vAlign w:val="bottom"/>
          </w:tcPr>
          <w:p>
            <w:pPr>
              <w:spacing w:after="0"/>
              <w:rPr>
                <w:sz w:val="1"/>
                <w:szCs w:val="1"/>
                <w:color w:val="auto"/>
              </w:rPr>
            </w:pPr>
          </w:p>
        </w:tc>
      </w:tr>
      <w:tr>
        <w:trPr>
          <w:trHeight w:val="120"/>
        </w:trPr>
        <w:tc>
          <w:tcPr>
            <w:tcW w:w="412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6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60" w:type="dxa"/>
            <w:vAlign w:val="bottom"/>
            <w:gridSpan w:val="2"/>
          </w:tcPr>
          <w:p>
            <w:pPr>
              <w:jc w:val="center"/>
              <w:ind w:right="140"/>
              <w:spacing w:after="0" w:line="121"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104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120" w:type="dxa"/>
            <w:vAlign w:val="bottom"/>
            <w:gridSpan w:val="2"/>
            <w:vMerge w:val="continue"/>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4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Amortization</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Amortization</w:t>
            </w:r>
          </w:p>
        </w:tc>
        <w:tc>
          <w:tcPr>
            <w:tcW w:w="5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166"/>
        </w:trPr>
        <w:tc>
          <w:tcPr>
            <w:tcW w:w="39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Acquired IPR&amp;D asset</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ind w:left="16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ind w:left="6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ind w:left="14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ind w:left="16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ind w:left="6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0" w:type="dxa"/>
            <w:vAlign w:val="bottom"/>
          </w:tcPr>
          <w:p>
            <w:pPr>
              <w:spacing w:after="0"/>
              <w:rPr>
                <w:sz w:val="1"/>
                <w:szCs w:val="1"/>
                <w:color w:val="auto"/>
              </w:rPr>
            </w:pPr>
          </w:p>
        </w:tc>
      </w:tr>
      <w:tr>
        <w:trPr>
          <w:trHeight w:val="166"/>
        </w:trPr>
        <w:tc>
          <w:tcPr>
            <w:tcW w:w="412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intangible assets</w:t>
            </w:r>
          </w:p>
        </w:tc>
        <w:tc>
          <w:tcPr>
            <w:tcW w:w="600" w:type="dxa"/>
            <w:vAlign w:val="bottom"/>
            <w:tcBorders>
              <w:bottom w:val="single" w:sz="8" w:color="auto"/>
            </w:tcBorders>
          </w:tcPr>
          <w:p>
            <w:pPr>
              <w:ind w:left="16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140" w:type="dxa"/>
            <w:vAlign w:val="bottom"/>
          </w:tcPr>
          <w:p>
            <w:pPr>
              <w:spacing w:after="0"/>
              <w:rPr>
                <w:sz w:val="14"/>
                <w:szCs w:val="14"/>
                <w:color w:val="auto"/>
              </w:rPr>
            </w:pPr>
          </w:p>
        </w:tc>
        <w:tc>
          <w:tcPr>
            <w:tcW w:w="820" w:type="dxa"/>
            <w:vAlign w:val="bottom"/>
            <w:tcBorders>
              <w:bottom w:val="single" w:sz="8" w:color="auto"/>
            </w:tcBorders>
          </w:tcPr>
          <w:p>
            <w:pPr>
              <w:ind w:left="6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600" w:type="dxa"/>
            <w:vAlign w:val="bottom"/>
            <w:tcBorders>
              <w:bottom w:val="single" w:sz="8" w:color="auto"/>
            </w:tcBorders>
          </w:tcPr>
          <w:p>
            <w:pPr>
              <w:ind w:left="14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140" w:type="dxa"/>
            <w:vAlign w:val="bottom"/>
          </w:tcPr>
          <w:p>
            <w:pPr>
              <w:spacing w:after="0"/>
              <w:rPr>
                <w:sz w:val="14"/>
                <w:szCs w:val="14"/>
                <w:color w:val="auto"/>
              </w:rPr>
            </w:pPr>
          </w:p>
        </w:tc>
        <w:tc>
          <w:tcPr>
            <w:tcW w:w="600" w:type="dxa"/>
            <w:vAlign w:val="bottom"/>
            <w:tcBorders>
              <w:bottom w:val="single" w:sz="8" w:color="auto"/>
            </w:tcBorders>
          </w:tcPr>
          <w:p>
            <w:pPr>
              <w:ind w:left="16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6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50,416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40" w:right="79" w:firstLine="263"/>
        <w:spacing w:after="0" w:line="250" w:lineRule="auto"/>
        <w:rPr>
          <w:sz w:val="20"/>
          <w:szCs w:val="20"/>
          <w:color w:val="auto"/>
        </w:rPr>
      </w:pPr>
      <w:r>
        <w:rPr>
          <w:rFonts w:ascii="Times New Roman" w:cs="Times New Roman" w:eastAsia="Times New Roman" w:hAnsi="Times New Roman"/>
          <w:sz w:val="15"/>
          <w:szCs w:val="15"/>
          <w:color w:val="auto"/>
        </w:rPr>
        <w:t xml:space="preserve">In accordance with IAS 36 </w:t>
      </w:r>
      <w:r>
        <w:rPr>
          <w:rFonts w:ascii="Times New Roman" w:cs="Times New Roman" w:eastAsia="Times New Roman" w:hAnsi="Times New Roman"/>
          <w:sz w:val="15"/>
          <w:szCs w:val="15"/>
          <w:i w:val="1"/>
          <w:iCs w:val="1"/>
          <w:color w:val="auto"/>
        </w:rPr>
        <w:t>Impairment of Assets</w:t>
      </w:r>
      <w:r>
        <w:rPr>
          <w:rFonts w:ascii="Times New Roman" w:cs="Times New Roman" w:eastAsia="Times New Roman" w:hAnsi="Times New Roman"/>
          <w:sz w:val="15"/>
          <w:szCs w:val="15"/>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xml:space="preserve"> due to unobservable inputs used in the valuation. The Company has determined the IPR&amp;D asset not to be impaired as of December 31, 2023. As of June 30, 2024, the Company did not identify any triggering events that could result in an impairment of the IPR&amp;D asset.</w:t>
      </w:r>
    </w:p>
    <w:p>
      <w:pPr>
        <w:spacing w:after="0" w:line="152" w:lineRule="exact"/>
        <w:rPr>
          <w:sz w:val="20"/>
          <w:szCs w:val="20"/>
          <w:color w:val="auto"/>
        </w:rPr>
      </w:pPr>
    </w:p>
    <w:p>
      <w:pPr>
        <w:ind w:left="300" w:hanging="266"/>
        <w:spacing w:after="0"/>
        <w:tabs>
          <w:tab w:leader="none" w:pos="300" w:val="left"/>
        </w:tabs>
        <w:numPr>
          <w:ilvl w:val="0"/>
          <w:numId w:val="1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Prepaid expenses</w:t>
      </w:r>
    </w:p>
    <w:p>
      <w:pPr>
        <w:spacing w:after="0" w:line="180" w:lineRule="exact"/>
        <w:rPr>
          <w:sz w:val="20"/>
          <w:szCs w:val="20"/>
          <w:color w:val="auto"/>
        </w:rPr>
      </w:pPr>
    </w:p>
    <w:p>
      <w:pPr>
        <w:ind w:left="40" w:right="59" w:firstLine="263"/>
        <w:spacing w:after="0" w:line="267" w:lineRule="auto"/>
        <w:rPr>
          <w:sz w:val="20"/>
          <w:szCs w:val="20"/>
          <w:color w:val="auto"/>
        </w:rPr>
      </w:pPr>
      <w:r>
        <w:rPr>
          <w:rFonts w:ascii="Times New Roman" w:cs="Times New Roman" w:eastAsia="Times New Roman" w:hAnsi="Times New Roman"/>
          <w:sz w:val="15"/>
          <w:szCs w:val="15"/>
          <w:color w:val="auto"/>
        </w:rPr>
        <w:t>Prepaid expenses include prepaid R&amp;D costs, administrative costs and employee social obligations totaling CHF 3.9 million and CHF 6.4 million as of June 30, 2024 and December 31, 2023, respectively.</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10. Cash and cash equivalents and short-term financial assets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summarizes AC Immune’s cash and cash equivalents and short-term financial assets as of June 30, 2024 and</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December 31,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6500" w:type="dxa"/>
            <w:vAlign w:val="bottom"/>
            <w:gridSpan w:val="2"/>
            <w:vMerge w:val="restart"/>
          </w:tcPr>
          <w:p>
            <w:pPr>
              <w:ind w:left="270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10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012"/>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0" w:type="dxa"/>
            <w:vAlign w:val="bottom"/>
          </w:tcPr>
          <w:p>
            <w:pPr>
              <w:spacing w:after="0"/>
              <w:rPr>
                <w:sz w:val="1"/>
                <w:szCs w:val="1"/>
                <w:color w:val="auto"/>
              </w:rPr>
            </w:pPr>
          </w:p>
        </w:tc>
      </w:tr>
      <w:tr>
        <w:trPr>
          <w:trHeight w:val="111"/>
        </w:trPr>
        <w:tc>
          <w:tcPr>
            <w:tcW w:w="6500" w:type="dxa"/>
            <w:vAlign w:val="bottom"/>
            <w:gridSpan w:val="2"/>
            <w:vMerge w:val="continue"/>
          </w:tcPr>
          <w:p>
            <w:pPr>
              <w:spacing w:after="0"/>
              <w:rPr>
                <w:sz w:val="9"/>
                <w:szCs w:val="9"/>
                <w:color w:val="auto"/>
              </w:rPr>
            </w:pPr>
          </w:p>
        </w:tc>
        <w:tc>
          <w:tcPr>
            <w:tcW w:w="1060" w:type="dxa"/>
            <w:vAlign w:val="bottom"/>
          </w:tcPr>
          <w:p>
            <w:pPr>
              <w:jc w:val="right"/>
              <w:ind w:right="132"/>
              <w:spacing w:after="0" w:line="111"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180" w:type="dxa"/>
            <w:vAlign w:val="bottom"/>
          </w:tcPr>
          <w:p>
            <w:pPr>
              <w:spacing w:after="0"/>
              <w:rPr>
                <w:sz w:val="9"/>
                <w:szCs w:val="9"/>
                <w:color w:val="auto"/>
              </w:rPr>
            </w:pPr>
          </w:p>
        </w:tc>
        <w:tc>
          <w:tcPr>
            <w:tcW w:w="1180" w:type="dxa"/>
            <w:vAlign w:val="bottom"/>
          </w:tcPr>
          <w:p>
            <w:pPr>
              <w:jc w:val="right"/>
              <w:ind w:right="52"/>
              <w:spacing w:after="0" w:line="111"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66"/>
        </w:trPr>
        <w:tc>
          <w:tcPr>
            <w:tcW w:w="63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51,564</w:t>
            </w:r>
          </w:p>
        </w:tc>
        <w:tc>
          <w:tcPr>
            <w:tcW w:w="1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78,494</w:t>
            </w:r>
          </w:p>
        </w:tc>
        <w:tc>
          <w:tcPr>
            <w:tcW w:w="0" w:type="dxa"/>
            <w:vAlign w:val="bottom"/>
          </w:tcPr>
          <w:p>
            <w:pPr>
              <w:spacing w:after="0"/>
              <w:rPr>
                <w:sz w:val="1"/>
                <w:szCs w:val="1"/>
                <w:color w:val="auto"/>
              </w:rPr>
            </w:pPr>
          </w:p>
        </w:tc>
      </w:tr>
      <w:tr>
        <w:trPr>
          <w:trHeight w:val="166"/>
        </w:trPr>
        <w:tc>
          <w:tcPr>
            <w:tcW w:w="65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cash and cash equivalents</w:t>
            </w:r>
          </w:p>
        </w:tc>
        <w:tc>
          <w:tcPr>
            <w:tcW w:w="10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51,564</w:t>
            </w:r>
          </w:p>
        </w:tc>
        <w:tc>
          <w:tcPr>
            <w:tcW w:w="18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78,494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500" w:type="dxa"/>
            <w:vAlign w:val="bottom"/>
            <w:gridSpan w:val="2"/>
            <w:vMerge w:val="restart"/>
          </w:tcPr>
          <w:p>
            <w:pPr>
              <w:ind w:left="2700"/>
              <w:spacing w:after="0"/>
              <w:rPr>
                <w:sz w:val="20"/>
                <w:szCs w:val="20"/>
                <w:color w:val="auto"/>
              </w:rPr>
            </w:pPr>
            <w:r>
              <w:rPr>
                <w:rFonts w:ascii="Times New Roman" w:cs="Times New Roman" w:eastAsia="Times New Roman" w:hAnsi="Times New Roman"/>
                <w:sz w:val="12"/>
                <w:szCs w:val="12"/>
                <w:b w:val="1"/>
                <w:bCs w:val="1"/>
                <w:color w:val="auto"/>
              </w:rPr>
              <w:t>In CHF thousands</w:t>
            </w:r>
          </w:p>
        </w:tc>
        <w:tc>
          <w:tcPr>
            <w:tcW w:w="10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012"/>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0" w:type="dxa"/>
            <w:vAlign w:val="bottom"/>
          </w:tcPr>
          <w:p>
            <w:pPr>
              <w:spacing w:after="0"/>
              <w:rPr>
                <w:sz w:val="1"/>
                <w:szCs w:val="1"/>
                <w:color w:val="auto"/>
              </w:rPr>
            </w:pPr>
          </w:p>
        </w:tc>
      </w:tr>
      <w:tr>
        <w:trPr>
          <w:trHeight w:val="111"/>
        </w:trPr>
        <w:tc>
          <w:tcPr>
            <w:tcW w:w="6500" w:type="dxa"/>
            <w:vAlign w:val="bottom"/>
            <w:gridSpan w:val="2"/>
            <w:vMerge w:val="continue"/>
          </w:tcPr>
          <w:p>
            <w:pPr>
              <w:spacing w:after="0"/>
              <w:rPr>
                <w:sz w:val="9"/>
                <w:szCs w:val="9"/>
                <w:color w:val="auto"/>
              </w:rPr>
            </w:pPr>
          </w:p>
        </w:tc>
        <w:tc>
          <w:tcPr>
            <w:tcW w:w="1060" w:type="dxa"/>
            <w:vAlign w:val="bottom"/>
          </w:tcPr>
          <w:p>
            <w:pPr>
              <w:jc w:val="right"/>
              <w:ind w:right="132"/>
              <w:spacing w:after="0" w:line="111" w:lineRule="exact"/>
              <w:rPr>
                <w:sz w:val="20"/>
                <w:szCs w:val="20"/>
                <w:color w:val="auto"/>
              </w:rPr>
            </w:pPr>
            <w:r>
              <w:rPr>
                <w:rFonts w:ascii="Times New Roman" w:cs="Times New Roman" w:eastAsia="Times New Roman" w:hAnsi="Times New Roman"/>
                <w:sz w:val="12"/>
                <w:szCs w:val="12"/>
                <w:b w:val="1"/>
                <w:bCs w:val="1"/>
                <w:color w:val="auto"/>
              </w:rPr>
              <w:t>June 30, 2024</w:t>
            </w:r>
          </w:p>
        </w:tc>
        <w:tc>
          <w:tcPr>
            <w:tcW w:w="180" w:type="dxa"/>
            <w:vAlign w:val="bottom"/>
          </w:tcPr>
          <w:p>
            <w:pPr>
              <w:spacing w:after="0"/>
              <w:rPr>
                <w:sz w:val="9"/>
                <w:szCs w:val="9"/>
                <w:color w:val="auto"/>
              </w:rPr>
            </w:pPr>
          </w:p>
        </w:tc>
        <w:tc>
          <w:tcPr>
            <w:tcW w:w="1180" w:type="dxa"/>
            <w:vAlign w:val="bottom"/>
          </w:tcPr>
          <w:p>
            <w:pPr>
              <w:jc w:val="right"/>
              <w:ind w:right="52"/>
              <w:spacing w:after="0" w:line="111"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66"/>
        </w:trPr>
        <w:tc>
          <w:tcPr>
            <w:tcW w:w="63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Short-term financial assets due in one year or less</w:t>
            </w:r>
          </w:p>
        </w:tc>
        <w:tc>
          <w:tcPr>
            <w:tcW w:w="1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123,560</w:t>
            </w:r>
          </w:p>
        </w:tc>
        <w:tc>
          <w:tcPr>
            <w:tcW w:w="1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24,554</w:t>
            </w:r>
          </w:p>
        </w:tc>
        <w:tc>
          <w:tcPr>
            <w:tcW w:w="0" w:type="dxa"/>
            <w:vAlign w:val="bottom"/>
          </w:tcPr>
          <w:p>
            <w:pPr>
              <w:spacing w:after="0"/>
              <w:rPr>
                <w:sz w:val="1"/>
                <w:szCs w:val="1"/>
                <w:color w:val="auto"/>
              </w:rPr>
            </w:pPr>
          </w:p>
        </w:tc>
      </w:tr>
      <w:tr>
        <w:trPr>
          <w:trHeight w:val="166"/>
        </w:trPr>
        <w:tc>
          <w:tcPr>
            <w:tcW w:w="65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short-term financial assets</w:t>
            </w:r>
          </w:p>
        </w:tc>
        <w:tc>
          <w:tcPr>
            <w:tcW w:w="10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123,560</w:t>
            </w:r>
          </w:p>
        </w:tc>
        <w:tc>
          <w:tcPr>
            <w:tcW w:w="18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24,554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0" w:right="619" w:firstLine="263"/>
        <w:spacing w:after="0" w:line="267" w:lineRule="auto"/>
        <w:rPr>
          <w:sz w:val="20"/>
          <w:szCs w:val="20"/>
          <w:color w:val="auto"/>
        </w:rPr>
      </w:pPr>
      <w:r>
        <w:rPr>
          <w:rFonts w:ascii="Times New Roman" w:cs="Times New Roman" w:eastAsia="Times New Roman" w:hAnsi="Times New Roman"/>
          <w:sz w:val="15"/>
          <w:szCs w:val="15"/>
          <w:color w:val="auto"/>
        </w:rPr>
        <w:t>For the six months ended June 30, 2024, the net investments associated with the short-term financial assets amounted to CHF 99.0 million, compared to net proceeds associated with the maturity of investments of CHF 38.0 million in the prior comparable period.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5"/>
          <w:szCs w:val="15"/>
          <w:b w:val="1"/>
          <w:bCs w:val="1"/>
          <w:color w:val="auto"/>
        </w:rPr>
        <w:t>11. Accounts receivable</w:t>
      </w:r>
    </w:p>
    <w:p>
      <w:pPr>
        <w:spacing w:after="0" w:line="180" w:lineRule="exact"/>
        <w:rPr>
          <w:sz w:val="20"/>
          <w:szCs w:val="20"/>
          <w:color w:val="auto"/>
        </w:rPr>
      </w:pPr>
    </w:p>
    <w:p>
      <w:pPr>
        <w:ind w:left="40" w:right="79" w:firstLine="263"/>
        <w:spacing w:after="0" w:line="267" w:lineRule="auto"/>
        <w:rPr>
          <w:sz w:val="20"/>
          <w:szCs w:val="20"/>
          <w:color w:val="auto"/>
        </w:rPr>
      </w:pPr>
      <w:r>
        <w:rPr>
          <w:rFonts w:ascii="Times New Roman" w:cs="Times New Roman" w:eastAsia="Times New Roman" w:hAnsi="Times New Roman"/>
          <w:sz w:val="15"/>
          <w:szCs w:val="15"/>
          <w:color w:val="auto"/>
        </w:rPr>
        <w:t>As of June 30, 2024, the balance of accounts receivable is nil following the receipt of the CHF 14.8 million milestone payment from Janssen, which was due as of December 31, 2023.</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12. Share capital and Treasury shares</w:t>
      </w:r>
    </w:p>
    <w:p>
      <w:pPr>
        <w:spacing w:after="0" w:line="180" w:lineRule="exact"/>
        <w:rPr>
          <w:sz w:val="20"/>
          <w:szCs w:val="20"/>
          <w:color w:val="auto"/>
        </w:rPr>
      </w:pPr>
    </w:p>
    <w:p>
      <w:pPr>
        <w:ind w:left="40" w:right="379" w:firstLine="263"/>
        <w:spacing w:after="0" w:line="267" w:lineRule="auto"/>
        <w:rPr>
          <w:sz w:val="20"/>
          <w:szCs w:val="20"/>
          <w:color w:val="auto"/>
        </w:rPr>
      </w:pPr>
      <w:r>
        <w:rPr>
          <w:rFonts w:ascii="Times New Roman" w:cs="Times New Roman" w:eastAsia="Times New Roman" w:hAnsi="Times New Roman"/>
          <w:sz w:val="15"/>
          <w:szCs w:val="15"/>
          <w:color w:val="auto"/>
        </w:rPr>
        <w:t>For a discussion of our at the market offering program with Jefferies LLC for the fiscal year ended December 31, 2023, please refer to Note 12 “Share capital” of our Annual Report on Form 20-F for the year ended December 31, 2023 filed on March 14, 2024.</w:t>
      </w:r>
    </w:p>
    <w:p>
      <w:pPr>
        <w:spacing w:after="0" w:line="142" w:lineRule="exact"/>
        <w:rPr>
          <w:sz w:val="20"/>
          <w:szCs w:val="20"/>
          <w:color w:val="auto"/>
        </w:rPr>
      </w:pPr>
    </w:p>
    <w:p>
      <w:pPr>
        <w:jc w:val="both"/>
        <w:ind w:left="40" w:right="299" w:firstLine="263"/>
        <w:spacing w:after="0" w:line="267" w:lineRule="auto"/>
        <w:rPr>
          <w:sz w:val="20"/>
          <w:szCs w:val="20"/>
          <w:color w:val="auto"/>
        </w:rPr>
      </w:pPr>
      <w:r>
        <w:rPr>
          <w:rFonts w:ascii="Times New Roman" w:cs="Times New Roman" w:eastAsia="Times New Roman" w:hAnsi="Times New Roman"/>
          <w:sz w:val="15"/>
          <w:szCs w:val="15"/>
          <w:color w:val="auto"/>
        </w:rPr>
        <w:t>In Q2 2024, the Company issued 5,700,000 registered shares to AC Immune USA, Inc. pursuant to a share agreement, which were subsequently repurchased to be held as treasury shares.</w:t>
      </w:r>
    </w:p>
    <w:p>
      <w:pPr>
        <w:spacing w:after="0" w:line="142" w:lineRule="exact"/>
        <w:rPr>
          <w:sz w:val="20"/>
          <w:szCs w:val="20"/>
          <w:color w:val="auto"/>
        </w:rPr>
      </w:pPr>
    </w:p>
    <w:p>
      <w:pPr>
        <w:ind w:left="40" w:right="219" w:firstLine="263"/>
        <w:spacing w:after="0" w:line="267" w:lineRule="auto"/>
        <w:rPr>
          <w:sz w:val="20"/>
          <w:szCs w:val="20"/>
          <w:color w:val="auto"/>
        </w:rPr>
      </w:pPr>
      <w:r>
        <w:rPr>
          <w:rFonts w:ascii="Times New Roman" w:cs="Times New Roman" w:eastAsia="Times New Roman" w:hAnsi="Times New Roman"/>
          <w:sz w:val="15"/>
          <w:szCs w:val="15"/>
          <w:color w:val="auto"/>
        </w:rPr>
        <w:t>In Q2 2024, the Company sold 30,232 common shares previously held as treasury shares pursuant to the Sales Agreement, raising USD 0.1 (CHF 0.1) million, net of underwriting fees.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As of June 30, 2024 and December 31, 2023, the Company had 10,902,617 and 5,243,958 treasury shares remaining, respectively.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13. Finance result, net</w:t>
      </w:r>
    </w:p>
    <w:p>
      <w:pPr>
        <w:spacing w:after="0" w:line="180" w:lineRule="exact"/>
        <w:rPr>
          <w:sz w:val="20"/>
          <w:szCs w:val="20"/>
          <w:color w:val="auto"/>
        </w:rPr>
      </w:pPr>
    </w:p>
    <w:p>
      <w:pPr>
        <w:jc w:val="both"/>
        <w:ind w:left="40" w:right="299" w:firstLine="263"/>
        <w:spacing w:after="0" w:line="251" w:lineRule="auto"/>
        <w:rPr>
          <w:sz w:val="20"/>
          <w:szCs w:val="20"/>
          <w:color w:val="auto"/>
        </w:rPr>
      </w:pPr>
      <w:r>
        <w:rPr>
          <w:rFonts w:ascii="Times New Roman" w:cs="Times New Roman" w:eastAsia="Times New Roman" w:hAnsi="Times New Roman"/>
          <w:sz w:val="15"/>
          <w:szCs w:val="15"/>
          <w:color w:val="auto"/>
        </w:rPr>
        <w:t>For the three months ended June 30, 2024 and 2023, the net finance result amounted to a loss of CHF 1.8 million and a gain of CHF 0.2 million, respectively. The loss in 2024 is primarily due to unfavorable foreign currency exchange differences related to movement in the CHF versus foreign currencies, predominantly the US Dollar. It is partially offset by an increase in financial income due to higher interest received on net investments in short-term financial assets, attributed to more deposits in 2024 compared to the prior period.</w:t>
      </w:r>
    </w:p>
    <w:p>
      <w:pPr>
        <w:spacing w:after="0" w:line="154" w:lineRule="exact"/>
        <w:rPr>
          <w:sz w:val="20"/>
          <w:szCs w:val="20"/>
          <w:color w:val="auto"/>
        </w:rPr>
      </w:pPr>
    </w:p>
    <w:p>
      <w:pPr>
        <w:ind w:left="40" w:right="179" w:firstLine="263"/>
        <w:spacing w:after="0" w:line="251" w:lineRule="auto"/>
        <w:rPr>
          <w:sz w:val="20"/>
          <w:szCs w:val="20"/>
          <w:color w:val="auto"/>
        </w:rPr>
      </w:pPr>
      <w:r>
        <w:rPr>
          <w:rFonts w:ascii="Times New Roman" w:cs="Times New Roman" w:eastAsia="Times New Roman" w:hAnsi="Times New Roman"/>
          <w:sz w:val="15"/>
          <w:szCs w:val="15"/>
          <w:color w:val="auto"/>
        </w:rPr>
        <w:t>For the six months ended June 30, 2024 and 2023, AC Immune recorded CHF 0.4 million and CHF 0.3 million in net financial gains, respectively. The increase in 2024 is primarily related to an increase in financial income due to higher interest received on net investments in short-term financial assets, attributed to more deposits in 2024 compared to the prior period. This is partially offset by unfavorable foreign currency exchange differences related to movement in the CHF versus foreign currencies, predominantly the US Dollar.</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14. Subsequent events</w:t>
      </w:r>
    </w:p>
    <w:p>
      <w:pPr>
        <w:spacing w:after="0" w:line="180" w:lineRule="exact"/>
        <w:rPr>
          <w:sz w:val="20"/>
          <w:szCs w:val="20"/>
          <w:color w:val="auto"/>
        </w:rPr>
      </w:pPr>
    </w:p>
    <w:p>
      <w:pPr>
        <w:ind w:left="40" w:right="119" w:firstLine="263"/>
        <w:spacing w:after="0" w:line="255" w:lineRule="auto"/>
        <w:rPr>
          <w:sz w:val="20"/>
          <w:szCs w:val="20"/>
          <w:color w:val="auto"/>
        </w:rPr>
      </w:pPr>
      <w:r>
        <w:rPr>
          <w:rFonts w:ascii="Times New Roman" w:cs="Times New Roman" w:eastAsia="Times New Roman" w:hAnsi="Times New Roman"/>
          <w:sz w:val="15"/>
          <w:szCs w:val="15"/>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6" w:name="page157"/>
    <w:bookmarkEnd w:id="156"/>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 CONDITION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AND RESULTS OF OPERATIONS</w:t>
      </w:r>
    </w:p>
    <w:p>
      <w:pPr>
        <w:spacing w:after="0" w:line="161" w:lineRule="exact"/>
        <w:rPr>
          <w:sz w:val="20"/>
          <w:szCs w:val="20"/>
          <w:color w:val="auto"/>
        </w:rPr>
      </w:pPr>
    </w:p>
    <w:p>
      <w:pPr>
        <w:ind w:left="40" w:right="159" w:firstLine="263"/>
        <w:spacing w:after="0" w:line="246" w:lineRule="auto"/>
        <w:rPr>
          <w:sz w:val="20"/>
          <w:szCs w:val="20"/>
          <w:color w:val="auto"/>
        </w:rPr>
      </w:pPr>
      <w:r>
        <w:rPr>
          <w:rFonts w:ascii="Times New Roman" w:cs="Times New Roman" w:eastAsia="Times New Roman" w:hAnsi="Times New Roman"/>
          <w:sz w:val="15"/>
          <w:szCs w:val="15"/>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six months ended June 30, 2024, included as Exhibit 99.1 to this Report on Form 6-K. We also recommend that you read our management’s discussion and analysis and our audited consolidated financial statements and the notes thereto, which appear in our Annual Report on Form 20-F for the year ended December 31, 2023 on file with the U.S. Securities and Exchange Commission (the “SEC”).</w:t>
      </w:r>
    </w:p>
    <w:p>
      <w:pPr>
        <w:spacing w:after="0" w:line="156" w:lineRule="exact"/>
        <w:rPr>
          <w:sz w:val="20"/>
          <w:szCs w:val="20"/>
          <w:color w:val="auto"/>
        </w:rPr>
      </w:pPr>
    </w:p>
    <w:p>
      <w:pPr>
        <w:ind w:left="40" w:right="159" w:firstLine="263"/>
        <w:spacing w:after="0" w:line="270" w:lineRule="auto"/>
        <w:rPr>
          <w:sz w:val="20"/>
          <w:szCs w:val="20"/>
          <w:color w:val="auto"/>
        </w:rPr>
      </w:pPr>
      <w:r>
        <w:rPr>
          <w:rFonts w:ascii="Times New Roman" w:cs="Times New Roman" w:eastAsia="Times New Roman" w:hAnsi="Times New Roman"/>
          <w:sz w:val="15"/>
          <w:szCs w:val="15"/>
          <w:i w:val="1"/>
          <w:iCs w:val="1"/>
          <w:color w:val="auto"/>
        </w:rPr>
        <w:t>Unless otherwise indicated or the context otherwise requires, the terms “Company,” “AC Immune,” “ACIU,” “we,” “our,” “ours,” or “us” refer to AC Immune SA together with its fully-owned subsidiary, AC Immune USA, Inc.</w:t>
      </w:r>
    </w:p>
    <w:p>
      <w:pPr>
        <w:spacing w:after="0" w:line="137" w:lineRule="exact"/>
        <w:rPr>
          <w:sz w:val="20"/>
          <w:szCs w:val="20"/>
          <w:color w:val="auto"/>
        </w:rPr>
      </w:pPr>
    </w:p>
    <w:p>
      <w:pPr>
        <w:ind w:left="40" w:right="59" w:firstLine="263"/>
        <w:spacing w:after="0" w:line="246" w:lineRule="auto"/>
        <w:rPr>
          <w:sz w:val="20"/>
          <w:szCs w:val="20"/>
          <w:color w:val="auto"/>
        </w:rPr>
      </w:pPr>
      <w:r>
        <w:rPr>
          <w:rFonts w:ascii="Times New Roman" w:cs="Times New Roman" w:eastAsia="Times New Roman" w:hAnsi="Times New Roman"/>
          <w:sz w:val="15"/>
          <w:szCs w:val="15"/>
          <w:i w:val="1"/>
          <w:iCs w:val="1"/>
          <w:color w:val="auto"/>
        </w:rPr>
        <w:t>We prepare and report our consolidated financial statements and financial information in accordance with International Financial Reporting Standards (IFRS)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This discussion and analysis is dated as of August 6,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69" w:lineRule="exact"/>
        <w:rPr>
          <w:sz w:val="20"/>
          <w:szCs w:val="20"/>
          <w:color w:val="auto"/>
        </w:rPr>
      </w:pPr>
    </w:p>
    <w:p>
      <w:pPr>
        <w:ind w:left="40" w:right="159" w:firstLine="263"/>
        <w:spacing w:after="0" w:line="249" w:lineRule="auto"/>
        <w:rPr>
          <w:sz w:val="20"/>
          <w:szCs w:val="20"/>
          <w:color w:val="auto"/>
        </w:rPr>
      </w:pPr>
      <w:r>
        <w:rPr>
          <w:rFonts w:ascii="Times New Roman" w:cs="Times New Roman" w:eastAsia="Times New Roman" w:hAnsi="Times New Roman"/>
          <w:sz w:val="15"/>
          <w:szCs w:val="15"/>
          <w:color w:val="auto"/>
        </w:rPr>
        <w:t>Our goal is to continue leveraging our proprietary discovery platforms, SupraAntigen and Morphomer, to shift the treatment paradigm for neurodegenerative diseases towards Precision Medicine and disease prevention. We are executing a clear business strategy built on three pillars: (i) accelerate development of novel therapeutics in Alzheimer’s disease (AD) with our partners; (ii) expand our strategic focus on Parkinson’ disease (PD) and non-AD neurodegenerative diseases, including NeuroOrphan indications; and (iii) a continued focus on diagnostics enabling Precision Medicine to be an ultimate differentiator for the Company.</w:t>
      </w:r>
    </w:p>
    <w:p>
      <w:pPr>
        <w:spacing w:after="0" w:line="156" w:lineRule="exact"/>
        <w:rPr>
          <w:sz w:val="20"/>
          <w:szCs w:val="20"/>
          <w:color w:val="auto"/>
        </w:rPr>
      </w:pPr>
    </w:p>
    <w:p>
      <w:pPr>
        <w:ind w:left="40" w:right="59" w:firstLine="263"/>
        <w:spacing w:after="0" w:line="245" w:lineRule="auto"/>
        <w:rPr>
          <w:sz w:val="20"/>
          <w:szCs w:val="20"/>
          <w:color w:val="auto"/>
        </w:rPr>
      </w:pPr>
      <w:r>
        <w:rPr>
          <w:rFonts w:ascii="Times New Roman" w:cs="Times New Roman" w:eastAsia="Times New Roman" w:hAnsi="Times New Roman"/>
          <w:sz w:val="15"/>
          <w:szCs w:val="15"/>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59" w:lineRule="exact"/>
        <w:rPr>
          <w:sz w:val="20"/>
          <w:szCs w:val="20"/>
          <w:color w:val="auto"/>
        </w:rPr>
      </w:pPr>
    </w:p>
    <w:p>
      <w:pPr>
        <w:ind w:left="40" w:right="79" w:firstLine="263"/>
        <w:spacing w:after="0" w:line="245" w:lineRule="auto"/>
        <w:rPr>
          <w:sz w:val="20"/>
          <w:szCs w:val="20"/>
          <w:color w:val="auto"/>
        </w:rPr>
      </w:pPr>
      <w:r>
        <w:rPr>
          <w:rFonts w:ascii="Times New Roman" w:cs="Times New Roman" w:eastAsia="Times New Roman" w:hAnsi="Times New Roman"/>
          <w:sz w:val="15"/>
          <w:szCs w:val="15"/>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numerous therapeutic and diagnostic programs, including one in a Phase 3 clinical trial and three in Phase 2 clinical trials, targeting five different types of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of neurodegenerative diseases by shifting the paradigm towards Precision Medicine and disease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498475</wp:posOffset>
            </wp:positionV>
            <wp:extent cx="567118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5"/>
          <w:szCs w:val="15"/>
          <w:color w:val="auto"/>
        </w:rPr>
        <w:t>Our clinical-stage product candidates include:</w:t>
      </w:r>
    </w:p>
    <w:p>
      <w:pPr>
        <w:spacing w:after="0" w:line="174" w:lineRule="exact"/>
        <w:rPr>
          <w:sz w:val="20"/>
          <w:szCs w:val="20"/>
          <w:color w:val="auto"/>
        </w:rPr>
      </w:pPr>
    </w:p>
    <w:p>
      <w:pPr>
        <w:ind w:left="560" w:right="99" w:hanging="263"/>
        <w:spacing w:after="0" w:line="248" w:lineRule="auto"/>
        <w:tabs>
          <w:tab w:leader="none" w:pos="5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ACI-24.060 for AD and for AD in DS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ACI-24.060 is an enhanced formulation of an earlier version of ACI-24 which incorporates Abeta-unrelated T-helper cell epitopes to increase the magnitude and the boostability of the antibody response against pathologic Abeta. ACI-24.060 is currently being tested at 3 different incremental doses in the ABATE Phase 1b/2 trial (NCT05462106) and amyloid plaque reduction is being assessed using Abeta-PET imaging.</w:t>
      </w:r>
    </w:p>
    <w:p>
      <w:pPr>
        <w:spacing w:after="0" w:line="155" w:lineRule="exact"/>
        <w:rPr>
          <w:rFonts w:ascii="Times New Roman" w:cs="Times New Roman" w:eastAsia="Times New Roman" w:hAnsi="Times New Roman"/>
          <w:sz w:val="15"/>
          <w:szCs w:val="15"/>
          <w:color w:val="auto"/>
        </w:rPr>
      </w:pPr>
    </w:p>
    <w:p>
      <w:pPr>
        <w:ind w:left="560" w:right="159"/>
        <w:spacing w:after="0" w:line="24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ABATE is a multicenter, adaptive, double-blind, randomized, placebo-controlled study designed to assess the safety, tolerability, immunogenicity, and pharmacodynamic effects of ACl-24.060 in subjects with prodromal AD and in adults with Down Syndrome (DS).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ACI-24.060 in patients with AD, dosing of the first individual with DS occurred in June 2023.</w:t>
      </w:r>
    </w:p>
    <w:p>
      <w:pPr>
        <w:spacing w:after="0" w:line="162" w:lineRule="exact"/>
        <w:rPr>
          <w:rFonts w:ascii="Times New Roman" w:cs="Times New Roman" w:eastAsia="Times New Roman" w:hAnsi="Times New Roman"/>
          <w:sz w:val="15"/>
          <w:szCs w:val="15"/>
          <w:color w:val="auto"/>
        </w:rPr>
      </w:pPr>
    </w:p>
    <w:p>
      <w:pPr>
        <w:ind w:left="560" w:right="79"/>
        <w:spacing w:after="0" w:line="24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1.9) billion including an option exercise fee in the low-to-mid nine-figure USD 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spacing w:after="0" w:line="154" w:lineRule="exact"/>
        <w:rPr>
          <w:rFonts w:ascii="Times New Roman" w:cs="Times New Roman" w:eastAsia="Times New Roman" w:hAnsi="Times New Roman"/>
          <w:sz w:val="15"/>
          <w:szCs w:val="15"/>
          <w:color w:val="auto"/>
        </w:rPr>
      </w:pPr>
    </w:p>
    <w:p>
      <w:pPr>
        <w:ind w:left="560" w:right="159" w:hanging="263"/>
        <w:spacing w:after="0" w:line="246" w:lineRule="auto"/>
        <w:tabs>
          <w:tab w:leader="none" w:pos="5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ACI-7104.056. </w:t>
      </w:r>
      <w:r>
        <w:rPr>
          <w:rFonts w:ascii="Times New Roman" w:cs="Times New Roman" w:eastAsia="Times New Roman" w:hAnsi="Times New Roman"/>
          <w:sz w:val="15"/>
          <w:szCs w:val="15"/>
          <w:color w:val="auto"/>
        </w:rPr>
        <w:t>ACI-7104.056, the optimized formulation of the clinically-validated PD anti-a-syn active immunotherapy PD01A, is currently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being tested in 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enrollment of cohort 1 was completed in December 2023, with 16 patients randomized. No safety concerns have been reported to date.</w:t>
      </w:r>
    </w:p>
    <w:p>
      <w:pPr>
        <w:spacing w:after="0" w:line="154" w:lineRule="exact"/>
        <w:rPr>
          <w:rFonts w:ascii="Times New Roman" w:cs="Times New Roman" w:eastAsia="Times New Roman" w:hAnsi="Times New Roman"/>
          <w:sz w:val="15"/>
          <w:szCs w:val="15"/>
          <w:color w:val="auto"/>
        </w:rPr>
      </w:pPr>
    </w:p>
    <w:p>
      <w:pPr>
        <w:ind w:left="560" w:right="79" w:hanging="263"/>
        <w:spacing w:after="0" w:line="266" w:lineRule="auto"/>
        <w:tabs>
          <w:tab w:leader="none" w:pos="5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ACI-35.030 (JNJ-64042056). </w:t>
      </w:r>
      <w:r>
        <w:rPr>
          <w:rFonts w:ascii="Times New Roman" w:cs="Times New Roman" w:eastAsia="Times New Roman" w:hAnsi="Times New Roman"/>
          <w:sz w:val="14"/>
          <w:szCs w:val="14"/>
          <w:color w:val="auto"/>
        </w:rPr>
        <w:t>AC Immune and Janssen Pharmaceuticals, Inc. (Janssen), part of the Janssen Pharmaceutical Companies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Johnson &amp; Johnson,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 against pathological Tau species but not against non-phosphorylated Tau. Long-term maintenance of the anti-ePHF IgG titers against endogenous pathological Tau was observed at the mid- and high-dose.</w:t>
      </w:r>
    </w:p>
    <w:p>
      <w:pPr>
        <w:spacing w:after="0" w:line="144" w:lineRule="exact"/>
        <w:rPr>
          <w:rFonts w:ascii="Times New Roman" w:cs="Times New Roman" w:eastAsia="Times New Roman" w:hAnsi="Times New Roman"/>
          <w:sz w:val="14"/>
          <w:szCs w:val="14"/>
          <w:color w:val="auto"/>
        </w:rPr>
      </w:pPr>
    </w:p>
    <w:p>
      <w:pPr>
        <w:ind w:left="560" w:right="119"/>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ACI-35.030, an exploratory alternative anti-pTau active immunotherapy candidate, JACI-35.054, was also evaluated in the same Phase 1b/2a trial. It generated a more varied antibody response (anti-pTau, anti-ePHF and anti-Tau IgG) after the second injection (at week 10) at the 2 tested doses. While there was no apparent dose-effect between the 2 tested doses, a higher variability of titers was observed at the low dose. A boosting effect was seen against both pathological Tau and non-phosphorylated Tau species from the 2nd injection. For JACI-35.054, there was a lower extent of specific antibody response against pathological Tau species compared to non-phosphorylated Tau as observed with ACI-35.030. Both ACI-35.030 and JACI-35.054 showed good safety and tolerability profiles. The majority of adverse events (AEs) were of mild intensity. No deaths were reported. No AE led to study discontinuation or to study treatment discontinuation. Injection site</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8" w:name="page159"/>
    <w:bookmarkEnd w:id="158"/>
    <w:p>
      <w:pPr>
        <w:ind w:left="560" w:right="219"/>
        <w:spacing w:after="0" w:line="267" w:lineRule="auto"/>
        <w:rPr>
          <w:sz w:val="20"/>
          <w:szCs w:val="20"/>
          <w:color w:val="auto"/>
        </w:rPr>
      </w:pPr>
      <w:r>
        <w:rPr>
          <w:rFonts w:ascii="Times New Roman" w:cs="Times New Roman" w:eastAsia="Times New Roman" w:hAnsi="Times New Roman"/>
          <w:sz w:val="15"/>
          <w:szCs w:val="15"/>
          <w:color w:val="auto"/>
        </w:rPr>
        <w:t>reactions were the most frequently reported AEs in actively treated subjects. Serious adverse events (SAEs) observed in subjects treated with ACI-35.030 did not appear to have any particular relationship to the dose.</w:t>
      </w:r>
    </w:p>
    <w:p>
      <w:pPr>
        <w:spacing w:after="0" w:line="142" w:lineRule="exact"/>
        <w:rPr>
          <w:sz w:val="20"/>
          <w:szCs w:val="20"/>
          <w:color w:val="auto"/>
        </w:rPr>
      </w:pPr>
    </w:p>
    <w:p>
      <w:pPr>
        <w:ind w:left="560" w:right="299"/>
        <w:spacing w:after="0" w:line="245" w:lineRule="auto"/>
        <w:rPr>
          <w:sz w:val="20"/>
          <w:szCs w:val="20"/>
          <w:color w:val="auto"/>
        </w:rPr>
      </w:pPr>
      <w:r>
        <w:rPr>
          <w:rFonts w:ascii="Times New Roman" w:cs="Times New Roman" w:eastAsia="Times New Roman" w:hAnsi="Times New Roman"/>
          <w:sz w:val="15"/>
          <w:szCs w:val="15"/>
          <w:color w:val="auto"/>
        </w:rPr>
        <w:t>Consequently, ACI-35.030, targeting pathological phosphorylated Tau (pTau), is being advanced and will be assessed in subjects with preclinical (i.e., pre-symptomatic) AD in a Phase 2b study in which the first patient will be dosed imminently. The trial will randomize approximately 500 participants with confirmed early-stage Tau pathology, who will be treated over a four-year period. The trial will include interim analyses potentially allowing for acceleration towards a regulatory filing. AC Immune’s ACI-35.030 was granted Fast Track designation from the FDA, for the treatment of AD in July 2024.</w:t>
      </w:r>
    </w:p>
    <w:p>
      <w:pPr>
        <w:spacing w:after="0" w:line="155" w:lineRule="exact"/>
        <w:rPr>
          <w:sz w:val="20"/>
          <w:szCs w:val="20"/>
          <w:color w:val="auto"/>
        </w:rPr>
      </w:pPr>
    </w:p>
    <w:p>
      <w:pPr>
        <w:ind w:left="560" w:right="59" w:hanging="263"/>
        <w:spacing w:after="0" w:line="246" w:lineRule="auto"/>
        <w:tabs>
          <w:tab w:leader="none" w:pos="5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PI-2620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PI-2620 is the Tau-PET imaging agent discovered during the collaboration of AC Immune and Life Molecular Imaging (LMI). We are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use of PI-2620 in AD patients from an investigator sponsored Phase 2 trial at the Asan Medical Center (NCT03903211) were presented at the 2022 AAIC. Following these results, LMI moved PI-2620 into late-stage clinical development in AD and made a milestone payment. The first Alzheimer’s patient in ADvance, the pivotal Phase 3 histopathology study in AD (NCT05641688), was imaged in January 2023.</w:t>
      </w:r>
    </w:p>
    <w:p>
      <w:pPr>
        <w:spacing w:after="0" w:line="152" w:lineRule="exact"/>
        <w:rPr>
          <w:rFonts w:ascii="Times New Roman" w:cs="Times New Roman" w:eastAsia="Times New Roman" w:hAnsi="Times New Roman"/>
          <w:sz w:val="15"/>
          <w:szCs w:val="15"/>
          <w:color w:val="auto"/>
        </w:rPr>
      </w:pPr>
    </w:p>
    <w:p>
      <w:pPr>
        <w:ind w:left="560" w:right="79" w:hanging="263"/>
        <w:spacing w:after="0" w:line="246" w:lineRule="auto"/>
        <w:tabs>
          <w:tab w:leader="none" w:pos="5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ACI-12589. </w:t>
      </w:r>
      <w:r>
        <w:rPr>
          <w:rFonts w:ascii="Times New Roman" w:cs="Times New Roman" w:eastAsia="Times New Roman" w:hAnsi="Times New Roman"/>
          <w:sz w:val="15"/>
          <w:szCs w:val="15"/>
          <w:color w:val="auto"/>
        </w:rPr>
        <w:t>Our Morphomer platform has delivered the first clinically validated a-syn-PET tracer which now can support the differential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diagnosis of multiple system atrophy (MSA) from other neurodegenerative disease and allow precision medicine approaches and biomarker-based clinical development in this indication. 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ACI-15196 were initiated in Q1 2024 with the regulatory submission planned in Q4 2024.</w:t>
      </w:r>
    </w:p>
    <w:p>
      <w:pPr>
        <w:spacing w:after="0" w:line="152" w:lineRule="exact"/>
        <w:rPr>
          <w:rFonts w:ascii="Times New Roman" w:cs="Times New Roman" w:eastAsia="Times New Roman" w:hAnsi="Times New Roman"/>
          <w:sz w:val="15"/>
          <w:szCs w:val="15"/>
          <w:color w:val="auto"/>
        </w:rPr>
      </w:pPr>
    </w:p>
    <w:p>
      <w:pPr>
        <w:ind w:left="560" w:right="139" w:hanging="263"/>
        <w:spacing w:after="0" w:line="253" w:lineRule="auto"/>
        <w:tabs>
          <w:tab w:leader="none" w:pos="5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Morphomer Tau aggregation inhibitors. </w:t>
      </w:r>
      <w:r>
        <w:rPr>
          <w:rFonts w:ascii="Times New Roman" w:cs="Times New Roman" w:eastAsia="Times New Roman" w:hAnsi="Times New Roman"/>
          <w:sz w:val="15"/>
          <w:szCs w:val="15"/>
          <w:color w:val="auto"/>
        </w:rPr>
        <w:t>In collaboration with our partner, Lilly, we are researching and developing small molecule Tau</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aggregation inhibitors with plans to evaluate candidates in AD and NeuroOrphan Tauopathies. Continued candidate characterization across the research program has also identified new and highly differentiated candidates with excellent cerebrospinal fluid exposure and selectivity for pathological aggregated Tau.</w:t>
      </w:r>
    </w:p>
    <w:p>
      <w:pPr>
        <w:spacing w:after="0" w:line="137" w:lineRule="exact"/>
        <w:rPr>
          <w:rFonts w:ascii="Times New Roman" w:cs="Times New Roman" w:eastAsia="Times New Roman" w:hAnsi="Times New Roman"/>
          <w:sz w:val="15"/>
          <w:szCs w:val="15"/>
          <w:color w:val="auto"/>
        </w:rPr>
      </w:pPr>
    </w:p>
    <w:p>
      <w:pPr>
        <w:ind w:left="560" w:right="59" w:hanging="263"/>
        <w:spacing w:after="0" w:line="245" w:lineRule="auto"/>
        <w:tabs>
          <w:tab w:leader="none" w:pos="5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Semorinemab</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Semorinemab is an investigational monoclonal anti-Tau antibody that targets the N-terminal portion of the Tau protein and 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designed to bind to Tau and slow its spread between neurons for the treatment of AD. As announced on January 22, 2024, the development of semorinemab in the collaboration agreement with Genentech, a member of the Roche Group, was terminated. This termination became effective in April 2024. Semorinemab has been studied in two Phase 2 studies: Tauriel in early (prodromal-to-mild) AD, where the primary efficacy endpoint was not met; and Lauriet in mild-to-moderate AD. In Lauriet, a strongly positive and highly statistically significant effect was seen on ADAS-Cog11 (one of two co-primary endpoints) plus statistically significant effects on several key biomarkers, including total Tau and pTau217 in CSF and plasma. The second co-primary endpoint, ADCS-ADL, and the secondary efficacy endpoints did not reach significance. Final open label extension results from the Lauriet trial will be reviewed when they become available and are received in full by AC Immune. The Company will then carefully review and evaluate available data sets, before decisions are made on potential further development and other opportunities.</w:t>
      </w:r>
    </w:p>
    <w:p>
      <w:pPr>
        <w:spacing w:after="0" w:line="154" w:lineRule="exact"/>
        <w:rPr>
          <w:rFonts w:ascii="Times New Roman" w:cs="Times New Roman" w:eastAsia="Times New Roman" w:hAnsi="Times New Roman"/>
          <w:sz w:val="15"/>
          <w:szCs w:val="15"/>
          <w:color w:val="auto"/>
        </w:rPr>
      </w:pPr>
    </w:p>
    <w:p>
      <w:pPr>
        <w:ind w:left="560" w:right="119" w:hanging="263"/>
        <w:spacing w:after="0" w:line="246" w:lineRule="auto"/>
        <w:tabs>
          <w:tab w:leader="none" w:pos="5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Crenezumab. </w:t>
      </w:r>
      <w:r>
        <w:rPr>
          <w:rFonts w:ascii="Times New Roman" w:cs="Times New Roman" w:eastAsia="Times New Roman" w:hAnsi="Times New Roman"/>
          <w:sz w:val="15"/>
          <w:szCs w:val="15"/>
          <w:color w:val="auto"/>
        </w:rPr>
        <w:t>Crenezumab is a humanized monoclonal antibody, an investigational treatment designed to slow AD progression by neutralizing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neurotoxic Abeta oligomers. It was designed by AC Immune to be a conformation-specific monoclonal antibody targeting multiple forms of misfolded Abeta. As announced on January 22, 2024, the development of crenezumab in the collaboration agreement with Genentech, a member of the Roche Group, was terminated. This termination became effective in April 2024. Crenezumab has an antibody backbone (IgG4) designed to minimize the inflammatory response in the brain, which may result in a lower incidence of side effects known as ARIA (Amyloid-Related Imaging Abnormalities). The investigational</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9" w:name="page160"/>
    <w:bookmarkEnd w:id="159"/>
    <w:p>
      <w:pPr>
        <w:ind w:left="560" w:right="159"/>
        <w:spacing w:after="0" w:line="245" w:lineRule="auto"/>
        <w:rPr>
          <w:sz w:val="20"/>
          <w:szCs w:val="20"/>
          <w:color w:val="auto"/>
        </w:rPr>
      </w:pPr>
      <w:r>
        <w:rPr>
          <w:rFonts w:ascii="Times New Roman" w:cs="Times New Roman" w:eastAsia="Times New Roman" w:hAnsi="Times New Roman"/>
          <w:sz w:val="15"/>
          <w:szCs w:val="15"/>
          <w:color w:val="auto"/>
        </w:rPr>
        <w:t>medicine has demonstrated excellent safety (e.g. less than 1% of ARIA-E cases in the Phase 3 studies; Ostrowitzki et al., JAMA Neurology, 2022) and encouraging efficacy signals while undergoing extensive Phase 2 clinical testing. While the Colombian autosomal-dominant AD prevention trial was not sufficiently powered to show significant cognitive benefits, crenezumab was proven to be safe with numeric trends on the primary and vast majority of secondary and exploratory endpoints in its favor. The lessons from this study provided useful insights regarding the desired anti-amyloid immunotherapy profile and designs for prevention trials. AC Immune will carefully review and evaluate available data sets, before decisions are made on potential further development and other opportunities.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Interim 2024 Company Highlights</w:t>
      </w:r>
    </w:p>
    <w:p>
      <w:pPr>
        <w:spacing w:after="0" w:line="180" w:lineRule="exact"/>
        <w:rPr>
          <w:sz w:val="20"/>
          <w:szCs w:val="20"/>
          <w:color w:val="auto"/>
        </w:rPr>
      </w:pPr>
    </w:p>
    <w:p>
      <w:pPr>
        <w:ind w:left="560" w:right="99" w:hanging="263"/>
        <w:spacing w:after="0" w:line="245" w:lineRule="auto"/>
        <w:tabs>
          <w:tab w:leader="none" w:pos="560" w:val="left"/>
        </w:tabs>
        <w:numPr>
          <w:ilvl w:val="1"/>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 Immune and Takeda signed an exclusive option and license agreement for AC Immune’s active immunotherapies targeting Abeta, including ACI-24.060 for AD. Under the terms of the agreement, AC Immune received an upfront payment of USD 100.0 (CHF 92.3) million from Takeda and, if all related milestones are achieved over the course of the agreement, is eligible to receive payments of up to approximately USD 2.1 (CHF 1.9) billion including an option exercise fee and additional potential development, commercial and sales-based milestones. Upon commercialization, AC Immune will be entitled to receive tiered double-digit royalties on worldwide net sales.</w:t>
      </w:r>
    </w:p>
    <w:p>
      <w:pPr>
        <w:spacing w:after="0" w:line="159" w:lineRule="exact"/>
        <w:rPr>
          <w:rFonts w:ascii="Times New Roman" w:cs="Times New Roman" w:eastAsia="Times New Roman" w:hAnsi="Times New Roman"/>
          <w:sz w:val="15"/>
          <w:szCs w:val="15"/>
          <w:color w:val="auto"/>
        </w:rPr>
      </w:pPr>
    </w:p>
    <w:p>
      <w:pPr>
        <w:ind w:left="560" w:hanging="263"/>
        <w:spacing w:after="0"/>
        <w:tabs>
          <w:tab w:leader="none" w:pos="560" w:val="left"/>
        </w:tabs>
        <w:numPr>
          <w:ilvl w:val="1"/>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Enrolment in the ACI-24.060 ABATE Phase 2 AD trial continues.</w:t>
      </w:r>
    </w:p>
    <w:p>
      <w:pPr>
        <w:spacing w:after="0" w:line="177" w:lineRule="exact"/>
        <w:rPr>
          <w:rFonts w:ascii="Times New Roman" w:cs="Times New Roman" w:eastAsia="Times New Roman" w:hAnsi="Times New Roman"/>
          <w:sz w:val="15"/>
          <w:szCs w:val="15"/>
          <w:color w:val="auto"/>
        </w:rPr>
      </w:pPr>
    </w:p>
    <w:p>
      <w:pPr>
        <w:ind w:left="560" w:right="79" w:hanging="263"/>
        <w:spacing w:after="0" w:line="267" w:lineRule="auto"/>
        <w:tabs>
          <w:tab w:leader="none" w:pos="560" w:val="left"/>
        </w:tabs>
        <w:numPr>
          <w:ilvl w:val="1"/>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also completed the regulatory toxicology studies for the anti-TDP-43 monoclonal antibody candidate in Q2 which will enable us to proceed with IND filing.</w:t>
      </w:r>
    </w:p>
    <w:p>
      <w:pPr>
        <w:spacing w:after="0" w:line="141" w:lineRule="exact"/>
        <w:rPr>
          <w:rFonts w:ascii="Times New Roman" w:cs="Times New Roman" w:eastAsia="Times New Roman" w:hAnsi="Times New Roman"/>
          <w:sz w:val="15"/>
          <w:szCs w:val="15"/>
          <w:color w:val="auto"/>
        </w:rPr>
      </w:pPr>
    </w:p>
    <w:p>
      <w:pPr>
        <w:ind w:left="540" w:hanging="254"/>
        <w:spacing w:after="0"/>
        <w:tabs>
          <w:tab w:leader="none" w:pos="5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targeted NLRP3 inhibitor candidates continue to show excellent promise in preclinical results featured at the AD/PD™ 2024 conference:</w:t>
      </w:r>
    </w:p>
    <w:p>
      <w:pPr>
        <w:spacing w:after="0" w:line="100" w:lineRule="exact"/>
        <w:rPr>
          <w:sz w:val="20"/>
          <w:szCs w:val="20"/>
          <w:color w:val="auto"/>
        </w:rPr>
      </w:pPr>
    </w:p>
    <w:p>
      <w:pPr>
        <w:ind w:left="1340" w:right="79" w:hanging="255"/>
        <w:spacing w:after="0" w:line="248" w:lineRule="auto"/>
        <w:tabs>
          <w:tab w:leader="none" w:pos="1340" w:val="left"/>
        </w:tabs>
        <w:numPr>
          <w:ilvl w:val="2"/>
          <w:numId w:val="106"/>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 xml:space="preserve">ACI-19764 is a brain penetrant small molecule in preclinical development that directly binds and inhibits NLRP3. Its activity </w:t>
      </w:r>
      <w:r>
        <w:rPr>
          <w:rFonts w:ascii="Times New Roman" w:cs="Times New Roman" w:eastAsia="Times New Roman" w:hAnsi="Times New Roman"/>
          <w:sz w:val="15"/>
          <w:szCs w:val="15"/>
          <w:i w:val="1"/>
          <w:iCs w:val="1"/>
          <w:color w:val="auto"/>
        </w:rPr>
        <w:t>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vitro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in vivo </w:t>
      </w:r>
      <w:r>
        <w:rPr>
          <w:rFonts w:ascii="Times New Roman" w:cs="Times New Roman" w:eastAsia="Times New Roman" w:hAnsi="Times New Roman"/>
          <w:sz w:val="15"/>
          <w:szCs w:val="15"/>
          <w:color w:val="auto"/>
        </w:rPr>
        <w:t>was demonstrated in two models of neuroinflammation. In addition, ACI-19764 demonstrated an excellent safety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profile and optimal exposure for sustained NLRP3 inhibition in the brain.</w:t>
      </w:r>
    </w:p>
    <w:p>
      <w:pPr>
        <w:spacing w:after="0" w:line="67" w:lineRule="exact"/>
        <w:rPr>
          <w:rFonts w:ascii="Courier New" w:cs="Courier New" w:eastAsia="Courier New" w:hAnsi="Courier New"/>
          <w:sz w:val="15"/>
          <w:szCs w:val="15"/>
          <w:color w:val="auto"/>
        </w:rPr>
      </w:pPr>
    </w:p>
    <w:p>
      <w:pPr>
        <w:ind w:left="1340" w:hanging="255"/>
        <w:spacing w:after="0"/>
        <w:tabs>
          <w:tab w:leader="none" w:pos="1340" w:val="left"/>
        </w:tabs>
        <w:numPr>
          <w:ilvl w:val="2"/>
          <w:numId w:val="106"/>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AC Immune intends to file an IND from the NLRP3 program in the near future.</w:t>
      </w:r>
    </w:p>
    <w:p>
      <w:pPr>
        <w:spacing w:after="0" w:line="165" w:lineRule="exact"/>
        <w:rPr>
          <w:rFonts w:ascii="Courier New" w:cs="Courier New" w:eastAsia="Courier New" w:hAnsi="Courier New"/>
          <w:sz w:val="15"/>
          <w:szCs w:val="15"/>
          <w:color w:val="auto"/>
        </w:rPr>
      </w:pPr>
    </w:p>
    <w:p>
      <w:pPr>
        <w:ind w:left="540" w:right="299" w:hanging="254"/>
        <w:spacing w:after="0" w:line="267" w:lineRule="auto"/>
        <w:tabs>
          <w:tab w:leader="none" w:pos="54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 Immune’s preclinical programs were featured in multiple presentations at the Alzheimer’s Association International Conference (AAIC) 2024:</w:t>
      </w:r>
    </w:p>
    <w:p>
      <w:pPr>
        <w:spacing w:after="0" w:line="51" w:lineRule="exact"/>
        <w:rPr>
          <w:rFonts w:ascii="Times New Roman" w:cs="Times New Roman" w:eastAsia="Times New Roman" w:hAnsi="Times New Roman"/>
          <w:sz w:val="15"/>
          <w:szCs w:val="15"/>
          <w:color w:val="auto"/>
        </w:rPr>
      </w:pPr>
    </w:p>
    <w:p>
      <w:pPr>
        <w:ind w:left="1340" w:right="199" w:hanging="255"/>
        <w:spacing w:after="0" w:line="241" w:lineRule="auto"/>
        <w:tabs>
          <w:tab w:leader="none" w:pos="1340" w:val="left"/>
        </w:tabs>
        <w:numPr>
          <w:ilvl w:val="2"/>
          <w:numId w:val="106"/>
        </w:numPr>
        <w:rPr>
          <w:rFonts w:ascii="Courier New" w:cs="Courier New" w:eastAsia="Courier New" w:hAnsi="Courier New"/>
          <w:sz w:val="15"/>
          <w:szCs w:val="15"/>
          <w:color w:val="auto"/>
        </w:rPr>
      </w:pPr>
      <w:r>
        <w:rPr>
          <w:rFonts w:ascii="Times New Roman" w:cs="Times New Roman" w:eastAsia="Times New Roman" w:hAnsi="Times New Roman"/>
          <w:sz w:val="15"/>
          <w:szCs w:val="15"/>
          <w:i w:val="1"/>
          <w:iCs w:val="1"/>
          <w:color w:val="auto"/>
        </w:rPr>
        <w:t xml:space="preserve">A new class of neurodegenerative disease-fighting drugs: morADC (Morphomer®- antibody drug conjugates), </w:t>
      </w:r>
      <w:r>
        <w:rPr>
          <w:rFonts w:ascii="Times New Roman" w:cs="Times New Roman" w:eastAsia="Times New Roman" w:hAnsi="Times New Roman"/>
          <w:sz w:val="15"/>
          <w:szCs w:val="15"/>
          <w:color w:val="auto"/>
        </w:rPr>
        <w:t>presented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Madiha Derouazi (Chief Scientific Officer, AC Immune), featured data from AC Immune’s proprietary morADC platform. Results demonstrated the ability of morADCs to penetrate the blood brain barrier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and produce potent catalytic activity </w:t>
      </w:r>
      <w:r>
        <w:rPr>
          <w:rFonts w:ascii="Times New Roman" w:cs="Times New Roman" w:eastAsia="Times New Roman" w:hAnsi="Times New Roman"/>
          <w:sz w:val="15"/>
          <w:szCs w:val="15"/>
          <w:i w:val="1"/>
          <w:iCs w:val="1"/>
          <w:color w:val="auto"/>
        </w:rPr>
        <w:t>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vitro </w:t>
      </w:r>
      <w:r>
        <w:rPr>
          <w:rFonts w:ascii="Times New Roman" w:cs="Times New Roman" w:eastAsia="Times New Roman" w:hAnsi="Times New Roman"/>
          <w:sz w:val="15"/>
          <w:szCs w:val="15"/>
          <w:color w:val="auto"/>
        </w:rPr>
        <w:t>compared to the parental monoclonal antibody or small molecule alone.</w:t>
      </w:r>
    </w:p>
    <w:p>
      <w:pPr>
        <w:spacing w:after="0" w:line="71" w:lineRule="exact"/>
        <w:rPr>
          <w:rFonts w:ascii="Courier New" w:cs="Courier New" w:eastAsia="Courier New" w:hAnsi="Courier New"/>
          <w:sz w:val="15"/>
          <w:szCs w:val="15"/>
          <w:color w:val="auto"/>
        </w:rPr>
      </w:pPr>
    </w:p>
    <w:p>
      <w:pPr>
        <w:ind w:left="1340" w:right="59" w:hanging="255"/>
        <w:spacing w:after="0" w:line="241" w:lineRule="auto"/>
        <w:tabs>
          <w:tab w:leader="none" w:pos="1340" w:val="left"/>
        </w:tabs>
        <w:numPr>
          <w:ilvl w:val="2"/>
          <w:numId w:val="106"/>
        </w:numPr>
        <w:rPr>
          <w:rFonts w:ascii="Courier New" w:cs="Courier New" w:eastAsia="Courier New" w:hAnsi="Courier New"/>
          <w:sz w:val="15"/>
          <w:szCs w:val="15"/>
          <w:color w:val="auto"/>
        </w:rPr>
      </w:pPr>
      <w:r>
        <w:rPr>
          <w:rFonts w:ascii="Times New Roman" w:cs="Times New Roman" w:eastAsia="Times New Roman" w:hAnsi="Times New Roman"/>
          <w:sz w:val="15"/>
          <w:szCs w:val="15"/>
          <w:i w:val="1"/>
          <w:iCs w:val="1"/>
          <w:color w:val="auto"/>
        </w:rPr>
        <w:t xml:space="preserve">Active immunotherapy, ACI-24.060, induces anti-Abeta antibodies with binding profiles mirroring clinically validated monoclonal antibodies, </w:t>
      </w:r>
      <w:r>
        <w:rPr>
          <w:rFonts w:ascii="Times New Roman" w:cs="Times New Roman" w:eastAsia="Times New Roman" w:hAnsi="Times New Roman"/>
          <w:sz w:val="15"/>
          <w:szCs w:val="15"/>
          <w:color w:val="auto"/>
        </w:rPr>
        <w:t>presented by Emma Fiorini (AC Immune), featured results from non-human primates demonstrating that ACI-24.060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induced antibody responses in a similar range of levels of donanemab and lecanemab and with preferential oligomeric Abeta binding as compared to monomeric Abeta.</w:t>
      </w:r>
    </w:p>
    <w:p>
      <w:pPr>
        <w:spacing w:after="0" w:line="71" w:lineRule="exact"/>
        <w:rPr>
          <w:rFonts w:ascii="Courier New" w:cs="Courier New" w:eastAsia="Courier New" w:hAnsi="Courier New"/>
          <w:sz w:val="15"/>
          <w:szCs w:val="15"/>
          <w:color w:val="auto"/>
        </w:rPr>
      </w:pPr>
    </w:p>
    <w:p>
      <w:pPr>
        <w:ind w:left="1340" w:right="179" w:hanging="255"/>
        <w:spacing w:after="0" w:line="209" w:lineRule="auto"/>
        <w:tabs>
          <w:tab w:leader="none" w:pos="1340" w:val="left"/>
        </w:tabs>
        <w:numPr>
          <w:ilvl w:val="2"/>
          <w:numId w:val="106"/>
        </w:numPr>
        <w:rPr>
          <w:rFonts w:ascii="Courier New" w:cs="Courier New" w:eastAsia="Courier New" w:hAnsi="Courier New"/>
          <w:sz w:val="14"/>
          <w:szCs w:val="14"/>
          <w:color w:val="auto"/>
        </w:rPr>
      </w:pPr>
      <w:r>
        <w:rPr>
          <w:rFonts w:ascii="Times New Roman" w:cs="Times New Roman" w:eastAsia="Times New Roman" w:hAnsi="Times New Roman"/>
          <w:sz w:val="14"/>
          <w:szCs w:val="14"/>
          <w:i w:val="1"/>
          <w:iCs w:val="1"/>
          <w:color w:val="auto"/>
        </w:rPr>
        <w:t>Discovery and preclinical development of [</w:t>
      </w:r>
      <w:r>
        <w:rPr>
          <w:rFonts w:ascii="Times New Roman" w:cs="Times New Roman" w:eastAsia="Times New Roman" w:hAnsi="Times New Roman"/>
          <w:sz w:val="20"/>
          <w:szCs w:val="20"/>
          <w:i w:val="1"/>
          <w:iCs w:val="1"/>
          <w:color w:val="auto"/>
          <w:vertAlign w:val="superscript"/>
        </w:rPr>
        <w:t>18</w:t>
      </w:r>
      <w:r>
        <w:rPr>
          <w:rFonts w:ascii="Times New Roman" w:cs="Times New Roman" w:eastAsia="Times New Roman" w:hAnsi="Times New Roman"/>
          <w:sz w:val="14"/>
          <w:szCs w:val="14"/>
          <w:i w:val="1"/>
          <w:iCs w:val="1"/>
          <w:color w:val="auto"/>
        </w:rPr>
        <w:t xml:space="preserve">F]ACI-19626, a first-in-class TDP-43 PET tracer, </w:t>
      </w:r>
      <w:r>
        <w:rPr>
          <w:rFonts w:ascii="Times New Roman" w:cs="Times New Roman" w:eastAsia="Times New Roman" w:hAnsi="Times New Roman"/>
          <w:sz w:val="14"/>
          <w:szCs w:val="14"/>
          <w:color w:val="auto"/>
        </w:rPr>
        <w:t>presented by Tamara Seredenina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 Immune), described the selection of [</w:t>
      </w:r>
      <w:r>
        <w:rPr>
          <w:rFonts w:ascii="Times New Roman" w:cs="Times New Roman" w:eastAsia="Times New Roman" w:hAnsi="Times New Roman"/>
          <w:sz w:val="20"/>
          <w:szCs w:val="20"/>
          <w:color w:val="auto"/>
          <w:vertAlign w:val="superscript"/>
        </w:rPr>
        <w:t>18</w:t>
      </w:r>
      <w:r>
        <w:rPr>
          <w:rFonts w:ascii="Times New Roman" w:cs="Times New Roman" w:eastAsia="Times New Roman" w:hAnsi="Times New Roman"/>
          <w:sz w:val="14"/>
          <w:szCs w:val="14"/>
          <w:color w:val="auto"/>
        </w:rPr>
        <w:t>F]ACI-19626 for evaluation as a potential PET tracer for detection and monitoring progression of TDP-43 aggregates based on its favorable affinity, selectivity and pharmacokinetic properties.</w:t>
      </w:r>
    </w:p>
    <w:p>
      <w:pPr>
        <w:spacing w:after="0" w:line="161" w:lineRule="exact"/>
        <w:rPr>
          <w:rFonts w:ascii="Courier New" w:cs="Courier New" w:eastAsia="Courier New" w:hAnsi="Courier New"/>
          <w:sz w:val="14"/>
          <w:szCs w:val="14"/>
          <w:color w:val="auto"/>
        </w:rPr>
      </w:pPr>
    </w:p>
    <w:p>
      <w:pPr>
        <w:ind w:left="560" w:right="119" w:hanging="263"/>
        <w:spacing w:after="0" w:line="255" w:lineRule="auto"/>
        <w:tabs>
          <w:tab w:leader="none" w:pos="560"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Board and Management Share Purchases: Members of the Board of Directors and certain members of executive management purchased shares in AC Immune SA during Q2 2024, following the announcement of the exclusive option and license agreement with Takeda for ACI-24.060. As a foreign private issuer (FPI), individual shareholdings will be disclosed in the Annual Report on Form 20-F.</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three and six months ended June 30, 2024 and 2023</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Contract revenues</w:t>
      </w:r>
    </w:p>
    <w:p>
      <w:pPr>
        <w:spacing w:after="0" w:line="180" w:lineRule="exact"/>
        <w:rPr>
          <w:sz w:val="20"/>
          <w:szCs w:val="20"/>
          <w:color w:val="auto"/>
        </w:rPr>
      </w:pPr>
    </w:p>
    <w:p>
      <w:pPr>
        <w:jc w:val="both"/>
        <w:ind w:left="40" w:right="239" w:firstLine="263"/>
        <w:spacing w:after="0" w:line="263" w:lineRule="auto"/>
        <w:rPr>
          <w:sz w:val="20"/>
          <w:szCs w:val="20"/>
          <w:color w:val="auto"/>
        </w:rPr>
      </w:pPr>
      <w:r>
        <w:rPr>
          <w:rFonts w:ascii="Times New Roman" w:cs="Times New Roman" w:eastAsia="Times New Roman" w:hAnsi="Times New Roman"/>
          <w:sz w:val="14"/>
          <w:szCs w:val="14"/>
          <w:color w:val="auto"/>
        </w:rPr>
        <w:t>The Company generated CHF 0.7 million in contract revenues for the three months ended June 30, 2024, compared to nil in the comparable prior period. This represents an increase of CHF 0.7 million. The following table summarizes our contact revenues during the three months ended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June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r>
      <w:tr>
        <w:trPr>
          <w:trHeight w:val="153"/>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Ended June 30,</w:t>
            </w:r>
          </w:p>
        </w:tc>
      </w:tr>
      <w:tr>
        <w:trPr>
          <w:trHeight w:val="142"/>
        </w:trPr>
        <w:tc>
          <w:tcPr>
            <w:tcW w:w="7220" w:type="dxa"/>
            <w:vAlign w:val="bottom"/>
            <w:gridSpan w:val="2"/>
          </w:tcPr>
          <w:p>
            <w:pPr>
              <w:ind w:left="27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6"/>
        </w:trPr>
        <w:tc>
          <w:tcPr>
            <w:tcW w:w="70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Takeda</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48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6"/>
        </w:trPr>
        <w:tc>
          <w:tcPr>
            <w:tcW w:w="722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contract revenue</w:t>
            </w:r>
          </w:p>
        </w:tc>
        <w:tc>
          <w:tcPr>
            <w:tcW w:w="740" w:type="dxa"/>
            <w:vAlign w:val="bottom"/>
            <w:tcBorders>
              <w:bottom w:val="single" w:sz="8" w:color="auto"/>
            </w:tcBorders>
          </w:tcPr>
          <w:p>
            <w:pPr>
              <w:ind w:left="48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0" w:right="399" w:firstLine="263"/>
        <w:spacing w:after="0" w:line="267" w:lineRule="auto"/>
        <w:rPr>
          <w:sz w:val="20"/>
          <w:szCs w:val="20"/>
          <w:color w:val="auto"/>
        </w:rPr>
      </w:pPr>
      <w:r>
        <w:rPr>
          <w:rFonts w:ascii="Times New Roman" w:cs="Times New Roman" w:eastAsia="Times New Roman" w:hAnsi="Times New Roman"/>
          <w:sz w:val="15"/>
          <w:szCs w:val="15"/>
          <w:color w:val="auto"/>
        </w:rPr>
        <w:t>For the three months ended June 30, 2024, the increase of CHF 0.7 million compared with the prior period is due to the efforts made under the agreement with Takeda.</w:t>
      </w:r>
    </w:p>
    <w:p>
      <w:pPr>
        <w:spacing w:after="0" w:line="142" w:lineRule="exact"/>
        <w:rPr>
          <w:sz w:val="20"/>
          <w:szCs w:val="20"/>
          <w:color w:val="auto"/>
        </w:rPr>
      </w:pPr>
    </w:p>
    <w:p>
      <w:pPr>
        <w:jc w:val="both"/>
        <w:ind w:left="40" w:right="259" w:firstLine="263"/>
        <w:spacing w:after="0" w:line="248" w:lineRule="auto"/>
        <w:rPr>
          <w:sz w:val="20"/>
          <w:szCs w:val="20"/>
          <w:color w:val="auto"/>
        </w:rPr>
      </w:pPr>
      <w:r>
        <w:rPr>
          <w:rFonts w:ascii="Times New Roman" w:cs="Times New Roman" w:eastAsia="Times New Roman" w:hAnsi="Times New Roman"/>
          <w:sz w:val="15"/>
          <w:szCs w:val="15"/>
          <w:color w:val="auto"/>
        </w:rPr>
        <w:t>For the six months ended June 30, 2024, the Company generated CHF 0.7 million in contract revenues compared to nil in the comparable period. This represents an increase of CHF 0.7 million. The following table summarizes our contact revenues during the six months ended June 30, 2024 and 2023:</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For the Six Months</w:t>
            </w:r>
          </w:p>
        </w:tc>
      </w:tr>
      <w:tr>
        <w:trPr>
          <w:trHeight w:val="153"/>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Ended June 30,</w:t>
            </w:r>
          </w:p>
        </w:tc>
      </w:tr>
      <w:tr>
        <w:trPr>
          <w:trHeight w:val="142"/>
        </w:trPr>
        <w:tc>
          <w:tcPr>
            <w:tcW w:w="7220" w:type="dxa"/>
            <w:vAlign w:val="bottom"/>
            <w:gridSpan w:val="2"/>
          </w:tcPr>
          <w:p>
            <w:pPr>
              <w:ind w:left="27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6"/>
        </w:trPr>
        <w:tc>
          <w:tcPr>
            <w:tcW w:w="70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Takeda</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48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166"/>
        </w:trPr>
        <w:tc>
          <w:tcPr>
            <w:tcW w:w="722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contract revenue</w:t>
            </w:r>
          </w:p>
        </w:tc>
        <w:tc>
          <w:tcPr>
            <w:tcW w:w="740" w:type="dxa"/>
            <w:vAlign w:val="bottom"/>
            <w:tcBorders>
              <w:bottom w:val="single" w:sz="8" w:color="auto"/>
            </w:tcBorders>
          </w:tcPr>
          <w:p>
            <w:pPr>
              <w:ind w:left="480"/>
              <w:spacing w:after="0" w:line="167" w:lineRule="exact"/>
              <w:rPr>
                <w:sz w:val="20"/>
                <w:szCs w:val="20"/>
                <w:color w:val="auto"/>
              </w:rPr>
            </w:pPr>
            <w:r>
              <w:rPr>
                <w:rFonts w:ascii="Times New Roman" w:cs="Times New Roman" w:eastAsia="Times New Roman" w:hAnsi="Times New Roman"/>
                <w:sz w:val="15"/>
                <w:szCs w:val="15"/>
                <w:color w:val="auto"/>
              </w:rPr>
              <w:t>687</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560"/>
              <w:spacing w:after="0" w:line="167"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0" w:right="539" w:firstLine="263"/>
        <w:spacing w:after="0" w:line="267" w:lineRule="auto"/>
        <w:rPr>
          <w:sz w:val="20"/>
          <w:szCs w:val="20"/>
          <w:color w:val="auto"/>
        </w:rPr>
      </w:pPr>
      <w:r>
        <w:rPr>
          <w:rFonts w:ascii="Times New Roman" w:cs="Times New Roman" w:eastAsia="Times New Roman" w:hAnsi="Times New Roman"/>
          <w:sz w:val="15"/>
          <w:szCs w:val="15"/>
          <w:color w:val="auto"/>
        </w:rPr>
        <w:t>For the six months ended June 30, 2024, the increase of CHF 0.7 million compared with the prior period is due to the efforts made under the agreement with Takeda.</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Research and development expenses</w:t>
      </w:r>
    </w:p>
    <w:p>
      <w:pPr>
        <w:spacing w:after="0" w:line="180" w:lineRule="exact"/>
        <w:rPr>
          <w:sz w:val="20"/>
          <w:szCs w:val="20"/>
          <w:color w:val="auto"/>
        </w:rPr>
      </w:pPr>
    </w:p>
    <w:p>
      <w:pPr>
        <w:ind w:left="40" w:right="279" w:firstLine="263"/>
        <w:spacing w:after="0" w:line="246" w:lineRule="auto"/>
        <w:rPr>
          <w:sz w:val="20"/>
          <w:szCs w:val="20"/>
          <w:color w:val="auto"/>
        </w:rPr>
      </w:pPr>
      <w:r>
        <w:rPr>
          <w:rFonts w:ascii="Times New Roman" w:cs="Times New Roman" w:eastAsia="Times New Roman" w:hAnsi="Times New Roman"/>
          <w:sz w:val="15"/>
          <w:szCs w:val="15"/>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arrangements to share costs for the development of our product candidates.</w:t>
      </w:r>
    </w:p>
    <w:p>
      <w:pPr>
        <w:spacing w:after="0" w:line="157" w:lineRule="exact"/>
        <w:rPr>
          <w:sz w:val="20"/>
          <w:szCs w:val="20"/>
          <w:color w:val="auto"/>
        </w:rPr>
      </w:pPr>
    </w:p>
    <w:p>
      <w:pPr>
        <w:ind w:left="40" w:right="59" w:firstLine="263"/>
        <w:spacing w:after="0" w:line="251" w:lineRule="auto"/>
        <w:rPr>
          <w:sz w:val="20"/>
          <w:szCs w:val="20"/>
          <w:color w:val="auto"/>
        </w:rPr>
      </w:pPr>
      <w:r>
        <w:rPr>
          <w:rFonts w:ascii="Times New Roman" w:cs="Times New Roman" w:eastAsia="Times New Roman" w:hAnsi="Times New Roman"/>
          <w:sz w:val="15"/>
          <w:szCs w:val="15"/>
          <w:color w:val="auto"/>
        </w:rPr>
        <w:t>We have completed our co-development costs with Janssen for the Phase 1b/2a studies for our active immunotherapy, ACI-35.030 and JACI-35.054. AC Immune and Janssen will jointly share research and development costs for the first Phase 2b, however, AC Immune’s contribution to the first Phase 2b trial is capped (and remaining costs for AC Immune are non-material). From Phase 2b and onwards, Janssen will assume responsibility for clinical development, manufacturing and commercialization.</w:t>
      </w:r>
    </w:p>
    <w:p>
      <w:pPr>
        <w:spacing w:after="0" w:line="154" w:lineRule="exact"/>
        <w:rPr>
          <w:sz w:val="20"/>
          <w:szCs w:val="20"/>
          <w:color w:val="auto"/>
        </w:rPr>
      </w:pPr>
    </w:p>
    <w:p>
      <w:pPr>
        <w:ind w:left="40" w:right="179" w:firstLine="263"/>
        <w:spacing w:after="0" w:line="248" w:lineRule="auto"/>
        <w:rPr>
          <w:sz w:val="20"/>
          <w:szCs w:val="20"/>
          <w:color w:val="auto"/>
        </w:rPr>
      </w:pPr>
      <w:r>
        <w:rPr>
          <w:rFonts w:ascii="Times New Roman" w:cs="Times New Roman" w:eastAsia="Times New Roman" w:hAnsi="Times New Roman"/>
          <w:sz w:val="15"/>
          <w:szCs w:val="15"/>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155" w:lineRule="exact"/>
        <w:rPr>
          <w:sz w:val="20"/>
          <w:szCs w:val="20"/>
          <w:color w:val="auto"/>
        </w:rPr>
      </w:pPr>
    </w:p>
    <w:p>
      <w:pPr>
        <w:ind w:left="40" w:right="219" w:firstLine="263"/>
        <w:spacing w:after="0" w:line="251" w:lineRule="auto"/>
        <w:rPr>
          <w:sz w:val="20"/>
          <w:szCs w:val="20"/>
          <w:color w:val="auto"/>
        </w:rPr>
      </w:pPr>
      <w:r>
        <w:rPr>
          <w:rFonts w:ascii="Times New Roman" w:cs="Times New Roman" w:eastAsia="Times New Roman" w:hAnsi="Times New Roman"/>
          <w:sz w:val="15"/>
          <w:szCs w:val="15"/>
          <w:color w:val="auto"/>
        </w:rPr>
        <w:t>Finally, we intend to further advance the characterization of our other clinical and preclinical candidates, such as our Morphomer Tau program. In addition to the collaborative arrangements and proprietarily held assets, we expect that our total future R&amp;D costs will increase over current levels, in line with our three-pillar strategy that focuses on (i) AD, (ii) expansion in PD and non-AD neurodegenerative diseases, including NeuroOrphan indications and (iii) diagnostics.</w:t>
      </w:r>
    </w:p>
    <w:p>
      <w:pPr>
        <w:spacing w:after="0" w:line="154" w:lineRule="exact"/>
        <w:rPr>
          <w:sz w:val="20"/>
          <w:szCs w:val="20"/>
          <w:color w:val="auto"/>
        </w:rPr>
      </w:pPr>
    </w:p>
    <w:p>
      <w:pPr>
        <w:ind w:left="40" w:right="139" w:firstLine="263"/>
        <w:spacing w:after="0" w:line="248" w:lineRule="auto"/>
        <w:rPr>
          <w:sz w:val="20"/>
          <w:szCs w:val="20"/>
          <w:color w:val="auto"/>
        </w:rPr>
      </w:pPr>
      <w:r>
        <w:rPr>
          <w:rFonts w:ascii="Times New Roman" w:cs="Times New Roman" w:eastAsia="Times New Roman" w:hAnsi="Times New Roman"/>
          <w:sz w:val="15"/>
          <w:szCs w:val="15"/>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1" w:name="page162"/>
    <w:bookmarkEnd w:id="161"/>
    <w:p>
      <w:pPr>
        <w:ind w:left="40" w:right="179"/>
        <w:spacing w:after="0" w:line="255" w:lineRule="auto"/>
        <w:rPr>
          <w:sz w:val="20"/>
          <w:szCs w:val="20"/>
          <w:color w:val="auto"/>
        </w:rPr>
      </w:pPr>
      <w:r>
        <w:rPr>
          <w:rFonts w:ascii="Times New Roman" w:cs="Times New Roman" w:eastAsia="Times New Roman" w:hAnsi="Times New Roman"/>
          <w:sz w:val="15"/>
          <w:szCs w:val="15"/>
          <w:color w:val="auto"/>
        </w:rPr>
        <w:t>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151" w:lineRule="exact"/>
        <w:rPr>
          <w:sz w:val="20"/>
          <w:szCs w:val="20"/>
          <w:color w:val="auto"/>
        </w:rPr>
      </w:pPr>
    </w:p>
    <w:p>
      <w:pPr>
        <w:jc w:val="both"/>
        <w:ind w:left="40" w:right="119" w:firstLine="263"/>
        <w:spacing w:after="0" w:line="248" w:lineRule="auto"/>
        <w:rPr>
          <w:sz w:val="20"/>
          <w:szCs w:val="20"/>
          <w:color w:val="auto"/>
        </w:rPr>
      </w:pPr>
      <w:r>
        <w:rPr>
          <w:rFonts w:ascii="Times New Roman" w:cs="Times New Roman" w:eastAsia="Times New Roman" w:hAnsi="Times New Roman"/>
          <w:sz w:val="15"/>
          <w:szCs w:val="15"/>
          <w:color w:val="auto"/>
        </w:rPr>
        <w:t>For the three months ended June 30, 2024, R&amp;D expenses totaled CHF 17.1 million compared with CHF 13.7 million for the comparable period in 2023. This represents an increase of CHF 3.4 million. The following table presents the R&amp;D expenses during the three months ended June 30, 2024 and 2023:</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760" w:type="dxa"/>
            <w:vAlign w:val="bottom"/>
          </w:tcPr>
          <w:p>
            <w:pPr>
              <w:spacing w:after="0"/>
              <w:rPr>
                <w:sz w:val="12"/>
                <w:szCs w:val="12"/>
                <w:color w:val="auto"/>
              </w:rPr>
            </w:pPr>
          </w:p>
        </w:tc>
      </w:tr>
      <w:tr>
        <w:trPr>
          <w:trHeight w:val="153"/>
        </w:trPr>
        <w:tc>
          <w:tcPr>
            <w:tcW w:w="22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40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09"/>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Discovery and preclinical expenses</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2,743</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2,283</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460</w:t>
            </w:r>
          </w:p>
        </w:tc>
      </w:tr>
      <w:tr>
        <w:trPr>
          <w:trHeight w:val="175"/>
        </w:trPr>
        <w:tc>
          <w:tcPr>
            <w:tcW w:w="6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Clinical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2,725</w:t>
            </w:r>
          </w:p>
        </w:tc>
      </w:tr>
      <w:tr>
        <w:trPr>
          <w:trHeight w:val="175"/>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Group function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w:t>
            </w:r>
          </w:p>
        </w:tc>
      </w:tr>
      <w:tr>
        <w:trPr>
          <w:trHeight w:val="166"/>
        </w:trPr>
        <w:tc>
          <w:tcPr>
            <w:tcW w:w="628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direct R&amp;D expenses</w:t>
            </w: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9,213</w:t>
            </w:r>
          </w:p>
        </w:tc>
        <w:tc>
          <w:tcPr>
            <w:tcW w:w="18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5,759</w:t>
            </w:r>
          </w:p>
        </w:tc>
        <w:tc>
          <w:tcPr>
            <w:tcW w:w="18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3,454</w:t>
            </w:r>
          </w:p>
        </w:tc>
      </w:tr>
      <w:tr>
        <w:trPr>
          <w:trHeight w:val="175"/>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Payroll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5,035</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5,077</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75"/>
        </w:trPr>
        <w:tc>
          <w:tcPr>
            <w:tcW w:w="6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75"/>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non-allocated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2,282</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166"/>
        </w:trPr>
        <w:tc>
          <w:tcPr>
            <w:tcW w:w="628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R&amp;D expenses</w:t>
            </w: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17,138</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13,682</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3,456</w:t>
            </w:r>
          </w:p>
        </w:tc>
      </w:tr>
      <w:tr>
        <w:trPr>
          <w:trHeight w:val="20"/>
        </w:trPr>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2"/>
        </w:trPr>
        <w:tc>
          <w:tcPr>
            <w:tcW w:w="2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760" w:type="dxa"/>
            <w:vAlign w:val="bottom"/>
          </w:tcPr>
          <w:p>
            <w:pPr>
              <w:spacing w:after="0"/>
              <w:rPr>
                <w:sz w:val="24"/>
                <w:szCs w:val="24"/>
                <w:color w:val="auto"/>
              </w:rPr>
            </w:pPr>
          </w:p>
        </w:tc>
      </w:tr>
      <w:tr>
        <w:trPr>
          <w:trHeight w:val="153"/>
        </w:trPr>
        <w:tc>
          <w:tcPr>
            <w:tcW w:w="22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40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09"/>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Operating expenses</w:t>
            </w:r>
            <w:r>
              <w:rPr>
                <w:rFonts w:ascii="Times New Roman" w:cs="Times New Roman" w:eastAsia="Times New Roman" w:hAnsi="Times New Roman"/>
                <w:sz w:val="19"/>
                <w:szCs w:val="19"/>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11,495</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8,046</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3,449</w:t>
            </w:r>
          </w:p>
        </w:tc>
      </w:tr>
      <w:tr>
        <w:trPr>
          <w:trHeight w:val="175"/>
        </w:trPr>
        <w:tc>
          <w:tcPr>
            <w:tcW w:w="6280" w:type="dxa"/>
            <w:vAlign w:val="bottom"/>
            <w:tcBorders>
              <w:bottom w:val="single" w:sz="8" w:color="CCEEFF"/>
            </w:tcBorders>
            <w:gridSpan w:val="3"/>
          </w:tcPr>
          <w:p>
            <w:pPr>
              <w:spacing w:after="0" w:line="175" w:lineRule="exact"/>
              <w:rPr>
                <w:sz w:val="20"/>
                <w:szCs w:val="20"/>
                <w:color w:val="auto"/>
              </w:rPr>
            </w:pPr>
            <w:r>
              <w:rPr>
                <w:rFonts w:ascii="Times New Roman" w:cs="Times New Roman" w:eastAsia="Times New Roman" w:hAnsi="Times New Roman"/>
                <w:sz w:val="14"/>
                <w:szCs w:val="14"/>
                <w:color w:val="auto"/>
              </w:rPr>
              <w:t>Salaries and related costs</w:t>
            </w:r>
            <w:r>
              <w:rPr>
                <w:rFonts w:ascii="Times New Roman" w:cs="Times New Roman" w:eastAsia="Times New Roman" w:hAnsi="Times New Roman"/>
                <w:sz w:val="20"/>
                <w:szCs w:val="20"/>
                <w:color w:val="auto"/>
                <w:vertAlign w:val="superscript"/>
              </w:rPr>
              <w:t>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5,643</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5,636</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66"/>
        </w:trPr>
        <w:tc>
          <w:tcPr>
            <w:tcW w:w="6280" w:type="dxa"/>
            <w:vAlign w:val="bottom"/>
            <w:tcBorders>
              <w:bottom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R&amp;D expenses</w:t>
            </w: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17,138</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13,682</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3,456</w:t>
            </w:r>
          </w:p>
        </w:tc>
      </w:tr>
      <w:tr>
        <w:trPr>
          <w:trHeight w:val="20"/>
        </w:trPr>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0"/>
        </w:trPr>
        <w:tc>
          <w:tcPr>
            <w:tcW w:w="224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r>
    </w:tbl>
    <w:p>
      <w:pPr>
        <w:ind w:left="300" w:hanging="266"/>
        <w:spacing w:after="0" w:line="239" w:lineRule="auto"/>
        <w:tabs>
          <w:tab w:leader="none" w:pos="300" w:val="left"/>
        </w:tabs>
        <w:numPr>
          <w:ilvl w:val="0"/>
          <w:numId w:val="10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depreciation expense</w:t>
      </w:r>
    </w:p>
    <w:p>
      <w:pPr>
        <w:spacing w:after="0" w:line="1" w:lineRule="exact"/>
        <w:rPr>
          <w:sz w:val="20"/>
          <w:szCs w:val="20"/>
          <w:color w:val="auto"/>
        </w:rPr>
      </w:pPr>
    </w:p>
    <w:p>
      <w:pPr>
        <w:ind w:left="40" w:right="6159" w:hanging="6"/>
        <w:spacing w:after="0" w:line="408" w:lineRule="auto"/>
        <w:tabs>
          <w:tab w:leader="none" w:pos="303" w:val="left"/>
        </w:tabs>
        <w:numPr>
          <w:ilvl w:val="0"/>
          <w:numId w:val="10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share-based compensation expense For the three months ended June 30, 2024:</w:t>
      </w:r>
    </w:p>
    <w:p>
      <w:pPr>
        <w:ind w:left="3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Discovery and preclinical expenses increased by CHF 0.5 million, primarily due to:</w:t>
      </w:r>
    </w:p>
    <w:p>
      <w:pPr>
        <w:spacing w:after="0" w:line="166" w:lineRule="exact"/>
        <w:rPr>
          <w:rFonts w:ascii="Times New Roman" w:cs="Times New Roman" w:eastAsia="Times New Roman" w:hAnsi="Times New Roman"/>
          <w:sz w:val="21"/>
          <w:szCs w:val="21"/>
          <w:color w:val="auto"/>
          <w:vertAlign w:val="superscript"/>
        </w:rPr>
      </w:pPr>
    </w:p>
    <w:p>
      <w:pPr>
        <w:ind w:left="300" w:right="419" w:hanging="3"/>
        <w:spacing w:after="0" w:line="487" w:lineRule="auto"/>
        <w:tabs>
          <w:tab w:leader="none" w:pos="563"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ACI-24.060 of CHF 0.3 million due to ongoing preclinical activities, which had not started in the prior comparative period. Clinical expenses increased by CHF 2.7 million, primarily due to:</w:t>
      </w:r>
    </w:p>
    <w:p>
      <w:pPr>
        <w:ind w:left="560" w:right="179" w:hanging="263"/>
        <w:spacing w:after="0" w:line="267" w:lineRule="auto"/>
        <w:tabs>
          <w:tab w:leader="none" w:pos="560"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1.4 million attributed to the ramp-up of activities for our Phase 2 VacSYn study evaluating ACI-7104.056 in early PD and CHF 1.3 million in our ACI-24.060 active immunotherapy for expansion of the ABATE study.</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variances in Group function expenses are related to regulatory and quality assurance, and intellectual property costs.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Other non-allocated expenses are related to infrastructure and functional expenses not allocated to direct R&amp;D expenses.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2" w:name="page163"/>
    <w:bookmarkEnd w:id="162"/>
    <w:p>
      <w:pPr>
        <w:jc w:val="both"/>
        <w:ind w:left="40" w:right="239" w:firstLine="263"/>
        <w:spacing w:after="0" w:line="255" w:lineRule="auto"/>
        <w:rPr>
          <w:sz w:val="20"/>
          <w:szCs w:val="20"/>
          <w:color w:val="auto"/>
        </w:rPr>
      </w:pPr>
      <w:r>
        <w:rPr>
          <w:rFonts w:ascii="Times New Roman" w:cs="Times New Roman" w:eastAsia="Times New Roman" w:hAnsi="Times New Roman"/>
          <w:sz w:val="15"/>
          <w:szCs w:val="15"/>
          <w:color w:val="auto"/>
        </w:rPr>
        <w:t>For the six months ended June 30, 2024, R&amp;D expenses totaled CHF 32.3 million compared with CHF 27.6 million for the comparable period in 2023. This represents an increase of CHF 4.7 million. The following table presents the R&amp;D expenses during the six months ended June 30, 2024 and 2023:</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For the Six Months</w:t>
            </w:r>
          </w:p>
        </w:tc>
        <w:tc>
          <w:tcPr>
            <w:tcW w:w="760" w:type="dxa"/>
            <w:vAlign w:val="bottom"/>
          </w:tcPr>
          <w:p>
            <w:pPr>
              <w:spacing w:after="0"/>
              <w:rPr>
                <w:sz w:val="12"/>
                <w:szCs w:val="12"/>
                <w:color w:val="auto"/>
              </w:rPr>
            </w:pPr>
          </w:p>
        </w:tc>
      </w:tr>
      <w:tr>
        <w:trPr>
          <w:trHeight w:val="153"/>
        </w:trPr>
        <w:tc>
          <w:tcPr>
            <w:tcW w:w="22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40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09"/>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Discovery and preclinical expenses</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4,980</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4,756</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224</w:t>
            </w:r>
          </w:p>
        </w:tc>
      </w:tr>
      <w:tr>
        <w:trPr>
          <w:trHeight w:val="175"/>
        </w:trPr>
        <w:tc>
          <w:tcPr>
            <w:tcW w:w="6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Clinical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10,583</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4,685</w:t>
            </w:r>
          </w:p>
        </w:tc>
      </w:tr>
      <w:tr>
        <w:trPr>
          <w:trHeight w:val="175"/>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Group function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r>
      <w:tr>
        <w:trPr>
          <w:trHeight w:val="166"/>
        </w:trPr>
        <w:tc>
          <w:tcPr>
            <w:tcW w:w="628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direct R&amp;D expenses</w:t>
            </w: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16,511</w:t>
            </w:r>
          </w:p>
        </w:tc>
        <w:tc>
          <w:tcPr>
            <w:tcW w:w="18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11,439</w:t>
            </w:r>
          </w:p>
        </w:tc>
        <w:tc>
          <w:tcPr>
            <w:tcW w:w="18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5,072</w:t>
            </w:r>
          </w:p>
        </w:tc>
      </w:tr>
      <w:tr>
        <w:trPr>
          <w:trHeight w:val="175"/>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Payroll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10,163</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9,973</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r>
      <w:tr>
        <w:trPr>
          <w:trHeight w:val="175"/>
        </w:trPr>
        <w:tc>
          <w:tcPr>
            <w:tcW w:w="6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75"/>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non-allocated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4,382</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4,926</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w:t>
            </w:r>
          </w:p>
        </w:tc>
      </w:tr>
      <w:tr>
        <w:trPr>
          <w:trHeight w:val="166"/>
        </w:trPr>
        <w:tc>
          <w:tcPr>
            <w:tcW w:w="6280" w:type="dxa"/>
            <w:vAlign w:val="bottom"/>
            <w:gridSpan w:val="3"/>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R&amp;D expenses</w:t>
            </w: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32,303</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27,555</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4,748</w:t>
            </w:r>
          </w:p>
        </w:tc>
      </w:tr>
      <w:tr>
        <w:trPr>
          <w:trHeight w:val="20"/>
        </w:trPr>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2"/>
        </w:trPr>
        <w:tc>
          <w:tcPr>
            <w:tcW w:w="2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For the Six Months</w:t>
            </w:r>
          </w:p>
        </w:tc>
        <w:tc>
          <w:tcPr>
            <w:tcW w:w="760" w:type="dxa"/>
            <w:vAlign w:val="bottom"/>
          </w:tcPr>
          <w:p>
            <w:pPr>
              <w:spacing w:after="0"/>
              <w:rPr>
                <w:sz w:val="24"/>
                <w:szCs w:val="24"/>
                <w:color w:val="auto"/>
              </w:rPr>
            </w:pPr>
          </w:p>
        </w:tc>
      </w:tr>
      <w:tr>
        <w:trPr>
          <w:trHeight w:val="153"/>
        </w:trPr>
        <w:tc>
          <w:tcPr>
            <w:tcW w:w="22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40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09"/>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Operating expenses</w:t>
            </w:r>
            <w:r>
              <w:rPr>
                <w:rFonts w:ascii="Times New Roman" w:cs="Times New Roman" w:eastAsia="Times New Roman" w:hAnsi="Times New Roman"/>
                <w:sz w:val="19"/>
                <w:szCs w:val="19"/>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20,893</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16,365</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4,528</w:t>
            </w:r>
          </w:p>
        </w:tc>
      </w:tr>
      <w:tr>
        <w:trPr>
          <w:trHeight w:val="175"/>
        </w:trPr>
        <w:tc>
          <w:tcPr>
            <w:tcW w:w="6280" w:type="dxa"/>
            <w:vAlign w:val="bottom"/>
            <w:tcBorders>
              <w:bottom w:val="single" w:sz="8" w:color="CCEEFF"/>
            </w:tcBorders>
            <w:gridSpan w:val="3"/>
          </w:tcPr>
          <w:p>
            <w:pPr>
              <w:spacing w:after="0" w:line="175" w:lineRule="exact"/>
              <w:rPr>
                <w:sz w:val="20"/>
                <w:szCs w:val="20"/>
                <w:color w:val="auto"/>
              </w:rPr>
            </w:pPr>
            <w:r>
              <w:rPr>
                <w:rFonts w:ascii="Times New Roman" w:cs="Times New Roman" w:eastAsia="Times New Roman" w:hAnsi="Times New Roman"/>
                <w:sz w:val="14"/>
                <w:szCs w:val="14"/>
                <w:color w:val="auto"/>
              </w:rPr>
              <w:t>Salaries and related costs</w:t>
            </w:r>
            <w:r>
              <w:rPr>
                <w:rFonts w:ascii="Times New Roman" w:cs="Times New Roman" w:eastAsia="Times New Roman" w:hAnsi="Times New Roman"/>
                <w:sz w:val="20"/>
                <w:szCs w:val="20"/>
                <w:color w:val="auto"/>
                <w:vertAlign w:val="superscript"/>
              </w:rPr>
              <w:t>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11,410</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11,190</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w:t>
            </w:r>
          </w:p>
        </w:tc>
      </w:tr>
      <w:tr>
        <w:trPr>
          <w:trHeight w:val="166"/>
        </w:trPr>
        <w:tc>
          <w:tcPr>
            <w:tcW w:w="6280" w:type="dxa"/>
            <w:vAlign w:val="bottom"/>
            <w:tcBorders>
              <w:bottom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R&amp;D expenses</w:t>
            </w: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32,303</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27,555</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4,748</w:t>
            </w:r>
          </w:p>
        </w:tc>
      </w:tr>
      <w:tr>
        <w:trPr>
          <w:trHeight w:val="20"/>
        </w:trPr>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r>
    </w:tbl>
    <w:p>
      <w:pPr>
        <w:ind w:left="300" w:hanging="266"/>
        <w:spacing w:after="0" w:line="228" w:lineRule="auto"/>
        <w:tabs>
          <w:tab w:leader="none" w:pos="300" w:val="left"/>
        </w:tabs>
        <w:numPr>
          <w:ilvl w:val="0"/>
          <w:numId w:val="10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depreciation expense</w:t>
      </w:r>
    </w:p>
    <w:p>
      <w:pPr>
        <w:spacing w:after="0" w:line="1" w:lineRule="exact"/>
        <w:rPr>
          <w:sz w:val="20"/>
          <w:szCs w:val="20"/>
          <w:color w:val="auto"/>
        </w:rPr>
      </w:pPr>
    </w:p>
    <w:p>
      <w:pPr>
        <w:ind w:left="40" w:right="6159" w:hanging="6"/>
        <w:spacing w:after="0" w:line="408" w:lineRule="auto"/>
        <w:tabs>
          <w:tab w:leader="none" w:pos="303" w:val="left"/>
        </w:tabs>
        <w:numPr>
          <w:ilvl w:val="0"/>
          <w:numId w:val="1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share-based compensation expense For the six months ended June 30, 2024:</w:t>
      </w:r>
    </w:p>
    <w:p>
      <w:pPr>
        <w:ind w:left="3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Clinical expenses increased by CHF 4.7 million, primarily due to:</w:t>
      </w:r>
    </w:p>
    <w:p>
      <w:pPr>
        <w:spacing w:after="0" w:line="177" w:lineRule="exact"/>
        <w:rPr>
          <w:rFonts w:ascii="Times New Roman" w:cs="Times New Roman" w:eastAsia="Times New Roman" w:hAnsi="Times New Roman"/>
          <w:sz w:val="21"/>
          <w:szCs w:val="21"/>
          <w:color w:val="auto"/>
          <w:vertAlign w:val="superscript"/>
        </w:rPr>
      </w:pPr>
    </w:p>
    <w:p>
      <w:pPr>
        <w:ind w:left="560" w:right="139" w:hanging="263"/>
        <w:spacing w:after="0" w:line="267" w:lineRule="auto"/>
        <w:tabs>
          <w:tab w:leader="none" w:pos="560" w:val="left"/>
        </w:tabs>
        <w:numPr>
          <w:ilvl w:val="1"/>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3.0 million in our ACI-24.060 active immunotherapy for expansion of the ABATE study and CHF 1.7 million attributed to the ramp-up of activities for our Phase 2 VacSYn study evaluating ACI-7104.056 in early PD.</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variances in Group function expenses are related to regulatory and quality assurance, and intellectual property costs.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Other non-allocated expenses are related to infrastructure and functional expenses not allocated to direct R&amp;D expenses.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General and administrative expenses</w:t>
      </w:r>
    </w:p>
    <w:p>
      <w:pPr>
        <w:spacing w:after="0" w:line="169" w:lineRule="exact"/>
        <w:rPr>
          <w:sz w:val="20"/>
          <w:szCs w:val="20"/>
          <w:color w:val="auto"/>
        </w:rPr>
      </w:pPr>
    </w:p>
    <w:p>
      <w:pPr>
        <w:ind w:left="40" w:right="219" w:firstLine="263"/>
        <w:spacing w:after="0" w:line="267" w:lineRule="auto"/>
        <w:rPr>
          <w:sz w:val="20"/>
          <w:szCs w:val="20"/>
          <w:color w:val="auto"/>
        </w:rPr>
      </w:pPr>
      <w:r>
        <w:rPr>
          <w:rFonts w:ascii="Times New Roman" w:cs="Times New Roman" w:eastAsia="Times New Roman" w:hAnsi="Times New Roman"/>
          <w:sz w:val="15"/>
          <w:szCs w:val="15"/>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42" w:lineRule="exact"/>
        <w:rPr>
          <w:sz w:val="20"/>
          <w:szCs w:val="20"/>
          <w:color w:val="auto"/>
        </w:rPr>
      </w:pPr>
    </w:p>
    <w:p>
      <w:pPr>
        <w:ind w:left="40" w:right="99" w:firstLine="263"/>
        <w:spacing w:after="0" w:line="255" w:lineRule="auto"/>
        <w:rPr>
          <w:sz w:val="20"/>
          <w:szCs w:val="20"/>
          <w:color w:val="auto"/>
        </w:rPr>
      </w:pPr>
      <w:r>
        <w:rPr>
          <w:rFonts w:ascii="Times New Roman" w:cs="Times New Roman" w:eastAsia="Times New Roman" w:hAnsi="Times New Roman"/>
          <w:sz w:val="15"/>
          <w:szCs w:val="15"/>
          <w:color w:val="auto"/>
        </w:rPr>
        <w:t>For the three months ended June 30, 2024, general and administrative expenses totaled CHF 4.6 million compared with CHF 3.7 million for the comparable period in 2023. This represents an increase of CHF 0.9 million. The following table presents the general and administrative expenses during the three months ended June 30, 2024 and 2023:</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760" w:type="dxa"/>
            <w:vAlign w:val="bottom"/>
          </w:tcPr>
          <w:p>
            <w:pPr>
              <w:spacing w:after="0"/>
              <w:rPr>
                <w:sz w:val="12"/>
                <w:szCs w:val="12"/>
                <w:color w:val="auto"/>
              </w:rPr>
            </w:pPr>
          </w:p>
        </w:tc>
      </w:tr>
      <w:tr>
        <w:trPr>
          <w:trHeight w:val="153"/>
        </w:trPr>
        <w:tc>
          <w:tcPr>
            <w:tcW w:w="22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40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11"/>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Operating expenses</w:t>
            </w:r>
            <w:r>
              <w:rPr>
                <w:rFonts w:ascii="Times New Roman" w:cs="Times New Roman" w:eastAsia="Times New Roman" w:hAnsi="Times New Roman"/>
                <w:sz w:val="19"/>
                <w:szCs w:val="19"/>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1,462</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993</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469</w:t>
            </w:r>
          </w:p>
        </w:tc>
      </w:tr>
      <w:tr>
        <w:trPr>
          <w:trHeight w:val="175"/>
        </w:trPr>
        <w:tc>
          <w:tcPr>
            <w:tcW w:w="6280" w:type="dxa"/>
            <w:vAlign w:val="bottom"/>
            <w:tcBorders>
              <w:bottom w:val="single" w:sz="8" w:color="CCEEFF"/>
            </w:tcBorders>
            <w:gridSpan w:val="3"/>
          </w:tcPr>
          <w:p>
            <w:pPr>
              <w:spacing w:after="0" w:line="175" w:lineRule="exact"/>
              <w:rPr>
                <w:sz w:val="20"/>
                <w:szCs w:val="20"/>
                <w:color w:val="auto"/>
              </w:rPr>
            </w:pPr>
            <w:r>
              <w:rPr>
                <w:rFonts w:ascii="Times New Roman" w:cs="Times New Roman" w:eastAsia="Times New Roman" w:hAnsi="Times New Roman"/>
                <w:sz w:val="14"/>
                <w:szCs w:val="14"/>
                <w:color w:val="auto"/>
              </w:rPr>
              <w:t>Salaries and related costs</w:t>
            </w:r>
            <w:r>
              <w:rPr>
                <w:rFonts w:ascii="Times New Roman" w:cs="Times New Roman" w:eastAsia="Times New Roman" w:hAnsi="Times New Roman"/>
                <w:sz w:val="20"/>
                <w:szCs w:val="20"/>
                <w:color w:val="auto"/>
                <w:vertAlign w:val="superscript"/>
              </w:rPr>
              <w:t>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3,089</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2,688</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w:t>
            </w:r>
          </w:p>
        </w:tc>
      </w:tr>
      <w:tr>
        <w:trPr>
          <w:trHeight w:val="166"/>
        </w:trPr>
        <w:tc>
          <w:tcPr>
            <w:tcW w:w="6280" w:type="dxa"/>
            <w:vAlign w:val="bottom"/>
            <w:tcBorders>
              <w:bottom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general and administrative expenses</w:t>
            </w: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4,551</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3,681</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870</w:t>
            </w:r>
          </w:p>
        </w:tc>
      </w:tr>
      <w:tr>
        <w:trPr>
          <w:trHeight w:val="20"/>
        </w:trPr>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0"/>
        </w:trPr>
        <w:tc>
          <w:tcPr>
            <w:tcW w:w="224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r>
    </w:tbl>
    <w:p>
      <w:pPr>
        <w:ind w:left="40"/>
        <w:spacing w:after="0" w:line="228" w:lineRule="auto"/>
        <w:tabs>
          <w:tab w:leader="none" w:pos="28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5"/>
          <w:szCs w:val="15"/>
          <w:color w:val="auto"/>
        </w:rPr>
        <w:t>Includes depreciation expense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3" w:name="page164"/>
    <w:bookmarkEnd w:id="163"/>
    <w:p>
      <w:pPr>
        <w:ind w:left="300" w:hanging="266"/>
        <w:spacing w:after="0"/>
        <w:tabs>
          <w:tab w:leader="none" w:pos="300" w:val="left"/>
        </w:tabs>
        <w:numPr>
          <w:ilvl w:val="0"/>
          <w:numId w:val="1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share-based compensation expense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 the three months ended June 30, 2024, this increase is primarily due to:</w:t>
      </w:r>
    </w:p>
    <w:p>
      <w:pPr>
        <w:spacing w:after="0" w:line="178" w:lineRule="exact"/>
        <w:rPr>
          <w:sz w:val="20"/>
          <w:szCs w:val="20"/>
          <w:color w:val="auto"/>
        </w:rPr>
      </w:pPr>
    </w:p>
    <w:p>
      <w:pPr>
        <w:ind w:left="560" w:right="679" w:hanging="263"/>
        <w:spacing w:after="0" w:line="267" w:lineRule="auto"/>
        <w:tabs>
          <w:tab w:leader="none" w:pos="56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0.5 million in operating expenses, predominantly due to a rise of CHF 0.4 million in legal fees related to business development and licensing activities.</w:t>
      </w:r>
    </w:p>
    <w:p>
      <w:pPr>
        <w:spacing w:after="0" w:line="130" w:lineRule="exact"/>
        <w:rPr>
          <w:rFonts w:ascii="Times New Roman" w:cs="Times New Roman" w:eastAsia="Times New Roman" w:hAnsi="Times New Roman"/>
          <w:sz w:val="15"/>
          <w:szCs w:val="15"/>
          <w:color w:val="auto"/>
        </w:rPr>
      </w:pPr>
    </w:p>
    <w:p>
      <w:pPr>
        <w:ind w:left="560" w:right="339" w:hanging="263"/>
        <w:spacing w:after="0" w:line="252" w:lineRule="auto"/>
        <w:tabs>
          <w:tab w:leader="none" w:pos="56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0.4 million in salaries and related costs, largely attributable to the higher expenses from equity awards granted in 2024, which have a higher fair value.</w:t>
      </w:r>
    </w:p>
    <w:p>
      <w:pPr>
        <w:spacing w:after="0" w:line="141" w:lineRule="exact"/>
        <w:rPr>
          <w:sz w:val="20"/>
          <w:szCs w:val="20"/>
          <w:color w:val="auto"/>
        </w:rPr>
      </w:pPr>
    </w:p>
    <w:p>
      <w:pPr>
        <w:ind w:left="40" w:right="99" w:firstLine="263"/>
        <w:spacing w:after="0" w:line="255" w:lineRule="auto"/>
        <w:rPr>
          <w:sz w:val="20"/>
          <w:szCs w:val="20"/>
          <w:color w:val="auto"/>
        </w:rPr>
      </w:pPr>
      <w:r>
        <w:rPr>
          <w:rFonts w:ascii="Times New Roman" w:cs="Times New Roman" w:eastAsia="Times New Roman" w:hAnsi="Times New Roman"/>
          <w:sz w:val="15"/>
          <w:szCs w:val="15"/>
          <w:color w:val="auto"/>
        </w:rPr>
        <w:t>For the six months ended June 30, 2024, general and administrative expenses totaled CHF 9.5 million compared with CHF 7.8 million for the comparable period in 2023. This represents an increase of CHF 1.7 million. The following table presents the general and administrative expenses during the six months ended June 30, 2024 and 2023:</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For the Six Months</w:t>
            </w:r>
          </w:p>
        </w:tc>
        <w:tc>
          <w:tcPr>
            <w:tcW w:w="760" w:type="dxa"/>
            <w:vAlign w:val="bottom"/>
          </w:tcPr>
          <w:p>
            <w:pPr>
              <w:spacing w:after="0"/>
              <w:rPr>
                <w:sz w:val="12"/>
                <w:szCs w:val="12"/>
                <w:color w:val="auto"/>
              </w:rPr>
            </w:pPr>
          </w:p>
        </w:tc>
      </w:tr>
      <w:tr>
        <w:trPr>
          <w:trHeight w:val="153"/>
        </w:trPr>
        <w:tc>
          <w:tcPr>
            <w:tcW w:w="22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ind w:left="460"/>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76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40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11"/>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gridSpan w:val="2"/>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Operating expenses</w:t>
            </w:r>
            <w:r>
              <w:rPr>
                <w:rFonts w:ascii="Times New Roman" w:cs="Times New Roman" w:eastAsia="Times New Roman" w:hAnsi="Times New Roman"/>
                <w:sz w:val="19"/>
                <w:szCs w:val="19"/>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380"/>
              <w:spacing w:after="0" w:line="167" w:lineRule="exact"/>
              <w:rPr>
                <w:sz w:val="20"/>
                <w:szCs w:val="20"/>
                <w:color w:val="auto"/>
              </w:rPr>
            </w:pPr>
            <w:r>
              <w:rPr>
                <w:rFonts w:ascii="Times New Roman" w:cs="Times New Roman" w:eastAsia="Times New Roman" w:hAnsi="Times New Roman"/>
                <w:sz w:val="15"/>
                <w:szCs w:val="15"/>
                <w:color w:val="auto"/>
              </w:rPr>
              <w:t>3,377</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2,271</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1,106</w:t>
            </w:r>
          </w:p>
        </w:tc>
      </w:tr>
      <w:tr>
        <w:trPr>
          <w:trHeight w:val="175"/>
        </w:trPr>
        <w:tc>
          <w:tcPr>
            <w:tcW w:w="6280" w:type="dxa"/>
            <w:vAlign w:val="bottom"/>
            <w:tcBorders>
              <w:bottom w:val="single" w:sz="8" w:color="CCEEFF"/>
            </w:tcBorders>
            <w:gridSpan w:val="3"/>
          </w:tcPr>
          <w:p>
            <w:pPr>
              <w:spacing w:after="0" w:line="175" w:lineRule="exact"/>
              <w:rPr>
                <w:sz w:val="20"/>
                <w:szCs w:val="20"/>
                <w:color w:val="auto"/>
              </w:rPr>
            </w:pPr>
            <w:r>
              <w:rPr>
                <w:rFonts w:ascii="Times New Roman" w:cs="Times New Roman" w:eastAsia="Times New Roman" w:hAnsi="Times New Roman"/>
                <w:sz w:val="14"/>
                <w:szCs w:val="14"/>
                <w:color w:val="auto"/>
              </w:rPr>
              <w:t>Salaries and related costs</w:t>
            </w:r>
            <w:r>
              <w:rPr>
                <w:rFonts w:ascii="Times New Roman" w:cs="Times New Roman" w:eastAsia="Times New Roman" w:hAnsi="Times New Roman"/>
                <w:sz w:val="20"/>
                <w:szCs w:val="20"/>
                <w:color w:val="auto"/>
                <w:vertAlign w:val="superscript"/>
              </w:rPr>
              <w:t>2</w:t>
            </w: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6,145</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5,516</w:t>
            </w: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629</w:t>
            </w:r>
          </w:p>
        </w:tc>
      </w:tr>
      <w:tr>
        <w:trPr>
          <w:trHeight w:val="166"/>
        </w:trPr>
        <w:tc>
          <w:tcPr>
            <w:tcW w:w="6280" w:type="dxa"/>
            <w:vAlign w:val="bottom"/>
            <w:tcBorders>
              <w:bottom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general and administrative expenses</w:t>
            </w:r>
          </w:p>
        </w:tc>
        <w:tc>
          <w:tcPr>
            <w:tcW w:w="760" w:type="dxa"/>
            <w:vAlign w:val="bottom"/>
            <w:tcBorders>
              <w:bottom w:val="single" w:sz="8" w:color="auto"/>
            </w:tcBorders>
            <w:shd w:val="clear" w:color="auto" w:fill="CCEEFF"/>
          </w:tcPr>
          <w:p>
            <w:pPr>
              <w:ind w:left="380"/>
              <w:spacing w:after="0" w:line="167" w:lineRule="exact"/>
              <w:rPr>
                <w:sz w:val="20"/>
                <w:szCs w:val="20"/>
                <w:color w:val="auto"/>
              </w:rPr>
            </w:pPr>
            <w:r>
              <w:rPr>
                <w:rFonts w:ascii="Times New Roman" w:cs="Times New Roman" w:eastAsia="Times New Roman" w:hAnsi="Times New Roman"/>
                <w:sz w:val="15"/>
                <w:szCs w:val="15"/>
                <w:color w:val="auto"/>
              </w:rPr>
              <w:t>9,522</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7,787</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1,735</w:t>
            </w:r>
          </w:p>
        </w:tc>
      </w:tr>
      <w:tr>
        <w:trPr>
          <w:trHeight w:val="20"/>
        </w:trPr>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0"/>
        </w:trPr>
        <w:tc>
          <w:tcPr>
            <w:tcW w:w="224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r>
    </w:tbl>
    <w:p>
      <w:pPr>
        <w:ind w:left="300" w:hanging="266"/>
        <w:spacing w:after="0" w:line="228" w:lineRule="auto"/>
        <w:tabs>
          <w:tab w:leader="none" w:pos="300" w:val="left"/>
        </w:tabs>
        <w:numPr>
          <w:ilvl w:val="0"/>
          <w:numId w:val="1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depreciation expense</w:t>
      </w:r>
    </w:p>
    <w:p>
      <w:pPr>
        <w:ind w:left="300" w:hanging="266"/>
        <w:spacing w:after="0" w:line="183" w:lineRule="auto"/>
        <w:tabs>
          <w:tab w:leader="none" w:pos="300" w:val="left"/>
        </w:tabs>
        <w:numPr>
          <w:ilvl w:val="0"/>
          <w:numId w:val="1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share-based compensation expense</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 the six months ended June 30, 2024, this increase is primarily due to:</w:t>
      </w:r>
    </w:p>
    <w:p>
      <w:pPr>
        <w:spacing w:after="0" w:line="178" w:lineRule="exact"/>
        <w:rPr>
          <w:sz w:val="20"/>
          <w:szCs w:val="20"/>
          <w:color w:val="auto"/>
        </w:rPr>
      </w:pPr>
    </w:p>
    <w:p>
      <w:pPr>
        <w:ind w:left="560" w:right="679" w:hanging="263"/>
        <w:spacing w:after="0" w:line="267" w:lineRule="auto"/>
        <w:tabs>
          <w:tab w:leader="none" w:pos="5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1.1 million in operating expenses, predominantly due to a rise of CHF 0.9 million in legal fees related to business development and licensing activities.</w:t>
      </w:r>
    </w:p>
    <w:p>
      <w:pPr>
        <w:spacing w:after="0" w:line="130" w:lineRule="exact"/>
        <w:rPr>
          <w:rFonts w:ascii="Times New Roman" w:cs="Times New Roman" w:eastAsia="Times New Roman" w:hAnsi="Times New Roman"/>
          <w:sz w:val="15"/>
          <w:szCs w:val="15"/>
          <w:color w:val="auto"/>
        </w:rPr>
      </w:pPr>
    </w:p>
    <w:p>
      <w:pPr>
        <w:ind w:left="560" w:right="339" w:hanging="263"/>
        <w:spacing w:after="0" w:line="267" w:lineRule="auto"/>
        <w:tabs>
          <w:tab w:leader="none" w:pos="56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0.6 million in salaries and related costs, largely attributable to the higher expenses from equity awards granted in 2024, which have a higher fair value.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Other operating income/(expense), net</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Other operating income/(expense), net consists primarily of income associated with foundation grants such as those from the MJFF or Target ALS.</w:t>
      </w:r>
    </w:p>
    <w:p>
      <w:pPr>
        <w:spacing w:after="0" w:line="178" w:lineRule="exact"/>
        <w:rPr>
          <w:sz w:val="20"/>
          <w:szCs w:val="20"/>
          <w:color w:val="auto"/>
        </w:rPr>
      </w:pPr>
    </w:p>
    <w:p>
      <w:pPr>
        <w:ind w:left="40" w:right="119" w:firstLine="263"/>
        <w:spacing w:after="0" w:line="250" w:lineRule="auto"/>
        <w:rPr>
          <w:sz w:val="20"/>
          <w:szCs w:val="20"/>
          <w:color w:val="auto"/>
        </w:rPr>
      </w:pPr>
      <w:r>
        <w:rPr>
          <w:rFonts w:ascii="Times New Roman" w:cs="Times New Roman" w:eastAsia="Times New Roman" w:hAnsi="Times New Roman"/>
          <w:sz w:val="15"/>
          <w:szCs w:val="15"/>
          <w:color w:val="auto"/>
        </w:rPr>
        <w:t>For the three months ended June 30, 2024, other operating income/(expense), net totaled less than CHF 0.1 million compared with CHF 0.3 million for the comparable period in 2023. This represents a decrease of CHF 0.3 million. The following table presents the other operating income/(expense), net during the three months ended June 30, 2024 and 2023:</w:t>
      </w:r>
    </w:p>
    <w:tbl>
      <w:tblPr>
        <w:tblLayout w:type="fixed"/>
        <w:tblInd w:w="40" w:type="dxa"/>
        <w:tblCellMar>
          <w:top w:w="0" w:type="dxa"/>
          <w:left w:w="0" w:type="dxa"/>
          <w:bottom w:w="0" w:type="dxa"/>
          <w:right w:w="0" w:type="dxa"/>
        </w:tblCellMar>
      </w:tblPr>
      <w:tr>
        <w:trPr>
          <w:trHeight w:val="135"/>
        </w:trPr>
        <w:tc>
          <w:tcPr>
            <w:tcW w:w="6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760" w:type="dxa"/>
            <w:vAlign w:val="bottom"/>
          </w:tcPr>
          <w:p>
            <w:pPr>
              <w:spacing w:after="0"/>
              <w:rPr>
                <w:sz w:val="11"/>
                <w:szCs w:val="11"/>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6280" w:type="dxa"/>
            <w:vAlign w:val="bottom"/>
            <w:gridSpan w:val="2"/>
          </w:tcPr>
          <w:p>
            <w:pPr>
              <w:ind w:left="230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12"/>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Other operating income/(expense), net</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41</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317</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(276)</w:t>
            </w:r>
          </w:p>
        </w:tc>
      </w:tr>
      <w:tr>
        <w:trPr>
          <w:trHeight w:val="166"/>
        </w:trPr>
        <w:tc>
          <w:tcPr>
            <w:tcW w:w="628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other operating income/(expense), net</w:t>
            </w: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41</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317</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(276)</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0" w:right="219" w:firstLine="263"/>
        <w:spacing w:after="0" w:line="267" w:lineRule="auto"/>
        <w:rPr>
          <w:sz w:val="20"/>
          <w:szCs w:val="20"/>
          <w:color w:val="auto"/>
        </w:rPr>
      </w:pPr>
      <w:r>
        <w:rPr>
          <w:rFonts w:ascii="Times New Roman" w:cs="Times New Roman" w:eastAsia="Times New Roman" w:hAnsi="Times New Roman"/>
          <w:sz w:val="15"/>
          <w:szCs w:val="15"/>
          <w:color w:val="auto"/>
        </w:rPr>
        <w:t>For the three months ended June 30, 2024, the decrease of CHF 0.3 million in grant income primarily resulted from activities related to our MJFF awards that were completed prior to the start of the current period.</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5671185" cy="13970"/>
                    </a:xfrm>
                    <a:prstGeom prst="rect">
                      <a:avLst/>
                    </a:prstGeom>
                    <a:noFill/>
                  </pic:spPr>
                </pic:pic>
              </a:graphicData>
            </a:graphic>
          </wp:anchor>
        </w:drawing>
      </w:r>
    </w:p>
    <w:p>
      <w:pPr>
        <w:sectPr>
          <w:pgSz w:w="11900" w:h="16838" w:orient="portrait"/>
          <w:cols w:equalWidth="0" w:num="1">
            <w:col w:w="9019"/>
          </w:cols>
          <w:pgMar w:left="1440" w:top="62" w:right="1440" w:bottom="1440" w:gutter="0" w:footer="0" w:header="0"/>
        </w:sectPr>
      </w:pPr>
    </w:p>
    <w:bookmarkStart w:id="164" w:name="page165"/>
    <w:bookmarkEnd w:id="164"/>
    <w:p>
      <w:pPr>
        <w:ind w:left="40" w:right="359" w:firstLine="263"/>
        <w:spacing w:after="0" w:line="255" w:lineRule="auto"/>
        <w:rPr>
          <w:sz w:val="20"/>
          <w:szCs w:val="20"/>
          <w:color w:val="auto"/>
        </w:rPr>
      </w:pPr>
      <w:r>
        <w:rPr>
          <w:rFonts w:ascii="Times New Roman" w:cs="Times New Roman" w:eastAsia="Times New Roman" w:hAnsi="Times New Roman"/>
          <w:sz w:val="15"/>
          <w:szCs w:val="15"/>
          <w:color w:val="auto"/>
        </w:rPr>
        <w:t>For the six months ended June 30, 2024, other operating income/(expense), net totaled CHF 0.1 million compared with CHF 0.7 million for the comparable period in 2023. This represents a decrease of CHF 0.6 million. The following table presents the other operating income/(expense), net during the six months ended June 30, 2024 and 2023:</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For the Six Months</w:t>
            </w:r>
          </w:p>
        </w:tc>
        <w:tc>
          <w:tcPr>
            <w:tcW w:w="760" w:type="dxa"/>
            <w:vAlign w:val="bottom"/>
          </w:tcPr>
          <w:p>
            <w:pPr>
              <w:spacing w:after="0"/>
              <w:rPr>
                <w:sz w:val="12"/>
                <w:szCs w:val="12"/>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6280" w:type="dxa"/>
            <w:vAlign w:val="bottom"/>
            <w:gridSpan w:val="2"/>
          </w:tcPr>
          <w:p>
            <w:pPr>
              <w:ind w:left="230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12"/>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Other operating income/(expense), net</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109</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725</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(616)</w:t>
            </w:r>
          </w:p>
        </w:tc>
      </w:tr>
      <w:tr>
        <w:trPr>
          <w:trHeight w:val="166"/>
        </w:trPr>
        <w:tc>
          <w:tcPr>
            <w:tcW w:w="628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other operating income/(expense), net</w:t>
            </w: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109</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725</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(616)</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0" w:right="339" w:firstLine="263"/>
        <w:spacing w:after="0" w:line="267" w:lineRule="auto"/>
        <w:rPr>
          <w:sz w:val="20"/>
          <w:szCs w:val="20"/>
          <w:color w:val="auto"/>
        </w:rPr>
      </w:pPr>
      <w:r>
        <w:rPr>
          <w:rFonts w:ascii="Times New Roman" w:cs="Times New Roman" w:eastAsia="Times New Roman" w:hAnsi="Times New Roman"/>
          <w:sz w:val="15"/>
          <w:szCs w:val="15"/>
          <w:color w:val="auto"/>
        </w:rPr>
        <w:t>For the six months ended June 30, 2024, the decrease of CHF 0.6 million in grant income primarily resulted from activities related to our MJFF awards that were completed prior to the start of the current period.</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Finance result, net</w:t>
      </w:r>
    </w:p>
    <w:p>
      <w:pPr>
        <w:spacing w:after="0" w:line="180" w:lineRule="exact"/>
        <w:rPr>
          <w:sz w:val="20"/>
          <w:szCs w:val="20"/>
          <w:color w:val="auto"/>
        </w:rPr>
      </w:pPr>
    </w:p>
    <w:p>
      <w:pPr>
        <w:ind w:left="40" w:right="139" w:firstLine="263"/>
        <w:spacing w:after="0" w:line="255" w:lineRule="auto"/>
        <w:rPr>
          <w:sz w:val="20"/>
          <w:szCs w:val="20"/>
          <w:color w:val="auto"/>
        </w:rPr>
      </w:pPr>
      <w:r>
        <w:rPr>
          <w:rFonts w:ascii="Times New Roman" w:cs="Times New Roman" w:eastAsia="Times New Roman" w:hAnsi="Times New Roman"/>
          <w:sz w:val="15"/>
          <w:szCs w:val="15"/>
          <w:color w:val="auto"/>
        </w:rPr>
        <w:t>For the three months ended June 30, 2024, net finance result was a CHF 1.8 million loss compared with a CHF 0.2 million gain for the comparable period in 2023. This represents a decrease of CHF 2.0 million. The following table presents the net finance result during the three months ended June 30, 2024 and 2023:</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For the Three Months</w:t>
            </w:r>
          </w:p>
        </w:tc>
        <w:tc>
          <w:tcPr>
            <w:tcW w:w="760" w:type="dxa"/>
            <w:vAlign w:val="bottom"/>
          </w:tcPr>
          <w:p>
            <w:pPr>
              <w:spacing w:after="0"/>
              <w:rPr>
                <w:sz w:val="12"/>
                <w:szCs w:val="12"/>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Ended June 30,</w:t>
            </w:r>
          </w:p>
        </w:tc>
        <w:tc>
          <w:tcPr>
            <w:tcW w:w="760" w:type="dxa"/>
            <w:vAlign w:val="bottom"/>
          </w:tcPr>
          <w:p>
            <w:pPr>
              <w:spacing w:after="0"/>
              <w:rPr>
                <w:sz w:val="13"/>
                <w:szCs w:val="13"/>
                <w:color w:val="auto"/>
              </w:rPr>
            </w:pPr>
          </w:p>
        </w:tc>
      </w:tr>
      <w:tr>
        <w:trPr>
          <w:trHeight w:val="142"/>
        </w:trPr>
        <w:tc>
          <w:tcPr>
            <w:tcW w:w="6280" w:type="dxa"/>
            <w:vAlign w:val="bottom"/>
            <w:gridSpan w:val="2"/>
          </w:tcPr>
          <w:p>
            <w:pPr>
              <w:ind w:left="230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10"/>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Financial income</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739</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259</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480</w:t>
            </w:r>
          </w:p>
        </w:tc>
      </w:tr>
      <w:tr>
        <w:trPr>
          <w:trHeight w:val="175"/>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Financial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75"/>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Exchange differences,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(2,504)</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(2,488)</w:t>
            </w:r>
          </w:p>
        </w:tc>
      </w:tr>
      <w:tr>
        <w:trPr>
          <w:trHeight w:val="166"/>
        </w:trPr>
        <w:tc>
          <w:tcPr>
            <w:tcW w:w="628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Finance result, net</w:t>
            </w: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(1,799)</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216</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(2,015)</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For the three months ended June 30, 2024, the change in net finance result of CHF 2.0 million primarily related to:</w:t>
      </w:r>
    </w:p>
    <w:p>
      <w:pPr>
        <w:spacing w:after="0" w:line="178" w:lineRule="exact"/>
        <w:rPr>
          <w:sz w:val="20"/>
          <w:szCs w:val="20"/>
          <w:color w:val="auto"/>
        </w:rPr>
      </w:pPr>
    </w:p>
    <w:p>
      <w:pPr>
        <w:ind w:left="540" w:right="419" w:hanging="254"/>
        <w:spacing w:after="0" w:line="267" w:lineRule="auto"/>
        <w:tabs>
          <w:tab w:leader="none" w:pos="5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loss of CHF 2.5 million explained by unfavorable foreign currency exchange differences related to movement in the CHF versus foreign currencies, predominantly the US Dollar.</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This was partially offset by:</w:t>
      </w:r>
    </w:p>
    <w:p>
      <w:pPr>
        <w:spacing w:after="0" w:line="178" w:lineRule="exact"/>
        <w:rPr>
          <w:sz w:val="20"/>
          <w:szCs w:val="20"/>
          <w:color w:val="auto"/>
        </w:rPr>
      </w:pPr>
    </w:p>
    <w:p>
      <w:pPr>
        <w:ind w:left="540" w:right="199" w:hanging="254"/>
        <w:spacing w:after="0" w:line="267" w:lineRule="auto"/>
        <w:tabs>
          <w:tab w:leader="none" w:pos="576"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0.5 million in financial income due to higher interest received on net investments in short-term financial assets, attributed to more deposits in 2024 compared to the prior period.</w:t>
      </w:r>
    </w:p>
    <w:p>
      <w:pPr>
        <w:spacing w:after="0" w:line="142" w:lineRule="exact"/>
        <w:rPr>
          <w:sz w:val="20"/>
          <w:szCs w:val="20"/>
          <w:color w:val="auto"/>
        </w:rPr>
      </w:pPr>
    </w:p>
    <w:p>
      <w:pPr>
        <w:ind w:left="40" w:right="239" w:firstLine="263"/>
        <w:spacing w:after="0" w:line="255" w:lineRule="auto"/>
        <w:rPr>
          <w:sz w:val="20"/>
          <w:szCs w:val="20"/>
          <w:color w:val="auto"/>
        </w:rPr>
      </w:pPr>
      <w:r>
        <w:rPr>
          <w:rFonts w:ascii="Times New Roman" w:cs="Times New Roman" w:eastAsia="Times New Roman" w:hAnsi="Times New Roman"/>
          <w:sz w:val="15"/>
          <w:szCs w:val="15"/>
          <w:color w:val="auto"/>
        </w:rPr>
        <w:t>For the six months ended June 30, 2024, net finance result was a CHF 0.4 million gain compared with a CHF 0.3 million gain for the comparable period in 2023. This represents an increase of CHF 0.1 million. The following table presents the net finance result during the six months ended June 30, 2024 and 2023:</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For the Six Months</w:t>
            </w:r>
          </w:p>
        </w:tc>
        <w:tc>
          <w:tcPr>
            <w:tcW w:w="760" w:type="dxa"/>
            <w:vAlign w:val="bottom"/>
          </w:tcPr>
          <w:p>
            <w:pPr>
              <w:spacing w:after="0"/>
              <w:rPr>
                <w:sz w:val="12"/>
                <w:szCs w:val="12"/>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Ended June 30,</w:t>
            </w:r>
          </w:p>
        </w:tc>
        <w:tc>
          <w:tcPr>
            <w:tcW w:w="760" w:type="dxa"/>
            <w:vAlign w:val="bottom"/>
          </w:tcPr>
          <w:p>
            <w:pPr>
              <w:spacing w:after="0"/>
              <w:rPr>
                <w:sz w:val="13"/>
                <w:szCs w:val="13"/>
                <w:color w:val="auto"/>
              </w:rPr>
            </w:pPr>
          </w:p>
        </w:tc>
      </w:tr>
      <w:tr>
        <w:trPr>
          <w:trHeight w:val="142"/>
        </w:trPr>
        <w:tc>
          <w:tcPr>
            <w:tcW w:w="6280" w:type="dxa"/>
            <w:vAlign w:val="bottom"/>
            <w:gridSpan w:val="2"/>
          </w:tcPr>
          <w:p>
            <w:pPr>
              <w:ind w:left="230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10"/>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Financial income</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1,368</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468</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900</w:t>
            </w:r>
          </w:p>
        </w:tc>
      </w:tr>
      <w:tr>
        <w:trPr>
          <w:trHeight w:val="175"/>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Financial expense</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75"/>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Exchange differences,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r>
      <w:tr>
        <w:trPr>
          <w:trHeight w:val="166"/>
        </w:trPr>
        <w:tc>
          <w:tcPr>
            <w:tcW w:w="628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Finance result, net</w:t>
            </w: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407</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277</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130</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For the six months ended June 30, 2024, the increase of CHF 0.1 million in finance result, net primarily related to:</w:t>
      </w:r>
    </w:p>
    <w:p>
      <w:pPr>
        <w:spacing w:after="0" w:line="178" w:lineRule="exact"/>
        <w:rPr>
          <w:sz w:val="20"/>
          <w:szCs w:val="20"/>
          <w:color w:val="auto"/>
        </w:rPr>
      </w:pPr>
    </w:p>
    <w:p>
      <w:pPr>
        <w:ind w:left="540" w:right="79" w:hanging="254"/>
        <w:spacing w:after="0" w:line="267" w:lineRule="auto"/>
        <w:tabs>
          <w:tab w:leader="none" w:pos="5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of CHF 0.9 million in financial income due to higher interest received on net investments in short-term financial assets, attributed to more deposits in 2024 compared to the prior period.</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This was partially offset by: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5" w:name="page166"/>
    <w:bookmarkEnd w:id="165"/>
    <w:p>
      <w:pPr>
        <w:ind w:left="540" w:right="379" w:hanging="254"/>
        <w:spacing w:after="0" w:line="267" w:lineRule="auto"/>
        <w:tabs>
          <w:tab w:leader="none" w:pos="576"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loss of CHF 0.9 million explained by unfavorable foreign currency exchange differences related to movement in the CHF versus foreign currencies, predominantly the US Dollar.</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Liquidity and Capital Resources</w:t>
      </w:r>
    </w:p>
    <w:p>
      <w:pPr>
        <w:spacing w:after="0" w:line="182" w:lineRule="exact"/>
        <w:rPr>
          <w:sz w:val="20"/>
          <w:szCs w:val="20"/>
          <w:color w:val="auto"/>
        </w:rPr>
      </w:pPr>
    </w:p>
    <w:p>
      <w:pPr>
        <w:ind w:left="40" w:right="59" w:firstLine="263"/>
        <w:spacing w:after="0" w:line="264" w:lineRule="auto"/>
        <w:rPr>
          <w:sz w:val="20"/>
          <w:szCs w:val="20"/>
          <w:color w:val="auto"/>
        </w:rPr>
      </w:pPr>
      <w:r>
        <w:rPr>
          <w:rFonts w:ascii="Times New Roman" w:cs="Times New Roman" w:eastAsia="Times New Roman" w:hAnsi="Times New Roman"/>
          <w:sz w:val="14"/>
          <w:szCs w:val="14"/>
          <w:color w:val="auto"/>
        </w:rPr>
        <w:t>To date, the Company has financed its cash requirements primarily from its public offerings, share issuances, contract revenues from license and collaboration agreements (LCAs)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 As of June 30, 2024, we had cash and cash equivalents of CHF 51.6 million and short-term financial assets of CHF 123.6 million for a total liquidity balance of CHF 175.2 million.</w:t>
      </w:r>
    </w:p>
    <w:p>
      <w:pPr>
        <w:spacing w:after="0" w:line="148" w:lineRule="exact"/>
        <w:rPr>
          <w:sz w:val="20"/>
          <w:szCs w:val="20"/>
          <w:color w:val="auto"/>
        </w:rPr>
      </w:pPr>
    </w:p>
    <w:p>
      <w:pPr>
        <w:ind w:left="40" w:right="59" w:firstLine="263"/>
        <w:spacing w:after="0" w:line="243" w:lineRule="auto"/>
        <w:rPr>
          <w:sz w:val="20"/>
          <w:szCs w:val="20"/>
          <w:color w:val="auto"/>
        </w:rPr>
      </w:pPr>
      <w:r>
        <w:rPr>
          <w:rFonts w:ascii="Times New Roman" w:cs="Times New Roman" w:eastAsia="Times New Roman" w:hAnsi="Times New Roman"/>
          <w:sz w:val="15"/>
          <w:szCs w:val="15"/>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We and Janssen have completed the co-development of the second-generation lead active immunotherapies, ACI-35.030 and JACI-35.054, through Phase 1b/2a. In November 2022, it was announced that ACI-35.030 was selected to advance into further development based on interim data from the ongoing Phase 1b/2a trial. In December 2023, it was announced that Janssen has programmed the launch of a Phase 2b clinical study to evaluate ACI-35.030 (JNJ-64042056) in patients with preclinical AD, those individuals not yet showing symptoms.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We intend to increase our R&amp;D costs associated with the advancement of the active immunotherapies, ACI-24.060 targeting Abeta in AD and AD in DS and ACI-7104.056 targeting a-syn in PD, through clinical development, as well as through investments in our diagnostic programs.</w:t>
      </w:r>
    </w:p>
    <w:p>
      <w:pPr>
        <w:spacing w:after="0" w:line="159" w:lineRule="exact"/>
        <w:rPr>
          <w:sz w:val="20"/>
          <w:szCs w:val="20"/>
          <w:color w:val="auto"/>
        </w:rPr>
      </w:pPr>
    </w:p>
    <w:p>
      <w:pPr>
        <w:ind w:left="40" w:right="59" w:firstLine="263"/>
        <w:spacing w:after="0" w:line="263" w:lineRule="auto"/>
        <w:rPr>
          <w:sz w:val="20"/>
          <w:szCs w:val="20"/>
          <w:color w:val="auto"/>
        </w:rPr>
      </w:pPr>
      <w:r>
        <w:rPr>
          <w:rFonts w:ascii="Times New Roman" w:cs="Times New Roman" w:eastAsia="Times New Roman" w:hAnsi="Times New Roman"/>
          <w:sz w:val="14"/>
          <w:szCs w:val="14"/>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72.7) million through Jefferies acting as our sales agent. We first replaced this Sale Agreement in Q2 2021 to continue the ATM program and have subsequently replaced this Sale Agreement on August 6, 2024 to continue the ATM program under a new Registration Statement on Form F-3. Under each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We may also consider entering into additional LCAs and selectively partnering for clinical development and commercialization.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6" w:name="page167"/>
    <w:bookmarkEnd w:id="166"/>
    <w:p>
      <w:pPr>
        <w:ind w:left="40"/>
        <w:spacing w:after="0"/>
        <w:rPr>
          <w:sz w:val="20"/>
          <w:szCs w:val="20"/>
          <w:color w:val="auto"/>
        </w:rPr>
      </w:pPr>
      <w:r>
        <w:rPr>
          <w:rFonts w:ascii="Times New Roman" w:cs="Times New Roman" w:eastAsia="Times New Roman" w:hAnsi="Times New Roman"/>
          <w:sz w:val="15"/>
          <w:szCs w:val="15"/>
          <w:b w:val="1"/>
          <w:bCs w:val="1"/>
          <w:color w:val="auto"/>
        </w:rPr>
        <w:t>Cash Flows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following table summarizes AC Immune’s cash flows for the periods indicated: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For the Six Months</w:t>
            </w:r>
          </w:p>
        </w:tc>
        <w:tc>
          <w:tcPr>
            <w:tcW w:w="760" w:type="dxa"/>
            <w:vAlign w:val="bottom"/>
          </w:tcPr>
          <w:p>
            <w:pPr>
              <w:spacing w:after="0"/>
              <w:rPr>
                <w:sz w:val="12"/>
                <w:szCs w:val="12"/>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760" w:type="dxa"/>
            <w:vAlign w:val="bottom"/>
          </w:tcPr>
          <w:p>
            <w:pPr>
              <w:spacing w:after="0"/>
              <w:rPr>
                <w:sz w:val="13"/>
                <w:szCs w:val="13"/>
                <w:color w:val="auto"/>
              </w:rPr>
            </w:pPr>
          </w:p>
        </w:tc>
      </w:tr>
      <w:tr>
        <w:trPr>
          <w:trHeight w:val="142"/>
        </w:trPr>
        <w:tc>
          <w:tcPr>
            <w:tcW w:w="6280" w:type="dxa"/>
            <w:vAlign w:val="bottom"/>
            <w:gridSpan w:val="2"/>
          </w:tcPr>
          <w:p>
            <w:pPr>
              <w:ind w:left="2300"/>
              <w:spacing w:after="0" w:line="133" w:lineRule="exact"/>
              <w:rPr>
                <w:sz w:val="20"/>
                <w:szCs w:val="20"/>
                <w:color w:val="auto"/>
              </w:rPr>
            </w:pPr>
            <w:r>
              <w:rPr>
                <w:rFonts w:ascii="Times New Roman" w:cs="Times New Roman" w:eastAsia="Times New Roman" w:hAnsi="Times New Roman"/>
                <w:sz w:val="12"/>
                <w:szCs w:val="12"/>
                <w:b w:val="1"/>
                <w:bCs w:val="1"/>
                <w:color w:val="auto"/>
              </w:rPr>
              <w:t>In CHF thousands, unaudited</w:t>
            </w:r>
          </w:p>
        </w:tc>
        <w:tc>
          <w:tcPr>
            <w:tcW w:w="76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Pr>
          <w:p>
            <w:pPr>
              <w:spacing w:after="0"/>
              <w:rPr>
                <w:sz w:val="12"/>
                <w:szCs w:val="12"/>
                <w:color w:val="auto"/>
              </w:rPr>
            </w:pPr>
          </w:p>
        </w:tc>
        <w:tc>
          <w:tcPr>
            <w:tcW w:w="760" w:type="dxa"/>
            <w:vAlign w:val="bottom"/>
          </w:tcPr>
          <w:p>
            <w:pPr>
              <w:jc w:val="right"/>
              <w:ind w:right="110"/>
              <w:spacing w:after="0" w:line="133" w:lineRule="exact"/>
              <w:rPr>
                <w:sz w:val="20"/>
                <w:szCs w:val="20"/>
                <w:color w:val="auto"/>
              </w:rPr>
            </w:pPr>
            <w:r>
              <w:rPr>
                <w:rFonts w:ascii="Times New Roman" w:cs="Times New Roman" w:eastAsia="Times New Roman" w:hAnsi="Times New Roman"/>
                <w:sz w:val="12"/>
                <w:szCs w:val="12"/>
                <w:b w:val="1"/>
                <w:bCs w:val="1"/>
                <w:color w:val="auto"/>
              </w:rPr>
              <w:t>Change</w:t>
            </w:r>
          </w:p>
        </w:tc>
      </w:tr>
      <w:tr>
        <w:trPr>
          <w:trHeight w:val="166"/>
        </w:trPr>
        <w:tc>
          <w:tcPr>
            <w:tcW w:w="61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cash provided by/(used in):</w:t>
            </w: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5"/>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74,051</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(30,917)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104,968</w:t>
            </w:r>
          </w:p>
        </w:tc>
      </w:tr>
      <w:tr>
        <w:trPr>
          <w:trHeight w:val="175"/>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Investing activities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(99,377)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37,645</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(137,022)</w:t>
            </w:r>
          </w:p>
        </w:tc>
      </w:tr>
      <w:tr>
        <w:trPr>
          <w:trHeight w:val="175"/>
        </w:trPr>
        <w:tc>
          <w:tcPr>
            <w:tcW w:w="6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Financing activities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(750)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(2,524)</w:t>
            </w:r>
          </w:p>
        </w:tc>
      </w:tr>
      <w:tr>
        <w:trPr>
          <w:trHeight w:val="166"/>
        </w:trPr>
        <w:tc>
          <w:tcPr>
            <w:tcW w:w="6280" w:type="dxa"/>
            <w:vAlign w:val="bottom"/>
            <w:tcBorders>
              <w:top w:val="single" w:sz="8" w:color="CCEEFF"/>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Net increase/(decrease) in cash and cash equivalents</w:t>
            </w: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(26,076)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8,502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(34,578)</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Operating activities</w:t>
      </w:r>
    </w:p>
    <w:p>
      <w:pPr>
        <w:spacing w:after="0" w:line="180" w:lineRule="exact"/>
        <w:rPr>
          <w:sz w:val="20"/>
          <w:szCs w:val="20"/>
          <w:color w:val="auto"/>
        </w:rPr>
      </w:pPr>
    </w:p>
    <w:p>
      <w:pPr>
        <w:ind w:left="40" w:right="179" w:firstLine="263"/>
        <w:spacing w:after="0" w:line="248" w:lineRule="auto"/>
        <w:rPr>
          <w:sz w:val="20"/>
          <w:szCs w:val="20"/>
          <w:color w:val="auto"/>
        </w:rPr>
      </w:pPr>
      <w:r>
        <w:rPr>
          <w:rFonts w:ascii="Times New Roman" w:cs="Times New Roman" w:eastAsia="Times New Roman" w:hAnsi="Times New Roman"/>
          <w:sz w:val="15"/>
          <w:szCs w:val="15"/>
          <w:color w:val="auto"/>
        </w:rPr>
        <w:t>Net cash provided by operating activities was CHF 74.1 million for the six months ended June 30, 2024, compared with net cash used in operating activities of CHF 30.9 million for the six months ended June 30, 2023. The change in cash provided by operating activities for the six months ended June 30, 2024 was due to (i) the Company’s reporting a net loss of CHF 40.6 million for the period, compared with a net loss of CHF 34.3 million for the same period in 2023, (ii) an increase of CHF 91.6 million in deferred contract revenue, resulting from the receipt of the upfront payment from our agreement with Takeda and (iii) the receipt of the CHF 14.8 million milestone payment from Janssen for the commencement of first Phase 2b clinical study.</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Investing activities</w:t>
      </w:r>
    </w:p>
    <w:p>
      <w:pPr>
        <w:spacing w:after="0" w:line="180" w:lineRule="exact"/>
        <w:rPr>
          <w:sz w:val="20"/>
          <w:szCs w:val="20"/>
          <w:color w:val="auto"/>
        </w:rPr>
      </w:pPr>
    </w:p>
    <w:p>
      <w:pPr>
        <w:jc w:val="both"/>
        <w:ind w:left="40" w:right="159" w:firstLine="263"/>
        <w:spacing w:after="0" w:line="255" w:lineRule="auto"/>
        <w:rPr>
          <w:sz w:val="20"/>
          <w:szCs w:val="20"/>
          <w:color w:val="auto"/>
        </w:rPr>
      </w:pPr>
      <w:r>
        <w:rPr>
          <w:rFonts w:ascii="Times New Roman" w:cs="Times New Roman" w:eastAsia="Times New Roman" w:hAnsi="Times New Roman"/>
          <w:sz w:val="15"/>
          <w:szCs w:val="15"/>
          <w:color w:val="auto"/>
        </w:rPr>
        <w:t>Net cash used in investing activities was CHF 99.4 million for the six months ended June 30, 2024, compared with net cash provided by investing activities of CHF 37.6 million for the six months ended June 30, 2023. A net amount of CHF 99.0 million in short-term financial assets was invested in the current period compared to a net maturation of CHF 38.0 million in the comparable prior period.</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Financing activities</w:t>
      </w:r>
    </w:p>
    <w:p>
      <w:pPr>
        <w:spacing w:after="0" w:line="180" w:lineRule="exact"/>
        <w:rPr>
          <w:sz w:val="20"/>
          <w:szCs w:val="20"/>
          <w:color w:val="auto"/>
        </w:rPr>
      </w:pPr>
    </w:p>
    <w:p>
      <w:pPr>
        <w:ind w:left="40" w:right="59" w:firstLine="263"/>
        <w:spacing w:after="0" w:line="245" w:lineRule="auto"/>
        <w:rPr>
          <w:sz w:val="20"/>
          <w:szCs w:val="20"/>
          <w:color w:val="auto"/>
        </w:rPr>
      </w:pPr>
      <w:r>
        <w:rPr>
          <w:rFonts w:ascii="Times New Roman" w:cs="Times New Roman" w:eastAsia="Times New Roman" w:hAnsi="Times New Roman"/>
          <w:sz w:val="15"/>
          <w:szCs w:val="15"/>
          <w:color w:val="auto"/>
        </w:rPr>
        <w:t>Net cash used in financing activities was CHF 0.8 million for the six months ended June 30, 2024, compared with net cash provided by financing activities of CHF 1.8 million for the six months ended June 30, 2023. The change of CHF 2.6 million is primarily related to CHF 2.1 million received from proceeds from the sale of treasury shares in public offerings, net of underwriting fees and transaction costs in the prior period compared to CHF 0.1 million in the current period. Additionally, in 2024, the Company paid CHF 0.5 million in transaction costs and stamp duty associated with the public offerings of common shares that had been previously accrued.</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Operating Capital Requirements and Plan of Operations</w:t>
      </w:r>
    </w:p>
    <w:p>
      <w:pPr>
        <w:spacing w:after="0" w:line="180" w:lineRule="exact"/>
        <w:rPr>
          <w:sz w:val="20"/>
          <w:szCs w:val="20"/>
          <w:color w:val="auto"/>
        </w:rPr>
      </w:pPr>
    </w:p>
    <w:p>
      <w:pPr>
        <w:ind w:left="40" w:right="39" w:firstLine="263"/>
        <w:spacing w:after="0" w:line="244" w:lineRule="auto"/>
        <w:rPr>
          <w:sz w:val="20"/>
          <w:szCs w:val="20"/>
          <w:color w:val="auto"/>
        </w:rPr>
      </w:pPr>
      <w:r>
        <w:rPr>
          <w:rFonts w:ascii="Times New Roman" w:cs="Times New Roman" w:eastAsia="Times New Roman" w:hAnsi="Times New Roman"/>
          <w:sz w:val="15"/>
          <w:szCs w:val="15"/>
          <w:color w:val="auto"/>
        </w:rPr>
        <w:t>We do not expect to generate revenues from royalties based on product sales unless and until our partners or we obtain regulatory approval of, and successfully commercialize, our current or any future product candidates. As of June 30, 2024, we had cash and cash equivalents of CHF 51.6 million and short-term financial assets of CHF 123.6 million, resulting in CHF 175.2 million of liquidity. The increase of CHF 72.1 million relative to December 31, 2023 was predominantly related to the receipt of the upfront payment of USD 100.0 (CHF 92.3) million from Takeda as part of the option and license agreement for ACI-24.060 and the CHF 14.8 million milestone payment from Janssen for the commencement of first Phase 2b clinical study of ACI-35.030.This was partially offset by R&amp;D spending on our major discovery and R&amp;D programs, the strengthening of the Company’s infrastructure, systems and organization and other operating expenditures. We believe that our existing capital resources, along with the assumed potential milestone payment of CHF 24.6 million related to achieving a non-disclosed enrollment target for our ACI-35.030, and no other milestones, will be sufficient to meet our projected operating requirements for three years. There can be no certainty as to the exact timing of future milestone payments (including option exercise fees), or in fact, whether any of these will ever be made, given that they are contingent on clear milestones being reached or the option being exercised.</w:t>
      </w:r>
    </w:p>
    <w:p>
      <w:pPr>
        <w:spacing w:after="0" w:line="150" w:lineRule="exact"/>
        <w:rPr>
          <w:sz w:val="20"/>
          <w:szCs w:val="20"/>
          <w:color w:val="auto"/>
        </w:rPr>
      </w:pPr>
    </w:p>
    <w:p>
      <w:pPr>
        <w:ind w:left="40" w:right="219" w:firstLine="263"/>
        <w:spacing w:after="0" w:line="267" w:lineRule="auto"/>
        <w:rPr>
          <w:sz w:val="20"/>
          <w:szCs w:val="20"/>
          <w:color w:val="auto"/>
        </w:rPr>
      </w:pPr>
      <w:r>
        <w:rPr>
          <w:rFonts w:ascii="Times New Roman" w:cs="Times New Roman" w:eastAsia="Times New Roman" w:hAnsi="Times New Roman"/>
          <w:sz w:val="15"/>
          <w:szCs w:val="15"/>
          <w:color w:val="auto"/>
        </w:rPr>
        <w:t>We expect to generate losses for the foreseeable future, and these losses could increase as we continue product development until we successfully achieve regulatory approvals for our product candidates and begin to commercialize</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67" w:name="page168"/>
    <w:bookmarkEnd w:id="167"/>
    <w:p>
      <w:pPr>
        <w:ind w:left="40" w:right="59"/>
        <w:spacing w:after="0" w:line="251" w:lineRule="auto"/>
        <w:rPr>
          <w:sz w:val="20"/>
          <w:szCs w:val="20"/>
          <w:color w:val="auto"/>
        </w:rPr>
      </w:pPr>
      <w:r>
        <w:rPr>
          <w:rFonts w:ascii="Times New Roman" w:cs="Times New Roman" w:eastAsia="Times New Roman" w:hAnsi="Times New Roman"/>
          <w:sz w:val="15"/>
          <w:szCs w:val="15"/>
          <w:color w:val="auto"/>
        </w:rPr>
        <w:t>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Our future funding requirements will depend on many factors, including but not limited to the following:</w:t>
      </w:r>
    </w:p>
    <w:p>
      <w:pPr>
        <w:spacing w:after="0" w:line="178" w:lineRule="exact"/>
        <w:rPr>
          <w:sz w:val="20"/>
          <w:szCs w:val="20"/>
          <w:color w:val="auto"/>
        </w:rPr>
      </w:pPr>
    </w:p>
    <w:p>
      <w:pPr>
        <w:ind w:left="560" w:right="499" w:hanging="263"/>
        <w:spacing w:after="0" w:line="267" w:lineRule="auto"/>
        <w:tabs>
          <w:tab w:leader="none" w:pos="5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rate of progress, results and cost of our preclinical and clinical studies and other related activities, according to our long-term strategic plan;</w:t>
      </w:r>
    </w:p>
    <w:p>
      <w:pPr>
        <w:spacing w:after="0" w:line="141" w:lineRule="exact"/>
        <w:rPr>
          <w:rFonts w:ascii="Times New Roman" w:cs="Times New Roman" w:eastAsia="Times New Roman" w:hAnsi="Times New Roman"/>
          <w:sz w:val="15"/>
          <w:szCs w:val="15"/>
          <w:color w:val="auto"/>
        </w:rPr>
      </w:pPr>
    </w:p>
    <w:p>
      <w:pPr>
        <w:ind w:left="560" w:right="339" w:hanging="263"/>
        <w:spacing w:after="0" w:line="267" w:lineRule="auto"/>
        <w:tabs>
          <w:tab w:leader="none" w:pos="5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manufacturing clinical supplies and establishing commercial supplies of our product candidates and any other products we may develop;</w:t>
      </w:r>
    </w:p>
    <w:p>
      <w:pPr>
        <w:spacing w:after="0" w:line="141" w:lineRule="exact"/>
        <w:rPr>
          <w:rFonts w:ascii="Times New Roman" w:cs="Times New Roman" w:eastAsia="Times New Roman" w:hAnsi="Times New Roman"/>
          <w:sz w:val="15"/>
          <w:szCs w:val="15"/>
          <w:color w:val="auto"/>
        </w:rPr>
      </w:pPr>
    </w:p>
    <w:p>
      <w:pPr>
        <w:ind w:left="560" w:hanging="263"/>
        <w:spacing w:after="0"/>
        <w:tabs>
          <w:tab w:leader="none" w:pos="5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timing and outcomes of regulatory approvals;</w:t>
      </w:r>
    </w:p>
    <w:p>
      <w:pPr>
        <w:spacing w:after="0" w:line="177" w:lineRule="exact"/>
        <w:rPr>
          <w:rFonts w:ascii="Times New Roman" w:cs="Times New Roman" w:eastAsia="Times New Roman" w:hAnsi="Times New Roman"/>
          <w:sz w:val="15"/>
          <w:szCs w:val="15"/>
          <w:color w:val="auto"/>
        </w:rPr>
      </w:pPr>
    </w:p>
    <w:p>
      <w:pPr>
        <w:ind w:left="560" w:hanging="263"/>
        <w:spacing w:after="0"/>
        <w:tabs>
          <w:tab w:leader="none" w:pos="5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and timing of establishing sales, marketing and distribution capabilities;</w:t>
      </w:r>
    </w:p>
    <w:p>
      <w:pPr>
        <w:spacing w:after="0" w:line="177" w:lineRule="exact"/>
        <w:rPr>
          <w:rFonts w:ascii="Times New Roman" w:cs="Times New Roman" w:eastAsia="Times New Roman" w:hAnsi="Times New Roman"/>
          <w:sz w:val="15"/>
          <w:szCs w:val="15"/>
          <w:color w:val="auto"/>
        </w:rPr>
      </w:pPr>
    </w:p>
    <w:p>
      <w:pPr>
        <w:ind w:left="560" w:right="459" w:hanging="263"/>
        <w:spacing w:after="0" w:line="267" w:lineRule="auto"/>
        <w:tabs>
          <w:tab w:leader="none" w:pos="5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timing of any collaborative, licensing and other arrangements that we may establish, including any required milestone and royalty payments thereunder;</w:t>
      </w:r>
    </w:p>
    <w:p>
      <w:pPr>
        <w:spacing w:after="0" w:line="141" w:lineRule="exact"/>
        <w:rPr>
          <w:rFonts w:ascii="Times New Roman" w:cs="Times New Roman" w:eastAsia="Times New Roman" w:hAnsi="Times New Roman"/>
          <w:sz w:val="15"/>
          <w:szCs w:val="15"/>
          <w:color w:val="auto"/>
        </w:rPr>
      </w:pPr>
    </w:p>
    <w:p>
      <w:pPr>
        <w:ind w:left="560" w:hanging="263"/>
        <w:spacing w:after="0"/>
        <w:tabs>
          <w:tab w:leader="none" w:pos="5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emergence of competing technologies or other adverse market developments; and</w:t>
      </w:r>
    </w:p>
    <w:p>
      <w:pPr>
        <w:spacing w:after="0" w:line="177" w:lineRule="exact"/>
        <w:rPr>
          <w:rFonts w:ascii="Times New Roman" w:cs="Times New Roman" w:eastAsia="Times New Roman" w:hAnsi="Times New Roman"/>
          <w:sz w:val="15"/>
          <w:szCs w:val="15"/>
          <w:color w:val="auto"/>
        </w:rPr>
      </w:pPr>
    </w:p>
    <w:p>
      <w:pPr>
        <w:ind w:left="560" w:hanging="263"/>
        <w:spacing w:after="0"/>
        <w:tabs>
          <w:tab w:leader="none" w:pos="5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cost and timing of managing, protecting, defending, and enforcing our portfolio of intellectual property.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Quantitative and Qualitative Disclosures about Market Risk</w:t>
      </w:r>
    </w:p>
    <w:p>
      <w:pPr>
        <w:spacing w:after="0" w:line="180" w:lineRule="exact"/>
        <w:rPr>
          <w:sz w:val="20"/>
          <w:szCs w:val="20"/>
          <w:color w:val="auto"/>
        </w:rPr>
      </w:pPr>
    </w:p>
    <w:p>
      <w:pPr>
        <w:ind w:left="40" w:right="99" w:firstLine="263"/>
        <w:spacing w:after="0" w:line="255" w:lineRule="auto"/>
        <w:rPr>
          <w:sz w:val="20"/>
          <w:szCs w:val="20"/>
          <w:color w:val="auto"/>
        </w:rPr>
      </w:pPr>
      <w:r>
        <w:rPr>
          <w:rFonts w:ascii="Times New Roman" w:cs="Times New Roman" w:eastAsia="Times New Roman" w:hAnsi="Times New Roman"/>
          <w:sz w:val="15"/>
          <w:szCs w:val="15"/>
          <w:color w:val="auto"/>
        </w:rPr>
        <w:t>During the three and six months ended June 30, 2024,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i w:val="1"/>
          <w:iCs w:val="1"/>
          <w:color w:val="auto"/>
        </w:rPr>
        <w:t>Critical Judgments and Accounting Estimates</w:t>
      </w:r>
    </w:p>
    <w:p>
      <w:pPr>
        <w:spacing w:after="0" w:line="180" w:lineRule="exact"/>
        <w:rPr>
          <w:sz w:val="20"/>
          <w:szCs w:val="20"/>
          <w:color w:val="auto"/>
        </w:rPr>
      </w:pPr>
    </w:p>
    <w:p>
      <w:pPr>
        <w:ind w:left="40" w:right="239" w:firstLine="263"/>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5"/>
          <w:szCs w:val="15"/>
          <w:b w:val="1"/>
          <w:bCs w:val="1"/>
          <w:i w:val="1"/>
          <w:iCs w:val="1"/>
          <w:color w:val="auto"/>
        </w:rPr>
        <w:t>Cautionary Statement Regarding Forward Looking Statements</w:t>
      </w:r>
    </w:p>
    <w:p>
      <w:pPr>
        <w:spacing w:after="0" w:line="182" w:lineRule="exact"/>
        <w:rPr>
          <w:sz w:val="20"/>
          <w:szCs w:val="20"/>
          <w:color w:val="auto"/>
        </w:rPr>
      </w:pPr>
    </w:p>
    <w:p>
      <w:pPr>
        <w:ind w:left="40" w:right="59" w:firstLine="263"/>
        <w:spacing w:after="0" w:line="260" w:lineRule="auto"/>
        <w:rPr>
          <w:sz w:val="20"/>
          <w:szCs w:val="20"/>
          <w:color w:val="auto"/>
        </w:rPr>
      </w:pPr>
      <w:r>
        <w:rPr>
          <w:rFonts w:ascii="Times New Roman" w:cs="Times New Roman" w:eastAsia="Times New Roman" w:hAnsi="Times New Roman"/>
          <w:sz w:val="14"/>
          <w:szCs w:val="14"/>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288925</wp:posOffset>
            </wp:positionV>
            <wp:extent cx="567118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9" w:name="page170"/>
    <w:bookmarkEnd w:id="169"/>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130175</wp:posOffset>
            </wp:positionV>
            <wp:extent cx="1438910" cy="4445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438910" cy="4445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PRESS RELEASE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AC Immune Reports Second Quarter 2024 Financial Results 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Provides a Corporate Update</w:t>
      </w:r>
    </w:p>
    <w:p>
      <w:pPr>
        <w:spacing w:after="0" w:line="140" w:lineRule="exact"/>
        <w:rPr>
          <w:sz w:val="20"/>
          <w:szCs w:val="20"/>
          <w:color w:val="auto"/>
        </w:rPr>
      </w:pPr>
    </w:p>
    <w:p>
      <w:pPr>
        <w:ind w:left="560" w:right="59" w:hanging="263"/>
        <w:spacing w:after="0" w:line="267" w:lineRule="auto"/>
        <w:tabs>
          <w:tab w:leader="none" w:pos="56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Announced exclusive option and license agreement with Takeda for ACI-24.060 on May 13 for $100 million upfront and total potential milestones of up to approximately $2.1 billion</w:t>
      </w:r>
    </w:p>
    <w:p>
      <w:pPr>
        <w:spacing w:after="0" w:line="108" w:lineRule="exact"/>
        <w:rPr>
          <w:rFonts w:ascii="Times New Roman" w:cs="Times New Roman" w:eastAsia="Times New Roman" w:hAnsi="Times New Roman"/>
          <w:sz w:val="15"/>
          <w:szCs w:val="15"/>
          <w:color w:val="auto"/>
        </w:rPr>
      </w:pPr>
    </w:p>
    <w:p>
      <w:pPr>
        <w:ind w:left="560" w:hanging="263"/>
        <w:spacing w:after="0"/>
        <w:tabs>
          <w:tab w:leader="none" w:pos="56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ACI-24.060 ABATE Phase 2 trial in Alzheimer</w:t>
      </w:r>
      <w:r>
        <w:rPr>
          <w:rFonts w:ascii="Arial" w:cs="Arial" w:eastAsia="Arial" w:hAnsi="Arial"/>
          <w:sz w:val="15"/>
          <w:szCs w:val="15"/>
          <w:color w:val="auto"/>
        </w:rPr>
        <w:t>’</w:t>
      </w:r>
      <w:r>
        <w:rPr>
          <w:rFonts w:ascii="Times New Roman" w:cs="Times New Roman" w:eastAsia="Times New Roman" w:hAnsi="Times New Roman"/>
          <w:sz w:val="15"/>
          <w:szCs w:val="15"/>
          <w:color w:val="auto"/>
        </w:rPr>
        <w:t>s disease (AD) on track with enrolment expectations</w:t>
      </w:r>
    </w:p>
    <w:p>
      <w:pPr>
        <w:spacing w:after="0" w:line="144" w:lineRule="exact"/>
        <w:rPr>
          <w:rFonts w:ascii="Times New Roman" w:cs="Times New Roman" w:eastAsia="Times New Roman" w:hAnsi="Times New Roman"/>
          <w:sz w:val="15"/>
          <w:szCs w:val="15"/>
          <w:color w:val="auto"/>
        </w:rPr>
      </w:pPr>
    </w:p>
    <w:p>
      <w:pPr>
        <w:ind w:left="560" w:right="59" w:hanging="263"/>
        <w:spacing w:after="0" w:line="267" w:lineRule="auto"/>
        <w:tabs>
          <w:tab w:leader="none" w:pos="56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ACI-7104.056 VacSYn Phase 2 trial of anti-a-syn active immunotherapy in Parkinson</w:t>
      </w:r>
      <w:r>
        <w:rPr>
          <w:rFonts w:ascii="Arial" w:cs="Arial" w:eastAsia="Arial" w:hAnsi="Arial"/>
          <w:sz w:val="15"/>
          <w:szCs w:val="15"/>
          <w:color w:val="auto"/>
        </w:rPr>
        <w:t>’</w:t>
      </w:r>
      <w:r>
        <w:rPr>
          <w:rFonts w:ascii="Times New Roman" w:cs="Times New Roman" w:eastAsia="Times New Roman" w:hAnsi="Times New Roman"/>
          <w:sz w:val="15"/>
          <w:szCs w:val="15"/>
          <w:color w:val="auto"/>
        </w:rPr>
        <w:t>s disease (PD) on track for safety and immunogenicity interim data in H2 2024</w:t>
      </w:r>
    </w:p>
    <w:p>
      <w:pPr>
        <w:spacing w:after="0" w:line="118" w:lineRule="exact"/>
        <w:rPr>
          <w:rFonts w:ascii="Times New Roman" w:cs="Times New Roman" w:eastAsia="Times New Roman" w:hAnsi="Times New Roman"/>
          <w:sz w:val="15"/>
          <w:szCs w:val="15"/>
          <w:color w:val="auto"/>
        </w:rPr>
      </w:pPr>
    </w:p>
    <w:p>
      <w:pPr>
        <w:ind w:left="560" w:right="59" w:hanging="263"/>
        <w:spacing w:after="0" w:line="267" w:lineRule="auto"/>
        <w:tabs>
          <w:tab w:leader="none" w:pos="56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 inhibitor of the inflammatory NLRP3 pathway, ACI-19764, demonstrates promising preclinical results and may be broadly applicable to treat CNS and non-CNS diseases</w:t>
      </w:r>
    </w:p>
    <w:p>
      <w:pPr>
        <w:spacing w:after="0" w:line="108" w:lineRule="exact"/>
        <w:rPr>
          <w:rFonts w:ascii="Times New Roman" w:cs="Times New Roman" w:eastAsia="Times New Roman" w:hAnsi="Times New Roman"/>
          <w:sz w:val="15"/>
          <w:szCs w:val="15"/>
          <w:color w:val="auto"/>
        </w:rPr>
      </w:pPr>
    </w:p>
    <w:p>
      <w:pPr>
        <w:ind w:left="560" w:hanging="263"/>
        <w:spacing w:after="0"/>
        <w:tabs>
          <w:tab w:leader="none" w:pos="56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balance of CHF 175.2 million at quarter end, including CHF 92.3 million from Takeda, provides sufficient runway for three years</w:t>
      </w:r>
    </w:p>
    <w:p>
      <w:pPr>
        <w:spacing w:after="0" w:line="143" w:lineRule="exact"/>
        <w:rPr>
          <w:sz w:val="20"/>
          <w:szCs w:val="20"/>
          <w:color w:val="auto"/>
        </w:rPr>
      </w:pPr>
    </w:p>
    <w:p>
      <w:pPr>
        <w:jc w:val="both"/>
        <w:ind w:left="40" w:right="3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Lausanne, Switzerland, August 6, 2024 </w:t>
      </w:r>
      <w:r>
        <w:rPr>
          <w:rFonts w:ascii="Times New Roman" w:cs="Times New Roman" w:eastAsia="Times New Roman" w:hAnsi="Times New Roman"/>
          <w:sz w:val="15"/>
          <w:szCs w:val="15"/>
          <w:color w:val="auto"/>
        </w:rPr>
        <w:t>– AC Immune SA (NASDAQ: ACIU), a clinical-stage biopharmaceutical company pioneering precision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therapeutics for neurodegenerative diseases, today reported results for the quarter ended June 30, 2024, and provided a corporate update.</w:t>
      </w:r>
    </w:p>
    <w:p>
      <w:pPr>
        <w:spacing w:after="0" w:line="104"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b w:val="1"/>
          <w:bCs w:val="1"/>
          <w:color w:val="auto"/>
        </w:rPr>
        <w:t>Dr. Andrea Pfeifer, CEO of AC Immune SA, commented</w:t>
      </w:r>
      <w:r>
        <w:rPr>
          <w:rFonts w:ascii="Times New Roman" w:cs="Times New Roman" w:eastAsia="Times New Roman" w:hAnsi="Times New Roman"/>
          <w:sz w:val="15"/>
          <w:szCs w:val="15"/>
          <w:color w:val="auto"/>
        </w:rPr>
        <w:t>, “AC Immune is entering the second half of 2024 with tremendous momentum. We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excited about the recently announced partnership with Takeda for ACI-24.060 as a potential best-in-class Abeta-targeted active immunotherapy. Enrollment in the ABATE Phase 2 trial of ACI-24.060 in AD continues to progress as planned.”</w:t>
      </w:r>
    </w:p>
    <w:p>
      <w:pPr>
        <w:spacing w:after="0" w:line="115" w:lineRule="exact"/>
        <w:rPr>
          <w:sz w:val="20"/>
          <w:szCs w:val="20"/>
          <w:color w:val="auto"/>
        </w:rPr>
      </w:pPr>
    </w:p>
    <w:p>
      <w:pPr>
        <w:jc w:val="both"/>
        <w:ind w:left="40" w:right="39"/>
        <w:spacing w:after="0" w:line="245" w:lineRule="auto"/>
        <w:rPr>
          <w:sz w:val="20"/>
          <w:szCs w:val="20"/>
          <w:color w:val="auto"/>
        </w:rPr>
      </w:pPr>
      <w:r>
        <w:rPr>
          <w:rFonts w:ascii="Times New Roman" w:cs="Times New Roman" w:eastAsia="Times New Roman" w:hAnsi="Times New Roman"/>
          <w:sz w:val="15"/>
          <w:szCs w:val="15"/>
          <w:color w:val="auto"/>
        </w:rPr>
        <w:t>“We are also excited to be advancing our preclinical programs, some of which were recently featured in multiple presentations at the AAIC 2024 conference. Our novel morADC platform, a synergistic combination of our SupraAntigen® and Morphomer® platforms, has significant potential for enhanced targeted interventions for a variety of neurodegenerative diseases and also offers opportunities for simultaneous combination approaches. These morADCs are already showing promise in multiple preclinical models, and we look forward to sharing more details on this and on other preclinical development programs in an upcoming R&amp;D day. Our solid financial position, enhanced by the Takeda partnership, enables us to drive clinical and preclinical development, leveraging the core competency of AC Immune that is anchored by our foundational expertise in neurodegenerative disease drug discovery.”</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Q2 2024 and Subsequent Highlights</w:t>
      </w:r>
    </w:p>
    <w:p>
      <w:pPr>
        <w:spacing w:after="0" w:line="132" w:lineRule="exact"/>
        <w:rPr>
          <w:sz w:val="20"/>
          <w:szCs w:val="20"/>
          <w:color w:val="auto"/>
        </w:rPr>
      </w:pPr>
    </w:p>
    <w:p>
      <w:pPr>
        <w:ind w:left="560" w:right="59"/>
        <w:spacing w:after="0" w:line="245" w:lineRule="auto"/>
        <w:rPr>
          <w:sz w:val="20"/>
          <w:szCs w:val="20"/>
          <w:color w:val="auto"/>
        </w:rPr>
      </w:pPr>
      <w:r>
        <w:rPr>
          <w:rFonts w:ascii="Times New Roman" w:cs="Times New Roman" w:eastAsia="Times New Roman" w:hAnsi="Times New Roman"/>
          <w:sz w:val="15"/>
          <w:szCs w:val="15"/>
          <w:color w:val="auto"/>
        </w:rPr>
        <w:t>AC Immune and Takeda signed an exclusive option and license agreement for AC Immune’s active immunotherapies targeting Abeta, including ACI-24.060 for AD. Under the terms of the agreement, AC Immune received an upfront payment of $100 million from Takeda and, if all related milestones are achieved over the course of the agreement, is eligible to receive payments of up to approximately $2.1 billion including an option exercise fee and additional potential development, commercial and sales-based milestones. Upon commercialization, AC Immune will be entitled to receive tiered double-digit royalties on worldwide net sales.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Enrolment in the ACI-24.060 ABATE Phase 2 AD trial continues.</w:t>
      </w:r>
    </w:p>
    <w:p>
      <w:pPr>
        <w:spacing w:after="0" w:line="144" w:lineRule="exact"/>
        <w:rPr>
          <w:sz w:val="20"/>
          <w:szCs w:val="20"/>
          <w:color w:val="auto"/>
        </w:rPr>
      </w:pPr>
    </w:p>
    <w:p>
      <w:pPr>
        <w:ind w:left="560" w:right="59"/>
        <w:spacing w:after="0" w:line="267" w:lineRule="auto"/>
        <w:rPr>
          <w:sz w:val="20"/>
          <w:szCs w:val="20"/>
          <w:color w:val="auto"/>
        </w:rPr>
      </w:pPr>
      <w:r>
        <w:rPr>
          <w:rFonts w:ascii="Times New Roman" w:cs="Times New Roman" w:eastAsia="Times New Roman" w:hAnsi="Times New Roman"/>
          <w:sz w:val="15"/>
          <w:szCs w:val="15"/>
          <w:color w:val="auto"/>
        </w:rPr>
        <w:t>We also completed the regulatory toxicology studies for the anti-TDP-43 monoclonal antibody candidate in Q2 which will enable us to proceed with IND filing.</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Our targeted NLRP3 inhibitor candidates continue to show excellent promise in preclinical results featured at the AD/PD™ 2024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632460</wp:posOffset>
            </wp:positionV>
            <wp:extent cx="5671185"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671185"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0" w:name="page171"/>
    <w:bookmarkEnd w:id="170"/>
    <w:p>
      <w:pPr>
        <w:jc w:val="both"/>
        <w:ind w:left="1340" w:right="59" w:hanging="255"/>
        <w:spacing w:after="0" w:line="246" w:lineRule="auto"/>
        <w:tabs>
          <w:tab w:leader="none" w:pos="1340" w:val="left"/>
        </w:tabs>
        <w:numPr>
          <w:ilvl w:val="2"/>
          <w:numId w:val="123"/>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ACI-19764 is a brain penetrant small molecule in preclinical development that directly binds and inhibits NLRP3. Its activity in vitro and in vivo was demonstrated in two models of neuroinflammation. In addition, ACI-19764 demonstrated an excellent safety profile and optimal exposure for sustained NLRP3 inhibition in the brain.</w:t>
      </w:r>
    </w:p>
    <w:p>
      <w:pPr>
        <w:spacing w:after="0" w:line="124" w:lineRule="exact"/>
        <w:rPr>
          <w:rFonts w:ascii="Courier New" w:cs="Courier New" w:eastAsia="Courier New" w:hAnsi="Courier New"/>
          <w:sz w:val="15"/>
          <w:szCs w:val="15"/>
          <w:color w:val="auto"/>
        </w:rPr>
      </w:pPr>
    </w:p>
    <w:p>
      <w:pPr>
        <w:ind w:left="1340" w:hanging="255"/>
        <w:spacing w:after="0"/>
        <w:tabs>
          <w:tab w:leader="none" w:pos="1340" w:val="left"/>
        </w:tabs>
        <w:numPr>
          <w:ilvl w:val="2"/>
          <w:numId w:val="123"/>
        </w:numPr>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AC Immune intends to file an IND from the NLRP3 program in the near future.</w:t>
      </w:r>
    </w:p>
    <w:p>
      <w:pPr>
        <w:spacing w:after="0" w:line="127" w:lineRule="exact"/>
        <w:rPr>
          <w:rFonts w:ascii="Courier New" w:cs="Courier New" w:eastAsia="Courier New" w:hAnsi="Courier New"/>
          <w:sz w:val="15"/>
          <w:szCs w:val="15"/>
          <w:color w:val="auto"/>
        </w:rPr>
      </w:pPr>
    </w:p>
    <w:p>
      <w:pPr>
        <w:ind w:left="560" w:right="59"/>
        <w:spacing w:after="0" w:line="267" w:lineRule="auto"/>
        <w:rPr>
          <w:rFonts w:ascii="Courier New" w:cs="Courier New" w:eastAsia="Courier New" w:hAnsi="Courier New"/>
          <w:sz w:val="15"/>
          <w:szCs w:val="15"/>
          <w:color w:val="auto"/>
        </w:rPr>
      </w:pPr>
      <w:r>
        <w:rPr>
          <w:rFonts w:ascii="Times New Roman" w:cs="Times New Roman" w:eastAsia="Times New Roman" w:hAnsi="Times New Roman"/>
          <w:sz w:val="15"/>
          <w:szCs w:val="15"/>
          <w:color w:val="auto"/>
        </w:rPr>
        <w:t>AC Immune’s preclinical programs were featured in multiple presentations at the Alzheimer’s Association International Conference (AAIC) 2024:</w:t>
      </w:r>
    </w:p>
    <w:p>
      <w:pPr>
        <w:spacing w:after="0" w:line="122" w:lineRule="exact"/>
        <w:rPr>
          <w:rFonts w:ascii="Courier New" w:cs="Courier New" w:eastAsia="Courier New" w:hAnsi="Courier New"/>
          <w:sz w:val="15"/>
          <w:szCs w:val="15"/>
          <w:color w:val="auto"/>
        </w:rPr>
      </w:pPr>
    </w:p>
    <w:p>
      <w:pPr>
        <w:jc w:val="both"/>
        <w:ind w:left="1340" w:right="59" w:hanging="255"/>
        <w:spacing w:after="0" w:line="246" w:lineRule="auto"/>
        <w:tabs>
          <w:tab w:leader="none" w:pos="1340" w:val="left"/>
        </w:tabs>
        <w:numPr>
          <w:ilvl w:val="2"/>
          <w:numId w:val="123"/>
        </w:numPr>
        <w:rPr>
          <w:rFonts w:ascii="Courier New" w:cs="Courier New" w:eastAsia="Courier New" w:hAnsi="Courier New"/>
          <w:sz w:val="15"/>
          <w:szCs w:val="15"/>
          <w:color w:val="auto"/>
        </w:rPr>
      </w:pPr>
      <w:r>
        <w:rPr>
          <w:rFonts w:ascii="Times New Roman" w:cs="Times New Roman" w:eastAsia="Times New Roman" w:hAnsi="Times New Roman"/>
          <w:sz w:val="15"/>
          <w:szCs w:val="15"/>
          <w:i w:val="1"/>
          <w:iCs w:val="1"/>
          <w:color w:val="auto"/>
        </w:rPr>
        <w:t xml:space="preserve">A new class of neurodegenerative disease-fighting drugs: morADC (Morphomer®- antibody drug conjugates), </w:t>
      </w:r>
      <w:r>
        <w:rPr>
          <w:rFonts w:ascii="Times New Roman" w:cs="Times New Roman" w:eastAsia="Times New Roman" w:hAnsi="Times New Roman"/>
          <w:sz w:val="15"/>
          <w:szCs w:val="15"/>
          <w:color w:val="auto"/>
        </w:rPr>
        <w:t>presented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Madiha Derouazi (Chief Scientific Officer, AC Immune), featured data from AC Immune’s proprietary morADC platform. Results demonstrated the ability of morADCs to penetrate the blood brain barrier </w:t>
      </w:r>
      <w:r>
        <w:rPr>
          <w:rFonts w:ascii="Times New Roman" w:cs="Times New Roman" w:eastAsia="Times New Roman" w:hAnsi="Times New Roman"/>
          <w:sz w:val="15"/>
          <w:szCs w:val="15"/>
          <w:i w:val="1"/>
          <w:iCs w:val="1"/>
          <w:color w:val="auto"/>
        </w:rPr>
        <w:t>in vivo</w:t>
      </w:r>
      <w:r>
        <w:rPr>
          <w:rFonts w:ascii="Times New Roman" w:cs="Times New Roman" w:eastAsia="Times New Roman" w:hAnsi="Times New Roman"/>
          <w:sz w:val="15"/>
          <w:szCs w:val="15"/>
          <w:color w:val="auto"/>
        </w:rPr>
        <w:t xml:space="preserve"> and produce potent catalytic activity </w:t>
      </w:r>
      <w:r>
        <w:rPr>
          <w:rFonts w:ascii="Times New Roman" w:cs="Times New Roman" w:eastAsia="Times New Roman" w:hAnsi="Times New Roman"/>
          <w:sz w:val="15"/>
          <w:szCs w:val="15"/>
          <w:i w:val="1"/>
          <w:iCs w:val="1"/>
          <w:color w:val="auto"/>
        </w:rPr>
        <w:t>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vitro </w:t>
      </w:r>
      <w:r>
        <w:rPr>
          <w:rFonts w:ascii="Times New Roman" w:cs="Times New Roman" w:eastAsia="Times New Roman" w:hAnsi="Times New Roman"/>
          <w:sz w:val="15"/>
          <w:szCs w:val="15"/>
          <w:color w:val="auto"/>
        </w:rPr>
        <w:t>compared to the parental monoclonal antibody or small molecule alone.</w:t>
      </w:r>
    </w:p>
    <w:p>
      <w:pPr>
        <w:spacing w:after="0" w:line="111" w:lineRule="exact"/>
        <w:rPr>
          <w:rFonts w:ascii="Courier New" w:cs="Courier New" w:eastAsia="Courier New" w:hAnsi="Courier New"/>
          <w:sz w:val="15"/>
          <w:szCs w:val="15"/>
          <w:color w:val="auto"/>
        </w:rPr>
      </w:pPr>
    </w:p>
    <w:p>
      <w:pPr>
        <w:jc w:val="both"/>
        <w:ind w:left="1340" w:right="59" w:hanging="255"/>
        <w:spacing w:after="0" w:line="246" w:lineRule="auto"/>
        <w:tabs>
          <w:tab w:leader="none" w:pos="1340" w:val="left"/>
        </w:tabs>
        <w:numPr>
          <w:ilvl w:val="2"/>
          <w:numId w:val="123"/>
        </w:numPr>
        <w:rPr>
          <w:rFonts w:ascii="Courier New" w:cs="Courier New" w:eastAsia="Courier New" w:hAnsi="Courier New"/>
          <w:sz w:val="15"/>
          <w:szCs w:val="15"/>
          <w:color w:val="auto"/>
        </w:rPr>
      </w:pPr>
      <w:r>
        <w:rPr>
          <w:rFonts w:ascii="Times New Roman" w:cs="Times New Roman" w:eastAsia="Times New Roman" w:hAnsi="Times New Roman"/>
          <w:sz w:val="15"/>
          <w:szCs w:val="15"/>
          <w:i w:val="1"/>
          <w:iCs w:val="1"/>
          <w:color w:val="auto"/>
        </w:rPr>
        <w:t xml:space="preserve">Active immunotherapy, ACI-24.060, induces anti-Abeta antibodies with binding profiles mirroring clinically validated monoclonal antibodies, </w:t>
      </w:r>
      <w:r>
        <w:rPr>
          <w:rFonts w:ascii="Times New Roman" w:cs="Times New Roman" w:eastAsia="Times New Roman" w:hAnsi="Times New Roman"/>
          <w:sz w:val="15"/>
          <w:szCs w:val="15"/>
          <w:color w:val="auto"/>
        </w:rPr>
        <w:t>presented by Emma Fiorini (AC Immune), featured results from non-human primates demonstrating that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ACI-24.060 induced antibody responses in a similar range of levels of donanemab and lecanemab and with preferential oligomeric Abeta binding as compared to monomeric Abeta.</w:t>
      </w:r>
    </w:p>
    <w:p>
      <w:pPr>
        <w:spacing w:after="0" w:line="122" w:lineRule="exact"/>
        <w:rPr>
          <w:rFonts w:ascii="Courier New" w:cs="Courier New" w:eastAsia="Courier New" w:hAnsi="Courier New"/>
          <w:sz w:val="15"/>
          <w:szCs w:val="15"/>
          <w:color w:val="auto"/>
        </w:rPr>
      </w:pPr>
    </w:p>
    <w:p>
      <w:pPr>
        <w:jc w:val="both"/>
        <w:ind w:left="1340" w:right="59" w:hanging="255"/>
        <w:spacing w:after="0" w:line="194" w:lineRule="auto"/>
        <w:tabs>
          <w:tab w:leader="none" w:pos="1340" w:val="left"/>
        </w:tabs>
        <w:numPr>
          <w:ilvl w:val="2"/>
          <w:numId w:val="123"/>
        </w:numPr>
        <w:rPr>
          <w:rFonts w:ascii="Courier New" w:cs="Courier New" w:eastAsia="Courier New" w:hAnsi="Courier New"/>
          <w:sz w:val="15"/>
          <w:szCs w:val="15"/>
          <w:color w:val="auto"/>
        </w:rPr>
      </w:pPr>
      <w:r>
        <w:rPr>
          <w:rFonts w:ascii="Times New Roman" w:cs="Times New Roman" w:eastAsia="Times New Roman" w:hAnsi="Times New Roman"/>
          <w:sz w:val="15"/>
          <w:szCs w:val="15"/>
          <w:i w:val="1"/>
          <w:iCs w:val="1"/>
          <w:color w:val="auto"/>
        </w:rPr>
        <w:t>Discovery and preclinical development of [</w:t>
      </w:r>
      <w:r>
        <w:rPr>
          <w:rFonts w:ascii="Times New Roman" w:cs="Times New Roman" w:eastAsia="Times New Roman" w:hAnsi="Times New Roman"/>
          <w:sz w:val="21"/>
          <w:szCs w:val="21"/>
          <w:i w:val="1"/>
          <w:iCs w:val="1"/>
          <w:color w:val="auto"/>
          <w:vertAlign w:val="superscript"/>
        </w:rPr>
        <w:t>18</w:t>
      </w:r>
      <w:r>
        <w:rPr>
          <w:rFonts w:ascii="Times New Roman" w:cs="Times New Roman" w:eastAsia="Times New Roman" w:hAnsi="Times New Roman"/>
          <w:sz w:val="15"/>
          <w:szCs w:val="15"/>
          <w:i w:val="1"/>
          <w:iCs w:val="1"/>
          <w:color w:val="auto"/>
        </w:rPr>
        <w:t xml:space="preserve">F]ACI-19626, a first-in-class TDP-43 PET tracer, </w:t>
      </w:r>
      <w:r>
        <w:rPr>
          <w:rFonts w:ascii="Times New Roman" w:cs="Times New Roman" w:eastAsia="Times New Roman" w:hAnsi="Times New Roman"/>
          <w:sz w:val="15"/>
          <w:szCs w:val="15"/>
          <w:color w:val="auto"/>
        </w:rPr>
        <w:t>presented by Tamara Seredenina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 Immune), described the selection of [</w:t>
      </w:r>
      <w:r>
        <w:rPr>
          <w:rFonts w:ascii="Times New Roman" w:cs="Times New Roman" w:eastAsia="Times New Roman" w:hAnsi="Times New Roman"/>
          <w:sz w:val="21"/>
          <w:szCs w:val="21"/>
          <w:color w:val="auto"/>
          <w:vertAlign w:val="superscript"/>
        </w:rPr>
        <w:t>18</w:t>
      </w:r>
      <w:r>
        <w:rPr>
          <w:rFonts w:ascii="Times New Roman" w:cs="Times New Roman" w:eastAsia="Times New Roman" w:hAnsi="Times New Roman"/>
          <w:sz w:val="15"/>
          <w:szCs w:val="15"/>
          <w:color w:val="auto"/>
        </w:rPr>
        <w:t>F]ACI-19626 for evaluation as a potential PET tracer for detection and monitoring progression of TDP-43 aggregates based on its favorable affinity, selectivity and pharmacokinetic properties.</w:t>
      </w:r>
    </w:p>
    <w:p>
      <w:pPr>
        <w:spacing w:after="0" w:line="124" w:lineRule="exact"/>
        <w:rPr>
          <w:rFonts w:ascii="Courier New" w:cs="Courier New" w:eastAsia="Courier New" w:hAnsi="Courier New"/>
          <w:sz w:val="15"/>
          <w:szCs w:val="15"/>
          <w:color w:val="auto"/>
        </w:rPr>
      </w:pPr>
    </w:p>
    <w:p>
      <w:pPr>
        <w:ind w:left="820" w:right="59"/>
        <w:spacing w:after="0" w:line="282" w:lineRule="auto"/>
        <w:rPr>
          <w:rFonts w:ascii="Courier New" w:cs="Courier New" w:eastAsia="Courier New" w:hAnsi="Courier New"/>
          <w:sz w:val="15"/>
          <w:szCs w:val="15"/>
          <w:color w:val="auto"/>
        </w:rPr>
      </w:pPr>
      <w:r>
        <w:rPr>
          <w:rFonts w:ascii="Times New Roman" w:cs="Times New Roman" w:eastAsia="Times New Roman" w:hAnsi="Times New Roman"/>
          <w:sz w:val="14"/>
          <w:szCs w:val="14"/>
          <w:color w:val="auto"/>
        </w:rPr>
        <w:t>Board and Management Share Purchases: Members of the Board of Directors and certain members of executive management purchased shares in AC Immune SA during Q2 2024, following the announcement of the exclusive option and license agreement with Takeda for ACI-24.060. As a foreign private issuer (FPI), individual shareholdings will be disclosed in the Annual Report on Form 20-F.</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Anticipated 2024 Milestones</w:t>
      </w:r>
    </w:p>
    <w:p>
      <w:pPr>
        <w:spacing w:after="0" w:line="142"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2060" w:type="dxa"/>
            <w:vAlign w:val="bottom"/>
            <w:tcBorders>
              <w:top w:val="single" w:sz="8" w:color="auto"/>
              <w:left w:val="single" w:sz="8" w:color="auto"/>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5"/>
                <w:szCs w:val="15"/>
                <w:color w:val="auto"/>
              </w:rPr>
              <w:t>ACI-24.060</w:t>
            </w:r>
          </w:p>
        </w:tc>
        <w:tc>
          <w:tcPr>
            <w:tcW w:w="6880" w:type="dxa"/>
            <w:vAlign w:val="bottom"/>
            <w:tcBorders>
              <w:top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15"/>
                <w:szCs w:val="15"/>
                <w:color w:val="auto"/>
              </w:rPr>
              <w:t>●  ABATE Phase 2 trial in AD on track with enrolment expectations</w:t>
            </w:r>
          </w:p>
        </w:tc>
        <w:tc>
          <w:tcPr>
            <w:tcW w:w="0" w:type="dxa"/>
            <w:vAlign w:val="bottom"/>
          </w:tcPr>
          <w:p>
            <w:pPr>
              <w:spacing w:after="0"/>
              <w:rPr>
                <w:sz w:val="1"/>
                <w:szCs w:val="1"/>
                <w:color w:val="auto"/>
              </w:rPr>
            </w:pPr>
          </w:p>
        </w:tc>
      </w:tr>
      <w:tr>
        <w:trPr>
          <w:trHeight w:val="102"/>
        </w:trPr>
        <w:tc>
          <w:tcPr>
            <w:tcW w:w="20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w w:val="97"/>
              </w:rPr>
              <w:t>anti-Abeta active immunotherapy</w:t>
            </w:r>
          </w:p>
        </w:tc>
        <w:tc>
          <w:tcPr>
            <w:tcW w:w="6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60" w:type="dxa"/>
            <w:vAlign w:val="bottom"/>
            <w:tcBorders>
              <w:left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5"/>
                <w:szCs w:val="15"/>
                <w:color w:val="auto"/>
              </w:rPr>
              <w:t>ACI-7104.056</w:t>
            </w:r>
          </w:p>
        </w:tc>
        <w:tc>
          <w:tcPr>
            <w:tcW w:w="6880" w:type="dxa"/>
            <w:vAlign w:val="bottom"/>
            <w:tcBorders>
              <w:right w:val="single" w:sz="8" w:color="auto"/>
            </w:tcBorders>
          </w:tcPr>
          <w:p>
            <w:pPr>
              <w:ind w:left="300"/>
              <w:spacing w:after="0" w:line="151" w:lineRule="exact"/>
              <w:rPr>
                <w:sz w:val="20"/>
                <w:szCs w:val="20"/>
                <w:color w:val="auto"/>
              </w:rPr>
            </w:pPr>
            <w:r>
              <w:rPr>
                <w:rFonts w:ascii="Times New Roman" w:cs="Times New Roman" w:eastAsia="Times New Roman" w:hAnsi="Times New Roman"/>
                <w:sz w:val="15"/>
                <w:szCs w:val="15"/>
                <w:color w:val="auto"/>
                <w:w w:val="99"/>
              </w:rPr>
              <w:t>●  Interim safety and immunogenicity update from the Phase 2 VacSYn study in Parkinson</w:t>
            </w:r>
            <w:r>
              <w:rPr>
                <w:rFonts w:ascii="Arial" w:cs="Arial" w:eastAsia="Arial" w:hAnsi="Arial"/>
                <w:sz w:val="15"/>
                <w:szCs w:val="15"/>
                <w:color w:val="auto"/>
                <w:w w:val="99"/>
              </w:rPr>
              <w:t>’</w:t>
            </w:r>
            <w:r>
              <w:rPr>
                <w:rFonts w:ascii="Times New Roman" w:cs="Times New Roman" w:eastAsia="Times New Roman" w:hAnsi="Times New Roman"/>
                <w:sz w:val="15"/>
                <w:szCs w:val="15"/>
                <w:color w:val="auto"/>
                <w:w w:val="99"/>
              </w:rPr>
              <w:t>s disease expected</w:t>
            </w:r>
          </w:p>
        </w:tc>
        <w:tc>
          <w:tcPr>
            <w:tcW w:w="0" w:type="dxa"/>
            <w:vAlign w:val="bottom"/>
          </w:tcPr>
          <w:p>
            <w:pPr>
              <w:spacing w:after="0"/>
              <w:rPr>
                <w:sz w:val="1"/>
                <w:szCs w:val="1"/>
                <w:color w:val="auto"/>
              </w:rPr>
            </w:pPr>
          </w:p>
        </w:tc>
      </w:tr>
      <w:tr>
        <w:trPr>
          <w:trHeight w:val="190"/>
        </w:trPr>
        <w:tc>
          <w:tcPr>
            <w:tcW w:w="2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8"/>
              </w:rPr>
              <w:t>anti-a-syn active immunotherapy</w:t>
            </w:r>
          </w:p>
        </w:tc>
        <w:tc>
          <w:tcPr>
            <w:tcW w:w="688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5"/>
                <w:szCs w:val="15"/>
                <w:color w:val="auto"/>
              </w:rPr>
              <w:t>in H2 2024</w:t>
            </w:r>
          </w:p>
        </w:tc>
        <w:tc>
          <w:tcPr>
            <w:tcW w:w="0" w:type="dxa"/>
            <w:vAlign w:val="bottom"/>
          </w:tcPr>
          <w:p>
            <w:pPr>
              <w:spacing w:after="0"/>
              <w:rPr>
                <w:sz w:val="1"/>
                <w:szCs w:val="1"/>
                <w:color w:val="auto"/>
              </w:rPr>
            </w:pPr>
          </w:p>
        </w:tc>
      </w:tr>
      <w:tr>
        <w:trPr>
          <w:trHeight w:val="151"/>
        </w:trPr>
        <w:tc>
          <w:tcPr>
            <w:tcW w:w="2060" w:type="dxa"/>
            <w:vAlign w:val="bottom"/>
            <w:tcBorders>
              <w:left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5"/>
                <w:szCs w:val="15"/>
                <w:color w:val="auto"/>
              </w:rPr>
              <w:t>ACI-35.030</w:t>
            </w:r>
          </w:p>
        </w:tc>
        <w:tc>
          <w:tcPr>
            <w:tcW w:w="688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5"/>
                <w:szCs w:val="15"/>
                <w:color w:val="auto"/>
              </w:rPr>
              <w:t>●  First patient treated in ReTain Phase 2b clinical trial expected in the coming months</w:t>
            </w:r>
          </w:p>
        </w:tc>
        <w:tc>
          <w:tcPr>
            <w:tcW w:w="0" w:type="dxa"/>
            <w:vAlign w:val="bottom"/>
          </w:tcPr>
          <w:p>
            <w:pPr>
              <w:spacing w:after="0"/>
              <w:rPr>
                <w:sz w:val="1"/>
                <w:szCs w:val="1"/>
                <w:color w:val="auto"/>
              </w:rPr>
            </w:pPr>
          </w:p>
        </w:tc>
      </w:tr>
      <w:tr>
        <w:trPr>
          <w:trHeight w:val="102"/>
        </w:trPr>
        <w:tc>
          <w:tcPr>
            <w:tcW w:w="20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w w:val="99"/>
              </w:rPr>
              <w:t>anti-pTau active immunotherapy</w:t>
            </w:r>
          </w:p>
        </w:tc>
        <w:tc>
          <w:tcPr>
            <w:tcW w:w="6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60" w:type="dxa"/>
            <w:vAlign w:val="bottom"/>
            <w:tcBorders>
              <w:left w:val="single" w:sz="8" w:color="auto"/>
              <w:bottom w:val="single" w:sz="8" w:color="auto"/>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5"/>
                <w:szCs w:val="15"/>
                <w:color w:val="auto"/>
              </w:rPr>
              <w:t>TDP-43-PET tracer</w:t>
            </w:r>
          </w:p>
        </w:tc>
        <w:tc>
          <w:tcPr>
            <w:tcW w:w="6880" w:type="dxa"/>
            <w:vAlign w:val="bottom"/>
            <w:tcBorders>
              <w:bottom w:val="single" w:sz="8" w:color="auto"/>
              <w:right w:val="single" w:sz="8" w:color="auto"/>
            </w:tcBorders>
          </w:tcPr>
          <w:p>
            <w:pPr>
              <w:ind w:left="300"/>
              <w:spacing w:after="0" w:line="167" w:lineRule="exact"/>
              <w:rPr>
                <w:sz w:val="20"/>
                <w:szCs w:val="20"/>
                <w:color w:val="auto"/>
              </w:rPr>
            </w:pPr>
            <w:r>
              <w:rPr>
                <w:rFonts w:ascii="Times New Roman" w:cs="Times New Roman" w:eastAsia="Times New Roman" w:hAnsi="Times New Roman"/>
                <w:sz w:val="15"/>
                <w:szCs w:val="15"/>
                <w:color w:val="auto"/>
              </w:rPr>
              <w:t>●  Phase 1 initiation expected in H2 2024</w:t>
            </w:r>
          </w:p>
        </w:tc>
        <w:tc>
          <w:tcPr>
            <w:tcW w:w="0" w:type="dxa"/>
            <w:vAlign w:val="bottom"/>
          </w:tcPr>
          <w:p>
            <w:pPr>
              <w:spacing w:after="0"/>
              <w:rPr>
                <w:sz w:val="1"/>
                <w:szCs w:val="1"/>
                <w:color w:val="auto"/>
              </w:rPr>
            </w:pPr>
          </w:p>
        </w:tc>
      </w:tr>
      <w:tr>
        <w:trPr>
          <w:trHeight w:val="151"/>
        </w:trPr>
        <w:tc>
          <w:tcPr>
            <w:tcW w:w="2060" w:type="dxa"/>
            <w:vAlign w:val="bottom"/>
            <w:tcBorders>
              <w:left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5"/>
                <w:szCs w:val="15"/>
                <w:color w:val="auto"/>
              </w:rPr>
              <w:t>ACI-15916</w:t>
            </w:r>
          </w:p>
        </w:tc>
        <w:tc>
          <w:tcPr>
            <w:tcW w:w="688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5"/>
                <w:szCs w:val="15"/>
                <w:color w:val="auto"/>
              </w:rPr>
              <w:t>●  IND-enabling studies in PD expected to be completed in H2 2024</w:t>
            </w:r>
          </w:p>
        </w:tc>
        <w:tc>
          <w:tcPr>
            <w:tcW w:w="0" w:type="dxa"/>
            <w:vAlign w:val="bottom"/>
          </w:tcPr>
          <w:p>
            <w:pPr>
              <w:spacing w:after="0"/>
              <w:rPr>
                <w:sz w:val="1"/>
                <w:szCs w:val="1"/>
                <w:color w:val="auto"/>
              </w:rPr>
            </w:pPr>
          </w:p>
        </w:tc>
      </w:tr>
      <w:tr>
        <w:trPr>
          <w:trHeight w:val="102"/>
        </w:trPr>
        <w:tc>
          <w:tcPr>
            <w:tcW w:w="20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a-syn-PET tracer</w:t>
            </w:r>
          </w:p>
        </w:tc>
        <w:tc>
          <w:tcPr>
            <w:tcW w:w="6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Analysis of Financial Statements for the Quarter Ended June 30, 2024</w:t>
      </w:r>
    </w:p>
    <w:p>
      <w:pPr>
        <w:spacing w:after="0" w:line="132" w:lineRule="exact"/>
        <w:rPr>
          <w:sz w:val="20"/>
          <w:szCs w:val="20"/>
          <w:color w:val="auto"/>
        </w:rPr>
      </w:pPr>
    </w:p>
    <w:p>
      <w:pPr>
        <w:ind w:left="560" w:right="5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Cash Position: </w:t>
      </w:r>
      <w:r>
        <w:rPr>
          <w:rFonts w:ascii="Times New Roman" w:cs="Times New Roman" w:eastAsia="Times New Roman" w:hAnsi="Times New Roman"/>
          <w:sz w:val="15"/>
          <w:szCs w:val="15"/>
          <w:color w:val="auto"/>
        </w:rPr>
        <w:t>The Company had a total cash balance of CHF 175.2 million (CHF 103.1 million as of December 31, 2023), composed of CHF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51.6 million in cash and cash equivalents and CHF 123.6 million in short-term financial assets. The Company’s cash balance provides sufficient capital resources for three years, assuming the potential milestone payment of CHF 24.6 million related to achieving an undisclosed enrolment target for our ACI-35.030, and no other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608330</wp:posOffset>
            </wp:positionV>
            <wp:extent cx="567118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1" w:name="page172"/>
    <w:bookmarkEnd w:id="171"/>
    <w:p>
      <w:pPr>
        <w:ind w:left="560" w:right="5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Contract Revenues: </w:t>
      </w:r>
      <w:r>
        <w:rPr>
          <w:rFonts w:ascii="Times New Roman" w:cs="Times New Roman" w:eastAsia="Times New Roman" w:hAnsi="Times New Roman"/>
          <w:sz w:val="15"/>
          <w:szCs w:val="15"/>
          <w:color w:val="auto"/>
        </w:rPr>
        <w:t>The Company recorded CHF 0.7 million in contract revenues for the three months ended June 30, 2024, compared to nil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the comparable prior period. For the three months ended June 30, 2024, our contract revenues of CHF 0.7 million were related to the efforts made under the agreement with Takeda.</w:t>
      </w:r>
    </w:p>
    <w:p>
      <w:pPr>
        <w:spacing w:after="0" w:line="113" w:lineRule="exact"/>
        <w:rPr>
          <w:sz w:val="20"/>
          <w:szCs w:val="20"/>
          <w:color w:val="auto"/>
        </w:rPr>
      </w:pPr>
    </w:p>
    <w:p>
      <w:pPr>
        <w:ind w:left="560" w:right="5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R&amp;D Expenditures: </w:t>
      </w:r>
      <w:r>
        <w:rPr>
          <w:rFonts w:ascii="Times New Roman" w:cs="Times New Roman" w:eastAsia="Times New Roman" w:hAnsi="Times New Roman"/>
          <w:sz w:val="15"/>
          <w:szCs w:val="15"/>
          <w:color w:val="auto"/>
        </w:rPr>
        <w:t>R&amp;D expenses for the three months ended June 30, 2024, were CHF 17.1 million compared to CHF 13.7 million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comparable period in 2023. The increase was due mainly to higher clinical expenses, driven by the ramp-up activities for our Phase 2 VacSYn study evaluating ACI-7104.056 in early PD and for the expansion of the ABATE study in our ACI-24.060 active immunotherapy.</w:t>
      </w:r>
    </w:p>
    <w:p>
      <w:pPr>
        <w:spacing w:after="0" w:line="124" w:lineRule="exact"/>
        <w:rPr>
          <w:sz w:val="20"/>
          <w:szCs w:val="20"/>
          <w:color w:val="auto"/>
        </w:rPr>
      </w:pPr>
    </w:p>
    <w:p>
      <w:pPr>
        <w:ind w:left="560" w:right="59"/>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G&amp;A Expenditures: </w:t>
      </w:r>
      <w:r>
        <w:rPr>
          <w:rFonts w:ascii="Times New Roman" w:cs="Times New Roman" w:eastAsia="Times New Roman" w:hAnsi="Times New Roman"/>
          <w:sz w:val="15"/>
          <w:szCs w:val="15"/>
          <w:color w:val="auto"/>
        </w:rPr>
        <w:t>G&amp;A increased by CHF 0.9 million to CHF 4.6 million, mostly due to an increase in legal fees related to business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development and licensing activities, as well as salaries and related costs, largely attributable to the higher expenses from equity awards granted in 2024, which have a higher fair value based on our share price development.</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 xml:space="preserve">Other Operating Income: </w:t>
      </w:r>
      <w:r>
        <w:rPr>
          <w:rFonts w:ascii="Times New Roman" w:cs="Times New Roman" w:eastAsia="Times New Roman" w:hAnsi="Times New Roman"/>
          <w:sz w:val="15"/>
          <w:szCs w:val="15"/>
          <w:color w:val="auto"/>
        </w:rPr>
        <w:t>The Company recognized less than CHF 0.1 million in grant income from Target ALS grants.</w:t>
      </w:r>
    </w:p>
    <w:p>
      <w:pPr>
        <w:spacing w:after="0" w:line="144" w:lineRule="exact"/>
        <w:rPr>
          <w:sz w:val="20"/>
          <w:szCs w:val="20"/>
          <w:color w:val="auto"/>
        </w:rPr>
      </w:pPr>
    </w:p>
    <w:p>
      <w:pPr>
        <w:ind w:left="560" w:right="5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IFRS Loss for the Period: </w:t>
      </w:r>
      <w:r>
        <w:rPr>
          <w:rFonts w:ascii="Times New Roman" w:cs="Times New Roman" w:eastAsia="Times New Roman" w:hAnsi="Times New Roman"/>
          <w:sz w:val="15"/>
          <w:szCs w:val="15"/>
          <w:color w:val="auto"/>
        </w:rPr>
        <w:t>The Company reported a net loss after taxes of CHF 22.8 million for the three months ended June 30, 2024,</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compared with a net loss of CHF 16.8 million for the comparable period in 2023.</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About AC Immune SA</w:t>
      </w:r>
    </w:p>
    <w:p>
      <w:pPr>
        <w:spacing w:after="0" w:line="147" w:lineRule="exact"/>
        <w:rPr>
          <w:sz w:val="20"/>
          <w:szCs w:val="20"/>
          <w:color w:val="auto"/>
        </w:rPr>
      </w:pPr>
    </w:p>
    <w:p>
      <w:pPr>
        <w:jc w:val="both"/>
        <w:ind w:left="40" w:right="39"/>
        <w:spacing w:after="0" w:line="245" w:lineRule="auto"/>
        <w:rPr>
          <w:sz w:val="20"/>
          <w:szCs w:val="20"/>
          <w:color w:val="auto"/>
        </w:rPr>
      </w:pPr>
      <w:r>
        <w:rPr>
          <w:rFonts w:ascii="Times New Roman" w:cs="Times New Roman" w:eastAsia="Times New Roman" w:hAnsi="Times New Roman"/>
          <w:sz w:val="15"/>
          <w:szCs w:val="15"/>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26"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5"/>
          <w:szCs w:val="15"/>
          <w:color w:val="auto"/>
        </w:rPr>
        <w:t>SupraAntigen® is a registered trademark of AC Immune SA in the following territories: AU, EU, CH, GB, JP, RU, SG and USA. Morphomer® is a registered trademark of AC Immune SA in CN, CH, GB, JP, KR, NO and RU.</w:t>
      </w:r>
    </w:p>
    <w:p>
      <w:pPr>
        <w:spacing w:after="0" w:line="109"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5"/>
          <w:szCs w:val="15"/>
          <w:color w:val="auto"/>
        </w:rPr>
        <w:t>The information on our website and any other websites referenced herein is expressly not incorporated by reference into, and does not constitute a part of, this press release.</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For further information, please contact:</w:t>
            </w:r>
          </w:p>
        </w:tc>
        <w:tc>
          <w:tcPr>
            <w:tcW w:w="5420" w:type="dxa"/>
            <w:vAlign w:val="bottom"/>
          </w:tcPr>
          <w:p>
            <w:pPr>
              <w:spacing w:after="0"/>
              <w:rPr>
                <w:sz w:val="16"/>
                <w:szCs w:val="16"/>
                <w:color w:val="auto"/>
              </w:rPr>
            </w:pPr>
          </w:p>
        </w:tc>
      </w:tr>
      <w:tr>
        <w:trPr>
          <w:trHeight w:val="311"/>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SVP, Investor Relations &amp; Corporate</w:t>
            </w:r>
          </w:p>
        </w:tc>
        <w:tc>
          <w:tcPr>
            <w:tcW w:w="5420" w:type="dxa"/>
            <w:vAlign w:val="bottom"/>
          </w:tcPr>
          <w:p>
            <w:pPr>
              <w:ind w:left="960"/>
              <w:spacing w:after="0"/>
              <w:rPr>
                <w:sz w:val="20"/>
                <w:szCs w:val="20"/>
                <w:color w:val="auto"/>
              </w:rPr>
            </w:pPr>
            <w:r>
              <w:rPr>
                <w:rFonts w:ascii="Times New Roman" w:cs="Times New Roman" w:eastAsia="Times New Roman" w:hAnsi="Times New Roman"/>
                <w:sz w:val="15"/>
                <w:szCs w:val="15"/>
                <w:b w:val="1"/>
                <w:bCs w:val="1"/>
                <w:color w:val="auto"/>
              </w:rPr>
              <w:t>U.S. Investors</w:t>
            </w: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54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Corey Davis, Ph.D.</w:t>
            </w: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Gary Waanders, Ph.D., MBA</w:t>
            </w:r>
          </w:p>
        </w:tc>
        <w:tc>
          <w:tcPr>
            <w:tcW w:w="54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LifeSci Advisors</w:t>
            </w: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AC Immune</w:t>
            </w:r>
          </w:p>
        </w:tc>
        <w:tc>
          <w:tcPr>
            <w:tcW w:w="54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Phone: +1 212 915 2577</w:t>
            </w: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Phone: +41 21 345 91 91</w:t>
            </w:r>
          </w:p>
        </w:tc>
        <w:tc>
          <w:tcPr>
            <w:tcW w:w="54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Email: cdavis@lifesciadvisors.com</w:t>
            </w: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Email: gary.waanders@acimmune.com</w:t>
            </w:r>
          </w:p>
        </w:tc>
        <w:tc>
          <w:tcPr>
            <w:tcW w:w="5420" w:type="dxa"/>
            <w:vAlign w:val="bottom"/>
          </w:tcPr>
          <w:p>
            <w:pPr>
              <w:spacing w:after="0"/>
              <w:rPr>
                <w:sz w:val="16"/>
                <w:szCs w:val="16"/>
                <w:color w:val="auto"/>
              </w:rPr>
            </w:pPr>
          </w:p>
        </w:tc>
      </w:tr>
      <w:tr>
        <w:trPr>
          <w:trHeight w:val="303"/>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International Media</w:t>
            </w:r>
          </w:p>
        </w:tc>
        <w:tc>
          <w:tcPr>
            <w:tcW w:w="5420" w:type="dxa"/>
            <w:vAlign w:val="bottom"/>
          </w:tcPr>
          <w:p>
            <w:pPr>
              <w:spacing w:after="0"/>
              <w:rPr>
                <w:sz w:val="24"/>
                <w:szCs w:val="24"/>
                <w:color w:val="auto"/>
              </w:rPr>
            </w:pP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Chris Maggos</w:t>
            </w:r>
          </w:p>
        </w:tc>
        <w:tc>
          <w:tcPr>
            <w:tcW w:w="542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Cohesion Bureau</w:t>
            </w:r>
          </w:p>
        </w:tc>
        <w:tc>
          <w:tcPr>
            <w:tcW w:w="542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Phone: +41 79 367 6254</w:t>
            </w:r>
          </w:p>
        </w:tc>
        <w:tc>
          <w:tcPr>
            <w:tcW w:w="5420" w:type="dxa"/>
            <w:vAlign w:val="bottom"/>
          </w:tcPr>
          <w:p>
            <w:pPr>
              <w:spacing w:after="0"/>
              <w:rPr>
                <w:sz w:val="15"/>
                <w:szCs w:val="15"/>
                <w:color w:val="auto"/>
              </w:rPr>
            </w:pP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Email: chris.maggos@cohesionbureau.com</w:t>
            </w:r>
          </w:p>
        </w:tc>
        <w:tc>
          <w:tcPr>
            <w:tcW w:w="5420" w:type="dxa"/>
            <w:vAlign w:val="bottom"/>
          </w:tcPr>
          <w:p>
            <w:pPr>
              <w:spacing w:after="0"/>
              <w:rPr>
                <w:sz w:val="16"/>
                <w:szCs w:val="16"/>
                <w:color w:val="auto"/>
              </w:rPr>
            </w:pPr>
          </w:p>
        </w:tc>
      </w:tr>
      <w:tr>
        <w:trPr>
          <w:trHeight w:val="790"/>
        </w:trPr>
        <w:tc>
          <w:tcPr>
            <w:tcW w:w="350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0" w:right="1440" w:bottom="1440" w:gutter="0" w:footer="0" w:header="0"/>
        </w:sectPr>
      </w:pPr>
    </w:p>
    <w:bookmarkStart w:id="172" w:name="page173"/>
    <w:bookmarkEnd w:id="172"/>
    <w:p>
      <w:pPr>
        <w:ind w:left="40"/>
        <w:spacing w:after="0"/>
        <w:rPr>
          <w:sz w:val="20"/>
          <w:szCs w:val="20"/>
          <w:color w:val="auto"/>
        </w:rPr>
      </w:pPr>
      <w:r>
        <w:rPr>
          <w:rFonts w:ascii="Times New Roman" w:cs="Times New Roman" w:eastAsia="Times New Roman" w:hAnsi="Times New Roman"/>
          <w:sz w:val="15"/>
          <w:szCs w:val="15"/>
          <w:b w:val="1"/>
          <w:bCs w:val="1"/>
          <w:color w:val="auto"/>
        </w:rPr>
        <w:t>Forward looking statements</w:t>
      </w:r>
    </w:p>
    <w:p>
      <w:pPr>
        <w:spacing w:after="0" w:line="158"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5"/>
          <w:szCs w:val="15"/>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793115</wp:posOffset>
            </wp:positionV>
            <wp:extent cx="567118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67118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CHF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4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460" w:type="dxa"/>
            <w:vAlign w:val="bottom"/>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020" w:type="dxa"/>
            <w:vAlign w:val="bottom"/>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Right-of-use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Intangible asset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50,416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Long-term financial assets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56,992</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57,661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4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Prepaid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Accrued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Other current receivables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Accounts receivable</w:t>
            </w: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Short-term financial 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123,560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51,564</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78,494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180,543</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125,153</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40" w:type="dxa"/>
            <w:vAlign w:val="bottom"/>
            <w:gridSpan w:val="2"/>
            <w:vMerge w:val="continue"/>
          </w:tcPr>
          <w:p>
            <w:pPr>
              <w:spacing w:after="0"/>
              <w:rPr>
                <w:sz w:val="17"/>
                <w:szCs w:val="17"/>
                <w:color w:val="auto"/>
              </w:rPr>
            </w:pPr>
          </w:p>
        </w:tc>
        <w:tc>
          <w:tcPr>
            <w:tcW w:w="11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237,535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182,814</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64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Shareholders' equity and liabilities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Share capital</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Share premium</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476,074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474,907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Treasury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Currency translation differences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Accumulated losses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(354,608)</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(316,197)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123,425</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6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Long-term deferred contract revenue</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Long-term lease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Net employee defined benefit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5,770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13,580</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6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Trade and other payables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Accrued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Short-term deferred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Short-term deferred contract revenue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86,468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Short-term lease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100,530</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13,576</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40" w:type="dxa"/>
            <w:vAlign w:val="bottom"/>
            <w:gridSpan w:val="2"/>
            <w:vMerge w:val="continue"/>
          </w:tcPr>
          <w:p>
            <w:pPr>
              <w:spacing w:after="0"/>
              <w:rPr>
                <w:sz w:val="17"/>
                <w:szCs w:val="17"/>
                <w:color w:val="auto"/>
              </w:rPr>
            </w:pPr>
          </w:p>
        </w:tc>
        <w:tc>
          <w:tcPr>
            <w:tcW w:w="11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114,110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22,171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2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Total shareholders’ equity and liabilities</w:t>
            </w:r>
          </w:p>
        </w:tc>
        <w:tc>
          <w:tcPr>
            <w:tcW w:w="11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237,535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182,814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5"/>
        </w:trPr>
        <w:tc>
          <w:tcPr>
            <w:tcW w:w="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3" w:right="1440"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Income/(Loss)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 CHF thousands, except for per-share data)</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100" w:type="dxa"/>
            <w:vAlign w:val="bottom"/>
            <w:gridSpan w:val="10"/>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c>
          <w:tcPr>
            <w:tcW w:w="1560" w:type="dxa"/>
            <w:vAlign w:val="bottom"/>
            <w:gridSpan w:val="6"/>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For the Six Months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gridSpan w:val="9"/>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w w:val="98"/>
              </w:rPr>
              <w:t>Ended June 30,</w:t>
            </w:r>
          </w:p>
        </w:tc>
        <w:tc>
          <w:tcPr>
            <w:tcW w:w="1560" w:type="dxa"/>
            <w:vAlign w:val="bottom"/>
            <w:gridSpan w:val="6"/>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Contract revenue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4"/>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restart"/>
          </w:tcPr>
          <w:p>
            <w:pPr>
              <w:spacing w:after="0"/>
              <w:rPr>
                <w:sz w:val="13"/>
                <w:szCs w:val="13"/>
                <w:color w:val="auto"/>
              </w:rPr>
            </w:pPr>
          </w:p>
        </w:tc>
        <w:tc>
          <w:tcPr>
            <w:tcW w:w="5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Research &amp; development 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(17,138)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(13,682)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(32,303)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General &amp; administrative expenses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(9,522)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Other operating income/(expense), net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(21,648)</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(17,046)</w:t>
            </w: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(41,716)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80" w:type="dxa"/>
            <w:vAlign w:val="bottom"/>
            <w:gridSpan w:val="2"/>
            <w:vMerge w:val="continue"/>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(20,961)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(17,046)</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(41,029)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5"/>
                <w:szCs w:val="15"/>
                <w:color w:val="auto"/>
              </w:rPr>
              <w:t>(34,617)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Financial income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Financial expense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Exchange differences</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(2,504)</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Finance result, net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before tax</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(22,760)</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(16,830)</w:t>
            </w:r>
          </w:p>
        </w:tc>
        <w:tc>
          <w:tcPr>
            <w:tcW w:w="1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(40,622)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4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for the period</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(22,760)</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(16,833)</w:t>
            </w: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(40,622)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per share: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7360" w:type="dxa"/>
            <w:vAlign w:val="bottom"/>
            <w:gridSpan w:val="11"/>
          </w:tcPr>
          <w:p>
            <w:pPr>
              <w:ind w:left="1880"/>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Income/(Loss) (Unaudited)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260" w:type="dxa"/>
            <w:vAlign w:val="bottom"/>
          </w:tcPr>
          <w:p>
            <w:pPr>
              <w:ind w:left="3820"/>
              <w:spacing w:after="0"/>
              <w:rPr>
                <w:sz w:val="20"/>
                <w:szCs w:val="20"/>
                <w:color w:val="auto"/>
              </w:rPr>
            </w:pPr>
            <w:r>
              <w:rPr>
                <w:rFonts w:ascii="Times New Roman" w:cs="Times New Roman" w:eastAsia="Times New Roman" w:hAnsi="Times New Roman"/>
                <w:sz w:val="15"/>
                <w:szCs w:val="15"/>
                <w:b w:val="1"/>
                <w:bCs w:val="1"/>
                <w:color w:val="auto"/>
              </w:rPr>
              <w:t>(In CHF thousands)</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9"/>
          </w:tcPr>
          <w:p>
            <w:pPr>
              <w:ind w:left="220"/>
              <w:spacing w:after="0"/>
              <w:rPr>
                <w:sz w:val="20"/>
                <w:szCs w:val="20"/>
                <w:color w:val="auto"/>
              </w:rPr>
            </w:pPr>
            <w:r>
              <w:rPr>
                <w:rFonts w:ascii="Times New Roman" w:cs="Times New Roman" w:eastAsia="Times New Roman" w:hAnsi="Times New Roman"/>
                <w:sz w:val="12"/>
                <w:szCs w:val="12"/>
                <w:b w:val="1"/>
                <w:bCs w:val="1"/>
                <w:color w:val="auto"/>
              </w:rPr>
              <w:t>For the Three Months</w:t>
            </w: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For the Six Months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8"/>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1560" w:type="dxa"/>
            <w:vAlign w:val="bottom"/>
            <w:gridSpan w:val="6"/>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Ended 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for the period</w:t>
            </w:r>
          </w:p>
        </w:tc>
        <w:tc>
          <w:tcPr>
            <w:tcW w:w="4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(22,760)</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(16,833)</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(40,622)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5"/>
                <w:szCs w:val="15"/>
                <w:color w:val="auto"/>
              </w:rPr>
              <w:t>Items that will be reclassified to income or loss in subsequent periods (net of tax):</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 translation differences</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5"/>
                <w:szCs w:val="15"/>
                <w:color w:val="auto"/>
                <w:w w:val="98"/>
              </w:rPr>
              <w:t>Items that will not to be reclassified to income or loss in subsequent periods (net of tax):</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Remeasurement gains on defined-benefit plans</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 (net of tax)</w:t>
            </w:r>
          </w:p>
        </w:tc>
        <w:tc>
          <w:tcPr>
            <w:tcW w:w="420" w:type="dxa"/>
            <w:vAlign w:val="bottom"/>
          </w:tcPr>
          <w:p>
            <w:pPr>
              <w:spacing w:after="0"/>
              <w:rPr>
                <w:sz w:val="15"/>
                <w:szCs w:val="15"/>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(22,760)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(16,841)</w:t>
            </w:r>
          </w:p>
        </w:tc>
        <w:tc>
          <w:tcPr>
            <w:tcW w:w="160" w:type="dxa"/>
            <w:vAlign w:val="bottom"/>
          </w:tcPr>
          <w:p>
            <w:pPr>
              <w:spacing w:after="0"/>
              <w:rPr>
                <w:sz w:val="15"/>
                <w:szCs w:val="15"/>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(40,606)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6"/>
        </w:trPr>
        <w:tc>
          <w:tcPr>
            <w:tcW w:w="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lowerLetter"/>
      <w:start w:val="3"/>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1)"/>
      <w:numFmt w:val="lowerLetter"/>
      <w:start w:val="1"/>
    </w:lvl>
  </w:abstractNum>
  <w:abstractNum w:abstractNumId="6">
    <w:nsid w:val="1DBABF00"/>
    <w:multiLevelType w:val="hybridMultilevel"/>
    <w:lvl w:ilvl="0">
      <w:lvlJc w:val="left"/>
      <w:lvlText w:val="(%1)"/>
      <w:numFmt w:val="lowerLetter"/>
      <w:start w:val="1"/>
    </w:lvl>
  </w:abstractNum>
  <w:abstractNum w:abstractNumId="7">
    <w:nsid w:val="4AD084E9"/>
    <w:multiLevelType w:val="hybridMultilevel"/>
    <w:lvl w:ilvl="0">
      <w:lvlJc w:val="left"/>
      <w:lvlText w:val="(%1)"/>
      <w:numFmt w:val="lowerLetter"/>
      <w:start w:val="2"/>
    </w:lvl>
  </w:abstractNum>
  <w:abstractNum w:abstractNumId="8">
    <w:nsid w:val="1F48EAA1"/>
    <w:multiLevelType w:val="hybridMultilevel"/>
    <w:lvl w:ilvl="0">
      <w:lvlJc w:val="left"/>
      <w:lvlText w:val="(%1)"/>
      <w:numFmt w:val="lowerLetter"/>
      <w:start w:val="1"/>
    </w:lvl>
    <w:lvl w:ilvl="1">
      <w:lvlJc w:val="left"/>
      <w:lvlText w:val="(%2)"/>
      <w:numFmt w:val="lowerRoman"/>
      <w:start w:val="1"/>
    </w:lvl>
  </w:abstractNum>
  <w:abstractNum w:abstractNumId="9">
    <w:nsid w:val="1381823A"/>
    <w:multiLevelType w:val="hybridMultilevel"/>
    <w:lvl w:ilvl="0">
      <w:lvlJc w:val="left"/>
      <w:lvlText w:val="(%1)"/>
      <w:numFmt w:val="lowerLetter"/>
      <w:start w:val="2"/>
    </w:lvl>
  </w:abstractNum>
  <w:abstractNum w:abstractNumId="10">
    <w:nsid w:val="5DB70AE5"/>
    <w:multiLevelType w:val="hybridMultilevel"/>
    <w:lvl w:ilvl="0">
      <w:lvlJc w:val="left"/>
      <w:lvlText w:val="(%1)"/>
      <w:numFmt w:val="lowerLetter"/>
      <w:start w:val="1"/>
    </w:lvl>
  </w:abstractNum>
  <w:abstractNum w:abstractNumId="11">
    <w:nsid w:val="100F8FCA"/>
    <w:multiLevelType w:val="hybridMultilevel"/>
    <w:lvl w:ilvl="0">
      <w:lvlJc w:val="left"/>
      <w:lvlText w:val="[***]"/>
      <w:numFmt w:val="bullet"/>
      <w:start w:val="1"/>
    </w:lvl>
    <w:lvl w:ilvl="1">
      <w:lvlJc w:val="left"/>
      <w:lvlText w:val="(%2)"/>
      <w:numFmt w:val="lowerLetter"/>
      <w:start w:val="1"/>
    </w:lvl>
  </w:abstractNum>
  <w:abstractNum w:abstractNumId="12">
    <w:nsid w:val="6590700B"/>
    <w:multiLevelType w:val="hybridMultilevel"/>
    <w:lvl w:ilvl="0">
      <w:lvlJc w:val="left"/>
      <w:lvlText w:val="[***]"/>
      <w:numFmt w:val="bullet"/>
      <w:start w:val="1"/>
    </w:lvl>
    <w:lvl w:ilvl="1">
      <w:lvlJc w:val="left"/>
      <w:lvlText w:val="(%2)"/>
      <w:numFmt w:val="lowerLetter"/>
      <w:start w:val="2"/>
    </w:lvl>
  </w:abstractNum>
  <w:abstractNum w:abstractNumId="13">
    <w:nsid w:val="15014ACB"/>
    <w:multiLevelType w:val="hybridMultilevel"/>
    <w:lvl w:ilvl="0">
      <w:lvlJc w:val="left"/>
      <w:lvlText w:val="(%1)"/>
      <w:numFmt w:val="lowerLetter"/>
      <w:start w:val="3"/>
    </w:lvl>
  </w:abstractNum>
  <w:abstractNum w:abstractNumId="14">
    <w:nsid w:val="5F5E7FD0"/>
    <w:multiLevelType w:val="hybridMultilevel"/>
    <w:lvl w:ilvl="0">
      <w:lvlJc w:val="left"/>
      <w:lvlText w:val="(%1)"/>
      <w:numFmt w:val="lowerLetter"/>
      <w:start w:val="1"/>
    </w:lvl>
  </w:abstractNum>
  <w:abstractNum w:abstractNumId="15">
    <w:nsid w:val="98A3148"/>
    <w:multiLevelType w:val="hybridMultilevel"/>
    <w:lvl w:ilvl="0">
      <w:lvlJc w:val="left"/>
      <w:lvlText w:val="(%1)"/>
      <w:numFmt w:val="lowerLetter"/>
      <w:start w:val="4"/>
    </w:lvl>
  </w:abstractNum>
  <w:abstractNum w:abstractNumId="16">
    <w:nsid w:val="799D0247"/>
    <w:multiLevelType w:val="hybridMultilevel"/>
    <w:lvl w:ilvl="0">
      <w:lvlJc w:val="left"/>
      <w:lvlText w:val="(%1)"/>
      <w:numFmt w:val="lowerLetter"/>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1)"/>
      <w:numFmt w:val="lowerLetter"/>
      <w:start w:val="1"/>
    </w:lvl>
  </w:abstractNum>
  <w:abstractNum w:abstractNumId="20">
    <w:nsid w:val="1EBA5D23"/>
    <w:multiLevelType w:val="hybridMultilevel"/>
    <w:lvl w:ilvl="0">
      <w:lvlJc w:val="left"/>
      <w:lvlText w:val="(%1)"/>
      <w:numFmt w:val="lowerLetter"/>
      <w:start w:val="2"/>
    </w:lvl>
  </w:abstractNum>
  <w:abstractNum w:abstractNumId="21">
    <w:nsid w:val="661E3F1E"/>
    <w:multiLevelType w:val="hybridMultilevel"/>
    <w:lvl w:ilvl="0">
      <w:lvlJc w:val="left"/>
      <w:lvlText w:val="(%1)"/>
      <w:numFmt w:val="lowerLetter"/>
      <w:start w:val="1"/>
    </w:lvl>
  </w:abstractNum>
  <w:abstractNum w:abstractNumId="22">
    <w:nsid w:val="5DC79EA8"/>
    <w:multiLevelType w:val="hybridMultilevel"/>
    <w:lvl w:ilvl="0">
      <w:lvlJc w:val="left"/>
      <w:lvlText w:val="(%1)"/>
      <w:numFmt w:val="lowerLetter"/>
      <w:start w:val="3"/>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1)"/>
      <w:numFmt w:val="lowerLetter"/>
      <w:start w:val="1"/>
    </w:lvl>
  </w:abstractNum>
  <w:abstractNum w:abstractNumId="25">
    <w:nsid w:val="51D9C564"/>
    <w:multiLevelType w:val="hybridMultilevel"/>
    <w:lvl w:ilvl="0">
      <w:lvlJc w:val="left"/>
      <w:lvlText w:val="(%1)"/>
      <w:numFmt w:val="lowerLetter"/>
      <w:start w:val="2"/>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lowerLetter"/>
      <w:start w:val="1"/>
    </w:lvl>
  </w:abstractNum>
  <w:abstractNum w:abstractNumId="28">
    <w:nsid w:val="11447B73"/>
    <w:multiLevelType w:val="hybridMultilevel"/>
    <w:lvl w:ilvl="0">
      <w:lvlJc w:val="left"/>
      <w:lvlText w:val="(%1)"/>
      <w:numFmt w:val="lowerLetter"/>
      <w:start w:val="1"/>
    </w:lvl>
  </w:abstractNum>
  <w:abstractNum w:abstractNumId="29">
    <w:nsid w:val="42963E5A"/>
    <w:multiLevelType w:val="hybridMultilevel"/>
    <w:lvl w:ilvl="0">
      <w:lvlJc w:val="left"/>
      <w:lvlText w:val="(%1)"/>
      <w:numFmt w:val="lowerLetter"/>
      <w:start w:val="1"/>
    </w:lvl>
  </w:abstractNum>
  <w:abstractNum w:abstractNumId="30">
    <w:nsid w:val="A0382C5"/>
    <w:multiLevelType w:val="hybridMultilevel"/>
    <w:lvl w:ilvl="0">
      <w:lvlJc w:val="left"/>
      <w:lvlText w:val="(%1)"/>
      <w:numFmt w:val="lowerLetter"/>
      <w:start w:val="2"/>
    </w:lvl>
  </w:abstractNum>
  <w:abstractNum w:abstractNumId="31">
    <w:nsid w:val="8F2B15E"/>
    <w:multiLevelType w:val="hybridMultilevel"/>
    <w:lvl w:ilvl="0">
      <w:lvlJc w:val="left"/>
      <w:lvlText w:val="(%1)"/>
      <w:numFmt w:val="lowerLetter"/>
      <w:start w:val="1"/>
    </w:lvl>
  </w:abstractNum>
  <w:abstractNum w:abstractNumId="32">
    <w:nsid w:val="1A32234B"/>
    <w:multiLevelType w:val="hybridMultilevel"/>
    <w:lvl w:ilvl="0">
      <w:lvlJc w:val="left"/>
      <w:lvlText w:val="(%1)"/>
      <w:numFmt w:val="lowerLetter"/>
      <w:start w:val="1"/>
    </w:lvl>
  </w:abstractNum>
  <w:abstractNum w:abstractNumId="33">
    <w:nsid w:val="3B0FD379"/>
    <w:multiLevelType w:val="hybridMultilevel"/>
    <w:lvl w:ilvl="0">
      <w:lvlJc w:val="left"/>
      <w:lvlText w:val="(%1)"/>
      <w:numFmt w:val="lowerLetter"/>
      <w:start w:val="1"/>
    </w:lvl>
  </w:abstractNum>
  <w:abstractNum w:abstractNumId="34">
    <w:nsid w:val="68EB2F63"/>
    <w:multiLevelType w:val="hybridMultilevel"/>
    <w:lvl w:ilvl="0">
      <w:lvlJc w:val="left"/>
      <w:lvlText w:val="(%1)"/>
      <w:numFmt w:val="lowerLetter"/>
      <w:start w:val="1"/>
    </w:lvl>
  </w:abstractNum>
  <w:abstractNum w:abstractNumId="35">
    <w:nsid w:val="4962813B"/>
    <w:multiLevelType w:val="hybridMultilevel"/>
    <w:lvl w:ilvl="0">
      <w:lvlJc w:val="left"/>
      <w:lvlText w:val="(%1)"/>
      <w:numFmt w:val="lowerLetter"/>
      <w:start w:val="2"/>
    </w:lvl>
  </w:abstractNum>
  <w:abstractNum w:abstractNumId="36">
    <w:nsid w:val="60B6DF70"/>
    <w:multiLevelType w:val="hybridMultilevel"/>
    <w:lvl w:ilvl="0">
      <w:lvlJc w:val="left"/>
      <w:lvlText w:val="(%1)"/>
      <w:numFmt w:val="lowerLetter"/>
      <w:start w:val="1"/>
    </w:lvl>
  </w:abstractNum>
  <w:abstractNum w:abstractNumId="37">
    <w:nsid w:val="6A5EE64"/>
    <w:multiLevelType w:val="hybridMultilevel"/>
    <w:lvl w:ilvl="0">
      <w:lvlJc w:val="left"/>
      <w:lvlText w:val="(%1)"/>
      <w:numFmt w:val="lowerLetter"/>
      <w:start w:val="3"/>
    </w:lvl>
  </w:abstractNum>
  <w:abstractNum w:abstractNumId="38">
    <w:nsid w:val="14330624"/>
    <w:multiLevelType w:val="hybridMultilevel"/>
    <w:lvl w:ilvl="0">
      <w:lvlJc w:val="left"/>
      <w:lvlText w:val="(%1)"/>
      <w:numFmt w:val="lowerLetter"/>
      <w:start w:val="1"/>
    </w:lvl>
  </w:abstractNum>
  <w:abstractNum w:abstractNumId="39">
    <w:nsid w:val="7FFFCA11"/>
    <w:multiLevelType w:val="hybridMultilevel"/>
    <w:lvl w:ilvl="0">
      <w:lvlJc w:val="left"/>
      <w:lvlText w:val="(%1)"/>
      <w:numFmt w:val="lowerLetter"/>
      <w:start w:val="2"/>
    </w:lvl>
  </w:abstractNum>
  <w:abstractNum w:abstractNumId="40">
    <w:nsid w:val="1A27709E"/>
    <w:multiLevelType w:val="hybridMultilevel"/>
    <w:lvl w:ilvl="0">
      <w:lvlJc w:val="left"/>
      <w:lvlText w:val="(%1)"/>
      <w:numFmt w:val="lowerLetter"/>
      <w:start w:val="35"/>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1)"/>
      <w:numFmt w:val="lowerLetter"/>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1)"/>
      <w:numFmt w:val="lowerLetter"/>
      <w:start w:val="3"/>
    </w:lvl>
  </w:abstractNum>
  <w:abstractNum w:abstractNumId="45">
    <w:nsid w:val="6F6DD9AC"/>
    <w:multiLevelType w:val="hybridMultilevel"/>
    <w:lvl w:ilvl="0">
      <w:lvlJc w:val="left"/>
      <w:lvlText w:val="(%1)"/>
      <w:numFmt w:val="lowerLetter"/>
      <w:start w:val="1"/>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1"/>
    </w:lvl>
    <w:lvl w:ilvl="1">
      <w:lvlJc w:val="left"/>
      <w:lvlText w:val="(%2)"/>
      <w:numFmt w:val="lowerLetter"/>
      <w:start w:val="3"/>
    </w:lvl>
  </w:abstractNum>
  <w:abstractNum w:abstractNumId="48">
    <w:nsid w:val="76272110"/>
    <w:multiLevelType w:val="hybridMultilevel"/>
    <w:lvl w:ilvl="0">
      <w:lvlJc w:val="left"/>
      <w:lvlText w:val="(%1)"/>
      <w:numFmt w:val="lowerLetter"/>
      <w:start w:val="35"/>
    </w:lvl>
    <w:lvl w:ilvl="1">
      <w:lvlJc w:val="left"/>
      <w:lvlText w:val="(%2)"/>
      <w:numFmt w:val="lowerLetter"/>
      <w:start w:val="8"/>
    </w:lvl>
  </w:abstractNum>
  <w:abstractNum w:abstractNumId="49">
    <w:nsid w:val="4C04A8AF"/>
    <w:multiLevelType w:val="hybridMultilevel"/>
    <w:lvl w:ilvl="0">
      <w:lvlJc w:val="left"/>
      <w:lvlText w:val="[***]"/>
      <w:numFmt w:val="bullet"/>
      <w:start w:val="1"/>
    </w:lvl>
    <w:lvl w:ilvl="1">
      <w:lvlJc w:val="left"/>
      <w:lvlText w:val="(%2)"/>
      <w:numFmt w:val="lowerRoman"/>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endash "/>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1)"/>
      <w:numFmt w:val="lowerLetter"/>
      <w:start w:val="1"/>
    </w:lvl>
    <w:lvl w:ilvl="1">
      <w:lvlJc w:val="left"/>
      <w:lvlText w:val="(%2)"/>
      <w:numFmt w:val="lowerRoman"/>
      <w:start w:val="1"/>
    </w:lvl>
  </w:abstractNum>
  <w:abstractNum w:abstractNumId="54">
    <w:nsid w:val="68EBC550"/>
    <w:multiLevelType w:val="hybridMultilevel"/>
    <w:lvl w:ilvl="0">
      <w:lvlJc w:val="left"/>
      <w:lvlText w:val="(%1)"/>
      <w:numFmt w:val="lowerLetter"/>
      <w:start w:val="3"/>
    </w:lvl>
  </w:abstractNum>
  <w:abstractNum w:abstractNumId="55">
    <w:nsid w:val="2DF6D648"/>
    <w:multiLevelType w:val="hybridMultilevel"/>
    <w:lvl w:ilvl="0">
      <w:lvlJc w:val="left"/>
      <w:lvlText w:val="(%1)"/>
      <w:numFmt w:val="lowerLetter"/>
      <w:start w:val="1"/>
    </w:lvl>
  </w:abstractNum>
  <w:abstractNum w:abstractNumId="56">
    <w:nsid w:val="46B7D447"/>
    <w:multiLevelType w:val="hybridMultilevel"/>
    <w:lvl w:ilvl="0">
      <w:lvlJc w:val="left"/>
      <w:lvlText w:val="(%1)"/>
      <w:numFmt w:val="lowerLetter"/>
      <w:start w:val="1"/>
    </w:lvl>
    <w:lvl w:ilvl="1">
      <w:lvlJc w:val="left"/>
      <w:lvlText w:val="(%2)"/>
      <w:numFmt w:val="lowerRoman"/>
      <w:start w:val="1"/>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decimal"/>
      <w:start w:val="1"/>
    </w:lvl>
    <w:lvl w:ilvl="1">
      <w:lvlJc w:val="left"/>
      <w:lvlText w:val="(%2)"/>
      <w:numFmt w:val="lowerRoman"/>
      <w:start w:val="1"/>
    </w:lvl>
  </w:abstractNum>
  <w:abstractNum w:abstractNumId="60">
    <w:nsid w:val="CC1016F"/>
    <w:multiLevelType w:val="hybridMultilevel"/>
    <w:lvl w:ilvl="0">
      <w:lvlJc w:val="left"/>
      <w:lvlText w:val="(%1)"/>
      <w:numFmt w:val="lowerLetter"/>
      <w:start w:val="1"/>
    </w:lvl>
    <w:lvl w:ilvl="1">
      <w:lvlJc w:val="left"/>
      <w:lvlText w:val="(%2)"/>
      <w:numFmt w:val="lowerRoman"/>
      <w:start w:val="1"/>
    </w:lvl>
  </w:abstractNum>
  <w:abstractNum w:abstractNumId="61">
    <w:nsid w:val="43F18422"/>
    <w:multiLevelType w:val="hybridMultilevel"/>
    <w:lvl w:ilvl="0">
      <w:lvlJc w:val="left"/>
      <w:lvlText w:val="(%1)"/>
      <w:numFmt w:val="lowerLetter"/>
      <w:start w:val="1"/>
    </w:lvl>
  </w:abstractNum>
  <w:abstractNum w:abstractNumId="62">
    <w:nsid w:val="60EF0119"/>
    <w:multiLevelType w:val="hybridMultilevel"/>
    <w:lvl w:ilvl="0">
      <w:lvlJc w:val="left"/>
      <w:lvlText w:val="(%1)"/>
      <w:numFmt w:val="lowerLetter"/>
      <w:start w:val="2"/>
    </w:lvl>
  </w:abstractNum>
  <w:abstractNum w:abstractNumId="63">
    <w:nsid w:val="26F324BA"/>
    <w:multiLevelType w:val="hybridMultilevel"/>
    <w:lvl w:ilvl="0">
      <w:lvlJc w:val="left"/>
      <w:lvlText w:val="(%1)"/>
      <w:numFmt w:val="lowerLetter"/>
      <w:start w:val="1"/>
    </w:lvl>
  </w:abstractNum>
  <w:abstractNum w:abstractNumId="64">
    <w:nsid w:val="7F01579B"/>
    <w:multiLevelType w:val="hybridMultilevel"/>
    <w:lvl w:ilvl="0">
      <w:lvlJc w:val="left"/>
      <w:lvlText w:val="(%1)"/>
      <w:numFmt w:val="lowerLetter"/>
      <w:start w:val="6"/>
    </w:lvl>
  </w:abstractNum>
  <w:abstractNum w:abstractNumId="65">
    <w:nsid w:val="49DA307D"/>
    <w:multiLevelType w:val="hybridMultilevel"/>
    <w:lvl w:ilvl="0">
      <w:lvlJc w:val="left"/>
      <w:lvlText w:val="(%1)"/>
      <w:numFmt w:val="lowerRoman"/>
      <w:start w:val="1"/>
    </w:lvl>
  </w:abstractNum>
  <w:abstractNum w:abstractNumId="66">
    <w:nsid w:val="7055A5F5"/>
    <w:multiLevelType w:val="hybridMultilevel"/>
    <w:lvl w:ilvl="0">
      <w:lvlJc w:val="left"/>
      <w:lvlText w:val="(%1)"/>
      <w:numFmt w:val="lowerRoman"/>
      <w:start w:val="5"/>
    </w:lvl>
  </w:abstractNum>
  <w:abstractNum w:abstractNumId="67">
    <w:nsid w:val="5FB8370B"/>
    <w:multiLevelType w:val="hybridMultilevel"/>
    <w:lvl w:ilvl="0">
      <w:lvlJc w:val="left"/>
      <w:lvlText w:val="(%1)"/>
      <w:numFmt w:val="lowerLetter"/>
      <w:start w:val="1"/>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1)"/>
      <w:numFmt w:val="lowerLetter"/>
      <w:start w:val="1"/>
    </w:lvl>
  </w:abstractNum>
  <w:abstractNum w:abstractNumId="70">
    <w:nsid w:val="5FB8011C"/>
    <w:multiLevelType w:val="hybridMultilevel"/>
    <w:lvl w:ilvl="0">
      <w:lvlJc w:val="left"/>
      <w:lvlText w:val="%1"/>
      <w:numFmt w:val="lowerLetter"/>
      <w:start w:val="1"/>
    </w:lvl>
    <w:lvl w:ilvl="1">
      <w:lvlJc w:val="left"/>
      <w:lvlText w:val="(%2)"/>
      <w:numFmt w:val="lowerRoman"/>
      <w:start w:val="1"/>
    </w:lvl>
  </w:abstractNum>
  <w:abstractNum w:abstractNumId="71">
    <w:nsid w:val="6AA78F7F"/>
    <w:multiLevelType w:val="hybridMultilevel"/>
    <w:lvl w:ilvl="0">
      <w:lvlJc w:val="left"/>
      <w:lvlText w:val="(%1)"/>
      <w:numFmt w:val="lowerLetter"/>
      <w:start w:val="3"/>
    </w:lvl>
    <w:lvl w:ilvl="1">
      <w:lvlJc w:val="left"/>
      <w:lvlText w:val="(%2)"/>
      <w:numFmt w:val="lowerRoman"/>
      <w:start w:val="1"/>
    </w:lvl>
  </w:abstractNum>
  <w:abstractNum w:abstractNumId="72">
    <w:nsid w:val="7672BD23"/>
    <w:multiLevelType w:val="hybridMultilevel"/>
    <w:lvl w:ilvl="0">
      <w:lvlJc w:val="left"/>
      <w:lvlText w:val="(%1)"/>
      <w:numFmt w:val="lowerLetter"/>
      <w:start w:val="1"/>
    </w:lvl>
    <w:lvl w:ilvl="1">
      <w:lvlJc w:val="left"/>
      <w:lvlText w:val="(%2)"/>
      <w:numFmt w:val="lowerRoman"/>
      <w:start w:val="1"/>
    </w:lvl>
  </w:abstractNum>
  <w:abstractNum w:abstractNumId="73">
    <w:nsid w:val="6FC75AF8"/>
    <w:multiLevelType w:val="hybridMultilevel"/>
    <w:lvl w:ilvl="0">
      <w:lvlJc w:val="left"/>
      <w:lvlText w:val="(%1)"/>
      <w:numFmt w:val="lowerLetter"/>
      <w:start w:val="1"/>
    </w:lvl>
  </w:abstractNum>
  <w:abstractNum w:abstractNumId="74">
    <w:nsid w:val="6A5F7029"/>
    <w:multiLevelType w:val="hybridMultilevel"/>
    <w:lvl w:ilvl="0">
      <w:lvlJc w:val="left"/>
      <w:lvlText w:val="(%1)"/>
      <w:numFmt w:val="lowerLetter"/>
      <w:start w:val="4"/>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1)"/>
      <w:numFmt w:val="lowerLetter"/>
      <w:start w:val="1"/>
    </w:lvl>
    <w:lvl w:ilvl="1">
      <w:lvlJc w:val="left"/>
      <w:lvlText w:val="(%2)"/>
      <w:numFmt w:val="lowerRoman"/>
      <w:start w:val="1"/>
    </w:lvl>
  </w:abstractNum>
  <w:abstractNum w:abstractNumId="77">
    <w:nsid w:val="73A1821B"/>
    <w:multiLevelType w:val="hybridMultilevel"/>
    <w:lvl w:ilvl="0">
      <w:lvlJc w:val="left"/>
      <w:lvlText w:val="(%1)"/>
      <w:numFmt w:val="lowerLetter"/>
      <w:start w:val="6"/>
    </w:lvl>
  </w:abstractNum>
  <w:abstractNum w:abstractNumId="78">
    <w:nsid w:val="7DE67713"/>
    <w:multiLevelType w:val="hybridMultilevel"/>
    <w:lvl w:ilvl="0">
      <w:lvlJc w:val="left"/>
      <w:lvlText w:val="(%1)"/>
      <w:numFmt w:val="lowerLetter"/>
      <w:start w:val="1"/>
    </w:lvl>
    <w:lvl w:ilvl="1">
      <w:lvlJc w:val="left"/>
      <w:lvlText w:val="(%2)"/>
      <w:numFmt w:val="lowerRoman"/>
      <w:start w:val="1"/>
    </w:lvl>
  </w:abstractNum>
  <w:abstractNum w:abstractNumId="79">
    <w:nsid w:val="555C55B5"/>
    <w:multiLevelType w:val="hybridMultilevel"/>
    <w:lvl w:ilvl="0">
      <w:lvlJc w:val="left"/>
      <w:lvlText w:val="(%1)"/>
      <w:numFmt w:val="lowerLetter"/>
      <w:start w:val="4"/>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lowerLetter"/>
      <w:start w:val="1"/>
    </w:lvl>
  </w:abstractNum>
  <w:abstractNum w:abstractNumId="82">
    <w:nsid w:val="6A3DD3E8"/>
    <w:multiLevelType w:val="hybridMultilevel"/>
    <w:lvl w:ilvl="0">
      <w:lvlJc w:val="left"/>
      <w:lvlText w:val="(%1)"/>
      <w:numFmt w:val="lowerRoman"/>
      <w:start w:val="1"/>
    </w:lvl>
  </w:abstractNum>
  <w:abstractNum w:abstractNumId="83">
    <w:nsid w:val="71C91298"/>
    <w:multiLevelType w:val="hybridMultilevel"/>
    <w:lvl w:ilvl="0">
      <w:lvlJc w:val="left"/>
      <w:lvlText w:val="(%1)"/>
      <w:numFmt w:val="lowerLetter"/>
      <w:start w:val="4"/>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lowerLetter"/>
      <w:start w:val="3"/>
    </w:lvl>
  </w:abstractNum>
  <w:abstractNum w:abstractNumId="86">
    <w:nsid w:val="1FBFE8E0"/>
    <w:multiLevelType w:val="hybridMultilevel"/>
    <w:lvl w:ilvl="0">
      <w:lvlJc w:val="left"/>
      <w:lvlText w:val="%1."/>
      <w:numFmt w:val="decimal"/>
      <w:start w:val="1"/>
    </w:lvl>
  </w:abstractNum>
  <w:abstractNum w:abstractNumId="87">
    <w:nsid w:val="5092CA79"/>
    <w:multiLevelType w:val="hybridMultilevel"/>
    <w:lvl w:ilvl="0">
      <w:lvlJc w:val="left"/>
      <w:lvlText w:val="%1."/>
      <w:numFmt w:val="decimal"/>
      <w:start w:val="3"/>
    </w:lvl>
  </w:abstractNum>
  <w:abstractNum w:abstractNumId="88">
    <w:nsid w:val="1D545C4D"/>
    <w:multiLevelType w:val="hybridMultilevel"/>
    <w:lvl w:ilvl="0">
      <w:lvlJc w:val="left"/>
      <w:lvlText w:val="%1."/>
      <w:numFmt w:val="decimal"/>
      <w:start w:val="4"/>
    </w:lvl>
  </w:abstractNum>
  <w:abstractNum w:abstractNumId="89">
    <w:nsid w:val="59ADEA3D"/>
    <w:multiLevelType w:val="hybridMultilevel"/>
    <w:lvl w:ilvl="0">
      <w:lvlJc w:val="left"/>
      <w:lvlText w:val="%1."/>
      <w:numFmt w:val="decimal"/>
      <w:start w:val="9"/>
    </w:lvl>
  </w:abstractNum>
  <w:abstractNum w:abstractNumId="90">
    <w:nsid w:val="288F1A34"/>
    <w:multiLevelType w:val="hybridMultilevel"/>
    <w:lvl w:ilvl="0">
      <w:lvlJc w:val="left"/>
      <w:lvlText w:val="%1."/>
      <w:numFmt w:val="decimal"/>
      <w:start w:val="12"/>
    </w:lvl>
    <w:lvl w:ilvl="1">
      <w:lvlJc w:val="left"/>
      <w:lvlText w:val="%2."/>
      <w:numFmt w:val="lowerLetter"/>
      <w:start w:val="1"/>
    </w:lvl>
  </w:abstractNum>
  <w:abstractNum w:abstractNumId="91">
    <w:nsid w:val="2A155DBC"/>
    <w:multiLevelType w:val="hybridMultilevel"/>
    <w:lvl w:ilvl="0">
      <w:lvlJc w:val="left"/>
      <w:lvlText w:val="%1."/>
      <w:numFmt w:val="lowerLetter"/>
      <w:start w:val="4"/>
    </w:lvl>
  </w:abstractNum>
  <w:abstractNum w:abstractNumId="92">
    <w:nsid w:val="1D9F6E5F"/>
    <w:multiLevelType w:val="hybridMultilevel"/>
    <w:lvl w:ilvl="0">
      <w:lvlJc w:val="left"/>
      <w:lvlText w:val="%1."/>
      <w:numFmt w:val="decimal"/>
      <w:start w:val="16"/>
    </w:lvl>
    <w:lvl w:ilvl="1">
      <w:lvlJc w:val="left"/>
      <w:lvlText w:val="%2."/>
      <w:numFmt w:val="lowerLetter"/>
      <w:start w:val="1"/>
    </w:lvl>
  </w:abstractNum>
  <w:abstractNum w:abstractNumId="93">
    <w:nsid w:val="97E1B4E"/>
    <w:multiLevelType w:val="hybridMultilevel"/>
    <w:lvl w:ilvl="0">
      <w:lvlJc w:val="left"/>
      <w:lvlText w:val="%1."/>
      <w:numFmt w:val="decimal"/>
      <w:start w:val="19"/>
    </w:lvl>
    <w:lvl w:ilvl="1">
      <w:lvlJc w:val="left"/>
      <w:lvlText w:val="%2."/>
      <w:numFmt w:val="lowerLetter"/>
      <w:start w:val="1"/>
    </w:lvl>
  </w:abstractNum>
  <w:abstractNum w:abstractNumId="94">
    <w:nsid w:val="51088277"/>
    <w:multiLevelType w:val="hybridMultilevel"/>
    <w:lvl w:ilvl="0">
      <w:lvlJc w:val="left"/>
      <w:lvlText w:val="%1."/>
      <w:numFmt w:val="decimal"/>
      <w:start w:val="20"/>
    </w:lvl>
  </w:abstractNum>
  <w:abstractNum w:abstractNumId="95">
    <w:nsid w:val="1CA0C5FA"/>
    <w:multiLevelType w:val="hybridMultilevel"/>
    <w:lvl w:ilvl="0">
      <w:lvlJc w:val="left"/>
      <w:lvlText w:val="%1."/>
      <w:numFmt w:val="decimal"/>
      <w:start w:val="1"/>
    </w:lvl>
  </w:abstractNum>
  <w:abstractNum w:abstractNumId="96">
    <w:nsid w:val="53584BCB"/>
    <w:multiLevelType w:val="hybridMultilevel"/>
    <w:lvl w:ilvl="0">
      <w:lvlJc w:val="left"/>
      <w:lvlText w:val="%1."/>
      <w:numFmt w:val="decimal"/>
      <w:start w:val="2"/>
    </w:lvl>
  </w:abstractNum>
  <w:abstractNum w:abstractNumId="97">
    <w:nsid w:val="415E286C"/>
    <w:multiLevelType w:val="hybridMultilevel"/>
    <w:lvl w:ilvl="0">
      <w:lvlJc w:val="left"/>
      <w:lvlText w:val="%1."/>
      <w:numFmt w:val="decimal"/>
      <w:start w:val="3"/>
    </w:lvl>
  </w:abstractNum>
  <w:abstractNum w:abstractNumId="98">
    <w:nsid w:val="7C58FD05"/>
    <w:multiLevelType w:val="hybridMultilevel"/>
    <w:lvl w:ilvl="0">
      <w:lvlJc w:val="left"/>
      <w:lvlText w:val="%1."/>
      <w:numFmt w:val="decimal"/>
      <w:start w:val="5"/>
    </w:lvl>
  </w:abstractNum>
  <w:abstractNum w:abstractNumId="99">
    <w:nsid w:val="23D86AAC"/>
    <w:multiLevelType w:val="hybridMultilevel"/>
    <w:lvl w:ilvl="0">
      <w:lvlJc w:val="left"/>
      <w:lvlText w:val="%1."/>
      <w:numFmt w:val="decimal"/>
      <w:start w:val="6"/>
    </w:lvl>
  </w:abstractNum>
  <w:abstractNum w:abstractNumId="100">
    <w:nsid w:val="45E6D486"/>
    <w:multiLevelType w:val="hybridMultilevel"/>
    <w:lvl w:ilvl="0">
      <w:lvlJc w:val="left"/>
      <w:lvlText w:val="%1."/>
      <w:numFmt w:val="decimal"/>
      <w:start w:val="8"/>
    </w:lvl>
  </w:abstractNum>
  <w:abstractNum w:abstractNumId="101">
    <w:nsid w:val="5C10FE21"/>
    <w:multiLevelType w:val="hybridMultilevel"/>
    <w:lvl w:ilvl="0">
      <w:lvlJc w:val="left"/>
      <w:lvlText w:val="%1."/>
      <w:numFmt w:val="decimal"/>
      <w:start w:val="9"/>
    </w:lvl>
  </w:abstractNum>
  <w:abstractNum w:abstractNumId="102">
    <w:nsid w:val="E7FFA2B"/>
    <w:multiLevelType w:val="hybridMultilevel"/>
    <w:lvl w:ilvl="0">
      <w:lvlJc w:val="left"/>
      <w:lvlText w:val="●"/>
      <w:numFmt w:val="bullet"/>
      <w:start w:val="1"/>
    </w:lvl>
  </w:abstractNum>
  <w:abstractNum w:abstractNumId="103">
    <w:nsid w:val="3C5991AA"/>
    <w:multiLevelType w:val="hybridMultilevel"/>
    <w:lvl w:ilvl="0">
      <w:lvlJc w:val="left"/>
      <w:lvlText w:val="●"/>
      <w:numFmt w:val="bullet"/>
      <w:start w:val="1"/>
    </w:lvl>
  </w:abstractNum>
  <w:abstractNum w:abstractNumId="104">
    <w:nsid w:val="4BD8591A"/>
    <w:multiLevelType w:val="hybridMultilevel"/>
    <w:lvl w:ilvl="0">
      <w:lvlJc w:val="left"/>
      <w:lvlText w:val="●"/>
      <w:numFmt w:val="bullet"/>
      <w:start w:val="1"/>
    </w:lvl>
    <w:lvl w:ilvl="1">
      <w:lvlJc w:val="left"/>
      <w:lvlText w:val="●"/>
      <w:numFmt w:val="bullet"/>
      <w:start w:val="1"/>
    </w:lvl>
  </w:abstractNum>
  <w:abstractNum w:abstractNumId="105">
    <w:nsid w:val="78DF6A55"/>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06">
    <w:nsid w:val="39B7AAA2"/>
    <w:multiLevelType w:val="hybridMultilevel"/>
    <w:lvl w:ilvl="0">
      <w:lvlJc w:val="left"/>
      <w:lvlText w:val="1"/>
      <w:numFmt w:val="bullet"/>
      <w:start w:val="1"/>
    </w:lvl>
  </w:abstractNum>
  <w:abstractNum w:abstractNumId="107">
    <w:nsid w:val="2B0D8DBE"/>
    <w:multiLevelType w:val="hybridMultilevel"/>
    <w:lvl w:ilvl="0">
      <w:lvlJc w:val="left"/>
      <w:lvlText w:val="2"/>
      <w:numFmt w:val="bullet"/>
      <w:start w:val="1"/>
    </w:lvl>
    <w:lvl w:ilvl="1">
      <w:lvlJc w:val="left"/>
      <w:lvlText w:val="●"/>
      <w:numFmt w:val="bullet"/>
      <w:start w:val="1"/>
    </w:lvl>
  </w:abstractNum>
  <w:abstractNum w:abstractNumId="108">
    <w:nsid w:val="6C80EC70"/>
    <w:multiLevelType w:val="hybridMultilevel"/>
    <w:lvl w:ilvl="0">
      <w:lvlJc w:val="left"/>
      <w:lvlText w:val="1"/>
      <w:numFmt w:val="bullet"/>
      <w:start w:val="1"/>
    </w:lvl>
  </w:abstractNum>
  <w:abstractNum w:abstractNumId="109">
    <w:nsid w:val="379E21B5"/>
    <w:multiLevelType w:val="hybridMultilevel"/>
    <w:lvl w:ilvl="0">
      <w:lvlJc w:val="left"/>
      <w:lvlText w:val="2"/>
      <w:numFmt w:val="bullet"/>
      <w:start w:val="1"/>
    </w:lvl>
    <w:lvl w:ilvl="1">
      <w:lvlJc w:val="left"/>
      <w:lvlText w:val="●"/>
      <w:numFmt w:val="bullet"/>
      <w:start w:val="1"/>
    </w:lvl>
  </w:abstractNum>
  <w:abstractNum w:abstractNumId="110">
    <w:nsid w:val="69E373"/>
    <w:multiLevelType w:val="hybridMultilevel"/>
    <w:lvl w:ilvl="0">
      <w:lvlJc w:val="left"/>
      <w:lvlText w:val="2"/>
      <w:numFmt w:val="bullet"/>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1"/>
      <w:numFmt w:val="bullet"/>
      <w:start w:val="1"/>
    </w:lvl>
  </w:abstractNum>
  <w:abstractNum w:abstractNumId="113">
    <w:nsid w:val="6AA7B75C"/>
    <w:multiLevelType w:val="hybridMultilevel"/>
    <w:lvl w:ilvl="0">
      <w:lvlJc w:val="left"/>
      <w:lvlText w:val="2"/>
      <w:numFmt w:val="bullet"/>
      <w:start w:val="1"/>
    </w:lvl>
  </w:abstractNum>
  <w:abstractNum w:abstractNumId="114">
    <w:nsid w:val="1DF029D3"/>
    <w:multiLevelType w:val="hybridMultilevel"/>
    <w:lvl w:ilvl="0">
      <w:lvlJc w:val="left"/>
      <w:lvlText w:val="●"/>
      <w:numFmt w:val="bullet"/>
      <w:start w:val="1"/>
    </w:lvl>
  </w:abstractNum>
  <w:abstractNum w:abstractNumId="115">
    <w:nsid w:val="5675FF36"/>
    <w:multiLevelType w:val="hybridMultilevel"/>
    <w:lvl w:ilvl="0">
      <w:lvlJc w:val="left"/>
      <w:lvlText w:val="●"/>
      <w:numFmt w:val="bullet"/>
      <w:start w:val="1"/>
    </w:lvl>
  </w:abstractNum>
  <w:abstractNum w:abstractNumId="116">
    <w:nsid w:val="3DD15094"/>
    <w:multiLevelType w:val="hybridMultilevel"/>
    <w:lvl w:ilvl="0">
      <w:lvlJc w:val="left"/>
      <w:lvlText w:val="●"/>
      <w:numFmt w:val="bullet"/>
      <w:start w:val="1"/>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
      <w:numFmt w:val="bullet"/>
      <w:start w:val="1"/>
    </w:lvl>
  </w:abstractNum>
  <w:abstractNum w:abstractNumId="120">
    <w:nsid w:val="175DFCF0"/>
    <w:multiLevelType w:val="hybridMultilevel"/>
    <w:lvl w:ilvl="0">
      <w:lvlJc w:val="left"/>
      <w:lvlText w:val="●"/>
      <w:numFmt w:val="bullet"/>
      <w:start w:val="1"/>
    </w:lvl>
  </w:abstractNum>
  <w:abstractNum w:abstractNumId="121">
    <w:nsid w:val="4F97E3E4"/>
    <w:multiLevelType w:val="hybridMultilevel"/>
    <w:lvl w:ilvl="0">
      <w:lvlJc w:val="left"/>
      <w:lvlText w:val=" "/>
      <w:numFmt w:val="bullet"/>
      <w:start w:val="1"/>
    </w:lvl>
  </w:abstractNum>
  <w:abstractNum w:abstractNumId="122">
    <w:nsid w:val="53B0A9E"/>
    <w:multiLevelType w:val="hybridMultilevel"/>
    <w:lvl w:ilvl="0">
      <w:lvlJc w:val="left"/>
      <w:lvlText w:val=" "/>
      <w:numFmt w:val="bullet"/>
      <w:start w:val="1"/>
    </w:lvl>
    <w:lvl w:ilvl="1">
      <w:lvlJc w:val="left"/>
      <w:lvlText w:val=" "/>
      <w:numFmt w:val="bullet"/>
      <w:start w:val="1"/>
    </w:lvl>
    <w:lvl w:ilvl="2">
      <w:lvlJc w:val="left"/>
      <w:lvlText w:val="o"/>
      <w:numFmt w:val="bullet"/>
      <w:start w:val="1"/>
    </w:lvl>
  </w:abstractNum>
  <w:abstractNum w:abstractNumId="123">
    <w:nsid w:val="34FD6B4F"/>
    <w:multiLevelType w:val="hybridMultilevel"/>
    <w:lvl w:ilvl="0">
      <w:lvlJc w:val="left"/>
      <w:lvlText w:val=" "/>
      <w:numFmt w:val="bullet"/>
      <w:start w:val="1"/>
    </w:lvl>
  </w:abstractNum>
  <w:abstractNum w:abstractNumId="124">
    <w:nsid w:val="5915FF32"/>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7" Type="http://schemas.openxmlformats.org/officeDocument/2006/relationships/hyperlink" Target="https://www.sec.gov/Archives/edgar/data/1651625/000095010324010895/dp215008_ex0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2024-08-06T06:27:50Z</dcterms:created>
  <dcterms:modified xsi:type="dcterms:W3CDTF">2024-08-06T06:27:50Z</dcterms:modified>
</cp:coreProperties>
</file>