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FILED PURSUANT TO RULES 13d-1 (b),</w:t>
      </w:r>
    </w:p>
    <w:p>
      <w:pPr>
        <w:spacing w:after="0" w:line="14" w:lineRule="exact"/>
        <w:rPr>
          <w:sz w:val="24"/>
          <w:szCs w:val="24"/>
          <w:color w:val="auto"/>
        </w:rPr>
      </w:pPr>
    </w:p>
    <w:p>
      <w:pPr>
        <w:ind w:left="4720" w:right="1900" w:hanging="2784"/>
        <w:spacing w:after="0" w:line="237" w:lineRule="auto"/>
        <w:tabs>
          <w:tab w:leader="none" w:pos="2227"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AND (d) AND AMENDMENTS THERETO FILED PURSUANT TO 13d-2 (b)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302260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AC IMMUNE SA</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nominal value CHF 0.02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H00263105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1"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56"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w:t>
      </w:r>
    </w:p>
    <w:p>
      <w:pPr>
        <w:spacing w:after="0" w:line="46" w:lineRule="exact"/>
        <w:rPr>
          <w:sz w:val="24"/>
          <w:szCs w:val="24"/>
          <w:color w:val="auto"/>
        </w:rPr>
      </w:pPr>
    </w:p>
    <w:p>
      <w:pPr>
        <w:ind w:right="36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2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dievini Hopp BioTech holding GmbH &amp; Co. KG</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3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DH-Capital GmbH &amp; Co. KG</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4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OH Beteiligungen GmbH &amp; Co. KG</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5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Dietmar Hopp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18,041,000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6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Oliver Hopp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18,041,000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7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Daniel Hopp</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157"/>
        </w:trPr>
        <w:tc>
          <w:tcPr>
            <w:tcW w:w="1140" w:type="dxa"/>
            <w:vAlign w:val="bottom"/>
            <w:tcBorders>
              <w:right w:val="single" w:sz="8" w:color="auto"/>
            </w:tcBorders>
            <w:gridSpan w:val="3"/>
            <w:vMerge w:val="continue"/>
          </w:tcPr>
          <w:p>
            <w:pPr>
              <w:spacing w:after="0"/>
              <w:rPr>
                <w:sz w:val="13"/>
                <w:szCs w:val="13"/>
                <w:color w:val="auto"/>
              </w:rPr>
            </w:pPr>
          </w:p>
        </w:tc>
        <w:tc>
          <w:tcPr>
            <w:tcW w:w="30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color w:val="auto"/>
              </w:rPr>
              <w:t>6.</w:t>
            </w:r>
          </w:p>
        </w:tc>
        <w:tc>
          <w:tcPr>
            <w:tcW w:w="1000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21"/>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10"/>
                <w:szCs w:val="10"/>
                <w:color w:val="auto"/>
              </w:rPr>
            </w:pPr>
          </w:p>
        </w:tc>
        <w:tc>
          <w:tcPr>
            <w:tcW w:w="10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40" w:type="dxa"/>
            <w:vAlign w:val="bottom"/>
            <w:tcBorders>
              <w:right w:val="single" w:sz="8" w:color="auto"/>
            </w:tcBorders>
            <w:gridSpan w:val="3"/>
            <w:vMerge w:val="continue"/>
          </w:tcPr>
          <w:p>
            <w:pPr>
              <w:spacing w:after="0"/>
              <w:rPr>
                <w:sz w:val="6"/>
                <w:szCs w:val="6"/>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vMerge w:val="continue"/>
          </w:tcPr>
          <w:p>
            <w:pPr>
              <w:spacing w:after="0"/>
              <w:rPr>
                <w:sz w:val="13"/>
                <w:szCs w:val="13"/>
                <w:color w:val="auto"/>
              </w:rPr>
            </w:pPr>
          </w:p>
        </w:tc>
        <w:tc>
          <w:tcPr>
            <w:tcW w:w="10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0 common shares</w:t>
            </w:r>
          </w:p>
        </w:tc>
        <w:tc>
          <w:tcPr>
            <w:tcW w:w="0" w:type="dxa"/>
            <w:vAlign w:val="bottom"/>
          </w:tcPr>
          <w:p>
            <w:pPr>
              <w:spacing w:after="0"/>
              <w:rPr>
                <w:sz w:val="1"/>
                <w:szCs w:val="1"/>
                <w:color w:val="auto"/>
              </w:rPr>
            </w:pPr>
          </w:p>
        </w:tc>
      </w:tr>
      <w:tr>
        <w:trPr>
          <w:trHeight w:val="203"/>
        </w:trPr>
        <w:tc>
          <w:tcPr>
            <w:tcW w:w="1140" w:type="dxa"/>
            <w:vAlign w:val="bottom"/>
            <w:tcBorders>
              <w:right w:val="single" w:sz="8" w:color="auto"/>
            </w:tcBorders>
            <w:gridSpan w:val="3"/>
          </w:tcPr>
          <w:p>
            <w:pPr>
              <w:jc w:val="center"/>
              <w:ind w:left="50"/>
              <w:spacing w:after="0" w:line="203" w:lineRule="exact"/>
              <w:rPr>
                <w:sz w:val="20"/>
                <w:szCs w:val="20"/>
                <w:color w:val="auto"/>
              </w:rPr>
            </w:pPr>
            <w:r>
              <w:rPr>
                <w:rFonts w:ascii="Arial" w:cs="Arial" w:eastAsia="Arial" w:hAnsi="Arial"/>
                <w:sz w:val="18"/>
                <w:szCs w:val="18"/>
                <w:color w:val="auto"/>
                <w:w w:val="89"/>
              </w:rPr>
              <w:t>Person With:</w:t>
            </w:r>
          </w:p>
        </w:tc>
        <w:tc>
          <w:tcPr>
            <w:tcW w:w="300" w:type="dxa"/>
            <w:vAlign w:val="bottom"/>
            <w:tcBorders>
              <w:bottom w:val="single" w:sz="8" w:color="auto"/>
              <w:right w:val="single" w:sz="8" w:color="auto"/>
            </w:tcBorders>
          </w:tcPr>
          <w:p>
            <w:pPr>
              <w:spacing w:after="0"/>
              <w:rPr>
                <w:sz w:val="17"/>
                <w:szCs w:val="17"/>
                <w:color w:val="auto"/>
              </w:rPr>
            </w:pPr>
          </w:p>
        </w:tc>
        <w:tc>
          <w:tcPr>
            <w:tcW w:w="10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18,041,000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32.0%</w:t>
            </w:r>
            <w:r>
              <w:rPr>
                <w:rFonts w:ascii="Arial" w:cs="Arial" w:eastAsia="Arial" w:hAnsi="Arial"/>
                <w:sz w:val="18"/>
                <w:szCs w:val="18"/>
                <w:color w:val="auto"/>
              </w:rPr>
              <w:t>(3)</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200" w:hanging="452"/>
        <w:spacing w:after="0" w:line="253"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8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Prof. Dr. Friedrich von Bohlen und Halbach</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78,750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7"/>
        </w:trPr>
        <w:tc>
          <w:tcPr>
            <w:tcW w:w="1140" w:type="dxa"/>
            <w:vAlign w:val="bottom"/>
            <w:tcBorders>
              <w:right w:val="single" w:sz="8" w:color="auto"/>
            </w:tcBorders>
            <w:gridSpan w:val="3"/>
            <w:vMerge w:val="continue"/>
          </w:tcPr>
          <w:p>
            <w:pPr>
              <w:spacing w:after="0"/>
              <w:rPr>
                <w:sz w:val="13"/>
                <w:szCs w:val="13"/>
                <w:color w:val="auto"/>
              </w:rPr>
            </w:pPr>
          </w:p>
        </w:tc>
        <w:tc>
          <w:tcPr>
            <w:tcW w:w="30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8"/>
                <w:szCs w:val="18"/>
                <w:color w:val="auto"/>
              </w:rPr>
              <w:t>6.</w:t>
            </w:r>
          </w:p>
        </w:tc>
        <w:tc>
          <w:tcPr>
            <w:tcW w:w="10000" w:type="dxa"/>
            <w:vAlign w:val="bottom"/>
          </w:tcPr>
          <w:p>
            <w:pPr>
              <w:ind w:left="100"/>
              <w:spacing w:after="0" w:line="157"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00" w:type="dxa"/>
            <w:vAlign w:val="bottom"/>
          </w:tcPr>
          <w:p>
            <w:pPr>
              <w:spacing w:after="0"/>
              <w:rPr>
                <w:sz w:val="18"/>
                <w:szCs w:val="18"/>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18,041,000 common shares</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21"/>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10"/>
                <w:szCs w:val="10"/>
                <w:color w:val="auto"/>
              </w:rPr>
            </w:pPr>
          </w:p>
        </w:tc>
        <w:tc>
          <w:tcPr>
            <w:tcW w:w="100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140" w:type="dxa"/>
            <w:vAlign w:val="bottom"/>
            <w:tcBorders>
              <w:right w:val="single" w:sz="8" w:color="auto"/>
            </w:tcBorders>
            <w:gridSpan w:val="3"/>
            <w:vMerge w:val="continue"/>
          </w:tcPr>
          <w:p>
            <w:pPr>
              <w:spacing w:after="0"/>
              <w:rPr>
                <w:sz w:val="6"/>
                <w:szCs w:val="6"/>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7.</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vMerge w:val="continue"/>
          </w:tcPr>
          <w:p>
            <w:pPr>
              <w:spacing w:after="0"/>
              <w:rPr>
                <w:sz w:val="13"/>
                <w:szCs w:val="13"/>
                <w:color w:val="auto"/>
              </w:rPr>
            </w:pPr>
          </w:p>
        </w:tc>
        <w:tc>
          <w:tcPr>
            <w:tcW w:w="10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78,750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140" w:type="dxa"/>
            <w:vAlign w:val="bottom"/>
            <w:tcBorders>
              <w:right w:val="single" w:sz="8" w:color="auto"/>
            </w:tcBorders>
            <w:gridSpan w:val="3"/>
          </w:tcPr>
          <w:p>
            <w:pPr>
              <w:jc w:val="center"/>
              <w:ind w:left="50"/>
              <w:spacing w:after="0" w:line="203" w:lineRule="exact"/>
              <w:rPr>
                <w:sz w:val="20"/>
                <w:szCs w:val="20"/>
                <w:color w:val="auto"/>
              </w:rPr>
            </w:pPr>
            <w:r>
              <w:rPr>
                <w:rFonts w:ascii="Arial" w:cs="Arial" w:eastAsia="Arial" w:hAnsi="Arial"/>
                <w:sz w:val="18"/>
                <w:szCs w:val="18"/>
                <w:color w:val="auto"/>
                <w:w w:val="89"/>
              </w:rPr>
              <w:t>Person With:</w:t>
            </w:r>
          </w:p>
        </w:tc>
        <w:tc>
          <w:tcPr>
            <w:tcW w:w="300" w:type="dxa"/>
            <w:vAlign w:val="bottom"/>
            <w:tcBorders>
              <w:bottom w:val="single" w:sz="8" w:color="auto"/>
              <w:right w:val="single" w:sz="8" w:color="auto"/>
            </w:tcBorders>
          </w:tcPr>
          <w:p>
            <w:pPr>
              <w:spacing w:after="0"/>
              <w:rPr>
                <w:sz w:val="17"/>
                <w:szCs w:val="17"/>
                <w:color w:val="auto"/>
              </w:rPr>
            </w:pPr>
          </w:p>
        </w:tc>
        <w:tc>
          <w:tcPr>
            <w:tcW w:w="10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18,119,750 common shares</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32.2%</w:t>
            </w:r>
            <w:r>
              <w:rPr>
                <w:rFonts w:ascii="Arial" w:cs="Arial" w:eastAsia="Arial" w:hAnsi="Arial"/>
                <w:sz w:val="18"/>
                <w:szCs w:val="18"/>
                <w:color w:val="auto"/>
              </w:rPr>
              <w:t>(5)</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directly by Dr. von Bohlen through his personal accounts, of which he has sole voting and dispositive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340" w:hanging="452"/>
        <w:spacing w:after="0" w:line="265"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(i) 78,750 common shares held directly by Dr. von Bohlen, of which he has sole voting and dispositive power and (ii) 18,041,000 common shares held of record by dievini, of which Dr. von Bohlen shares voting and dispositive power as a managing director of dievini.</w:t>
      </w:r>
    </w:p>
    <w:p>
      <w:pPr>
        <w:ind w:left="460" w:right="20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60"/>
              <w:spacing w:after="0"/>
              <w:rPr>
                <w:sz w:val="20"/>
                <w:szCs w:val="20"/>
                <w:color w:val="auto"/>
              </w:rPr>
            </w:pPr>
            <w:r>
              <w:rPr>
                <w:rFonts w:ascii="Arial" w:cs="Arial" w:eastAsia="Arial" w:hAnsi="Arial"/>
                <w:sz w:val="18"/>
                <w:szCs w:val="18"/>
                <w:color w:val="auto"/>
              </w:rPr>
              <w:t>Page 9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Prof. Dr. Christof Hettich</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174,750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174,750 common shares</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 xml:space="preserve">18,215,750 common shares </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32.4%</w:t>
            </w:r>
            <w:r>
              <w:rPr>
                <w:rFonts w:ascii="Arial" w:cs="Arial" w:eastAsia="Arial" w:hAnsi="Arial"/>
                <w:sz w:val="18"/>
                <w:szCs w:val="18"/>
                <w:color w:val="auto"/>
              </w:rPr>
              <w:t>(5)</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held directly by Dr. Hettich through his personal accounts, of which he has sole voting and dispositive power.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(i) 174,750 common shares held directly by Dr. Hettich, of which he has sole voting and dispositive power and (ii) 18,041,000 common shares held of record by dievini, of which Dr. Hettich shares voting and dispositive power as a managing director of dievini.</w:t>
      </w:r>
    </w:p>
    <w:p>
      <w:pPr>
        <w:ind w:left="460" w:right="20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ectPr>
          <w:pgSz w:w="11900" w:h="16838" w:orient="portrait"/>
          <w:cols w:equalWidth="0" w:num="1">
            <w:col w:w="11440"/>
          </w:cols>
          <w:pgMar w:left="240" w:top="268" w:right="21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color w:val="auto"/>
              </w:rPr>
              <w:t>Page 10 of 14 Pages</w:t>
            </w:r>
          </w:p>
        </w:tc>
      </w:tr>
      <w:tr>
        <w:trPr>
          <w:trHeight w:val="142"/>
        </w:trPr>
        <w:tc>
          <w:tcPr>
            <w:tcW w:w="47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224"/>
        </w:trPr>
        <w:tc>
          <w:tcPr>
            <w:tcW w:w="4760" w:type="dxa"/>
            <w:vAlign w:val="bottom"/>
          </w:tcPr>
          <w:p>
            <w:pPr>
              <w:ind w:left="260"/>
              <w:spacing w:after="0"/>
              <w:rPr>
                <w:sz w:val="20"/>
                <w:szCs w:val="20"/>
                <w:color w:val="auto"/>
              </w:rPr>
            </w:pPr>
            <w:r>
              <w:rPr>
                <w:rFonts w:ascii="Arial" w:cs="Arial" w:eastAsia="Arial" w:hAnsi="Arial"/>
                <w:sz w:val="18"/>
                <w:szCs w:val="18"/>
                <w:color w:val="auto"/>
              </w:rPr>
              <w:t>1.  Name of Reporting Persons</w:t>
            </w:r>
          </w:p>
        </w:tc>
        <w:tc>
          <w:tcPr>
            <w:tcW w:w="1720" w:type="dxa"/>
            <w:vAlign w:val="bottom"/>
          </w:tcPr>
          <w:p>
            <w:pPr>
              <w:spacing w:after="0"/>
              <w:rPr>
                <w:sz w:val="19"/>
                <w:szCs w:val="19"/>
                <w:color w:val="auto"/>
              </w:rPr>
            </w:pPr>
          </w:p>
        </w:tc>
        <w:tc>
          <w:tcPr>
            <w:tcW w:w="4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5240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5240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-154305</wp:posOffset>
            </wp:positionV>
            <wp:extent cx="8890" cy="1689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b w:val="1"/>
                <w:bCs w:val="1"/>
                <w:color w:val="auto"/>
              </w:rPr>
              <w:t>Dr. Mathias Hothum</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9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300" w:type="dxa"/>
            <w:vAlign w:val="bottom"/>
            <w:gridSpan w:val="2"/>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98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5"/>
              </w:rPr>
              <w:t>Germany</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4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51,250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8"/>
        </w:trPr>
        <w:tc>
          <w:tcPr>
            <w:tcW w:w="1140" w:type="dxa"/>
            <w:vAlign w:val="bottom"/>
            <w:tcBorders>
              <w:right w:val="single" w:sz="8" w:color="auto"/>
            </w:tcBorders>
            <w:gridSpan w:val="3"/>
            <w:vMerge w:val="continue"/>
          </w:tcPr>
          <w:p>
            <w:pPr>
              <w:spacing w:after="0"/>
              <w:rPr>
                <w:sz w:val="4"/>
                <w:szCs w:val="4"/>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84"/>
              </w:rPr>
              <w:t>Shares</w:t>
            </w:r>
          </w:p>
        </w:tc>
        <w:tc>
          <w:tcPr>
            <w:tcW w:w="300" w:type="dxa"/>
            <w:vAlign w:val="bottom"/>
            <w:tcBorders>
              <w:right w:val="single" w:sz="8" w:color="auto"/>
            </w:tcBorders>
            <w:vMerge w:val="continue"/>
          </w:tcPr>
          <w:p>
            <w:pPr>
              <w:spacing w:after="0"/>
              <w:rPr>
                <w:sz w:val="15"/>
                <w:szCs w:val="15"/>
                <w:color w:val="auto"/>
              </w:rPr>
            </w:pPr>
          </w:p>
        </w:tc>
        <w:tc>
          <w:tcPr>
            <w:tcW w:w="10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00" w:type="dxa"/>
            <w:vAlign w:val="bottom"/>
          </w:tcPr>
          <w:p>
            <w:pPr>
              <w:spacing w:after="0"/>
              <w:rPr>
                <w:sz w:val="3"/>
                <w:szCs w:val="3"/>
                <w:color w:val="auto"/>
              </w:rPr>
            </w:pPr>
          </w:p>
        </w:tc>
        <w:tc>
          <w:tcPr>
            <w:tcW w:w="740" w:type="dxa"/>
            <w:vAlign w:val="bottom"/>
            <w:tcBorders>
              <w:right w:val="single" w:sz="8" w:color="auto"/>
            </w:tcBorders>
            <w:gridSpan w:val="2"/>
            <w:vMerge w:val="continue"/>
          </w:tcPr>
          <w:p>
            <w:pPr>
              <w:spacing w:after="0"/>
              <w:rPr>
                <w:sz w:val="3"/>
                <w:szCs w:val="3"/>
                <w:color w:val="auto"/>
              </w:rPr>
            </w:pPr>
          </w:p>
        </w:tc>
        <w:tc>
          <w:tcPr>
            <w:tcW w:w="300" w:type="dxa"/>
            <w:vAlign w:val="bottom"/>
            <w:tcBorders>
              <w:right w:val="single" w:sz="8" w:color="auto"/>
            </w:tcBorders>
          </w:tcPr>
          <w:p>
            <w:pPr>
              <w:spacing w:after="0"/>
              <w:rPr>
                <w:sz w:val="3"/>
                <w:szCs w:val="3"/>
                <w:color w:val="auto"/>
              </w:rPr>
            </w:pPr>
          </w:p>
        </w:tc>
        <w:tc>
          <w:tcPr>
            <w:tcW w:w="10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Beneficially</w:t>
            </w:r>
          </w:p>
        </w:tc>
        <w:tc>
          <w:tcPr>
            <w:tcW w:w="300" w:type="dxa"/>
            <w:vAlign w:val="bottom"/>
            <w:tcBorders>
              <w:right w:val="single" w:sz="8" w:color="auto"/>
            </w:tcBorders>
          </w:tcPr>
          <w:p>
            <w:pPr>
              <w:spacing w:after="0"/>
              <w:rPr>
                <w:sz w:val="18"/>
                <w:szCs w:val="18"/>
                <w:color w:val="auto"/>
              </w:rPr>
            </w:pPr>
          </w:p>
        </w:tc>
        <w:tc>
          <w:tcPr>
            <w:tcW w:w="10000" w:type="dxa"/>
            <w:vAlign w:val="bottom"/>
            <w:vMerge w:val="restart"/>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Owned by</w:t>
            </w:r>
          </w:p>
        </w:tc>
        <w:tc>
          <w:tcPr>
            <w:tcW w:w="300" w:type="dxa"/>
            <w:vAlign w:val="bottom"/>
            <w:tcBorders>
              <w:bottom w:val="single" w:sz="8" w:color="auto"/>
              <w:right w:val="single" w:sz="8" w:color="auto"/>
            </w:tcBorders>
          </w:tcPr>
          <w:p>
            <w:pPr>
              <w:spacing w:after="0"/>
              <w:rPr>
                <w:sz w:val="20"/>
                <w:szCs w:val="20"/>
                <w:color w:val="auto"/>
              </w:rPr>
            </w:pPr>
          </w:p>
        </w:tc>
        <w:tc>
          <w:tcPr>
            <w:tcW w:w="10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right w:val="single" w:sz="8" w:color="auto"/>
            </w:tcBorders>
          </w:tcPr>
          <w:p>
            <w:pPr>
              <w:jc w:val="center"/>
              <w:ind w:right="224"/>
              <w:spacing w:after="0" w:line="182" w:lineRule="exact"/>
              <w:rPr>
                <w:sz w:val="20"/>
                <w:szCs w:val="20"/>
                <w:color w:val="auto"/>
              </w:rPr>
            </w:pPr>
            <w:r>
              <w:rPr>
                <w:rFonts w:ascii="Arial" w:cs="Arial" w:eastAsia="Arial" w:hAnsi="Arial"/>
                <w:sz w:val="18"/>
                <w:szCs w:val="18"/>
                <w:color w:val="auto"/>
                <w:w w:val="87"/>
              </w:rPr>
              <w:t>Each</w:t>
            </w:r>
          </w:p>
        </w:tc>
        <w:tc>
          <w:tcPr>
            <w:tcW w:w="3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1000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300" w:type="dxa"/>
            <w:vAlign w:val="bottom"/>
            <w:tcBorders>
              <w:right w:val="single" w:sz="8" w:color="auto"/>
            </w:tcBorders>
          </w:tcPr>
          <w:p>
            <w:pPr>
              <w:spacing w:after="0"/>
              <w:rPr>
                <w:sz w:val="18"/>
                <w:szCs w:val="18"/>
                <w:color w:val="auto"/>
              </w:rPr>
            </w:pPr>
          </w:p>
        </w:tc>
        <w:tc>
          <w:tcPr>
            <w:tcW w:w="10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740" w:type="dxa"/>
            <w:vAlign w:val="bottom"/>
            <w:tcBorders>
              <w:right w:val="single" w:sz="8" w:color="auto"/>
            </w:tcBorders>
            <w:gridSpan w:val="2"/>
          </w:tcPr>
          <w:p>
            <w:pPr>
              <w:jc w:val="center"/>
              <w:ind w:right="164"/>
              <w:spacing w:after="0"/>
              <w:rPr>
                <w:sz w:val="20"/>
                <w:szCs w:val="20"/>
                <w:color w:val="auto"/>
              </w:rPr>
            </w:pPr>
            <w:r>
              <w:rPr>
                <w:rFonts w:ascii="Arial" w:cs="Arial" w:eastAsia="Arial" w:hAnsi="Arial"/>
                <w:sz w:val="18"/>
                <w:szCs w:val="18"/>
                <w:color w:val="auto"/>
                <w:w w:val="84"/>
              </w:rPr>
              <w:t>Person</w:t>
            </w:r>
          </w:p>
        </w:tc>
        <w:tc>
          <w:tcPr>
            <w:tcW w:w="300" w:type="dxa"/>
            <w:vAlign w:val="bottom"/>
            <w:tcBorders>
              <w:right w:val="single" w:sz="8" w:color="auto"/>
            </w:tcBorders>
          </w:tcPr>
          <w:p>
            <w:pPr>
              <w:spacing w:after="0"/>
              <w:rPr>
                <w:sz w:val="21"/>
                <w:szCs w:val="21"/>
                <w:color w:val="auto"/>
              </w:rPr>
            </w:pPr>
          </w:p>
        </w:tc>
        <w:tc>
          <w:tcPr>
            <w:tcW w:w="10000" w:type="dxa"/>
            <w:vAlign w:val="bottom"/>
          </w:tcPr>
          <w:p>
            <w:pPr>
              <w:ind w:left="100"/>
              <w:spacing w:after="0" w:line="244" w:lineRule="exact"/>
              <w:rPr>
                <w:sz w:val="20"/>
                <w:szCs w:val="20"/>
                <w:color w:val="auto"/>
              </w:rPr>
            </w:pPr>
            <w:r>
              <w:rPr>
                <w:rFonts w:ascii="Arial" w:cs="Arial" w:eastAsia="Arial" w:hAnsi="Arial"/>
                <w:sz w:val="22"/>
                <w:szCs w:val="22"/>
                <w:color w:val="auto"/>
              </w:rPr>
              <w:t xml:space="preserve">51,250 common shares </w:t>
            </w: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8"/>
        </w:trPr>
        <w:tc>
          <w:tcPr>
            <w:tcW w:w="400" w:type="dxa"/>
            <w:vAlign w:val="bottom"/>
          </w:tcPr>
          <w:p>
            <w:pPr>
              <w:spacing w:after="0"/>
              <w:rPr>
                <w:sz w:val="5"/>
                <w:szCs w:val="5"/>
                <w:color w:val="auto"/>
              </w:rPr>
            </w:pPr>
          </w:p>
        </w:tc>
        <w:tc>
          <w:tcPr>
            <w:tcW w:w="740" w:type="dxa"/>
            <w:vAlign w:val="bottom"/>
            <w:tcBorders>
              <w:right w:val="single" w:sz="8" w:color="auto"/>
            </w:tcBorders>
            <w:gridSpan w:val="2"/>
            <w:vMerge w:val="restart"/>
          </w:tcPr>
          <w:p>
            <w:pPr>
              <w:jc w:val="center"/>
              <w:ind w:right="164"/>
              <w:spacing w:after="0"/>
              <w:rPr>
                <w:sz w:val="20"/>
                <w:szCs w:val="20"/>
                <w:color w:val="auto"/>
              </w:rPr>
            </w:pPr>
            <w:r>
              <w:rPr>
                <w:rFonts w:ascii="Arial" w:cs="Arial" w:eastAsia="Arial" w:hAnsi="Arial"/>
                <w:sz w:val="18"/>
                <w:szCs w:val="18"/>
                <w:color w:val="auto"/>
                <w:w w:val="97"/>
              </w:rPr>
              <w:t>With:</w:t>
            </w:r>
          </w:p>
        </w:tc>
        <w:tc>
          <w:tcPr>
            <w:tcW w:w="300" w:type="dxa"/>
            <w:vAlign w:val="bottom"/>
            <w:tcBorders>
              <w:bottom w:val="single" w:sz="8" w:color="auto"/>
              <w:right w:val="single" w:sz="8" w:color="auto"/>
            </w:tcBorders>
          </w:tcPr>
          <w:p>
            <w:pPr>
              <w:spacing w:after="0"/>
              <w:rPr>
                <w:sz w:val="5"/>
                <w:szCs w:val="5"/>
                <w:color w:val="auto"/>
              </w:rPr>
            </w:pPr>
          </w:p>
        </w:tc>
        <w:tc>
          <w:tcPr>
            <w:tcW w:w="10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 w:type="dxa"/>
            <w:vAlign w:val="bottom"/>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1000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vMerge w:val="continue"/>
          </w:tcPr>
          <w:p>
            <w:pPr>
              <w:spacing w:after="0"/>
              <w:rPr>
                <w:sz w:val="7"/>
                <w:szCs w:val="7"/>
                <w:color w:val="auto"/>
              </w:rPr>
            </w:pPr>
          </w:p>
        </w:tc>
        <w:tc>
          <w:tcPr>
            <w:tcW w:w="10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0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 xml:space="preserve">18,041,000 common shares </w:t>
            </w: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Aggregate</w:t>
            </w:r>
          </w:p>
        </w:tc>
        <w:tc>
          <w:tcPr>
            <w:tcW w:w="1000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9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 xml:space="preserve">18,092,250 common shares </w:t>
            </w: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460" w:type="dxa"/>
            <w:vAlign w:val="bottom"/>
            <w:tcBorders>
              <w:bottom w:val="single" w:sz="8" w:color="auto"/>
              <w:right w:val="single" w:sz="8" w:color="auto"/>
            </w:tcBorders>
            <w:gridSpan w:val="2"/>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32.1%</w:t>
            </w:r>
            <w:r>
              <w:rPr>
                <w:rFonts w:ascii="Arial" w:cs="Arial" w:eastAsia="Arial" w:hAnsi="Arial"/>
                <w:sz w:val="18"/>
                <w:szCs w:val="18"/>
                <w:color w:val="auto"/>
              </w:rPr>
              <w:t>(5)</w:t>
            </w: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9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3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0" w:hanging="452"/>
        <w:spacing w:after="0" w:line="253"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The Reporting Persons expressly disclaim status as a “group” for purposes of this Schedule 13G.</w:t>
      </w:r>
    </w:p>
    <w:p>
      <w:pPr>
        <w:spacing w:after="0" w:line="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(i) 36,500 shares held directly by Dr. Hothum through his personal accounts, of which he has sole voting and dispositive power and (ii) 14,750 common shares issuable upon the exercise of options to purchase common shares that are exercisable within 60 days of December 31, 2016 held by Dr. Hothum.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held of record by dievini.</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(i) 36,500 common shares held directly by Dr. Hothum, of which he has sole voting and dispositive power, (ii) 14,750 common shares issuable upon the exercise of options to purchase common shares that are exercisable within 60 days of December 31, 2016 held by Dr. Hothum and (ii) 18,041,000 common shares held of record by dievini, of which Dr. Hothum shares voting and dispositive power as a managing director of dievini.</w:t>
      </w:r>
    </w:p>
    <w:p>
      <w:pPr>
        <w:spacing w:after="0" w:line="2" w:lineRule="exact"/>
        <w:rPr>
          <w:rFonts w:ascii="Arial" w:cs="Arial" w:eastAsia="Arial" w:hAnsi="Arial"/>
          <w:sz w:val="16"/>
          <w:szCs w:val="16"/>
          <w:color w:val="auto"/>
        </w:rPr>
      </w:pPr>
    </w:p>
    <w:p>
      <w:pPr>
        <w:ind w:left="460" w:right="80" w:hanging="452"/>
        <w:spacing w:after="0" w:line="270"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This percentage is calculated based on (i)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 and (ii) assumes the 14,750 common shares underlying the options to purchase common shares are deemed outstanding pursuant to Rule 13d-3(d)(1)(i).</w:t>
      </w:r>
    </w:p>
    <w:p>
      <w:pPr>
        <w:sectPr>
          <w:pgSz w:w="11900" w:h="16838" w:orient="portrait"/>
          <w:cols w:equalWidth="0" w:num="1">
            <w:col w:w="11440"/>
          </w:cols>
          <w:pgMar w:left="240" w:top="268" w:right="21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820"/>
              <w:spacing w:after="0"/>
              <w:rPr>
                <w:sz w:val="20"/>
                <w:szCs w:val="20"/>
                <w:color w:val="auto"/>
              </w:rPr>
            </w:pPr>
            <w:r>
              <w:rPr>
                <w:rFonts w:ascii="Arial" w:cs="Arial" w:eastAsia="Arial" w:hAnsi="Arial"/>
                <w:sz w:val="18"/>
                <w:szCs w:val="18"/>
                <w:color w:val="auto"/>
              </w:rPr>
              <w:t>Page 11 of 14 Pages</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40"/>
        <w:spacing w:after="0" w:line="302" w:lineRule="auto"/>
        <w:rPr>
          <w:sz w:val="20"/>
          <w:szCs w:val="20"/>
          <w:color w:val="auto"/>
        </w:rPr>
      </w:pPr>
      <w:r>
        <w:rPr>
          <w:rFonts w:ascii="Arial" w:cs="Arial" w:eastAsia="Arial" w:hAnsi="Arial"/>
          <w:sz w:val="16"/>
          <w:szCs w:val="16"/>
          <w:color w:val="auto"/>
        </w:rPr>
        <w:t>Introductory Note: This Schedule 13G is filed by dievini Hopp BioTech holding GmbH &amp; Co. KG (“dievini”), DH-Capital GmbH &amp; Co. KG (“DH-Capital”), OH Beteiligungen GmbH &amp; Co. KG (“OH Beteiligungen”), Dietmar Hopp, Oliver Hopp, Daniel Hopp, Prof. Dr. Friedrich von Bohlen und Halbach (“Dr. von Bohlen”), Prof. Dr. Christof Hettich (“Dr. Hettich”), Dr. Mathias Hothum (“Dr. Hothum” and together with dievini, DH-Capital, OH Beteiligungen, Dietmar Hopp, Oliver Hopp, Daniel Hopp, Dr. von Bohlen and Dr. Hettich, collectively, the “Reporting Persons”) in respect of common shares of AC Immune SA.</w:t>
      </w:r>
    </w:p>
    <w:p>
      <w:pPr>
        <w:spacing w:after="0" w:line="29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 Immune SA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Address of Issuer’s principal executive offices: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EPFL Innovation Park</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1015 Lausanne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Switzerland</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Items 2(a)</w:t>
      </w:r>
      <w:r>
        <w:rPr>
          <w:sz w:val="20"/>
          <w:szCs w:val="20"/>
          <w:color w:val="auto"/>
        </w:rPr>
        <w:tab/>
      </w:r>
      <w:r>
        <w:rPr>
          <w:rFonts w:ascii="Arial" w:cs="Arial" w:eastAsia="Arial" w:hAnsi="Arial"/>
          <w:sz w:val="16"/>
          <w:szCs w:val="16"/>
          <w:b w:val="1"/>
          <w:bCs w:val="1"/>
          <w:color w:val="auto"/>
        </w:rPr>
        <w:t>Name of Reporting Persons filing:</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dievini Hopp BioTech holding GmbH &amp; Co. KG (“dievini”)</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DH-Capital GmbH &amp; Co. KG (“DH-Capital”)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OH Beteiligungen GmbH &amp; Co. KG (“OH Beteiligungen”)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Dietmar Hopp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Oliver Hopp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Daniel Hopp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Prof. Dr. Friedrich von Bohlen und Halbach (“Dr. von Bohlen”)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Prof. Dr. Christof Hettich (“Dr. Hettich”)</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Dr. Mathias Hothum (“Dr. Hothum”)</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121" w:lineRule="exact"/>
        <w:rPr>
          <w:sz w:val="20"/>
          <w:szCs w:val="20"/>
          <w:color w:val="auto"/>
        </w:rPr>
      </w:pPr>
    </w:p>
    <w:p>
      <w:pPr>
        <w:ind w:left="1140" w:right="580"/>
        <w:spacing w:after="0" w:line="277" w:lineRule="auto"/>
        <w:rPr>
          <w:sz w:val="20"/>
          <w:szCs w:val="20"/>
          <w:color w:val="auto"/>
        </w:rPr>
      </w:pPr>
      <w:r>
        <w:rPr>
          <w:rFonts w:ascii="Arial" w:cs="Arial" w:eastAsia="Arial" w:hAnsi="Arial"/>
          <w:sz w:val="18"/>
          <w:szCs w:val="18"/>
          <w:color w:val="auto"/>
        </w:rPr>
        <w:t>The address of the principal business office of dievini, Dietmar Hopp, Dr. von Bohlen, Dr. Hettich and Dr. Hothum is c/o dievini Hopp BioTech holding GmbH &amp; Co. KG, Johann-Jakob-Astor Straße 57, 69190 Walldorf, Germany.</w:t>
      </w:r>
    </w:p>
    <w:p>
      <w:pPr>
        <w:spacing w:after="0" w:line="62"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The address of the principal business office of DH-Capital GmbH &amp; Co. KG and OH Beteiligungen GmbH &amp; Co. KG is Heidelberger Straße 43, 69168 Wiesloch, Germany.</w:t>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address of the principal business office of Oliver Hopp is Johann-Jakob-Astor-Straße 59, 69190 Walldorf, Germany.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address of the principal business office of Daniel Hopp is Johann-Jakob-Astor-Straße 57, 69190 Walldorf, Germany.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780" w:type="dxa"/>
            <w:vAlign w:val="bottom"/>
            <w:gridSpan w:val="3"/>
          </w:tcPr>
          <w:p>
            <w:pPr>
              <w:ind w:left="220"/>
              <w:spacing w:after="0"/>
              <w:rPr>
                <w:sz w:val="20"/>
                <w:szCs w:val="20"/>
                <w:color w:val="auto"/>
              </w:rPr>
            </w:pPr>
            <w:r>
              <w:rPr>
                <w:rFonts w:ascii="Arial" w:cs="Arial" w:eastAsia="Arial" w:hAnsi="Arial"/>
                <w:sz w:val="18"/>
                <w:szCs w:val="18"/>
                <w:b w:val="1"/>
                <w:bCs w:val="1"/>
                <w:color w:val="auto"/>
              </w:rPr>
              <w:t>Citizenship:</w:t>
            </w: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180" w:type="dxa"/>
            <w:vAlign w:val="bottom"/>
          </w:tcPr>
          <w:p>
            <w:pPr>
              <w:spacing w:after="0"/>
              <w:rPr>
                <w:sz w:val="23"/>
                <w:szCs w:val="23"/>
                <w:color w:val="auto"/>
              </w:rPr>
            </w:pPr>
          </w:p>
        </w:tc>
        <w:tc>
          <w:tcPr>
            <w:tcW w:w="2460" w:type="dxa"/>
            <w:vAlign w:val="bottom"/>
            <w:gridSpan w:val="2"/>
          </w:tcPr>
          <w:p>
            <w:pPr>
              <w:ind w:left="220"/>
              <w:spacing w:after="0"/>
              <w:rPr>
                <w:sz w:val="20"/>
                <w:szCs w:val="20"/>
                <w:color w:val="auto"/>
              </w:rPr>
            </w:pPr>
            <w:r>
              <w:rPr>
                <w:rFonts w:ascii="Arial" w:cs="Arial" w:eastAsia="Arial" w:hAnsi="Arial"/>
                <w:sz w:val="14"/>
                <w:szCs w:val="14"/>
                <w:b w:val="1"/>
                <w:bCs w:val="1"/>
                <w:color w:val="auto"/>
                <w:w w:val="92"/>
              </w:rPr>
              <w:t>Citizenship or Place of Organization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spacing w:after="0" w:line="195" w:lineRule="exact"/>
              <w:rPr>
                <w:sz w:val="20"/>
                <w:szCs w:val="20"/>
                <w:color w:val="auto"/>
              </w:rPr>
            </w:pPr>
            <w:r>
              <w:rPr>
                <w:rFonts w:ascii="Arial" w:cs="Arial" w:eastAsia="Arial" w:hAnsi="Arial"/>
                <w:sz w:val="18"/>
                <w:szCs w:val="18"/>
                <w:color w:val="auto"/>
              </w:rPr>
              <w:t>dievini</w:t>
            </w:r>
          </w:p>
        </w:tc>
        <w:tc>
          <w:tcPr>
            <w:tcW w:w="220" w:type="dxa"/>
            <w:vAlign w:val="bottom"/>
            <w:vMerge w:val="continue"/>
          </w:tcPr>
          <w:p>
            <w:pPr>
              <w:spacing w:after="0"/>
              <w:rPr>
                <w:sz w:val="16"/>
                <w:szCs w:val="16"/>
                <w:color w:val="auto"/>
              </w:rPr>
            </w:pPr>
          </w:p>
        </w:tc>
        <w:tc>
          <w:tcPr>
            <w:tcW w:w="2240" w:type="dxa"/>
            <w:vAlign w:val="bottom"/>
          </w:tcPr>
          <w:p>
            <w:pPr>
              <w:spacing w:after="0" w:line="195"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DH-Capital</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OH Beteiligungen</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Dietmar Hopp</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Oliver Hopp</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Daniel Hopp</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Dr. von Bohlen</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Dr. Hettich</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Dr. Hothum</w:t>
            </w:r>
          </w:p>
        </w:tc>
        <w:tc>
          <w:tcPr>
            <w:tcW w:w="2460" w:type="dxa"/>
            <w:vAlign w:val="bottom"/>
            <w:gridSpan w:val="2"/>
          </w:tcPr>
          <w:p>
            <w:pPr>
              <w:ind w:left="2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bl>
    <w:p>
      <w:pPr>
        <w:sectPr>
          <w:pgSz w:w="11900" w:h="16838" w:orient="portrait"/>
          <w:cols w:equalWidth="0" w:num="1">
            <w:col w:w="11440"/>
          </w:cols>
          <w:pgMar w:left="240" w:top="268" w:right="21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color w:val="auto"/>
              </w:rPr>
              <w:t>Page 12 of 14 Pages</w:t>
            </w:r>
          </w:p>
        </w:tc>
      </w:tr>
    </w:tbl>
    <w:p>
      <w:pPr>
        <w:spacing w:after="0" w:line="13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shares, nominal value CHF 0.02 per share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2640" w:type="dxa"/>
            <w:vAlign w:val="bottom"/>
          </w:tcPr>
          <w:p>
            <w:pPr>
              <w:spacing w:after="0"/>
              <w:rPr>
                <w:sz w:val="20"/>
                <w:szCs w:val="20"/>
                <w:color w:val="auto"/>
              </w:rPr>
            </w:pPr>
            <w:r>
              <w:rPr>
                <w:rFonts w:ascii="Arial" w:cs="Arial" w:eastAsia="Arial" w:hAnsi="Arial"/>
                <w:sz w:val="18"/>
                <w:szCs w:val="18"/>
                <w:b w:val="1"/>
                <w:bCs w:val="1"/>
                <w:color w:val="auto"/>
              </w:rPr>
              <w:t>CUSIP No.:</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H00263105</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060" w:type="dxa"/>
            <w:vAlign w:val="bottom"/>
            <w:gridSpan w:val="13"/>
          </w:tcPr>
          <w:p>
            <w:pPr>
              <w:spacing w:after="0"/>
              <w:rPr>
                <w:sz w:val="20"/>
                <w:szCs w:val="20"/>
                <w:color w:val="auto"/>
              </w:rPr>
            </w:pPr>
            <w:r>
              <w:rPr>
                <w:rFonts w:ascii="Arial" w:cs="Arial" w:eastAsia="Arial" w:hAnsi="Arial"/>
                <w:sz w:val="18"/>
                <w:szCs w:val="18"/>
                <w:b w:val="1"/>
                <w:bCs w:val="1"/>
                <w:color w:val="auto"/>
                <w:w w:val="94"/>
              </w:rPr>
              <w:t>If this statement is filed pursuant to §§ 240.13d-1(b), or 240.13d-2(b) or (c), check whether the person filings is a:</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Not applicable.</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640" w:type="dxa"/>
            <w:vAlign w:val="bottom"/>
          </w:tcPr>
          <w:p>
            <w:pPr>
              <w:spacing w:after="0"/>
              <w:rPr>
                <w:sz w:val="20"/>
                <w:szCs w:val="20"/>
                <w:color w:val="auto"/>
              </w:rPr>
            </w:pPr>
            <w:r>
              <w:rPr>
                <w:rFonts w:ascii="Arial" w:cs="Arial" w:eastAsia="Arial" w:hAnsi="Arial"/>
                <w:sz w:val="18"/>
                <w:szCs w:val="18"/>
                <w:b w:val="1"/>
                <w:bCs w:val="1"/>
                <w:color w:val="auto"/>
              </w:rPr>
              <w:t>Ownership</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4"/>
                <w:szCs w:val="24"/>
                <w:color w:val="auto"/>
              </w:rPr>
            </w:pPr>
          </w:p>
        </w:tc>
        <w:tc>
          <w:tcPr>
            <w:tcW w:w="10280" w:type="dxa"/>
            <w:vAlign w:val="bottom"/>
            <w:gridSpan w:val="15"/>
          </w:tcPr>
          <w:p>
            <w:pPr>
              <w:spacing w:after="0"/>
              <w:rPr>
                <w:sz w:val="20"/>
                <w:szCs w:val="20"/>
                <w:color w:val="auto"/>
              </w:rPr>
            </w:pPr>
            <w:r>
              <w:rPr>
                <w:rFonts w:ascii="Arial" w:cs="Arial" w:eastAsia="Arial" w:hAnsi="Arial"/>
                <w:sz w:val="18"/>
                <w:szCs w:val="18"/>
                <w:color w:val="auto"/>
                <w:w w:val="94"/>
              </w:rPr>
              <w:t>The following information with respect to the ownership of common shares of the Issuer by the Reporting Persons filing this statement on</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w w:val="92"/>
              </w:rPr>
              <w:t>Schedule 13G is provided as of December 31, 2016.</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1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Sole Voting</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Shared</w:t>
            </w: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Shared</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Beneficial</w:t>
            </w: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Shares Held</w:t>
            </w:r>
          </w:p>
        </w:tc>
        <w:tc>
          <w:tcPr>
            <w:tcW w:w="940" w:type="dxa"/>
            <w:vAlign w:val="bottom"/>
            <w:gridSpan w:val="2"/>
            <w:vMerge w:val="continue"/>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Voting</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10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780" w:type="dxa"/>
            <w:vAlign w:val="bottom"/>
            <w:gridSpan w:val="2"/>
            <w:vMerge w:val="continue"/>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Directly</w:t>
            </w:r>
          </w:p>
        </w:tc>
        <w:tc>
          <w:tcPr>
            <w:tcW w:w="9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Power</w:t>
            </w:r>
          </w:p>
        </w:tc>
        <w:tc>
          <w:tcPr>
            <w:tcW w:w="11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Power</w:t>
            </w: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Power</w:t>
            </w: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Power</w:t>
            </w:r>
          </w:p>
        </w:tc>
        <w:tc>
          <w:tcPr>
            <w:tcW w:w="110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Ownership</w:t>
            </w:r>
          </w:p>
        </w:tc>
        <w:tc>
          <w:tcPr>
            <w:tcW w:w="12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dievini Hopp BioTech holding GmbH &amp; Co.</w:t>
            </w: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KG</w:t>
            </w:r>
            <w:r>
              <w:rPr>
                <w:rFonts w:ascii="Arial" w:cs="Arial" w:eastAsia="Arial" w:hAnsi="Arial"/>
                <w:sz w:val="15"/>
                <w:szCs w:val="15"/>
                <w:color w:val="auto"/>
              </w:rPr>
              <w:t>(2)</w:t>
            </w:r>
          </w:p>
        </w:tc>
        <w:tc>
          <w:tcPr>
            <w:tcW w:w="26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18,041,000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DH-Capital GmbH &amp; Co. KG</w:t>
            </w:r>
            <w:r>
              <w:rPr>
                <w:rFonts w:ascii="Arial" w:cs="Arial" w:eastAsia="Arial" w:hAnsi="Arial"/>
                <w:sz w:val="15"/>
                <w:szCs w:val="15"/>
                <w:color w:val="auto"/>
              </w:rPr>
              <w:t>(3)</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 Beteiligungen GmbH &amp; Co. KG</w:t>
            </w:r>
            <w:r>
              <w:rPr>
                <w:rFonts w:ascii="Arial" w:cs="Arial" w:eastAsia="Arial" w:hAnsi="Arial"/>
                <w:sz w:val="15"/>
                <w:szCs w:val="15"/>
                <w:color w:val="auto"/>
              </w:rPr>
              <w:t>(3)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Dietmar Hopp</w:t>
            </w:r>
            <w:r>
              <w:rPr>
                <w:rFonts w:ascii="Arial" w:cs="Arial" w:eastAsia="Arial" w:hAnsi="Arial"/>
                <w:sz w:val="15"/>
                <w:szCs w:val="15"/>
                <w:color w:val="auto"/>
              </w:rPr>
              <w:t>(3)(4)</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Oliver Hopp</w:t>
            </w:r>
            <w:r>
              <w:rPr>
                <w:rFonts w:ascii="Arial" w:cs="Arial" w:eastAsia="Arial" w:hAnsi="Arial"/>
                <w:sz w:val="15"/>
                <w:szCs w:val="15"/>
                <w:color w:val="auto"/>
                <w:w w:val="96"/>
              </w:rPr>
              <w:t>(3)</w:t>
            </w:r>
          </w:p>
        </w:tc>
        <w:tc>
          <w:tcPr>
            <w:tcW w:w="2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w w:val="93"/>
              </w:rPr>
              <w:t>Daniel Hopp</w:t>
            </w:r>
            <w:r>
              <w:rPr>
                <w:rFonts w:ascii="Arial" w:cs="Arial" w:eastAsia="Arial" w:hAnsi="Arial"/>
                <w:sz w:val="15"/>
                <w:szCs w:val="15"/>
                <w:color w:val="auto"/>
                <w:w w:val="93"/>
              </w:rPr>
              <w:t>(5)</w:t>
            </w:r>
          </w:p>
        </w:tc>
        <w:tc>
          <w:tcPr>
            <w:tcW w:w="264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18,041,000</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Prof. Dr. Friedrich von Bohlen und Halbach</w:t>
            </w:r>
            <w:r>
              <w:rPr>
                <w:rFonts w:ascii="Arial" w:cs="Arial" w:eastAsia="Arial" w:hAnsi="Arial"/>
                <w:sz w:val="15"/>
                <w:szCs w:val="15"/>
                <w:color w:val="auto"/>
                <w:w w:val="98"/>
              </w:rPr>
              <w:t>(3)(4)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78,750</w:t>
            </w:r>
            <w:r>
              <w:rPr>
                <w:rFonts w:ascii="Arial" w:cs="Arial" w:eastAsia="Arial" w:hAnsi="Arial"/>
                <w:sz w:val="15"/>
                <w:szCs w:val="15"/>
                <w:color w:val="auto"/>
              </w:rPr>
              <w:t>(6)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78,750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18,119,750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Prof. Dr. Christof Hettich</w:t>
            </w:r>
            <w:r>
              <w:rPr>
                <w:rFonts w:ascii="Arial" w:cs="Arial" w:eastAsia="Arial" w:hAnsi="Arial"/>
                <w:sz w:val="15"/>
                <w:szCs w:val="15"/>
                <w:color w:val="auto"/>
              </w:rPr>
              <w:t>(3)(4)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174,750</w:t>
            </w:r>
            <w:r>
              <w:rPr>
                <w:rFonts w:ascii="Arial" w:cs="Arial" w:eastAsia="Arial" w:hAnsi="Arial"/>
                <w:sz w:val="15"/>
                <w:szCs w:val="15"/>
                <w:color w:val="auto"/>
              </w:rPr>
              <w:t>(6)</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174,750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174,750</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18,215,750</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Mathias Hothum</w:t>
            </w:r>
            <w:r>
              <w:rPr>
                <w:rFonts w:ascii="Arial" w:cs="Arial" w:eastAsia="Arial" w:hAnsi="Arial"/>
                <w:sz w:val="15"/>
                <w:szCs w:val="15"/>
                <w:color w:val="auto"/>
              </w:rPr>
              <w:t>(4)</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51,250</w:t>
            </w:r>
            <w:r>
              <w:rPr>
                <w:rFonts w:ascii="Arial" w:cs="Arial" w:eastAsia="Arial" w:hAnsi="Arial"/>
                <w:sz w:val="15"/>
                <w:szCs w:val="15"/>
                <w:color w:val="auto"/>
              </w:rPr>
              <w:t>(7)</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51,250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18,041,000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51,250</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18,041,000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18,092,250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7"/>
              </w:rPr>
              <w:t>32.1%</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00" w:right="120" w:hanging="446"/>
        <w:spacing w:after="0" w:line="26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percentage is calculated based on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w:t>
      </w:r>
    </w:p>
    <w:p>
      <w:pPr>
        <w:spacing w:after="0" w:line="3" w:lineRule="exact"/>
        <w:rPr>
          <w:rFonts w:ascii="Arial" w:cs="Arial" w:eastAsia="Arial" w:hAnsi="Arial"/>
          <w:sz w:val="17"/>
          <w:szCs w:val="17"/>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18,041,000 common shares of the Issuer are held of record by dievini.</w:t>
      </w:r>
    </w:p>
    <w:p>
      <w:pPr>
        <w:spacing w:after="0" w:line="9" w:lineRule="exact"/>
        <w:rPr>
          <w:rFonts w:ascii="Arial" w:cs="Arial" w:eastAsia="Arial" w:hAnsi="Arial"/>
          <w:sz w:val="18"/>
          <w:szCs w:val="18"/>
          <w:color w:val="auto"/>
        </w:rPr>
      </w:pPr>
    </w:p>
    <w:p>
      <w:pPr>
        <w:ind w:left="900" w:right="40" w:hanging="446"/>
        <w:spacing w:after="0" w:line="28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DH-Capital, OH Beteiligungen, Dr. von Bohlen and Dr. Hettich are collectively the holders of 100% of the limited partner interest in dievini. DH-Capital and OH Beteiligungen each hold a 40% limited partner interest in dievini and therefore, control the voting and dispositive decisions of dievini together and may be deemed to beneficially own the shares held by dievini. Dietmar Hopp and Oliver Hopp are the ultimate controlling persons of dievini, DH-Capital and OH Beteiligungen, and control the voting and investment decisions of the ultimate parent company of dievini and therefore, may be deemed to beneficially own the shares held by dievini by virtue of their status as controlling persons of dievini.</w:t>
      </w:r>
    </w:p>
    <w:p>
      <w:pPr>
        <w:spacing w:after="0" w:line="3" w:lineRule="exact"/>
        <w:rPr>
          <w:rFonts w:ascii="Arial" w:cs="Arial" w:eastAsia="Arial" w:hAnsi="Arial"/>
          <w:sz w:val="16"/>
          <w:szCs w:val="16"/>
          <w:color w:val="auto"/>
        </w:rPr>
      </w:pPr>
    </w:p>
    <w:p>
      <w:pPr>
        <w:ind w:left="900" w:right="20" w:hanging="446"/>
        <w:spacing w:after="0" w:line="265"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sole general partner of dievini with the authorization to represent is dievini Verwaltungs GmbH; however, 100% of the shares of dievini Verwaltungs GmbH are held by dievini so dievini Verwaltungs GmbH is not considered to have control over dievini. The managing directors of dievini Verwaltungs GmbH are Dietmar Hopp, Dr. von Bohlen, Dr. Hettich and Dr. Hothum. Voting and dispositive decisions made within dievini Verwaltungs GmbH regarding the securities held by dievini are made by at least two managing directors acting together; however, Dietmar Hopp is entitled to represent dievini Verwaltungs GmbH solely. Therefore, in their capacity as managing directors, Dietmar Hopp, Dr. von Bohlen, Dr. Hettich and Dr. Hothum share voting and dispositive power over the shares held by dievini, and may be deemed to beneficially own such shares held by dievini; however, each of Dietmar Hopp, Dr. von Bohlen, Dr. Hettich and Dr. Hothum disclaims beneficial ownership of the shares held by dievini except to the extent of their pecuniary interests therein.</w:t>
      </w:r>
    </w:p>
    <w:p>
      <w:pPr>
        <w:spacing w:after="0" w:line="1" w:lineRule="exact"/>
        <w:rPr>
          <w:rFonts w:ascii="Arial" w:cs="Arial" w:eastAsia="Arial" w:hAnsi="Arial"/>
          <w:sz w:val="17"/>
          <w:szCs w:val="17"/>
          <w:color w:val="auto"/>
        </w:rPr>
      </w:pPr>
    </w:p>
    <w:p>
      <w:pPr>
        <w:jc w:val="both"/>
        <w:ind w:left="900" w:right="80" w:hanging="446"/>
        <w:spacing w:after="0" w:line="28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Daniel Hopp is managing director of the general partner of DH-Capital with the sole power of representation and therefore he is entitled to make voting and dispositive decisions solely. Therefore, by virtue of his position, Daniel Hopp may be deemed to beneficially own such shares held by dievini; however, Daniel Hopp disclaims beneficial ownership of the shares held by dievini except to the extent of his pecuniary interests therein.</w:t>
      </w:r>
    </w:p>
    <w:p>
      <w:pPr>
        <w:spacing w:after="0" w:line="2"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held through personal accounts, of which the holder has sole voting and dispositive power.</w:t>
      </w:r>
    </w:p>
    <w:p>
      <w:pPr>
        <w:spacing w:after="0" w:line="9" w:lineRule="exact"/>
        <w:rPr>
          <w:rFonts w:ascii="Arial" w:cs="Arial" w:eastAsia="Arial" w:hAnsi="Arial"/>
          <w:sz w:val="18"/>
          <w:szCs w:val="18"/>
          <w:color w:val="auto"/>
        </w:rPr>
      </w:pPr>
    </w:p>
    <w:p>
      <w:pPr>
        <w:ind w:left="900" w:right="80" w:hanging="446"/>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(i) 36,500 shares held directly by Dr. Hothum through his personal accounts, of which he has sole voting and dispositive power and (ii) 14,750 common shares issuable upon the exercise of options to purchase common shares that are exercisable within 60 days of December 31, 2016 held by Dr. Hothum.</w:t>
      </w:r>
    </w:p>
    <w:p>
      <w:pPr>
        <w:spacing w:after="0" w:line="1" w:lineRule="exact"/>
        <w:rPr>
          <w:rFonts w:ascii="Arial" w:cs="Arial" w:eastAsia="Arial" w:hAnsi="Arial"/>
          <w:sz w:val="18"/>
          <w:szCs w:val="18"/>
          <w:color w:val="auto"/>
        </w:rPr>
      </w:pPr>
    </w:p>
    <w:p>
      <w:pPr>
        <w:ind w:left="900" w:right="20" w:hanging="446"/>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percentage is calculated based on (i) 56,296,042 shares of the Issuer’s common shares reported to be issued and outstanding immediately after the consummation of the Issuer’s initial public offering (including shares issued in connection with the underwriters’ overallotment option to purchase up to 900,000 additional common shares in connection with the Issuer’s initial public offering), as reported by the Issuer in its final prospectus for its initial public offering dated as of September 22, 2016 as filed with the Securities and Exchange Commission on September 23, 2016 pursuant to Rule 424(b)(4) under the Securities Act of 1933, as amended and (ii) assumes the 14,750 common shares underlying the options to purchase common shares held by Dr. Hothum are deemed outstanding pursuant to Rule 13d-3(d)(1)(i).</w:t>
      </w:r>
    </w:p>
    <w:p>
      <w:pPr>
        <w:sectPr>
          <w:pgSz w:w="11900" w:h="16838" w:orient="portrait"/>
          <w:cols w:equalWidth="0" w:num="1">
            <w:col w:w="11440"/>
          </w:cols>
          <w:pgMar w:left="240" w:top="268" w:right="21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color w:val="auto"/>
              </w:rPr>
              <w:t>Page 13 of 14 Pages</w:t>
            </w:r>
          </w:p>
        </w:tc>
      </w:tr>
      <w:tr>
        <w:trPr>
          <w:trHeight w:val="358"/>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3940" w:type="dxa"/>
            <w:vAlign w:val="bottom"/>
          </w:tcPr>
          <w:p>
            <w:pPr>
              <w:ind w:left="320"/>
              <w:spacing w:after="0"/>
              <w:rPr>
                <w:sz w:val="20"/>
                <w:szCs w:val="20"/>
                <w:color w:val="auto"/>
              </w:rPr>
            </w:pPr>
            <w:r>
              <w:rPr>
                <w:rFonts w:ascii="Arial" w:cs="Arial" w:eastAsia="Arial" w:hAnsi="Arial"/>
                <w:sz w:val="18"/>
                <w:szCs w:val="18"/>
                <w:b w:val="1"/>
                <w:bCs w:val="1"/>
                <w:color w:val="auto"/>
                <w:w w:val="92"/>
              </w:rPr>
              <w:t>Ownership of Five Percent or Less of a Class</w:t>
            </w:r>
          </w:p>
        </w:tc>
        <w:tc>
          <w:tcPr>
            <w:tcW w:w="1720" w:type="dxa"/>
            <w:vAlign w:val="bottom"/>
          </w:tcPr>
          <w:p>
            <w:pPr>
              <w:spacing w:after="0"/>
              <w:rPr>
                <w:sz w:val="24"/>
                <w:szCs w:val="24"/>
                <w:color w:val="auto"/>
              </w:rPr>
            </w:pPr>
          </w:p>
        </w:tc>
        <w:tc>
          <w:tcPr>
            <w:tcW w:w="496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40" w:right="2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ectPr>
          <w:pgSz w:w="11900" w:h="16838" w:orient="portrait"/>
          <w:cols w:equalWidth="0" w:num="1">
            <w:col w:w="11440"/>
          </w:cols>
          <w:pgMar w:left="240" w:top="268" w:right="219" w:bottom="1440" w:gutter="0" w:footer="0" w:header="0"/>
        </w:sect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00" w:space="640"/>
            <w:col w:w="10300"/>
          </w:cols>
          <w:pgMar w:left="240" w:top="268" w:right="21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40"/>
          </w:cols>
          <w:pgMar w:left="240" w:top="268" w:right="2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ectPr>
          <w:pgSz w:w="11900" w:h="16838" w:orient="portrait"/>
          <w:cols w:equalWidth="0" w:num="2">
            <w:col w:w="500" w:space="640"/>
            <w:col w:w="10300"/>
          </w:cols>
          <w:pgMar w:left="240" w:top="268" w:right="21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40"/>
          </w:cols>
          <w:pgMar w:left="240" w:top="268" w:right="2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500" w:space="640"/>
            <w:col w:w="10300"/>
          </w:cols>
          <w:pgMar w:left="240" w:top="268" w:right="21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40"/>
          </w:cols>
          <w:pgMar w:left="240" w:top="268" w:right="2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500" w:space="640"/>
            <w:col w:w="10300"/>
          </w:cols>
          <w:pgMar w:left="240" w:top="268" w:right="21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40"/>
          </w:cols>
          <w:pgMar w:left="240" w:top="268" w:right="21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Certifications</w:t>
      </w:r>
    </w:p>
    <w:p>
      <w:pPr>
        <w:spacing w:after="0" w:line="144" w:lineRule="exact"/>
        <w:rPr>
          <w:sz w:val="20"/>
          <w:szCs w:val="20"/>
          <w:color w:val="auto"/>
        </w:rPr>
      </w:pPr>
    </w:p>
    <w:p>
      <w:pPr>
        <w:sectPr>
          <w:pgSz w:w="11900" w:h="16838" w:orient="portrait"/>
          <w:cols w:equalWidth="0" w:num="2">
            <w:col w:w="600" w:space="540"/>
            <w:col w:w="10300"/>
          </w:cols>
          <w:pgMar w:left="240" w:top="268" w:right="21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40"/>
          </w:cols>
          <w:pgMar w:left="240" w:top="268" w:right="219" w:bottom="144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30"/>
        </w:trPr>
        <w:tc>
          <w:tcPr>
            <w:tcW w:w="47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CUSIP NO. H00263105</w:t>
            </w:r>
          </w:p>
        </w:tc>
        <w:tc>
          <w:tcPr>
            <w:tcW w:w="172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13 G</w:t>
            </w:r>
          </w:p>
        </w:tc>
        <w:tc>
          <w:tcPr>
            <w:tcW w:w="4960" w:type="dxa"/>
            <w:vAlign w:val="bottom"/>
            <w:tcBorders>
              <w:top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8"/>
                <w:szCs w:val="18"/>
                <w:color w:val="auto"/>
              </w:rPr>
              <w:t>Page 14 of 14 Pages</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2017</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DIEVINI HOPP BIOTECH HOLDING GMBH &amp; CO. KG</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dievini Verwaltungs GmbH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Marc Hauser</w:t>
      </w:r>
    </w:p>
    <w:p>
      <w:pPr>
        <w:spacing w:after="0" w:line="9" w:lineRule="exact"/>
        <w:rPr>
          <w:sz w:val="20"/>
          <w:szCs w:val="20"/>
          <w:color w:val="auto"/>
        </w:rPr>
      </w:pPr>
    </w:p>
    <w:p>
      <w:pPr>
        <w:ind w:left="7200"/>
        <w:spacing w:after="0"/>
        <w:tabs>
          <w:tab w:leader="none" w:pos="7820" w:val="left"/>
        </w:tabs>
        <w:rPr>
          <w:sz w:val="20"/>
          <w:szCs w:val="20"/>
          <w:color w:val="auto"/>
        </w:rPr>
      </w:pPr>
      <w:r>
        <w:rPr>
          <w:rFonts w:ascii="Arial" w:cs="Arial" w:eastAsia="Arial" w:hAnsi="Arial"/>
          <w:sz w:val="18"/>
          <w:szCs w:val="18"/>
          <w:color w:val="auto"/>
        </w:rPr>
        <w:t>Title:</w:t>
        <w:tab/>
        <w:t>Attorney-in-fact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DH-CAPITAL GMBH &amp; CO. KG</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BW Verwaltungs GmbH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Marc Hauser</w:t>
      </w:r>
    </w:p>
    <w:p>
      <w:pPr>
        <w:spacing w:after="0" w:line="9" w:lineRule="exact"/>
        <w:rPr>
          <w:sz w:val="20"/>
          <w:szCs w:val="20"/>
          <w:color w:val="auto"/>
        </w:rPr>
      </w:pPr>
    </w:p>
    <w:p>
      <w:pPr>
        <w:ind w:left="7200"/>
        <w:spacing w:after="0"/>
        <w:tabs>
          <w:tab w:leader="none" w:pos="7820" w:val="left"/>
        </w:tabs>
        <w:rPr>
          <w:sz w:val="20"/>
          <w:szCs w:val="20"/>
          <w:color w:val="auto"/>
        </w:rPr>
      </w:pPr>
      <w:r>
        <w:rPr>
          <w:rFonts w:ascii="Arial" w:cs="Arial" w:eastAsia="Arial" w:hAnsi="Arial"/>
          <w:sz w:val="18"/>
          <w:szCs w:val="18"/>
          <w:color w:val="auto"/>
        </w:rPr>
        <w:t>Title:</w:t>
        <w:tab/>
        <w:t>Attorney-in-fact</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OH BETEILIGUNGEN GMBH &amp; CO. KG</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OH Verwaltungs GmbH</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General Partner</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Dr. Marc 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0" w:lineRule="exact"/>
        <w:rPr>
          <w:sz w:val="20"/>
          <w:szCs w:val="20"/>
          <w:color w:val="auto"/>
        </w:rPr>
      </w:pPr>
    </w:p>
    <w:p>
      <w:pPr>
        <w:ind w:left="720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Dr. Marc Hauser</w:t>
      </w:r>
    </w:p>
    <w:p>
      <w:pPr>
        <w:spacing w:after="0" w:line="9" w:lineRule="exact"/>
        <w:rPr>
          <w:sz w:val="20"/>
          <w:szCs w:val="20"/>
          <w:color w:val="auto"/>
        </w:rPr>
      </w:pPr>
    </w:p>
    <w:p>
      <w:pPr>
        <w:ind w:left="7200"/>
        <w:spacing w:after="0"/>
        <w:tabs>
          <w:tab w:leader="none" w:pos="7820" w:val="left"/>
        </w:tabs>
        <w:rPr>
          <w:sz w:val="20"/>
          <w:szCs w:val="20"/>
          <w:color w:val="auto"/>
        </w:rPr>
      </w:pPr>
      <w:r>
        <w:rPr>
          <w:rFonts w:ascii="Arial" w:cs="Arial" w:eastAsia="Arial" w:hAnsi="Arial"/>
          <w:sz w:val="18"/>
          <w:szCs w:val="18"/>
          <w:color w:val="auto"/>
        </w:rPr>
        <w:t>Title:</w:t>
        <w:tab/>
        <w:t>Attorney-in-fact</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DIETMAR HOPP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OLIVER HOPP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DANIEL HOPP</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FRIEDRICH VON BOHLEN UND HALBACH</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CHRISTOF HETTICH</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MATHIAS HOTHUM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 – Power of Attorney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 Joint Filing Statement</w:t>
      </w:r>
    </w:p>
    <w:p>
      <w:pPr>
        <w:sectPr>
          <w:pgSz w:w="11900" w:h="16838" w:orient="portrait"/>
          <w:cols w:equalWidth="0" w:num="1">
            <w:col w:w="11440"/>
          </w:cols>
          <w:pgMar w:left="240" w:top="268" w:right="21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u w:val="single" w:color="auto"/>
          <w:color w:val="auto"/>
        </w:rPr>
        <w:t>EXHIBIT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KNOW ALL BY THESE PRESENTS </w:t>
      </w:r>
      <w:r>
        <w:rPr>
          <w:rFonts w:ascii="Arial" w:cs="Arial" w:eastAsia="Arial" w:hAnsi="Arial"/>
          <w:sz w:val="18"/>
          <w:szCs w:val="18"/>
          <w:color w:val="auto"/>
        </w:rPr>
        <w:t>that each of the undersigned hereby constitutes and appoints Dr. Marc Hauser, Dr. Christina Eschenfelder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Dr. Matthias Uhl of RITTERSHAUS Rechtsanwälte Partnerschaftsgesellschaft mbB, Harrlachweg 4, 68163 Mannheim, signing individually, the undersigned’s true and lawful attorneys-in-fact and agents with respect to the undersigned’s holdings of and transactions in securities issued by AC Immune SA (the “</w:t>
      </w:r>
      <w:r>
        <w:rPr>
          <w:rFonts w:ascii="Arial" w:cs="Arial" w:eastAsia="Arial" w:hAnsi="Arial"/>
          <w:sz w:val="18"/>
          <w:szCs w:val="18"/>
          <w:u w:val="single" w:color="auto"/>
          <w:color w:val="auto"/>
        </w:rPr>
        <w:t>Company</w:t>
      </w:r>
      <w:r>
        <w:rPr>
          <w:rFonts w:ascii="Arial" w:cs="Arial" w:eastAsia="Arial" w:hAnsi="Arial"/>
          <w:sz w:val="18"/>
          <w:szCs w:val="18"/>
          <w:color w:val="auto"/>
        </w:rPr>
        <w:t>”) to:</w:t>
      </w:r>
    </w:p>
    <w:p>
      <w:pPr>
        <w:spacing w:after="0" w:line="90" w:lineRule="exact"/>
        <w:rPr>
          <w:sz w:val="20"/>
          <w:szCs w:val="20"/>
          <w:color w:val="auto"/>
        </w:rPr>
      </w:pPr>
    </w:p>
    <w:p>
      <w:pPr>
        <w:ind w:left="1480" w:right="60" w:hanging="567"/>
        <w:spacing w:after="0" w:line="302"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filings pursuant to Section 13 (Schedule 13D and Schedule 13G), as applicable (including any amendments, exhibits, joint filing agreements or other documents related thereto or in connection therewith) with respect to the securities of the Company in accordance with Section 13 of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any and all rules and regulations thereunder;</w:t>
      </w:r>
    </w:p>
    <w:p>
      <w:pPr>
        <w:spacing w:after="0" w:line="59" w:lineRule="exact"/>
        <w:rPr>
          <w:rFonts w:ascii="Arial" w:cs="Arial" w:eastAsia="Arial" w:hAnsi="Arial"/>
          <w:sz w:val="16"/>
          <w:szCs w:val="16"/>
          <w:color w:val="auto"/>
        </w:rPr>
      </w:pPr>
    </w:p>
    <w:p>
      <w:pPr>
        <w:ind w:left="1480" w:right="140" w:hanging="567"/>
        <w:spacing w:after="0" w:line="259"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that may be necessary or desirable to prepare and execute any such Schedule 13D and Schedule 13G, as applicable (including any amendments, exhibits, joint filing agreements or other documents related thereto or in connection therewith) and file the same with the SEC and any stock exchange, self-regulatory association or any other authority; and</w:t>
      </w:r>
    </w:p>
    <w:p>
      <w:pPr>
        <w:spacing w:after="0" w:line="92" w:lineRule="exact"/>
        <w:rPr>
          <w:rFonts w:ascii="Arial" w:cs="Arial" w:eastAsia="Arial" w:hAnsi="Arial"/>
          <w:sz w:val="18"/>
          <w:szCs w:val="18"/>
          <w:color w:val="auto"/>
        </w:rPr>
      </w:pPr>
    </w:p>
    <w:p>
      <w:pPr>
        <w:ind w:left="1480" w:right="240" w:hanging="567"/>
        <w:spacing w:after="0" w:line="259"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any of the undersigned’s responsibilities to comply with Section 13 of the Exchange Act and the rules and regulations thereunder.</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This Power of Attorney shall remain in full force and effect until the earlier of (i) the undersigned is no longer required to file such forms with respect to the undersigned’s holdings of and transactions in securities issued by the Company or (ii) or until such time as the person or persons to whom power of attorney has been hereby granted cease(s) to perform the function in connection with which he/she was appointed attorney-in-fact or to be an employee of RITTERSHAUS Rechtsanwälte Partnerschaftsgesellschaft mbB or one of its affiliates, unless earlier revoked by the undersigned in a signed writing delivered to the foregoing attorneys-in fact.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[Signatures on Following Page]</w:t>
      </w:r>
    </w:p>
    <w:p>
      <w:pPr>
        <w:sectPr>
          <w:pgSz w:w="11900" w:h="16838" w:orient="portrait"/>
          <w:cols w:equalWidth="0" w:num="1">
            <w:col w:w="11420"/>
          </w:cols>
          <w:pgMar w:left="240" w:top="125"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each of the undersigned has caused this Power of Attorney to be executed as of this 13</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February, 2017.</w:t>
      </w:r>
    </w:p>
    <w:p>
      <w:pPr>
        <w:spacing w:after="0" w:line="27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DIEVINI HOPP BIOTECH HOLDING GMBH &amp; CO. KG</w:t>
      </w:r>
    </w:p>
    <w:p>
      <w:pPr>
        <w:spacing w:after="0" w:line="229"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dievini Verwaltungs GmbH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6017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0"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18"/>
          <w:szCs w:val="18"/>
          <w:color w:val="auto"/>
        </w:rPr>
        <w:t>Name:</w:t>
        <w:tab/>
        <w:t>Dietmar Hopp</w:t>
      </w:r>
    </w:p>
    <w:p>
      <w:pPr>
        <w:spacing w:after="0" w:line="9" w:lineRule="exact"/>
        <w:rPr>
          <w:sz w:val="20"/>
          <w:szCs w:val="20"/>
          <w:color w:val="auto"/>
        </w:rPr>
      </w:pPr>
    </w:p>
    <w:p>
      <w:pPr>
        <w:ind w:left="52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/s/ 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6017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18"/>
          <w:szCs w:val="18"/>
          <w:color w:val="auto"/>
        </w:rPr>
        <w:t>Name:</w:t>
        <w:tab/>
        <w:t>Mathias Hothum</w:t>
      </w:r>
    </w:p>
    <w:p>
      <w:pPr>
        <w:spacing w:after="0" w:line="23" w:lineRule="exact"/>
        <w:rPr>
          <w:sz w:val="20"/>
          <w:szCs w:val="20"/>
          <w:color w:val="auto"/>
        </w:rPr>
      </w:pPr>
    </w:p>
    <w:p>
      <w:pPr>
        <w:ind w:left="52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DH-CAPITAL GMBH &amp; CO. KG</w:t>
      </w:r>
    </w:p>
    <w:p>
      <w:pPr>
        <w:spacing w:after="0" w:line="229"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BW Verwaltungs GmbH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6017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0"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18"/>
          <w:szCs w:val="18"/>
          <w:color w:val="auto"/>
        </w:rPr>
        <w:t>Name:</w:t>
        <w:tab/>
        <w:t>Dietmar Hopp</w:t>
      </w:r>
    </w:p>
    <w:p>
      <w:pPr>
        <w:spacing w:after="0" w:line="9" w:lineRule="exact"/>
        <w:rPr>
          <w:sz w:val="20"/>
          <w:szCs w:val="20"/>
          <w:color w:val="auto"/>
        </w:rPr>
      </w:pPr>
    </w:p>
    <w:p>
      <w:pPr>
        <w:ind w:left="52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OH BETEILIGUNGEN GMBH &amp; CO. KG</w:t>
      </w:r>
    </w:p>
    <w:p>
      <w:pPr>
        <w:spacing w:after="0" w:line="229"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OH Verwaltungs GmbH</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8"/>
          <w:szCs w:val="18"/>
          <w:color w:val="auto"/>
        </w:rPr>
        <w:t>By:</w:t>
        <w:tab/>
        <w:t>/s/ Oliver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14605</wp:posOffset>
            </wp:positionV>
            <wp:extent cx="36017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0" w:lineRule="exact"/>
        <w:rPr>
          <w:sz w:val="20"/>
          <w:szCs w:val="20"/>
          <w:color w:val="auto"/>
        </w:rPr>
      </w:pPr>
    </w:p>
    <w:p>
      <w:pPr>
        <w:ind w:left="5280"/>
        <w:spacing w:after="0"/>
        <w:tabs>
          <w:tab w:leader="none" w:pos="5980" w:val="left"/>
        </w:tabs>
        <w:rPr>
          <w:sz w:val="20"/>
          <w:szCs w:val="20"/>
          <w:color w:val="auto"/>
        </w:rPr>
      </w:pPr>
      <w:r>
        <w:rPr>
          <w:rFonts w:ascii="Arial" w:cs="Arial" w:eastAsia="Arial" w:hAnsi="Arial"/>
          <w:sz w:val="18"/>
          <w:szCs w:val="18"/>
          <w:color w:val="auto"/>
        </w:rPr>
        <w:t>Name:</w:t>
        <w:tab/>
        <w:t>Oliver Hopp</w:t>
      </w:r>
    </w:p>
    <w:p>
      <w:pPr>
        <w:spacing w:after="0" w:line="9" w:lineRule="exact"/>
        <w:rPr>
          <w:sz w:val="20"/>
          <w:szCs w:val="20"/>
          <w:color w:val="auto"/>
        </w:rPr>
      </w:pPr>
    </w:p>
    <w:p>
      <w:pPr>
        <w:ind w:left="52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Dietmar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DIETMAR HOPP</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Oliver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OLIVER HOPP</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Daniel Hopp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DANIEL HOPP</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Dr. Friedrich von Bohlen und Halbach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FRIEDRICH VON BOHLEN UND HALBACH</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Christof Hettich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CHRISTOF HETTICH</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 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14605</wp:posOffset>
            </wp:positionV>
            <wp:extent cx="39103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1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MATHIAS HOTHUM</w:t>
      </w:r>
    </w:p>
    <w:p>
      <w:pPr>
        <w:sectPr>
          <w:pgSz w:w="11900" w:h="16838" w:orient="portrait"/>
          <w:cols w:equalWidth="0" w:num="1">
            <w:col w:w="10160"/>
          </w:cols>
          <w:pgMar w:left="700" w:top="270" w:right="10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t>EXHIBIT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hereby agree to the joint filing on behalf of each of them of a statement on Schedule 13G (including amendments thereto) with respect to the common shares of AC Immune SA and further agree that this Joint Filing Agreement be included as an exhibit to such joint filing.</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Each party to this Joint Filing Agreement agrees that this Joint Filing Agreement may be signed in counterparts, all of which taken together shall constitute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each of the undersigned has caused this Joint Filing Agreement to be executed as of this 14</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February, 2017.</w:t>
      </w: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DIEVINI HOPP BIOTECH HOLDING GMBH &amp; CO. KG</w:t>
      </w:r>
    </w:p>
    <w:p>
      <w:pPr>
        <w:spacing w:after="0" w:line="229" w:lineRule="exact"/>
        <w:rPr>
          <w:sz w:val="20"/>
          <w:szCs w:val="20"/>
          <w:color w:val="auto"/>
        </w:rPr>
      </w:pPr>
    </w:p>
    <w:tbl>
      <w:tblPr>
        <w:tblLayout w:type="fixed"/>
        <w:tblInd w:w="6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gridSpan w:val="2"/>
          </w:tcPr>
          <w:p>
            <w:pPr>
              <w:spacing w:after="0"/>
              <w:rPr>
                <w:sz w:val="20"/>
                <w:szCs w:val="20"/>
                <w:color w:val="auto"/>
              </w:rPr>
            </w:pPr>
            <w:r>
              <w:rPr>
                <w:rFonts w:ascii="Arial" w:cs="Arial" w:eastAsia="Arial" w:hAnsi="Arial"/>
                <w:sz w:val="18"/>
                <w:szCs w:val="18"/>
                <w:color w:val="auto"/>
              </w:rPr>
              <w:t>dievini Verwaltungs GmbH</w:t>
            </w:r>
          </w:p>
        </w:tc>
      </w:tr>
      <w:tr>
        <w:trPr>
          <w:trHeight w:val="230"/>
        </w:trPr>
        <w:tc>
          <w:tcPr>
            <w:tcW w:w="70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Marc Hauser</w:t>
            </w:r>
          </w:p>
        </w:tc>
      </w:tr>
      <w:tr>
        <w:trPr>
          <w:trHeight w:val="209"/>
        </w:trPr>
        <w:tc>
          <w:tcPr>
            <w:tcW w:w="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20"/>
              <w:spacing w:after="0"/>
              <w:rPr>
                <w:sz w:val="20"/>
                <w:szCs w:val="20"/>
                <w:color w:val="auto"/>
              </w:rPr>
            </w:pPr>
            <w:r>
              <w:rPr>
                <w:rFonts w:ascii="Arial" w:cs="Arial" w:eastAsia="Arial" w:hAnsi="Arial"/>
                <w:sz w:val="18"/>
                <w:szCs w:val="18"/>
                <w:color w:val="auto"/>
              </w:rPr>
              <w:t>Dr. Marc Hauser</w:t>
            </w:r>
          </w:p>
        </w:tc>
      </w:tr>
      <w:tr>
        <w:trPr>
          <w:trHeight w:val="230"/>
        </w:trPr>
        <w:tc>
          <w:tcPr>
            <w:tcW w:w="70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Title:    Attorney-in-fact</w:t>
            </w:r>
          </w:p>
        </w:tc>
      </w:tr>
      <w:tr>
        <w:trPr>
          <w:trHeight w:val="432"/>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DH-CAPITAL GMBH &amp; CO. KG</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gridSpan w:val="2"/>
          </w:tcPr>
          <w:p>
            <w:pPr>
              <w:spacing w:after="0"/>
              <w:rPr>
                <w:sz w:val="20"/>
                <w:szCs w:val="20"/>
                <w:color w:val="auto"/>
              </w:rPr>
            </w:pPr>
            <w:r>
              <w:rPr>
                <w:rFonts w:ascii="Arial" w:cs="Arial" w:eastAsia="Arial" w:hAnsi="Arial"/>
                <w:sz w:val="18"/>
                <w:szCs w:val="18"/>
                <w:color w:val="auto"/>
              </w:rPr>
              <w:t>BW Verwaltungs GmbH</w:t>
            </w:r>
          </w:p>
        </w:tc>
      </w:tr>
      <w:tr>
        <w:trPr>
          <w:trHeight w:val="230"/>
        </w:trPr>
        <w:tc>
          <w:tcPr>
            <w:tcW w:w="70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Marc Hauser</w:t>
            </w:r>
          </w:p>
        </w:tc>
      </w:tr>
      <w:tr>
        <w:trPr>
          <w:trHeight w:val="209"/>
        </w:trPr>
        <w:tc>
          <w:tcPr>
            <w:tcW w:w="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20"/>
              <w:spacing w:after="0"/>
              <w:rPr>
                <w:sz w:val="20"/>
                <w:szCs w:val="20"/>
                <w:color w:val="auto"/>
              </w:rPr>
            </w:pPr>
            <w:r>
              <w:rPr>
                <w:rFonts w:ascii="Arial" w:cs="Arial" w:eastAsia="Arial" w:hAnsi="Arial"/>
                <w:sz w:val="18"/>
                <w:szCs w:val="18"/>
                <w:color w:val="auto"/>
              </w:rPr>
              <w:t>Dr. Marc Hauser</w:t>
            </w:r>
          </w:p>
        </w:tc>
      </w:t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00"/>
              <w:spacing w:after="0"/>
              <w:rPr>
                <w:sz w:val="20"/>
                <w:szCs w:val="20"/>
                <w:color w:val="auto"/>
              </w:rPr>
            </w:pPr>
            <w:r>
              <w:rPr>
                <w:rFonts w:ascii="Arial" w:cs="Arial" w:eastAsia="Arial" w:hAnsi="Arial"/>
                <w:sz w:val="18"/>
                <w:szCs w:val="18"/>
                <w:color w:val="auto"/>
              </w:rPr>
              <w:t>Attorney-in-fact</w:t>
            </w:r>
          </w:p>
        </w:tc>
      </w:tr>
    </w:tbl>
    <w:p>
      <w:pPr>
        <w:spacing w:after="0" w:line="19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OH BETEILIGUNGEN GMBH &amp; CO. KG</w:t>
      </w:r>
    </w:p>
    <w:p>
      <w:pPr>
        <w:spacing w:after="0" w:line="229" w:lineRule="exact"/>
        <w:rPr>
          <w:sz w:val="20"/>
          <w:szCs w:val="20"/>
          <w:color w:val="auto"/>
        </w:rPr>
      </w:pPr>
    </w:p>
    <w:tbl>
      <w:tblPr>
        <w:tblLayout w:type="fixed"/>
        <w:tblInd w:w="6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gridSpan w:val="2"/>
          </w:tcPr>
          <w:p>
            <w:pPr>
              <w:spacing w:after="0"/>
              <w:rPr>
                <w:sz w:val="20"/>
                <w:szCs w:val="20"/>
                <w:color w:val="auto"/>
              </w:rPr>
            </w:pPr>
            <w:r>
              <w:rPr>
                <w:rFonts w:ascii="Arial" w:cs="Arial" w:eastAsia="Arial" w:hAnsi="Arial"/>
                <w:sz w:val="18"/>
                <w:szCs w:val="18"/>
                <w:color w:val="auto"/>
              </w:rPr>
              <w:t>OH Verwaltungs GmbH</w:t>
            </w:r>
          </w:p>
        </w:tc>
      </w:tr>
      <w:tr>
        <w:trPr>
          <w:trHeight w:val="230"/>
        </w:trPr>
        <w:tc>
          <w:tcPr>
            <w:tcW w:w="70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 Marc Hauser</w:t>
            </w:r>
          </w:p>
        </w:tc>
      </w:tr>
      <w:tr>
        <w:trPr>
          <w:trHeight w:val="209"/>
        </w:trPr>
        <w:tc>
          <w:tcPr>
            <w:tcW w:w="7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60" w:type="dxa"/>
            <w:vAlign w:val="bottom"/>
          </w:tcPr>
          <w:p>
            <w:pPr>
              <w:ind w:left="120"/>
              <w:spacing w:after="0"/>
              <w:rPr>
                <w:sz w:val="20"/>
                <w:szCs w:val="20"/>
                <w:color w:val="auto"/>
              </w:rPr>
            </w:pPr>
            <w:r>
              <w:rPr>
                <w:rFonts w:ascii="Arial" w:cs="Arial" w:eastAsia="Arial" w:hAnsi="Arial"/>
                <w:sz w:val="18"/>
                <w:szCs w:val="18"/>
                <w:color w:val="auto"/>
              </w:rPr>
              <w:t>Dr. Marc Hauser</w:t>
            </w:r>
          </w:p>
        </w:tc>
      </w:t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00"/>
              <w:spacing w:after="0"/>
              <w:rPr>
                <w:sz w:val="20"/>
                <w:szCs w:val="20"/>
                <w:color w:val="auto"/>
              </w:rPr>
            </w:pPr>
            <w:r>
              <w:rPr>
                <w:rFonts w:ascii="Arial" w:cs="Arial" w:eastAsia="Arial" w:hAnsi="Arial"/>
                <w:sz w:val="18"/>
                <w:szCs w:val="18"/>
                <w:color w:val="auto"/>
              </w:rPr>
              <w:t>Attorney-in-fact</w:t>
            </w:r>
          </w:p>
        </w:tc>
      </w:tr>
    </w:tbl>
    <w:p>
      <w:pPr>
        <w:spacing w:after="0" w:line="20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DIETMAR HOPP</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OLIVER HOPP</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DANIEL HOPP</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FRIEDRICH VON BOHLEN UND HALBACH</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CHRISTOF HETTICH</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Dr. Marc Hauser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MATHIAS HOTHUM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3"/>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2019-12-08T04:06:10Z</dcterms:created>
  <dcterms:modified xsi:type="dcterms:W3CDTF">2019-12-08T04:06:10Z</dcterms:modified>
</cp:coreProperties>
</file>