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UNITED STATES</w:t>
      </w:r>
    </w:p>
    <w:p>
      <w:pPr>
        <w:spacing w:after="0" w:line="29"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194"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4"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23"/>
          <w:szCs w:val="23"/>
          <w:b w:val="1"/>
          <w:bCs w:val="1"/>
          <w:color w:val="auto"/>
        </w:rPr>
        <w:t>FORM 6-K</w:t>
      </w:r>
    </w:p>
    <w:p>
      <w:pPr>
        <w:spacing w:after="0" w:line="270"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REPORT OF FOREIGN PRIVATE ISSUER PURSUANT TO RULE 13a-16 OR 15d-16 UNDER THE SECURITIES EXCHANGE ACT OF 1934</w:t>
      </w:r>
    </w:p>
    <w:p>
      <w:pPr>
        <w:spacing w:after="0" w:line="222"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For the month of June, 2022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2820670</wp:posOffset>
            </wp:positionH>
            <wp:positionV relativeFrom="paragraph">
              <wp:posOffset>59690</wp:posOffset>
            </wp:positionV>
            <wp:extent cx="1526540" cy="1905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526540" cy="19050"/>
                    </a:xfrm>
                    <a:prstGeom prst="rect">
                      <a:avLst/>
                    </a:prstGeom>
                    <a:noFill/>
                  </pic:spPr>
                </pic:pic>
              </a:graphicData>
            </a:graphic>
          </wp:anchor>
        </w:drawing>
      </w:r>
    </w:p>
    <w:p>
      <w:pPr>
        <w:spacing w:after="0" w:line="155"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Commission File Number: 001-37891</w:t>
      </w:r>
    </w:p>
    <w:p>
      <w:pPr>
        <w:spacing w:after="0" w:line="197"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36"/>
          <w:szCs w:val="36"/>
          <w:b w:val="1"/>
          <w:bCs w:val="1"/>
          <w:color w:val="auto"/>
        </w:rPr>
        <w:t>AC IMMUNE SA</w:t>
      </w:r>
    </w:p>
    <w:p>
      <w:pPr>
        <w:spacing w:after="0" w:line="43"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3"/>
          <w:szCs w:val="13"/>
          <w:b w:val="1"/>
          <w:bCs w:val="1"/>
          <w:color w:val="auto"/>
        </w:rPr>
        <w:t>(Exact name of registrant as specified in its charter)</w:t>
      </w:r>
    </w:p>
    <w:p>
      <w:pPr>
        <w:spacing w:after="0" w:line="138"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EPFL Innovation Park</w:t>
      </w:r>
    </w:p>
    <w:p>
      <w:pPr>
        <w:spacing w:after="0" w:line="29"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Building B</w:t>
      </w:r>
    </w:p>
    <w:p>
      <w:pPr>
        <w:spacing w:after="0" w:line="5"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1015 Lausanne, Switzerland</w:t>
      </w:r>
    </w:p>
    <w:p>
      <w:pPr>
        <w:spacing w:after="0" w:line="3"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3"/>
          <w:szCs w:val="13"/>
          <w:b w:val="1"/>
          <w:bCs w:val="1"/>
          <w:color w:val="auto"/>
        </w:rPr>
        <w:t>(Address of principal executive office)</w:t>
      </w:r>
    </w:p>
    <w:p>
      <w:pPr>
        <w:spacing w:after="0" w:line="145" w:lineRule="exact"/>
        <w:rPr>
          <w:sz w:val="24"/>
          <w:szCs w:val="24"/>
          <w:color w:val="auto"/>
        </w:rPr>
      </w:pPr>
    </w:p>
    <w:tbl>
      <w:tblPr>
        <w:tblLayout w:type="fixed"/>
        <w:tblInd w:w="0" w:type="dxa"/>
        <w:tblCellMar>
          <w:top w:w="0" w:type="dxa"/>
          <w:left w:w="0" w:type="dxa"/>
          <w:bottom w:w="0" w:type="dxa"/>
          <w:right w:w="0" w:type="dxa"/>
        </w:tblCellMar>
      </w:tblPr>
      <w:tr>
        <w:trPr>
          <w:trHeight w:val="167"/>
        </w:trPr>
        <w:tc>
          <w:tcPr>
            <w:tcW w:w="8840" w:type="dxa"/>
            <w:vAlign w:val="bottom"/>
            <w:gridSpan w:val="4"/>
          </w:tcPr>
          <w:p>
            <w:pPr>
              <w:jc w:val="center"/>
              <w:ind w:left="2376"/>
              <w:spacing w:after="0"/>
              <w:rPr>
                <w:sz w:val="20"/>
                <w:szCs w:val="20"/>
                <w:color w:val="auto"/>
              </w:rPr>
            </w:pPr>
            <w:r>
              <w:rPr>
                <w:rFonts w:ascii="Times New Roman" w:cs="Times New Roman" w:eastAsia="Times New Roman" w:hAnsi="Times New Roman"/>
                <w:sz w:val="13"/>
                <w:szCs w:val="13"/>
                <w:color w:val="auto"/>
                <w:w w:val="98"/>
              </w:rPr>
              <w:t>Indicate by check mark whether the registrant files or will file annual reports under cover of Form 20-F or Form 40-F:</w:t>
            </w:r>
          </w:p>
        </w:tc>
        <w:tc>
          <w:tcPr>
            <w:tcW w:w="520" w:type="dxa"/>
            <w:vAlign w:val="bottom"/>
          </w:tcPr>
          <w:p>
            <w:pPr>
              <w:spacing w:after="0"/>
              <w:rPr>
                <w:sz w:val="14"/>
                <w:szCs w:val="14"/>
                <w:color w:val="auto"/>
              </w:rPr>
            </w:pPr>
          </w:p>
        </w:tc>
        <w:tc>
          <w:tcPr>
            <w:tcW w:w="1940" w:type="dxa"/>
            <w:vAlign w:val="bottom"/>
          </w:tcPr>
          <w:p>
            <w:pPr>
              <w:spacing w:after="0"/>
              <w:rPr>
                <w:sz w:val="14"/>
                <w:szCs w:val="14"/>
                <w:color w:val="auto"/>
              </w:rPr>
            </w:pPr>
          </w:p>
        </w:tc>
      </w:tr>
      <w:tr>
        <w:trPr>
          <w:trHeight w:val="309"/>
        </w:trPr>
        <w:tc>
          <w:tcPr>
            <w:tcW w:w="4240" w:type="dxa"/>
            <w:vAlign w:val="bottom"/>
          </w:tcPr>
          <w:p>
            <w:pPr>
              <w:jc w:val="center"/>
              <w:ind w:left="1856"/>
              <w:spacing w:after="0"/>
              <w:rPr>
                <w:sz w:val="20"/>
                <w:szCs w:val="20"/>
                <w:color w:val="auto"/>
              </w:rPr>
            </w:pPr>
            <w:r>
              <w:rPr>
                <w:rFonts w:ascii="Times New Roman" w:cs="Times New Roman" w:eastAsia="Times New Roman" w:hAnsi="Times New Roman"/>
                <w:sz w:val="13"/>
                <w:szCs w:val="13"/>
                <w:color w:val="auto"/>
                <w:w w:val="99"/>
              </w:rPr>
              <w:t>Form 20-F</w:t>
            </w:r>
          </w:p>
        </w:tc>
        <w:tc>
          <w:tcPr>
            <w:tcW w:w="960" w:type="dxa"/>
            <w:vAlign w:val="bottom"/>
          </w:tcPr>
          <w:p>
            <w:pPr>
              <w:ind w:left="440"/>
              <w:spacing w:after="0"/>
              <w:rPr>
                <w:sz w:val="20"/>
                <w:szCs w:val="20"/>
                <w:color w:val="auto"/>
              </w:rPr>
            </w:pPr>
            <w:r>
              <w:rPr>
                <w:rFonts w:ascii="Times New Roman" w:cs="Times New Roman" w:eastAsia="Times New Roman" w:hAnsi="Times New Roman"/>
                <w:sz w:val="13"/>
                <w:szCs w:val="13"/>
                <w:color w:val="auto"/>
              </w:rPr>
              <w:t>X</w:t>
            </w:r>
          </w:p>
        </w:tc>
        <w:tc>
          <w:tcPr>
            <w:tcW w:w="3200" w:type="dxa"/>
            <w:vAlign w:val="bottom"/>
          </w:tcPr>
          <w:p>
            <w:pPr>
              <w:jc w:val="center"/>
              <w:ind w:left="1056"/>
              <w:spacing w:after="0"/>
              <w:rPr>
                <w:sz w:val="20"/>
                <w:szCs w:val="20"/>
                <w:color w:val="auto"/>
              </w:rPr>
            </w:pPr>
            <w:r>
              <w:rPr>
                <w:rFonts w:ascii="Times New Roman" w:cs="Times New Roman" w:eastAsia="Times New Roman" w:hAnsi="Times New Roman"/>
                <w:sz w:val="13"/>
                <w:szCs w:val="13"/>
                <w:color w:val="auto"/>
                <w:w w:val="99"/>
              </w:rPr>
              <w:t>Form 40-F</w:t>
            </w:r>
          </w:p>
        </w:tc>
        <w:tc>
          <w:tcPr>
            <w:tcW w:w="44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1940" w:type="dxa"/>
            <w:vAlign w:val="bottom"/>
          </w:tcPr>
          <w:p>
            <w:pPr>
              <w:spacing w:after="0"/>
              <w:rPr>
                <w:sz w:val="24"/>
                <w:szCs w:val="24"/>
                <w:color w:val="auto"/>
              </w:rPr>
            </w:pPr>
          </w:p>
        </w:tc>
      </w:tr>
      <w:tr>
        <w:trPr>
          <w:trHeight w:val="308"/>
        </w:trPr>
        <w:tc>
          <w:tcPr>
            <w:tcW w:w="8840" w:type="dxa"/>
            <w:vAlign w:val="bottom"/>
            <w:gridSpan w:val="4"/>
          </w:tcPr>
          <w:p>
            <w:pPr>
              <w:jc w:val="center"/>
              <w:ind w:left="2376"/>
              <w:spacing w:after="0"/>
              <w:rPr>
                <w:sz w:val="20"/>
                <w:szCs w:val="20"/>
                <w:color w:val="auto"/>
              </w:rPr>
            </w:pPr>
            <w:r>
              <w:rPr>
                <w:rFonts w:ascii="Times New Roman" w:cs="Times New Roman" w:eastAsia="Times New Roman" w:hAnsi="Times New Roman"/>
                <w:sz w:val="13"/>
                <w:szCs w:val="13"/>
                <w:color w:val="auto"/>
                <w:w w:val="99"/>
              </w:rPr>
              <w:t>Indicate by check mark if the registrant is submitting the Form 6-K in paper as permitted by Regulation S-T Rule 101(b)(1):</w:t>
            </w:r>
          </w:p>
        </w:tc>
        <w:tc>
          <w:tcPr>
            <w:tcW w:w="520" w:type="dxa"/>
            <w:vAlign w:val="bottom"/>
          </w:tcPr>
          <w:p>
            <w:pPr>
              <w:spacing w:after="0"/>
              <w:rPr>
                <w:sz w:val="24"/>
                <w:szCs w:val="24"/>
                <w:color w:val="auto"/>
              </w:rPr>
            </w:pPr>
          </w:p>
        </w:tc>
        <w:tc>
          <w:tcPr>
            <w:tcW w:w="1940" w:type="dxa"/>
            <w:vAlign w:val="bottom"/>
          </w:tcPr>
          <w:p>
            <w:pPr>
              <w:spacing w:after="0"/>
              <w:rPr>
                <w:sz w:val="24"/>
                <w:szCs w:val="24"/>
                <w:color w:val="auto"/>
              </w:rPr>
            </w:pPr>
          </w:p>
        </w:tc>
      </w:tr>
      <w:tr>
        <w:trPr>
          <w:trHeight w:val="309"/>
        </w:trPr>
        <w:tc>
          <w:tcPr>
            <w:tcW w:w="4240" w:type="dxa"/>
            <w:vAlign w:val="bottom"/>
          </w:tcPr>
          <w:p>
            <w:pPr>
              <w:jc w:val="center"/>
              <w:ind w:left="1856"/>
              <w:spacing w:after="0"/>
              <w:rPr>
                <w:sz w:val="20"/>
                <w:szCs w:val="20"/>
                <w:color w:val="auto"/>
              </w:rPr>
            </w:pPr>
            <w:r>
              <w:rPr>
                <w:rFonts w:ascii="Times New Roman" w:cs="Times New Roman" w:eastAsia="Times New Roman" w:hAnsi="Times New Roman"/>
                <w:sz w:val="13"/>
                <w:szCs w:val="13"/>
                <w:color w:val="auto"/>
                <w:w w:val="98"/>
              </w:rPr>
              <w:t>Yes</w:t>
            </w:r>
          </w:p>
        </w:tc>
        <w:tc>
          <w:tcPr>
            <w:tcW w:w="960" w:type="dxa"/>
            <w:vAlign w:val="bottom"/>
            <w:tcBorders>
              <w:bottom w:val="single" w:sz="8" w:color="auto"/>
            </w:tcBorders>
          </w:tcPr>
          <w:p>
            <w:pPr>
              <w:spacing w:after="0"/>
              <w:rPr>
                <w:sz w:val="24"/>
                <w:szCs w:val="24"/>
                <w:color w:val="auto"/>
              </w:rPr>
            </w:pPr>
          </w:p>
        </w:tc>
        <w:tc>
          <w:tcPr>
            <w:tcW w:w="3640" w:type="dxa"/>
            <w:vAlign w:val="bottom"/>
            <w:gridSpan w:val="2"/>
          </w:tcPr>
          <w:p>
            <w:pPr>
              <w:jc w:val="center"/>
              <w:ind w:left="616"/>
              <w:spacing w:after="0"/>
              <w:rPr>
                <w:sz w:val="20"/>
                <w:szCs w:val="20"/>
                <w:color w:val="auto"/>
              </w:rPr>
            </w:pPr>
            <w:r>
              <w:rPr>
                <w:rFonts w:ascii="Times New Roman" w:cs="Times New Roman" w:eastAsia="Times New Roman" w:hAnsi="Times New Roman"/>
                <w:sz w:val="13"/>
                <w:szCs w:val="13"/>
                <w:color w:val="auto"/>
              </w:rPr>
              <w:t>No</w:t>
            </w:r>
          </w:p>
        </w:tc>
        <w:tc>
          <w:tcPr>
            <w:tcW w:w="5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3"/>
                <w:szCs w:val="13"/>
                <w:color w:val="auto"/>
              </w:rPr>
              <w:t>X</w:t>
            </w:r>
          </w:p>
        </w:tc>
        <w:tc>
          <w:tcPr>
            <w:tcW w:w="1940" w:type="dxa"/>
            <w:vAlign w:val="bottom"/>
          </w:tcPr>
          <w:p>
            <w:pPr>
              <w:spacing w:after="0"/>
              <w:rPr>
                <w:sz w:val="24"/>
                <w:szCs w:val="24"/>
                <w:color w:val="auto"/>
              </w:rPr>
            </w:pPr>
          </w:p>
        </w:tc>
      </w:tr>
      <w:tr>
        <w:trPr>
          <w:trHeight w:val="308"/>
        </w:trPr>
        <w:tc>
          <w:tcPr>
            <w:tcW w:w="8840" w:type="dxa"/>
            <w:vAlign w:val="bottom"/>
            <w:gridSpan w:val="4"/>
          </w:tcPr>
          <w:p>
            <w:pPr>
              <w:jc w:val="center"/>
              <w:ind w:left="2376"/>
              <w:spacing w:after="0"/>
              <w:rPr>
                <w:sz w:val="20"/>
                <w:szCs w:val="20"/>
                <w:color w:val="auto"/>
              </w:rPr>
            </w:pPr>
            <w:r>
              <w:rPr>
                <w:rFonts w:ascii="Times New Roman" w:cs="Times New Roman" w:eastAsia="Times New Roman" w:hAnsi="Times New Roman"/>
                <w:sz w:val="13"/>
                <w:szCs w:val="13"/>
                <w:color w:val="auto"/>
                <w:w w:val="99"/>
              </w:rPr>
              <w:t>Indicate by check mark if the registrant is submitting the Form 6-K in paper as permitted by Regulation S-T Rule 101(b)(7):</w:t>
            </w:r>
          </w:p>
        </w:tc>
        <w:tc>
          <w:tcPr>
            <w:tcW w:w="520" w:type="dxa"/>
            <w:vAlign w:val="bottom"/>
          </w:tcPr>
          <w:p>
            <w:pPr>
              <w:spacing w:after="0"/>
              <w:rPr>
                <w:sz w:val="24"/>
                <w:szCs w:val="24"/>
                <w:color w:val="auto"/>
              </w:rPr>
            </w:pPr>
          </w:p>
        </w:tc>
        <w:tc>
          <w:tcPr>
            <w:tcW w:w="1940" w:type="dxa"/>
            <w:vAlign w:val="bottom"/>
          </w:tcPr>
          <w:p>
            <w:pPr>
              <w:spacing w:after="0"/>
              <w:rPr>
                <w:sz w:val="24"/>
                <w:szCs w:val="24"/>
                <w:color w:val="auto"/>
              </w:rPr>
            </w:pPr>
          </w:p>
        </w:tc>
      </w:tr>
      <w:tr>
        <w:trPr>
          <w:trHeight w:val="309"/>
        </w:trPr>
        <w:tc>
          <w:tcPr>
            <w:tcW w:w="4240" w:type="dxa"/>
            <w:vAlign w:val="bottom"/>
          </w:tcPr>
          <w:p>
            <w:pPr>
              <w:jc w:val="center"/>
              <w:ind w:left="1856"/>
              <w:spacing w:after="0"/>
              <w:rPr>
                <w:sz w:val="20"/>
                <w:szCs w:val="20"/>
                <w:color w:val="auto"/>
              </w:rPr>
            </w:pPr>
            <w:r>
              <w:rPr>
                <w:rFonts w:ascii="Times New Roman" w:cs="Times New Roman" w:eastAsia="Times New Roman" w:hAnsi="Times New Roman"/>
                <w:sz w:val="13"/>
                <w:szCs w:val="13"/>
                <w:color w:val="auto"/>
                <w:w w:val="98"/>
              </w:rPr>
              <w:t>Yes</w:t>
            </w:r>
          </w:p>
        </w:tc>
        <w:tc>
          <w:tcPr>
            <w:tcW w:w="960" w:type="dxa"/>
            <w:vAlign w:val="bottom"/>
          </w:tcPr>
          <w:p>
            <w:pPr>
              <w:spacing w:after="0"/>
              <w:rPr>
                <w:sz w:val="24"/>
                <w:szCs w:val="24"/>
                <w:color w:val="auto"/>
              </w:rPr>
            </w:pPr>
          </w:p>
        </w:tc>
        <w:tc>
          <w:tcPr>
            <w:tcW w:w="3640" w:type="dxa"/>
            <w:vAlign w:val="bottom"/>
            <w:gridSpan w:val="2"/>
          </w:tcPr>
          <w:p>
            <w:pPr>
              <w:jc w:val="center"/>
              <w:ind w:left="616"/>
              <w:spacing w:after="0"/>
              <w:rPr>
                <w:sz w:val="20"/>
                <w:szCs w:val="20"/>
                <w:color w:val="auto"/>
              </w:rPr>
            </w:pPr>
            <w:r>
              <w:rPr>
                <w:rFonts w:ascii="Times New Roman" w:cs="Times New Roman" w:eastAsia="Times New Roman" w:hAnsi="Times New Roman"/>
                <w:sz w:val="13"/>
                <w:szCs w:val="13"/>
                <w:color w:val="auto"/>
              </w:rPr>
              <w:t>No</w:t>
            </w:r>
          </w:p>
        </w:tc>
        <w:tc>
          <w:tcPr>
            <w:tcW w:w="520" w:type="dxa"/>
            <w:vAlign w:val="bottom"/>
          </w:tcPr>
          <w:p>
            <w:pPr>
              <w:spacing w:after="0"/>
              <w:rPr>
                <w:sz w:val="20"/>
                <w:szCs w:val="20"/>
                <w:color w:val="auto"/>
              </w:rPr>
            </w:pPr>
            <w:r>
              <w:rPr>
                <w:rFonts w:ascii="Times New Roman" w:cs="Times New Roman" w:eastAsia="Times New Roman" w:hAnsi="Times New Roman"/>
                <w:sz w:val="13"/>
                <w:szCs w:val="13"/>
                <w:color w:val="auto"/>
              </w:rPr>
              <w:t>X</w:t>
            </w:r>
          </w:p>
        </w:tc>
        <w:tc>
          <w:tcPr>
            <w:tcW w:w="1940" w:type="dxa"/>
            <w:vAlign w:val="bottom"/>
          </w:tcPr>
          <w:p>
            <w:pPr>
              <w:spacing w:after="0"/>
              <w:rPr>
                <w:sz w:val="24"/>
                <w:szCs w:val="24"/>
                <w:color w:val="auto"/>
              </w:rPr>
            </w:pPr>
          </w:p>
        </w:tc>
      </w:tr>
      <w:tr>
        <w:trPr>
          <w:trHeight w:val="714"/>
        </w:trPr>
        <w:tc>
          <w:tcPr>
            <w:tcW w:w="4240" w:type="dxa"/>
            <w:vAlign w:val="bottom"/>
            <w:tcBorders>
              <w:bottom w:val="single" w:sz="8" w:color="auto"/>
            </w:tcBorders>
          </w:tcPr>
          <w:p>
            <w:pPr>
              <w:spacing w:after="0"/>
              <w:rPr>
                <w:sz w:val="24"/>
                <w:szCs w:val="24"/>
                <w:color w:val="auto"/>
              </w:rPr>
            </w:pPr>
          </w:p>
        </w:tc>
        <w:tc>
          <w:tcPr>
            <w:tcW w:w="960" w:type="dxa"/>
            <w:vAlign w:val="bottom"/>
            <w:tcBorders>
              <w:top w:val="single" w:sz="8" w:color="auto"/>
              <w:bottom w:val="single" w:sz="8" w:color="auto"/>
            </w:tcBorders>
          </w:tcPr>
          <w:p>
            <w:pPr>
              <w:spacing w:after="0"/>
              <w:rPr>
                <w:sz w:val="24"/>
                <w:szCs w:val="24"/>
                <w:color w:val="auto"/>
              </w:rPr>
            </w:pPr>
          </w:p>
        </w:tc>
        <w:tc>
          <w:tcPr>
            <w:tcW w:w="3200" w:type="dxa"/>
            <w:vAlign w:val="bottom"/>
            <w:tcBorders>
              <w:bottom w:val="single" w:sz="8" w:color="auto"/>
            </w:tcBorders>
          </w:tcPr>
          <w:p>
            <w:pPr>
              <w:spacing w:after="0"/>
              <w:rPr>
                <w:sz w:val="24"/>
                <w:szCs w:val="24"/>
                <w:color w:val="auto"/>
              </w:rPr>
            </w:pPr>
          </w:p>
        </w:tc>
        <w:tc>
          <w:tcPr>
            <w:tcW w:w="440" w:type="dxa"/>
            <w:vAlign w:val="bottom"/>
            <w:tcBorders>
              <w:top w:val="single" w:sz="8" w:color="auto"/>
              <w:bottom w:val="single" w:sz="8" w:color="auto"/>
            </w:tcBorders>
          </w:tcPr>
          <w:p>
            <w:pPr>
              <w:spacing w:after="0"/>
              <w:rPr>
                <w:sz w:val="24"/>
                <w:szCs w:val="24"/>
                <w:color w:val="auto"/>
              </w:rPr>
            </w:pPr>
          </w:p>
        </w:tc>
        <w:tc>
          <w:tcPr>
            <w:tcW w:w="520" w:type="dxa"/>
            <w:vAlign w:val="bottom"/>
            <w:tcBorders>
              <w:top w:val="single" w:sz="8" w:color="auto"/>
              <w:bottom w:val="single" w:sz="8" w:color="auto"/>
            </w:tcBorders>
          </w:tcPr>
          <w:p>
            <w:pPr>
              <w:spacing w:after="0"/>
              <w:rPr>
                <w:sz w:val="24"/>
                <w:szCs w:val="24"/>
                <w:color w:val="auto"/>
              </w:rPr>
            </w:pPr>
          </w:p>
        </w:tc>
        <w:tc>
          <w:tcPr>
            <w:tcW w:w="1940" w:type="dxa"/>
            <w:vAlign w:val="bottom"/>
            <w:tcBorders>
              <w:bottom w:val="single" w:sz="8" w:color="auto"/>
            </w:tcBorders>
          </w:tcPr>
          <w:p>
            <w:pPr>
              <w:spacing w:after="0"/>
              <w:rPr>
                <w:sz w:val="24"/>
                <w:szCs w:val="24"/>
                <w:color w:val="auto"/>
              </w:rPr>
            </w:pPr>
          </w:p>
        </w:tc>
      </w:tr>
    </w:tbl>
    <w:p>
      <w:pPr>
        <w:sectPr>
          <w:pgSz w:w="11900" w:h="16838" w:orient="portrait"/>
          <w:cols w:equalWidth="0" w:num="1">
            <w:col w:w="11300"/>
          </w:cols>
          <w:pgMar w:left="300" w:top="196" w:right="29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3"/>
          <w:szCs w:val="13"/>
          <w:b w:val="1"/>
          <w:bCs w:val="1"/>
          <w:color w:val="auto"/>
        </w:rPr>
        <w:t>Annual General Meeting Results</w:t>
      </w:r>
    </w:p>
    <w:p>
      <w:pPr>
        <w:spacing w:after="0" w:line="159" w:lineRule="exact"/>
        <w:rPr>
          <w:sz w:val="20"/>
          <w:szCs w:val="20"/>
          <w:color w:val="auto"/>
        </w:rPr>
      </w:pPr>
    </w:p>
    <w:p>
      <w:pPr>
        <w:ind w:right="120" w:firstLine="463"/>
        <w:spacing w:after="0" w:line="258" w:lineRule="auto"/>
        <w:rPr>
          <w:sz w:val="20"/>
          <w:szCs w:val="20"/>
          <w:color w:val="auto"/>
        </w:rPr>
      </w:pPr>
      <w:r>
        <w:rPr>
          <w:rFonts w:ascii="Times New Roman" w:cs="Times New Roman" w:eastAsia="Times New Roman" w:hAnsi="Times New Roman"/>
          <w:sz w:val="13"/>
          <w:szCs w:val="13"/>
          <w:color w:val="auto"/>
        </w:rPr>
        <w:t>On June 24, 2022, AC Immune SA (“</w:t>
      </w:r>
      <w:r>
        <w:rPr>
          <w:rFonts w:ascii="Times New Roman" w:cs="Times New Roman" w:eastAsia="Times New Roman" w:hAnsi="Times New Roman"/>
          <w:sz w:val="13"/>
          <w:szCs w:val="13"/>
          <w:b w:val="1"/>
          <w:bCs w:val="1"/>
          <w:color w:val="auto"/>
        </w:rPr>
        <w:t>AC Immune</w:t>
      </w:r>
      <w:r>
        <w:rPr>
          <w:rFonts w:ascii="Times New Roman" w:cs="Times New Roman" w:eastAsia="Times New Roman" w:hAnsi="Times New Roman"/>
          <w:sz w:val="13"/>
          <w:szCs w:val="13"/>
          <w:color w:val="auto"/>
        </w:rPr>
        <w:t>”) held its Annual General Meeting of Shareholders. The Management presentation to shareholders is attached hereto as Exhibit 99.1 and the press release relating to the results of the Annual General Meeting is attached hereto as Exhibit 99.2. The amended Articles of Association are attached hereto as Exhibit 99.3, the notarized version of which will be published on AC Immune’s website (https://ir.acimmune.com/governance) after the filing of the document with the Swiss Register of Commerce. The final results of the agenda items submitted to a vote of the shareholders are as follows:</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Agenda Item 1: 2021 IFRS Consolidated Financial Statements, 2021 Statutory Annual Report and 2021 Compensation Report</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Agenda Item 1.1: Approval of 2021 Consolidated IFRS Financial Statements and 2021 Statutory Annual Report</w:t>
      </w:r>
    </w:p>
    <w:p>
      <w:pPr>
        <w:spacing w:after="0" w:line="16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3"/>
          <w:szCs w:val="13"/>
          <w:color w:val="auto"/>
        </w:rPr>
        <w:t>AC Immune shareholders approved the 2021 IFRS Consolidated Financial Statements and the 2021 Statutory Annual Report, and took note of the Reports of the Auditors.</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Agenda Item 1.2: Advisory Vote on the 2021 Compensation Report</w:t>
      </w:r>
    </w:p>
    <w:p>
      <w:pPr>
        <w:spacing w:after="0" w:line="16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3"/>
          <w:szCs w:val="13"/>
          <w:color w:val="auto"/>
        </w:rPr>
        <w:t>AC Immune shareholders endorsed the 2021 Compensation Report.</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Agenda Item 2: Appropriation of Loss</w:t>
      </w:r>
    </w:p>
    <w:p>
      <w:pPr>
        <w:spacing w:after="0" w:line="161" w:lineRule="exact"/>
        <w:rPr>
          <w:sz w:val="20"/>
          <w:szCs w:val="20"/>
          <w:color w:val="auto"/>
        </w:rPr>
      </w:pPr>
    </w:p>
    <w:p>
      <w:pPr>
        <w:ind w:right="380" w:firstLine="463"/>
        <w:spacing w:after="0" w:line="275" w:lineRule="auto"/>
        <w:rPr>
          <w:sz w:val="20"/>
          <w:szCs w:val="20"/>
          <w:color w:val="auto"/>
        </w:rPr>
      </w:pPr>
      <w:r>
        <w:rPr>
          <w:rFonts w:ascii="Times New Roman" w:cs="Times New Roman" w:eastAsia="Times New Roman" w:hAnsi="Times New Roman"/>
          <w:sz w:val="13"/>
          <w:szCs w:val="13"/>
          <w:color w:val="auto"/>
        </w:rPr>
        <w:t>AC Immune shareholders approved that the net loss for the year 2021 in the amount of KCHF 75,204 increases the “accumulated losses brought forward” of KCHF 119,975, resulting in a new balance of “accumulated losses brought forward” of KCHF 195,179.</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Agenda Item 3: Discharge of the Board of Directors and of the Executive Committee</w:t>
      </w:r>
    </w:p>
    <w:p>
      <w:pPr>
        <w:spacing w:after="0" w:line="16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3"/>
          <w:szCs w:val="13"/>
          <w:color w:val="auto"/>
        </w:rPr>
        <w:t>AC Immune shareholders approved the discharge of the members of the Board of Directors and of the Executive Committee of their liabilities for their activities in the 2021 financial year.</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Agenda Item 4: Compensation for the Members of the Board of Directors and the Executive Committee</w:t>
      </w:r>
    </w:p>
    <w:p>
      <w:pPr>
        <w:spacing w:after="0" w:line="16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3"/>
          <w:szCs w:val="13"/>
          <w:color w:val="auto"/>
        </w:rPr>
        <w:t>AC Immune shareholders approved:</w:t>
      </w:r>
    </w:p>
    <w:p>
      <w:pPr>
        <w:spacing w:after="0" w:line="159" w:lineRule="exact"/>
        <w:rPr>
          <w:sz w:val="20"/>
          <w:szCs w:val="20"/>
          <w:color w:val="auto"/>
        </w:rPr>
      </w:pPr>
    </w:p>
    <w:p>
      <w:pPr>
        <w:ind w:left="460" w:firstLine="232"/>
        <w:spacing w:after="0" w:line="275" w:lineRule="auto"/>
        <w:rPr>
          <w:sz w:val="20"/>
          <w:szCs w:val="20"/>
          <w:color w:val="auto"/>
        </w:rPr>
      </w:pPr>
      <w:r>
        <w:rPr>
          <w:rFonts w:ascii="Times New Roman" w:cs="Times New Roman" w:eastAsia="Times New Roman" w:hAnsi="Times New Roman"/>
          <w:sz w:val="13"/>
          <w:szCs w:val="13"/>
          <w:color w:val="auto"/>
        </w:rPr>
        <w:t>A. The total maximum amount of compensation for the Board of Directors of CHF 1,242K (cash-based and equity or equity linked instruments at grant value, excluding employer social security and pension contributions) covering the period from 1 July 2022 to 30 June 2023;</w:t>
      </w:r>
    </w:p>
    <w:p>
      <w:pPr>
        <w:spacing w:after="0" w:line="121" w:lineRule="exact"/>
        <w:rPr>
          <w:sz w:val="20"/>
          <w:szCs w:val="20"/>
          <w:color w:val="auto"/>
        </w:rPr>
      </w:pPr>
    </w:p>
    <w:p>
      <w:pPr>
        <w:ind w:left="460" w:firstLine="232"/>
        <w:spacing w:after="0" w:line="275" w:lineRule="auto"/>
        <w:rPr>
          <w:sz w:val="20"/>
          <w:szCs w:val="20"/>
          <w:color w:val="auto"/>
        </w:rPr>
      </w:pPr>
      <w:r>
        <w:rPr>
          <w:rFonts w:ascii="Times New Roman" w:cs="Times New Roman" w:eastAsia="Times New Roman" w:hAnsi="Times New Roman"/>
          <w:sz w:val="13"/>
          <w:szCs w:val="13"/>
          <w:color w:val="auto"/>
        </w:rPr>
        <w:t>B. The total maximum amount of non-performance-related cash compensation for the Executive Committee, of CHF 1,498K (cash-based compensation, excluding employer social security and pension contributions) from 1 July 2022 to 31 December 2022;</w:t>
      </w:r>
    </w:p>
    <w:p>
      <w:pPr>
        <w:spacing w:after="0" w:line="121" w:lineRule="exact"/>
        <w:rPr>
          <w:sz w:val="20"/>
          <w:szCs w:val="20"/>
          <w:color w:val="auto"/>
        </w:rPr>
      </w:pPr>
    </w:p>
    <w:p>
      <w:pPr>
        <w:ind w:left="460" w:firstLine="232"/>
        <w:spacing w:after="0" w:line="275" w:lineRule="auto"/>
        <w:rPr>
          <w:sz w:val="20"/>
          <w:szCs w:val="20"/>
          <w:color w:val="auto"/>
        </w:rPr>
      </w:pPr>
      <w:r>
        <w:rPr>
          <w:rFonts w:ascii="Times New Roman" w:cs="Times New Roman" w:eastAsia="Times New Roman" w:hAnsi="Times New Roman"/>
          <w:sz w:val="13"/>
          <w:szCs w:val="13"/>
          <w:color w:val="auto"/>
        </w:rPr>
        <w:t>C. The total maximum amount of variable compensation for the Executive Committee of CHF 1,158K (cash-based compensation, excluding employer social security and pension contributions) for the current year 2022;</w:t>
      </w:r>
    </w:p>
    <w:p>
      <w:pPr>
        <w:spacing w:after="0" w:line="121" w:lineRule="exact"/>
        <w:rPr>
          <w:sz w:val="20"/>
          <w:szCs w:val="20"/>
          <w:color w:val="auto"/>
        </w:rPr>
      </w:pPr>
    </w:p>
    <w:p>
      <w:pPr>
        <w:ind w:left="460" w:firstLine="232"/>
        <w:spacing w:after="0" w:line="275" w:lineRule="auto"/>
        <w:rPr>
          <w:sz w:val="20"/>
          <w:szCs w:val="20"/>
          <w:color w:val="auto"/>
        </w:rPr>
      </w:pPr>
      <w:r>
        <w:rPr>
          <w:rFonts w:ascii="Times New Roman" w:cs="Times New Roman" w:eastAsia="Times New Roman" w:hAnsi="Times New Roman"/>
          <w:sz w:val="13"/>
          <w:szCs w:val="13"/>
          <w:color w:val="auto"/>
        </w:rPr>
        <w:t>D. The maximum grant of equity or equity linked instruments for the Executive Committee with a maximum value of CHF 1,839K (equity or equity linked instruments at grant value, excluding employer social security and pension contributions) from 1 July 2022 to 31 December 2022; and</w:t>
      </w:r>
    </w:p>
    <w:p>
      <w:pPr>
        <w:spacing w:after="0" w:line="121" w:lineRule="exact"/>
        <w:rPr>
          <w:sz w:val="20"/>
          <w:szCs w:val="20"/>
          <w:color w:val="auto"/>
        </w:rPr>
      </w:pPr>
    </w:p>
    <w:p>
      <w:pPr>
        <w:ind w:left="460" w:firstLine="232"/>
        <w:spacing w:after="0" w:line="275" w:lineRule="auto"/>
        <w:rPr>
          <w:sz w:val="20"/>
          <w:szCs w:val="20"/>
          <w:color w:val="auto"/>
        </w:rPr>
      </w:pPr>
      <w:r>
        <w:rPr>
          <w:rFonts w:ascii="Times New Roman" w:cs="Times New Roman" w:eastAsia="Times New Roman" w:hAnsi="Times New Roman"/>
          <w:sz w:val="13"/>
          <w:szCs w:val="13"/>
          <w:color w:val="auto"/>
        </w:rPr>
        <w:t>E. The total maximum compensation for the Executive Committee with maximum value of CHF 7,895K (cash-based compensation, variable compensation, and equity or equity linked instruments at grant value, excluding employer social security and pension contributions) from 1 January 2023 to 31 December 2023.</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Agenda Item 5: Re-elections</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Agenda Item 5.1: Re-elections of Members of the Board</w:t>
      </w:r>
    </w:p>
    <w:p>
      <w:pPr>
        <w:spacing w:after="0" w:line="161" w:lineRule="exact"/>
        <w:rPr>
          <w:sz w:val="20"/>
          <w:szCs w:val="20"/>
          <w:color w:val="auto"/>
        </w:rPr>
      </w:pPr>
    </w:p>
    <w:p>
      <w:pPr>
        <w:ind w:right="500" w:firstLine="463"/>
        <w:spacing w:after="0" w:line="275" w:lineRule="auto"/>
        <w:rPr>
          <w:sz w:val="20"/>
          <w:szCs w:val="20"/>
          <w:color w:val="auto"/>
        </w:rPr>
      </w:pPr>
      <w:r>
        <w:rPr>
          <w:rFonts w:ascii="Times New Roman" w:cs="Times New Roman" w:eastAsia="Times New Roman" w:hAnsi="Times New Roman"/>
          <w:sz w:val="13"/>
          <w:szCs w:val="13"/>
          <w:color w:val="auto"/>
        </w:rPr>
        <w:t>AC Immune shareholders approved the re-election of Douglas Williams as member and as Chairman of the Board and the re-election of Monika Bütler, Alan Colowick, Tom Graney, Carl June, Werner Lanthaler, Andrea Pfeifer, Monica Shaw and Roy Twyman as members of the Board of Directors, each until the end of the Annual General Meeting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244475</wp:posOffset>
            </wp:positionV>
            <wp:extent cx="7171690" cy="635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71690" cy="6350"/>
                    </a:xfrm>
                    <a:prstGeom prst="rect">
                      <a:avLst/>
                    </a:prstGeom>
                    <a:noFill/>
                  </pic:spPr>
                </pic:pic>
              </a:graphicData>
            </a:graphic>
          </wp:anchor>
        </w:drawing>
      </w:r>
    </w:p>
    <w:p>
      <w:pPr>
        <w:sectPr>
          <w:pgSz w:w="11900" w:h="16838" w:orient="portrait"/>
          <w:cols w:equalWidth="0" w:num="1">
            <w:col w:w="11280"/>
          </w:cols>
          <w:pgMar w:left="300" w:top="453" w:right="31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3"/>
          <w:szCs w:val="13"/>
          <w:b w:val="1"/>
          <w:bCs w:val="1"/>
          <w:color w:val="auto"/>
        </w:rPr>
        <w:t>Agenda Item 5.2: Re-elections of Members of the Compensation, Nomination &amp; Corporate Governance Committee</w:t>
      </w:r>
    </w:p>
    <w:p>
      <w:pPr>
        <w:spacing w:after="0" w:line="161" w:lineRule="exact"/>
        <w:rPr>
          <w:sz w:val="20"/>
          <w:szCs w:val="20"/>
          <w:color w:val="auto"/>
        </w:rPr>
      </w:pPr>
    </w:p>
    <w:p>
      <w:pPr>
        <w:ind w:firstLine="463"/>
        <w:spacing w:after="0" w:line="275" w:lineRule="auto"/>
        <w:rPr>
          <w:sz w:val="20"/>
          <w:szCs w:val="20"/>
          <w:color w:val="auto"/>
        </w:rPr>
      </w:pPr>
      <w:r>
        <w:rPr>
          <w:rFonts w:ascii="Times New Roman" w:cs="Times New Roman" w:eastAsia="Times New Roman" w:hAnsi="Times New Roman"/>
          <w:sz w:val="13"/>
          <w:szCs w:val="13"/>
          <w:color w:val="auto"/>
        </w:rPr>
        <w:t>AC Immune shareholders approved the re-election of Tom Graney, Roy Twyman and Douglas Williams as members of the Compensation, Nomination &amp; Corporate Governance Committee, each until the end of the Annual General Meeting 2023.</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Agenda Item 5.3: Re-election of the Statutory Auditors</w:t>
      </w:r>
    </w:p>
    <w:p>
      <w:pPr>
        <w:spacing w:after="0" w:line="16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3"/>
          <w:szCs w:val="13"/>
          <w:color w:val="auto"/>
        </w:rPr>
        <w:t>AC Immune shareholders approved the re-election of PricewaterhouseCoopers SA, in Pully, Switzerland, for a term of office of one year.</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Agenda Item 5.4: Re-election of the Independent Proxy</w:t>
      </w:r>
    </w:p>
    <w:p>
      <w:pPr>
        <w:spacing w:after="0" w:line="16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3"/>
          <w:szCs w:val="13"/>
          <w:color w:val="auto"/>
        </w:rPr>
        <w:t>AC Immune shareholders approved the re-election of Reymond &amp; Associés, Lausanne, as AC Immune’s independent proxy until the end of the Annual General Meeting 2023.</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Agenda Item 6: Amendments of the Articles of Association</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Agenda Item 6.1: Authorized Share Capital</w:t>
      </w:r>
    </w:p>
    <w:p>
      <w:pPr>
        <w:spacing w:after="0" w:line="161" w:lineRule="exact"/>
        <w:rPr>
          <w:sz w:val="20"/>
          <w:szCs w:val="20"/>
          <w:color w:val="auto"/>
        </w:rPr>
      </w:pPr>
    </w:p>
    <w:p>
      <w:pPr>
        <w:ind w:right="60" w:firstLine="463"/>
        <w:spacing w:after="0" w:line="275" w:lineRule="auto"/>
        <w:rPr>
          <w:sz w:val="20"/>
          <w:szCs w:val="20"/>
          <w:color w:val="auto"/>
        </w:rPr>
      </w:pPr>
      <w:r>
        <w:rPr>
          <w:rFonts w:ascii="Times New Roman" w:cs="Times New Roman" w:eastAsia="Times New Roman" w:hAnsi="Times New Roman"/>
          <w:sz w:val="13"/>
          <w:szCs w:val="13"/>
          <w:color w:val="auto"/>
        </w:rPr>
        <w:t>AC Immune shareholders approved introducing a new article 3a into the articles of association to add authorized share capital to enable the Board of Directors to issue up to 20,000,000 new registered common shares of CHF 0.02 nominal value each until 24 June 2024.</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Agenda Item 6.2: Conditional Capital Increase for Bonds and Similar Debt Instruments</w:t>
      </w:r>
    </w:p>
    <w:p>
      <w:pPr>
        <w:spacing w:after="0" w:line="161" w:lineRule="exact"/>
        <w:rPr>
          <w:sz w:val="20"/>
          <w:szCs w:val="20"/>
          <w:color w:val="auto"/>
        </w:rPr>
      </w:pPr>
    </w:p>
    <w:p>
      <w:pPr>
        <w:ind w:right="380" w:firstLine="463"/>
        <w:spacing w:after="0" w:line="275" w:lineRule="auto"/>
        <w:rPr>
          <w:sz w:val="20"/>
          <w:szCs w:val="20"/>
          <w:color w:val="auto"/>
        </w:rPr>
      </w:pPr>
      <w:r>
        <w:rPr>
          <w:rFonts w:ascii="Times New Roman" w:cs="Times New Roman" w:eastAsia="Times New Roman" w:hAnsi="Times New Roman"/>
          <w:sz w:val="13"/>
          <w:szCs w:val="13"/>
          <w:color w:val="auto"/>
        </w:rPr>
        <w:t>AC Immune shareholders approved an amendment to the existing first paragraph of article 3b (Conditional Share Capital Increase for Bonds and Similar Debt Instruments) of the articles of association to increase the conditional capital for bonds and similar debt instruments in the maximum amount of CHF 100,000 by allowing the issuance of 5,000,000 registered shares of CHF 0.02 nominal value each.</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Agenda Item 6.3: Conditional Capital Increase for Employee Benefit Plans</w:t>
      </w:r>
    </w:p>
    <w:p>
      <w:pPr>
        <w:spacing w:after="0" w:line="161" w:lineRule="exact"/>
        <w:rPr>
          <w:sz w:val="20"/>
          <w:szCs w:val="20"/>
          <w:color w:val="auto"/>
        </w:rPr>
      </w:pPr>
    </w:p>
    <w:p>
      <w:pPr>
        <w:ind w:right="280" w:firstLine="463"/>
        <w:spacing w:after="0" w:line="261" w:lineRule="auto"/>
        <w:rPr>
          <w:sz w:val="20"/>
          <w:szCs w:val="20"/>
          <w:color w:val="auto"/>
        </w:rPr>
      </w:pPr>
      <w:r>
        <w:rPr>
          <w:rFonts w:ascii="Times New Roman" w:cs="Times New Roman" w:eastAsia="Times New Roman" w:hAnsi="Times New Roman"/>
          <w:sz w:val="13"/>
          <w:szCs w:val="13"/>
          <w:color w:val="auto"/>
        </w:rPr>
        <w:t>AC Immune shareholders approved an amendment to the existing first paragraph of article 3c (Conditional Share Capital Increase for Employee Benefit Plans) of the articles of association to increase the conditional capital for the benefit plans of employees and individuals of comparable positions, in the maximum amount of CHF 96,000 by allowing the issuance of 4,800,000 registered common shares of CHF 0.02 nominal value each.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250190</wp:posOffset>
            </wp:positionV>
            <wp:extent cx="7171690" cy="635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71690" cy="6350"/>
                    </a:xfrm>
                    <a:prstGeom prst="rect">
                      <a:avLst/>
                    </a:prstGeom>
                    <a:noFill/>
                  </pic:spPr>
                </pic:pic>
              </a:graphicData>
            </a:graphic>
          </wp:anchor>
        </w:drawing>
      </w:r>
    </w:p>
    <w:p>
      <w:pPr>
        <w:sectPr>
          <w:pgSz w:w="11900" w:h="16838" w:orient="portrait"/>
          <w:cols w:equalWidth="0" w:num="1">
            <w:col w:w="11280"/>
          </w:cols>
          <w:pgMar w:left="300" w:top="607" w:right="319" w:bottom="1440" w:gutter="0" w:footer="0" w:header="0"/>
        </w:sectPr>
      </w:pPr>
    </w:p>
    <w:bookmarkStart w:id="3" w:name="page4"/>
    <w:bookmarkEnd w:id="3"/>
    <w:p>
      <w:pPr>
        <w:jc w:val="center"/>
        <w:spacing w:after="0"/>
        <w:rPr>
          <w:sz w:val="20"/>
          <w:szCs w:val="20"/>
          <w:color w:val="auto"/>
        </w:rPr>
      </w:pPr>
      <w:r>
        <w:rPr>
          <w:rFonts w:ascii="Times New Roman" w:cs="Times New Roman" w:eastAsia="Times New Roman" w:hAnsi="Times New Roman"/>
          <w:sz w:val="13"/>
          <w:szCs w:val="13"/>
          <w:b w:val="1"/>
          <w:bCs w:val="1"/>
          <w:color w:val="auto"/>
        </w:rPr>
        <w:t>SIGNATURE</w:t>
      </w:r>
    </w:p>
    <w:p>
      <w:pPr>
        <w:spacing w:after="0" w:line="16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3"/>
          <w:szCs w:val="13"/>
          <w:color w:val="auto"/>
        </w:rPr>
        <w:t>Pursuant to the requirements of the Securities Exchange Act of 1934, the registrant has duly caused this report to be signed on its behalf by the undersigned, thereunto duly authorized.</w:t>
      </w:r>
    </w:p>
    <w:p>
      <w:pPr>
        <w:spacing w:after="0" w:line="157" w:lineRule="exact"/>
        <w:rPr>
          <w:sz w:val="20"/>
          <w:szCs w:val="20"/>
          <w:color w:val="auto"/>
        </w:rPr>
      </w:pPr>
    </w:p>
    <w:tbl>
      <w:tblPr>
        <w:tblLayout w:type="fixed"/>
        <w:tblInd w:w="6780" w:type="dxa"/>
        <w:tblCellMar>
          <w:top w:w="0" w:type="dxa"/>
          <w:left w:w="0" w:type="dxa"/>
          <w:bottom w:w="0" w:type="dxa"/>
          <w:right w:w="0" w:type="dxa"/>
        </w:tblCellMar>
      </w:tblPr>
      <w:tr>
        <w:trPr>
          <w:trHeight w:val="169"/>
        </w:trPr>
        <w:tc>
          <w:tcPr>
            <w:tcW w:w="1040" w:type="dxa"/>
            <w:vAlign w:val="bottom"/>
            <w:gridSpan w:val="2"/>
          </w:tcPr>
          <w:p>
            <w:pPr>
              <w:spacing w:after="0"/>
              <w:rPr>
                <w:sz w:val="20"/>
                <w:szCs w:val="20"/>
                <w:color w:val="auto"/>
              </w:rPr>
            </w:pPr>
            <w:r>
              <w:rPr>
                <w:rFonts w:ascii="Times New Roman" w:cs="Times New Roman" w:eastAsia="Times New Roman" w:hAnsi="Times New Roman"/>
                <w:sz w:val="13"/>
                <w:szCs w:val="13"/>
                <w:b w:val="1"/>
                <w:bCs w:val="1"/>
                <w:color w:val="auto"/>
              </w:rPr>
              <w:t>AC IMMUNE SA</w:t>
            </w:r>
          </w:p>
        </w:tc>
        <w:tc>
          <w:tcPr>
            <w:tcW w:w="3480" w:type="dxa"/>
            <w:vAlign w:val="bottom"/>
          </w:tcPr>
          <w:p>
            <w:pPr>
              <w:spacing w:after="0"/>
              <w:rPr>
                <w:sz w:val="14"/>
                <w:szCs w:val="14"/>
                <w:color w:val="auto"/>
              </w:rPr>
            </w:pPr>
          </w:p>
        </w:tc>
      </w:tr>
      <w:tr>
        <w:trPr>
          <w:trHeight w:val="589"/>
        </w:trPr>
        <w:tc>
          <w:tcPr>
            <w:tcW w:w="560" w:type="dxa"/>
            <w:vAlign w:val="bottom"/>
          </w:tcPr>
          <w:p>
            <w:pPr>
              <w:spacing w:after="0"/>
              <w:rPr>
                <w:sz w:val="20"/>
                <w:szCs w:val="20"/>
                <w:color w:val="auto"/>
              </w:rPr>
            </w:pPr>
            <w:r>
              <w:rPr>
                <w:rFonts w:ascii="Times New Roman" w:cs="Times New Roman" w:eastAsia="Times New Roman" w:hAnsi="Times New Roman"/>
                <w:sz w:val="13"/>
                <w:szCs w:val="13"/>
                <w:color w:val="auto"/>
              </w:rPr>
              <w:t>By:</w:t>
            </w:r>
          </w:p>
        </w:tc>
        <w:tc>
          <w:tcPr>
            <w:tcW w:w="39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3"/>
                <w:szCs w:val="13"/>
                <w:color w:val="auto"/>
              </w:rPr>
              <w:t>/s/ Andrea Pfeifer</w:t>
            </w:r>
          </w:p>
        </w:tc>
      </w:tr>
      <w:tr>
        <w:trPr>
          <w:trHeight w:val="132"/>
        </w:trPr>
        <w:tc>
          <w:tcPr>
            <w:tcW w:w="560" w:type="dxa"/>
            <w:vAlign w:val="bottom"/>
          </w:tcPr>
          <w:p>
            <w:pPr>
              <w:spacing w:after="0"/>
              <w:rPr>
                <w:sz w:val="11"/>
                <w:szCs w:val="11"/>
                <w:color w:val="auto"/>
              </w:rPr>
            </w:pPr>
          </w:p>
        </w:tc>
        <w:tc>
          <w:tcPr>
            <w:tcW w:w="480" w:type="dxa"/>
            <w:vAlign w:val="bottom"/>
          </w:tcPr>
          <w:p>
            <w:pPr>
              <w:spacing w:after="0" w:line="132" w:lineRule="exact"/>
              <w:rPr>
                <w:sz w:val="20"/>
                <w:szCs w:val="20"/>
                <w:color w:val="auto"/>
              </w:rPr>
            </w:pPr>
            <w:r>
              <w:rPr>
                <w:rFonts w:ascii="Times New Roman" w:cs="Times New Roman" w:eastAsia="Times New Roman" w:hAnsi="Times New Roman"/>
                <w:sz w:val="13"/>
                <w:szCs w:val="13"/>
                <w:color w:val="auto"/>
              </w:rPr>
              <w:t>Name:</w:t>
            </w:r>
          </w:p>
        </w:tc>
        <w:tc>
          <w:tcPr>
            <w:tcW w:w="3480" w:type="dxa"/>
            <w:vAlign w:val="bottom"/>
          </w:tcPr>
          <w:p>
            <w:pPr>
              <w:ind w:left="80"/>
              <w:spacing w:after="0" w:line="132" w:lineRule="exact"/>
              <w:rPr>
                <w:sz w:val="20"/>
                <w:szCs w:val="20"/>
                <w:color w:val="auto"/>
              </w:rPr>
            </w:pPr>
            <w:r>
              <w:rPr>
                <w:rFonts w:ascii="Times New Roman" w:cs="Times New Roman" w:eastAsia="Times New Roman" w:hAnsi="Times New Roman"/>
                <w:sz w:val="13"/>
                <w:szCs w:val="13"/>
                <w:color w:val="auto"/>
              </w:rPr>
              <w:t>Andrea Pfeifer</w:t>
            </w:r>
          </w:p>
        </w:tc>
      </w:tr>
      <w:tr>
        <w:trPr>
          <w:trHeight w:val="167"/>
        </w:trPr>
        <w:tc>
          <w:tcPr>
            <w:tcW w:w="560" w:type="dxa"/>
            <w:vAlign w:val="bottom"/>
          </w:tcPr>
          <w:p>
            <w:pPr>
              <w:spacing w:after="0"/>
              <w:rPr>
                <w:sz w:val="14"/>
                <w:szCs w:val="14"/>
                <w:color w:val="auto"/>
              </w:rPr>
            </w:pPr>
          </w:p>
        </w:tc>
        <w:tc>
          <w:tcPr>
            <w:tcW w:w="480" w:type="dxa"/>
            <w:vAlign w:val="bottom"/>
          </w:tcPr>
          <w:p>
            <w:pPr>
              <w:spacing w:after="0"/>
              <w:rPr>
                <w:sz w:val="20"/>
                <w:szCs w:val="20"/>
                <w:color w:val="auto"/>
              </w:rPr>
            </w:pPr>
            <w:r>
              <w:rPr>
                <w:rFonts w:ascii="Times New Roman" w:cs="Times New Roman" w:eastAsia="Times New Roman" w:hAnsi="Times New Roman"/>
                <w:sz w:val="13"/>
                <w:szCs w:val="13"/>
                <w:color w:val="auto"/>
              </w:rPr>
              <w:t>Title:</w:t>
            </w:r>
          </w:p>
        </w:tc>
        <w:tc>
          <w:tcPr>
            <w:tcW w:w="3480" w:type="dxa"/>
            <w:vAlign w:val="bottom"/>
          </w:tcPr>
          <w:p>
            <w:pPr>
              <w:ind w:left="80"/>
              <w:spacing w:after="0"/>
              <w:rPr>
                <w:sz w:val="20"/>
                <w:szCs w:val="20"/>
                <w:color w:val="auto"/>
              </w:rPr>
            </w:pPr>
            <w:r>
              <w:rPr>
                <w:rFonts w:ascii="Times New Roman" w:cs="Times New Roman" w:eastAsia="Times New Roman" w:hAnsi="Times New Roman"/>
                <w:sz w:val="13"/>
                <w:szCs w:val="13"/>
                <w:color w:val="auto"/>
              </w:rPr>
              <w:t>Chief Executive Officer</w:t>
            </w:r>
          </w:p>
        </w:tc>
      </w:tr>
      <w:tr>
        <w:trPr>
          <w:trHeight w:val="657"/>
        </w:trPr>
        <w:tc>
          <w:tcPr>
            <w:tcW w:w="560" w:type="dxa"/>
            <w:vAlign w:val="bottom"/>
          </w:tcPr>
          <w:p>
            <w:pPr>
              <w:spacing w:after="0"/>
              <w:rPr>
                <w:sz w:val="20"/>
                <w:szCs w:val="20"/>
                <w:color w:val="auto"/>
              </w:rPr>
            </w:pPr>
            <w:r>
              <w:rPr>
                <w:rFonts w:ascii="Times New Roman" w:cs="Times New Roman" w:eastAsia="Times New Roman" w:hAnsi="Times New Roman"/>
                <w:sz w:val="13"/>
                <w:szCs w:val="13"/>
                <w:color w:val="auto"/>
              </w:rPr>
              <w:t>By:</w:t>
            </w:r>
          </w:p>
        </w:tc>
        <w:tc>
          <w:tcPr>
            <w:tcW w:w="39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3"/>
                <w:szCs w:val="13"/>
                <w:color w:val="auto"/>
              </w:rPr>
              <w:t>/s/ Joerg Hornstein</w:t>
            </w:r>
          </w:p>
        </w:tc>
      </w:tr>
      <w:tr>
        <w:trPr>
          <w:trHeight w:val="132"/>
        </w:trPr>
        <w:tc>
          <w:tcPr>
            <w:tcW w:w="560" w:type="dxa"/>
            <w:vAlign w:val="bottom"/>
          </w:tcPr>
          <w:p>
            <w:pPr>
              <w:spacing w:after="0"/>
              <w:rPr>
                <w:sz w:val="11"/>
                <w:szCs w:val="11"/>
                <w:color w:val="auto"/>
              </w:rPr>
            </w:pPr>
          </w:p>
        </w:tc>
        <w:tc>
          <w:tcPr>
            <w:tcW w:w="480" w:type="dxa"/>
            <w:vAlign w:val="bottom"/>
          </w:tcPr>
          <w:p>
            <w:pPr>
              <w:spacing w:after="0" w:line="132" w:lineRule="exact"/>
              <w:rPr>
                <w:sz w:val="20"/>
                <w:szCs w:val="20"/>
                <w:color w:val="auto"/>
              </w:rPr>
            </w:pPr>
            <w:r>
              <w:rPr>
                <w:rFonts w:ascii="Times New Roman" w:cs="Times New Roman" w:eastAsia="Times New Roman" w:hAnsi="Times New Roman"/>
                <w:sz w:val="13"/>
                <w:szCs w:val="13"/>
                <w:color w:val="auto"/>
              </w:rPr>
              <w:t>Name:</w:t>
            </w:r>
          </w:p>
        </w:tc>
        <w:tc>
          <w:tcPr>
            <w:tcW w:w="3480" w:type="dxa"/>
            <w:vAlign w:val="bottom"/>
          </w:tcPr>
          <w:p>
            <w:pPr>
              <w:ind w:left="80"/>
              <w:spacing w:after="0" w:line="132" w:lineRule="exact"/>
              <w:rPr>
                <w:sz w:val="20"/>
                <w:szCs w:val="20"/>
                <w:color w:val="auto"/>
              </w:rPr>
            </w:pPr>
            <w:r>
              <w:rPr>
                <w:rFonts w:ascii="Times New Roman" w:cs="Times New Roman" w:eastAsia="Times New Roman" w:hAnsi="Times New Roman"/>
                <w:sz w:val="13"/>
                <w:szCs w:val="13"/>
                <w:color w:val="auto"/>
              </w:rPr>
              <w:t>Joerg Hornstein</w:t>
            </w:r>
          </w:p>
        </w:tc>
      </w:tr>
      <w:tr>
        <w:trPr>
          <w:trHeight w:val="167"/>
        </w:trPr>
        <w:tc>
          <w:tcPr>
            <w:tcW w:w="560" w:type="dxa"/>
            <w:vAlign w:val="bottom"/>
          </w:tcPr>
          <w:p>
            <w:pPr>
              <w:spacing w:after="0"/>
              <w:rPr>
                <w:sz w:val="14"/>
                <w:szCs w:val="14"/>
                <w:color w:val="auto"/>
              </w:rPr>
            </w:pPr>
          </w:p>
        </w:tc>
        <w:tc>
          <w:tcPr>
            <w:tcW w:w="480" w:type="dxa"/>
            <w:vAlign w:val="bottom"/>
          </w:tcPr>
          <w:p>
            <w:pPr>
              <w:spacing w:after="0"/>
              <w:rPr>
                <w:sz w:val="20"/>
                <w:szCs w:val="20"/>
                <w:color w:val="auto"/>
              </w:rPr>
            </w:pPr>
            <w:r>
              <w:rPr>
                <w:rFonts w:ascii="Times New Roman" w:cs="Times New Roman" w:eastAsia="Times New Roman" w:hAnsi="Times New Roman"/>
                <w:sz w:val="13"/>
                <w:szCs w:val="13"/>
                <w:color w:val="auto"/>
              </w:rPr>
              <w:t>Title:</w:t>
            </w:r>
          </w:p>
        </w:tc>
        <w:tc>
          <w:tcPr>
            <w:tcW w:w="3480" w:type="dxa"/>
            <w:vAlign w:val="bottom"/>
          </w:tcPr>
          <w:p>
            <w:pPr>
              <w:ind w:left="80"/>
              <w:spacing w:after="0"/>
              <w:rPr>
                <w:sz w:val="20"/>
                <w:szCs w:val="20"/>
                <w:color w:val="auto"/>
              </w:rPr>
            </w:pPr>
            <w:r>
              <w:rPr>
                <w:rFonts w:ascii="Times New Roman" w:cs="Times New Roman" w:eastAsia="Times New Roman" w:hAnsi="Times New Roman"/>
                <w:sz w:val="13"/>
                <w:szCs w:val="13"/>
                <w:color w:val="auto"/>
              </w:rPr>
              <w:t>Chief Financial Officer</w:t>
            </w:r>
          </w:p>
        </w:tc>
      </w:tr>
    </w:tbl>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Date: June 24,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268605</wp:posOffset>
            </wp:positionV>
            <wp:extent cx="7171690" cy="635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71690" cy="6350"/>
                    </a:xfrm>
                    <a:prstGeom prst="rect">
                      <a:avLst/>
                    </a:prstGeom>
                    <a:noFill/>
                  </pic:spPr>
                </pic:pic>
              </a:graphicData>
            </a:graphic>
          </wp:anchor>
        </w:drawing>
      </w:r>
    </w:p>
    <w:p>
      <w:pPr>
        <w:sectPr>
          <w:pgSz w:w="11900" w:h="16838" w:orient="portrait"/>
          <w:cols w:equalWidth="0" w:num="1">
            <w:col w:w="11300"/>
          </w:cols>
          <w:pgMar w:left="300" w:top="453" w:right="299"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169"/>
        </w:trPr>
        <w:tc>
          <w:tcPr>
            <w:tcW w:w="1060" w:type="dxa"/>
            <w:vAlign w:val="bottom"/>
          </w:tcPr>
          <w:p>
            <w:pPr>
              <w:spacing w:after="0"/>
              <w:rPr>
                <w:sz w:val="14"/>
                <w:szCs w:val="14"/>
                <w:color w:val="auto"/>
              </w:rPr>
            </w:pPr>
          </w:p>
        </w:tc>
        <w:tc>
          <w:tcPr>
            <w:tcW w:w="10240" w:type="dxa"/>
            <w:vAlign w:val="bottom"/>
          </w:tcPr>
          <w:p>
            <w:pPr>
              <w:ind w:left="4080"/>
              <w:spacing w:after="0"/>
              <w:rPr>
                <w:sz w:val="20"/>
                <w:szCs w:val="20"/>
                <w:color w:val="auto"/>
              </w:rPr>
            </w:pPr>
            <w:r>
              <w:rPr>
                <w:rFonts w:ascii="Times New Roman" w:cs="Times New Roman" w:eastAsia="Times New Roman" w:hAnsi="Times New Roman"/>
                <w:sz w:val="13"/>
                <w:szCs w:val="13"/>
                <w:b w:val="1"/>
                <w:bCs w:val="1"/>
                <w:color w:val="auto"/>
              </w:rPr>
              <w:t>EXHIBIT INDEX</w:t>
            </w:r>
          </w:p>
        </w:tc>
      </w:tr>
      <w:tr>
        <w:trPr>
          <w:trHeight w:val="309"/>
        </w:trPr>
        <w:tc>
          <w:tcPr>
            <w:tcW w:w="1060" w:type="dxa"/>
            <w:vAlign w:val="bottom"/>
            <w:tcBorders>
              <w:bottom w:val="single" w:sz="8" w:color="auto"/>
            </w:tcBorders>
          </w:tcPr>
          <w:p>
            <w:pPr>
              <w:jc w:val="center"/>
              <w:ind w:left="16"/>
              <w:spacing w:after="0"/>
              <w:rPr>
                <w:sz w:val="20"/>
                <w:szCs w:val="20"/>
                <w:color w:val="auto"/>
              </w:rPr>
            </w:pPr>
            <w:r>
              <w:rPr>
                <w:rFonts w:ascii="Times New Roman" w:cs="Times New Roman" w:eastAsia="Times New Roman" w:hAnsi="Times New Roman"/>
                <w:sz w:val="13"/>
                <w:szCs w:val="13"/>
                <w:b w:val="1"/>
                <w:bCs w:val="1"/>
                <w:color w:val="auto"/>
                <w:w w:val="99"/>
              </w:rPr>
              <w:t>Exhibit Number</w:t>
            </w:r>
          </w:p>
        </w:tc>
        <w:tc>
          <w:tcPr>
            <w:tcW w:w="10240" w:type="dxa"/>
            <w:vAlign w:val="bottom"/>
            <w:tcBorders>
              <w:bottom w:val="single" w:sz="8" w:color="auto"/>
            </w:tcBorders>
          </w:tcPr>
          <w:p>
            <w:pPr>
              <w:ind w:left="4840"/>
              <w:spacing w:after="0"/>
              <w:rPr>
                <w:sz w:val="20"/>
                <w:szCs w:val="20"/>
                <w:color w:val="auto"/>
              </w:rPr>
            </w:pPr>
            <w:r>
              <w:rPr>
                <w:rFonts w:ascii="Times New Roman" w:cs="Times New Roman" w:eastAsia="Times New Roman" w:hAnsi="Times New Roman"/>
                <w:sz w:val="13"/>
                <w:szCs w:val="13"/>
                <w:b w:val="1"/>
                <w:bCs w:val="1"/>
                <w:color w:val="auto"/>
              </w:rPr>
              <w:t>Description</w:t>
            </w:r>
          </w:p>
        </w:tc>
      </w:tr>
      <w:tr>
        <w:trPr>
          <w:trHeight w:val="132"/>
        </w:trPr>
        <w:tc>
          <w:tcPr>
            <w:tcW w:w="1060" w:type="dxa"/>
            <w:vAlign w:val="bottom"/>
          </w:tcPr>
          <w:p>
            <w:pPr>
              <w:jc w:val="center"/>
              <w:spacing w:after="0" w:line="132" w:lineRule="exact"/>
              <w:rPr>
                <w:sz w:val="20"/>
                <w:szCs w:val="20"/>
                <w:color w:val="auto"/>
              </w:rPr>
            </w:pPr>
            <w:r>
              <w:rPr>
                <w:rFonts w:ascii="Times New Roman" w:cs="Times New Roman" w:eastAsia="Times New Roman" w:hAnsi="Times New Roman"/>
                <w:sz w:val="13"/>
                <w:szCs w:val="13"/>
                <w:color w:val="auto"/>
              </w:rPr>
              <w:t>99.1</w:t>
            </w:r>
          </w:p>
        </w:tc>
        <w:tc>
          <w:tcPr>
            <w:tcW w:w="10240" w:type="dxa"/>
            <w:vAlign w:val="bottom"/>
          </w:tcPr>
          <w:p>
            <w:pPr>
              <w:ind w:left="60"/>
              <w:spacing w:after="0" w:line="132" w:lineRule="exact"/>
              <w:rPr>
                <w:sz w:val="20"/>
                <w:szCs w:val="20"/>
                <w:color w:val="auto"/>
              </w:rPr>
            </w:pPr>
            <w:r>
              <w:rPr>
                <w:rFonts w:ascii="Times New Roman" w:cs="Times New Roman" w:eastAsia="Times New Roman" w:hAnsi="Times New Roman"/>
                <w:sz w:val="13"/>
                <w:szCs w:val="13"/>
                <w:color w:val="auto"/>
              </w:rPr>
              <w:t>Annual General Meeting presentation</w:t>
            </w:r>
          </w:p>
        </w:tc>
      </w:tr>
      <w:tr>
        <w:trPr>
          <w:trHeight w:val="154"/>
        </w:trPr>
        <w:tc>
          <w:tcPr>
            <w:tcW w:w="106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99.2</w:t>
            </w:r>
          </w:p>
        </w:tc>
        <w:tc>
          <w:tcPr>
            <w:tcW w:w="10240" w:type="dxa"/>
            <w:vAlign w:val="bottom"/>
          </w:tcPr>
          <w:p>
            <w:pPr>
              <w:ind w:left="60"/>
              <w:spacing w:after="0"/>
              <w:rPr>
                <w:sz w:val="20"/>
                <w:szCs w:val="20"/>
                <w:color w:val="auto"/>
              </w:rPr>
            </w:pPr>
            <w:r>
              <w:rPr>
                <w:rFonts w:ascii="Times New Roman" w:cs="Times New Roman" w:eastAsia="Times New Roman" w:hAnsi="Times New Roman"/>
                <w:sz w:val="13"/>
                <w:szCs w:val="13"/>
                <w:color w:val="auto"/>
              </w:rPr>
              <w:t>Press Release dated June 24, 2022</w:t>
            </w:r>
          </w:p>
        </w:tc>
      </w:tr>
      <w:tr>
        <w:trPr>
          <w:trHeight w:val="167"/>
        </w:trPr>
        <w:tc>
          <w:tcPr>
            <w:tcW w:w="106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99.3</w:t>
            </w:r>
          </w:p>
        </w:tc>
        <w:tc>
          <w:tcPr>
            <w:tcW w:w="10240" w:type="dxa"/>
            <w:vAlign w:val="bottom"/>
          </w:tcPr>
          <w:p>
            <w:pPr>
              <w:ind w:left="60"/>
              <w:spacing w:after="0"/>
              <w:rPr>
                <w:sz w:val="20"/>
                <w:szCs w:val="20"/>
                <w:color w:val="auto"/>
              </w:rPr>
            </w:pPr>
            <w:r>
              <w:rPr>
                <w:rFonts w:ascii="Times New Roman" w:cs="Times New Roman" w:eastAsia="Times New Roman" w:hAnsi="Times New Roman"/>
                <w:sz w:val="13"/>
                <w:szCs w:val="13"/>
                <w:color w:val="auto"/>
              </w:rPr>
              <w:t>Articles of Association as of June 24, 2022</w:t>
            </w:r>
          </w:p>
        </w:tc>
      </w:tr>
      <w:tr>
        <w:trPr>
          <w:trHeight w:val="387"/>
        </w:trPr>
        <w:tc>
          <w:tcPr>
            <w:tcW w:w="1060" w:type="dxa"/>
            <w:vAlign w:val="bottom"/>
            <w:tcBorders>
              <w:bottom w:val="single" w:sz="8" w:color="auto"/>
            </w:tcBorders>
          </w:tcPr>
          <w:p>
            <w:pPr>
              <w:spacing w:after="0"/>
              <w:rPr>
                <w:sz w:val="24"/>
                <w:szCs w:val="24"/>
                <w:color w:val="auto"/>
              </w:rPr>
            </w:pPr>
          </w:p>
        </w:tc>
        <w:tc>
          <w:tcPr>
            <w:tcW w:w="10240" w:type="dxa"/>
            <w:vAlign w:val="bottom"/>
            <w:tcBorders>
              <w:bottom w:val="single" w:sz="8" w:color="auto"/>
            </w:tcBorders>
          </w:tcPr>
          <w:p>
            <w:pPr>
              <w:spacing w:after="0"/>
              <w:rPr>
                <w:sz w:val="24"/>
                <w:szCs w:val="24"/>
                <w:color w:val="auto"/>
              </w:rPr>
            </w:pPr>
          </w:p>
        </w:tc>
      </w:tr>
    </w:tbl>
    <w:p>
      <w:pPr>
        <w:sectPr>
          <w:pgSz w:w="11900" w:h="16838" w:orient="portrait"/>
          <w:cols w:equalWidth="0" w:num="1">
            <w:col w:w="11300"/>
          </w:cols>
          <w:pgMar w:left="300" w:top="453" w:right="299" w:bottom="1440" w:gutter="0" w:footer="0" w:header="0"/>
        </w:sectPr>
      </w:pPr>
    </w:p>
    <w:bookmarkStart w:id="5" w:name="page6"/>
    <w:bookmarkEnd w:id="5"/>
    <w:p>
      <w:pPr>
        <w:ind w:left="9360"/>
        <w:spacing w:after="0"/>
        <w:rPr>
          <w:sz w:val="20"/>
          <w:szCs w:val="20"/>
          <w:color w:val="auto"/>
        </w:rPr>
      </w:pPr>
      <w:r>
        <w:rPr>
          <w:rFonts w:ascii="Times New Roman" w:cs="Times New Roman" w:eastAsia="Times New Roman" w:hAnsi="Times New Roman"/>
          <w:sz w:val="15"/>
          <w:szCs w:val="15"/>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-725170</wp:posOffset>
            </wp:positionH>
            <wp:positionV relativeFrom="paragraph">
              <wp:posOffset>125095</wp:posOffset>
            </wp:positionV>
            <wp:extent cx="7215505" cy="456057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15505" cy="4560570"/>
                    </a:xfrm>
                    <a:prstGeom prst="rect">
                      <a:avLst/>
                    </a:prstGeom>
                    <a:noFill/>
                  </pic:spPr>
                </pic:pic>
              </a:graphicData>
            </a:graphic>
          </wp:anchor>
        </w:drawing>
      </w:r>
    </w:p>
    <w:p>
      <w:pPr>
        <w:sectPr>
          <w:pgSz w:w="11900" w:h="16838" w:orient="portrait"/>
          <w:cols w:equalWidth="0" w:num="1">
            <w:col w:w="10160"/>
          </w:cols>
          <w:pgMar w:left="1440" w:top="118" w:right="299" w:bottom="1440" w:gutter="0" w:footer="0" w:header="0"/>
        </w:sectPr>
      </w:pPr>
    </w:p>
    <w:bookmarkStart w:id="6" w:name="page7"/>
    <w:bookmarkEnd w:id="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188595</wp:posOffset>
            </wp:positionH>
            <wp:positionV relativeFrom="page">
              <wp:posOffset>297180</wp:posOffset>
            </wp:positionV>
            <wp:extent cx="7215505" cy="456057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15505" cy="456057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 w:name="page8"/>
    <w:bookmarkEnd w:id="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188595</wp:posOffset>
            </wp:positionH>
            <wp:positionV relativeFrom="page">
              <wp:posOffset>297180</wp:posOffset>
            </wp:positionV>
            <wp:extent cx="7215505" cy="456057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15505" cy="456057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 w:name="page9"/>
    <w:bookmarkEnd w:id="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188595</wp:posOffset>
            </wp:positionH>
            <wp:positionV relativeFrom="page">
              <wp:posOffset>297180</wp:posOffset>
            </wp:positionV>
            <wp:extent cx="7215505" cy="456057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15505" cy="456057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 w:name="page10"/>
    <w:bookmarkEnd w:id="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188595</wp:posOffset>
            </wp:positionH>
            <wp:positionV relativeFrom="page">
              <wp:posOffset>297180</wp:posOffset>
            </wp:positionV>
            <wp:extent cx="7215505" cy="456057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15505" cy="456057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 w:name="page11"/>
    <w:bookmarkEnd w:id="1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188595</wp:posOffset>
            </wp:positionH>
            <wp:positionV relativeFrom="page">
              <wp:posOffset>297180</wp:posOffset>
            </wp:positionV>
            <wp:extent cx="7215505" cy="456057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15505" cy="456057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 w:name="page12"/>
    <w:bookmarkEnd w:id="1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188595</wp:posOffset>
            </wp:positionH>
            <wp:positionV relativeFrom="page">
              <wp:posOffset>4851400</wp:posOffset>
            </wp:positionV>
            <wp:extent cx="7171690" cy="635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1690" cy="63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 w:name="page13"/>
    <w:bookmarkEnd w:id="1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188595</wp:posOffset>
            </wp:positionH>
            <wp:positionV relativeFrom="page">
              <wp:posOffset>297180</wp:posOffset>
            </wp:positionV>
            <wp:extent cx="7215505" cy="456057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15505" cy="456057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 w:name="page14"/>
    <w:bookmarkEnd w:id="1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188595</wp:posOffset>
            </wp:positionH>
            <wp:positionV relativeFrom="page">
              <wp:posOffset>297180</wp:posOffset>
            </wp:positionV>
            <wp:extent cx="7215505" cy="456057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15505" cy="456057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 w:name="page15"/>
    <w:bookmarkEnd w:id="1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188595</wp:posOffset>
            </wp:positionH>
            <wp:positionV relativeFrom="page">
              <wp:posOffset>297180</wp:posOffset>
            </wp:positionV>
            <wp:extent cx="7215505" cy="456057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15505" cy="456057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 w:name="page16"/>
    <w:bookmarkEnd w:id="1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188595</wp:posOffset>
            </wp:positionH>
            <wp:positionV relativeFrom="page">
              <wp:posOffset>297180</wp:posOffset>
            </wp:positionV>
            <wp:extent cx="7215505" cy="456057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15505" cy="456057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 w:name="page17"/>
    <w:bookmarkEnd w:id="1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188595</wp:posOffset>
            </wp:positionH>
            <wp:positionV relativeFrom="page">
              <wp:posOffset>297180</wp:posOffset>
            </wp:positionV>
            <wp:extent cx="7215505" cy="456057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15505" cy="456057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 w:name="page18"/>
    <w:bookmarkEnd w:id="1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188595</wp:posOffset>
            </wp:positionH>
            <wp:positionV relativeFrom="page">
              <wp:posOffset>297180</wp:posOffset>
            </wp:positionV>
            <wp:extent cx="7215505" cy="456057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15505" cy="456057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 w:name="page19"/>
    <w:bookmarkEnd w:id="1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188595</wp:posOffset>
            </wp:positionH>
            <wp:positionV relativeFrom="page">
              <wp:posOffset>297180</wp:posOffset>
            </wp:positionV>
            <wp:extent cx="7215505" cy="456057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15505" cy="456057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 w:name="page20"/>
    <w:bookmarkEnd w:id="1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188595</wp:posOffset>
            </wp:positionH>
            <wp:positionV relativeFrom="page">
              <wp:posOffset>297180</wp:posOffset>
            </wp:positionV>
            <wp:extent cx="7215505" cy="456057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15505" cy="456057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 w:name="page21"/>
    <w:bookmarkEnd w:id="2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188595</wp:posOffset>
            </wp:positionH>
            <wp:positionV relativeFrom="page">
              <wp:posOffset>297180</wp:posOffset>
            </wp:positionV>
            <wp:extent cx="7215505" cy="456057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15505" cy="456057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1" w:name="page22"/>
    <w:bookmarkEnd w:id="2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188595</wp:posOffset>
            </wp:positionH>
            <wp:positionV relativeFrom="page">
              <wp:posOffset>297180</wp:posOffset>
            </wp:positionV>
            <wp:extent cx="7215505" cy="456057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15505" cy="456057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2" w:name="page23"/>
    <w:bookmarkEnd w:id="2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188595</wp:posOffset>
            </wp:positionH>
            <wp:positionV relativeFrom="page">
              <wp:posOffset>297180</wp:posOffset>
            </wp:positionV>
            <wp:extent cx="7215505" cy="456057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15505" cy="456057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3" w:name="page24"/>
    <w:bookmarkEnd w:id="2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188595</wp:posOffset>
            </wp:positionH>
            <wp:positionV relativeFrom="page">
              <wp:posOffset>297180</wp:posOffset>
            </wp:positionV>
            <wp:extent cx="7215505" cy="456057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15505" cy="456057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4" w:name="page25"/>
    <w:bookmarkEnd w:id="2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188595</wp:posOffset>
            </wp:positionH>
            <wp:positionV relativeFrom="page">
              <wp:posOffset>297180</wp:posOffset>
            </wp:positionV>
            <wp:extent cx="7215505" cy="456057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15505" cy="456057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5" w:name="page26"/>
    <w:bookmarkEnd w:id="2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188595</wp:posOffset>
            </wp:positionH>
            <wp:positionV relativeFrom="page">
              <wp:posOffset>297180</wp:posOffset>
            </wp:positionV>
            <wp:extent cx="7215505" cy="456057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15505" cy="456057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6" w:name="page27"/>
    <w:bookmarkEnd w:id="2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188595</wp:posOffset>
            </wp:positionH>
            <wp:positionV relativeFrom="page">
              <wp:posOffset>297180</wp:posOffset>
            </wp:positionV>
            <wp:extent cx="7215505" cy="456057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15505" cy="456057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7" w:name="page28"/>
    <w:bookmarkEnd w:id="2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188595</wp:posOffset>
            </wp:positionH>
            <wp:positionV relativeFrom="page">
              <wp:posOffset>297180</wp:posOffset>
            </wp:positionV>
            <wp:extent cx="7215505" cy="456057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15505" cy="456057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8" w:name="page29"/>
    <w:bookmarkEnd w:id="2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188595</wp:posOffset>
            </wp:positionH>
            <wp:positionV relativeFrom="page">
              <wp:posOffset>297180</wp:posOffset>
            </wp:positionV>
            <wp:extent cx="7215505" cy="456057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15505" cy="456057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9" w:name="page30"/>
    <w:bookmarkEnd w:id="2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188595</wp:posOffset>
            </wp:positionH>
            <wp:positionV relativeFrom="page">
              <wp:posOffset>297180</wp:posOffset>
            </wp:positionV>
            <wp:extent cx="7215505" cy="456057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15505" cy="456057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0" w:name="page31"/>
    <w:bookmarkEnd w:id="3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188595</wp:posOffset>
            </wp:positionH>
            <wp:positionV relativeFrom="page">
              <wp:posOffset>297180</wp:posOffset>
            </wp:positionV>
            <wp:extent cx="7215505" cy="456057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15505" cy="456057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1" w:name="page32"/>
    <w:bookmarkEnd w:id="3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188595</wp:posOffset>
            </wp:positionH>
            <wp:positionV relativeFrom="page">
              <wp:posOffset>297180</wp:posOffset>
            </wp:positionV>
            <wp:extent cx="7215505" cy="456057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15505" cy="456057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2" w:name="page33"/>
    <w:bookmarkEnd w:id="3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188595</wp:posOffset>
            </wp:positionH>
            <wp:positionV relativeFrom="page">
              <wp:posOffset>297180</wp:posOffset>
            </wp:positionV>
            <wp:extent cx="7215505" cy="456057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15505" cy="456057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3" w:name="page34"/>
    <w:bookmarkEnd w:id="3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188595</wp:posOffset>
            </wp:positionH>
            <wp:positionV relativeFrom="page">
              <wp:posOffset>297180</wp:posOffset>
            </wp:positionV>
            <wp:extent cx="7215505" cy="456057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15505" cy="456057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4" w:name="page35"/>
    <w:bookmarkEnd w:id="3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188595</wp:posOffset>
            </wp:positionH>
            <wp:positionV relativeFrom="page">
              <wp:posOffset>297180</wp:posOffset>
            </wp:positionV>
            <wp:extent cx="7215505" cy="456057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15505" cy="456057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5" w:name="page36"/>
    <w:bookmarkEnd w:id="3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188595</wp:posOffset>
            </wp:positionH>
            <wp:positionV relativeFrom="page">
              <wp:posOffset>297180</wp:posOffset>
            </wp:positionV>
            <wp:extent cx="7215505" cy="456057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15505" cy="456057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6" w:name="page37"/>
    <w:bookmarkEnd w:id="3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188595</wp:posOffset>
            </wp:positionH>
            <wp:positionV relativeFrom="page">
              <wp:posOffset>297180</wp:posOffset>
            </wp:positionV>
            <wp:extent cx="7215505" cy="456057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15505" cy="456057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7" w:name="page38"/>
    <w:bookmarkEnd w:id="3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188595</wp:posOffset>
            </wp:positionH>
            <wp:positionV relativeFrom="page">
              <wp:posOffset>297180</wp:posOffset>
            </wp:positionV>
            <wp:extent cx="7215505" cy="456057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15505" cy="456057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8" w:name="page39"/>
    <w:bookmarkEnd w:id="3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188595</wp:posOffset>
            </wp:positionH>
            <wp:positionV relativeFrom="page">
              <wp:posOffset>297180</wp:posOffset>
            </wp:positionV>
            <wp:extent cx="7215505" cy="456057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15505" cy="456057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9" w:name="page40"/>
    <w:bookmarkEnd w:id="3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188595</wp:posOffset>
            </wp:positionH>
            <wp:positionV relativeFrom="page">
              <wp:posOffset>297180</wp:posOffset>
            </wp:positionV>
            <wp:extent cx="7215505" cy="456057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15505" cy="456057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0" w:name="page41"/>
    <w:bookmarkEnd w:id="4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188595</wp:posOffset>
            </wp:positionH>
            <wp:positionV relativeFrom="page">
              <wp:posOffset>297180</wp:posOffset>
            </wp:positionV>
            <wp:extent cx="7215505" cy="456057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15505" cy="456057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1" w:name="page42"/>
    <w:bookmarkEnd w:id="4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188595</wp:posOffset>
            </wp:positionH>
            <wp:positionV relativeFrom="page">
              <wp:posOffset>297180</wp:posOffset>
            </wp:positionV>
            <wp:extent cx="7215505" cy="456057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15505" cy="456057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2" w:name="page43"/>
    <w:bookmarkEnd w:id="4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188595</wp:posOffset>
            </wp:positionH>
            <wp:positionV relativeFrom="page">
              <wp:posOffset>4851400</wp:posOffset>
            </wp:positionV>
            <wp:extent cx="7171690" cy="635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71690" cy="63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3" w:name="page44"/>
    <w:bookmarkEnd w:id="4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188595</wp:posOffset>
            </wp:positionH>
            <wp:positionV relativeFrom="page">
              <wp:posOffset>297180</wp:posOffset>
            </wp:positionV>
            <wp:extent cx="7215505" cy="456057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15505" cy="456057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4" w:name="page45"/>
    <w:bookmarkEnd w:id="4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188595</wp:posOffset>
            </wp:positionH>
            <wp:positionV relativeFrom="page">
              <wp:posOffset>297180</wp:posOffset>
            </wp:positionV>
            <wp:extent cx="7215505" cy="456057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15505" cy="456057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5" w:name="page46"/>
    <w:bookmarkEnd w:id="4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188595</wp:posOffset>
            </wp:positionH>
            <wp:positionV relativeFrom="page">
              <wp:posOffset>297180</wp:posOffset>
            </wp:positionV>
            <wp:extent cx="7215505" cy="456057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15505" cy="456057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6" w:name="page47"/>
    <w:bookmarkEnd w:id="4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188595</wp:posOffset>
            </wp:positionH>
            <wp:positionV relativeFrom="page">
              <wp:posOffset>297180</wp:posOffset>
            </wp:positionV>
            <wp:extent cx="7215505" cy="456057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15505" cy="456057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7" w:name="page48"/>
    <w:bookmarkEnd w:id="4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188595</wp:posOffset>
            </wp:positionH>
            <wp:positionV relativeFrom="page">
              <wp:posOffset>297180</wp:posOffset>
            </wp:positionV>
            <wp:extent cx="7215505" cy="456057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15505" cy="456057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8" w:name="page49"/>
    <w:bookmarkEnd w:id="4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188595</wp:posOffset>
            </wp:positionH>
            <wp:positionV relativeFrom="page">
              <wp:posOffset>297180</wp:posOffset>
            </wp:positionV>
            <wp:extent cx="7215505" cy="456057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15505" cy="456057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9" w:name="page50"/>
    <w:bookmarkEnd w:id="4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188595</wp:posOffset>
            </wp:positionH>
            <wp:positionV relativeFrom="page">
              <wp:posOffset>297180</wp:posOffset>
            </wp:positionV>
            <wp:extent cx="7215505" cy="456057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15505" cy="456057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0" w:name="page51"/>
    <w:bookmarkEnd w:id="5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188595</wp:posOffset>
            </wp:positionH>
            <wp:positionV relativeFrom="page">
              <wp:posOffset>297180</wp:posOffset>
            </wp:positionV>
            <wp:extent cx="7215505" cy="456057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15505" cy="456057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1" w:name="page52"/>
    <w:bookmarkEnd w:id="5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188595</wp:posOffset>
            </wp:positionH>
            <wp:positionV relativeFrom="page">
              <wp:posOffset>297180</wp:posOffset>
            </wp:positionV>
            <wp:extent cx="7215505" cy="456057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15505" cy="456057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2" w:name="page53"/>
    <w:bookmarkEnd w:id="5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188595</wp:posOffset>
            </wp:positionH>
            <wp:positionV relativeFrom="page">
              <wp:posOffset>297180</wp:posOffset>
            </wp:positionV>
            <wp:extent cx="7215505" cy="456057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15505" cy="456057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3" w:name="page54"/>
    <w:bookmarkEnd w:id="5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188595</wp:posOffset>
            </wp:positionH>
            <wp:positionV relativeFrom="page">
              <wp:posOffset>297180</wp:posOffset>
            </wp:positionV>
            <wp:extent cx="7215505" cy="456057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15505" cy="456057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4" w:name="page55"/>
    <w:bookmarkEnd w:id="5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188595</wp:posOffset>
            </wp:positionH>
            <wp:positionV relativeFrom="page">
              <wp:posOffset>297180</wp:posOffset>
            </wp:positionV>
            <wp:extent cx="7215505" cy="456057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15505" cy="456057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5" w:name="page56"/>
    <w:bookmarkEnd w:id="55"/>
    <w:p>
      <w:pPr>
        <w:ind w:left="10500"/>
        <w:spacing w:after="0"/>
        <w:rPr>
          <w:sz w:val="20"/>
          <w:szCs w:val="20"/>
          <w:color w:val="auto"/>
        </w:rPr>
      </w:pPr>
      <w:r>
        <w:rPr>
          <w:rFonts w:ascii="Times New Roman" w:cs="Times New Roman" w:eastAsia="Times New Roman" w:hAnsi="Times New Roman"/>
          <w:sz w:val="15"/>
          <w:szCs w:val="15"/>
          <w:b w:val="1"/>
          <w:bCs w:val="1"/>
          <w:color w:val="auto"/>
        </w:rPr>
        <w:t>Exhibit 99.2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235585</wp:posOffset>
            </wp:positionV>
            <wp:extent cx="1268730" cy="398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1268730" cy="398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ind w:left="9920"/>
        <w:spacing w:after="0"/>
        <w:rPr>
          <w:sz w:val="20"/>
          <w:szCs w:val="20"/>
          <w:color w:val="auto"/>
        </w:rPr>
      </w:pPr>
      <w:r>
        <w:rPr>
          <w:rFonts w:ascii="Arial" w:cs="Arial" w:eastAsia="Arial" w:hAnsi="Arial"/>
          <w:sz w:val="15"/>
          <w:szCs w:val="15"/>
          <w:b w:val="1"/>
          <w:bCs w:val="1"/>
          <w:color w:val="auto"/>
        </w:rPr>
        <w:t>PRESS RELEASE</w:t>
      </w:r>
    </w:p>
    <w:p>
      <w:pPr>
        <w:spacing w:after="0" w:line="3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AC Immune Holds Annual General Meeting of Shareholders</w:t>
      </w:r>
    </w:p>
    <w:p>
      <w:pPr>
        <w:spacing w:after="0" w:line="222" w:lineRule="exact"/>
        <w:rPr>
          <w:sz w:val="20"/>
          <w:szCs w:val="20"/>
          <w:color w:val="auto"/>
        </w:rPr>
      </w:pPr>
    </w:p>
    <w:p>
      <w:pPr>
        <w:jc w:val="both"/>
        <w:ind w:right="20"/>
        <w:spacing w:after="0" w:line="262" w:lineRule="auto"/>
        <w:rPr>
          <w:sz w:val="20"/>
          <w:szCs w:val="20"/>
          <w:color w:val="auto"/>
        </w:rPr>
      </w:pPr>
      <w:r>
        <w:rPr>
          <w:rFonts w:ascii="Arial" w:cs="Arial" w:eastAsia="Arial" w:hAnsi="Arial"/>
          <w:sz w:val="13"/>
          <w:szCs w:val="13"/>
          <w:b w:val="1"/>
          <w:bCs w:val="1"/>
          <w:color w:val="auto"/>
        </w:rPr>
        <w:t xml:space="preserve">Lausanne, Switzerland, June 24, 2022 </w:t>
      </w:r>
      <w:r>
        <w:rPr>
          <w:rFonts w:ascii="Arial" w:cs="Arial" w:eastAsia="Arial" w:hAnsi="Arial"/>
          <w:sz w:val="13"/>
          <w:szCs w:val="13"/>
          <w:color w:val="auto"/>
        </w:rPr>
        <w:t>– AC Immune SA (NASDAQ: ACIU), a clinical-stage biopharmaceutical company pioneering precision medicine for neurodegenerative diseases, today</w:t>
      </w:r>
      <w:r>
        <w:rPr>
          <w:rFonts w:ascii="Arial" w:cs="Arial" w:eastAsia="Arial" w:hAnsi="Arial"/>
          <w:sz w:val="13"/>
          <w:szCs w:val="13"/>
          <w:b w:val="1"/>
          <w:bCs w:val="1"/>
          <w:color w:val="auto"/>
        </w:rPr>
        <w:t xml:space="preserve"> </w:t>
      </w:r>
      <w:r>
        <w:rPr>
          <w:rFonts w:ascii="Arial" w:cs="Arial" w:eastAsia="Arial" w:hAnsi="Arial"/>
          <w:sz w:val="13"/>
          <w:szCs w:val="13"/>
          <w:color w:val="auto"/>
        </w:rPr>
        <w:t>announced that the Company held its Annual General Meeting per Swiss law. Shareholders cast their votes through the independent proxy appointed by the shareholders.</w:t>
      </w:r>
    </w:p>
    <w:p>
      <w:pPr>
        <w:spacing w:after="0" w:line="108" w:lineRule="exact"/>
        <w:rPr>
          <w:sz w:val="20"/>
          <w:szCs w:val="20"/>
          <w:color w:val="auto"/>
        </w:rPr>
      </w:pPr>
    </w:p>
    <w:p>
      <w:pPr>
        <w:jc w:val="both"/>
        <w:ind w:right="20"/>
        <w:spacing w:after="0" w:line="262" w:lineRule="auto"/>
        <w:rPr>
          <w:sz w:val="20"/>
          <w:szCs w:val="20"/>
          <w:color w:val="auto"/>
        </w:rPr>
      </w:pPr>
      <w:r>
        <w:rPr>
          <w:rFonts w:ascii="Arial" w:cs="Arial" w:eastAsia="Arial" w:hAnsi="Arial"/>
          <w:sz w:val="13"/>
          <w:szCs w:val="13"/>
          <w:color w:val="auto"/>
        </w:rPr>
        <w:t>Shareholders re-elected Douglas Williams, Monika Bütler, Alan Colowick, Tom Graney, Carl June, Werner Lanthaler, Andrea Pfeifer, Monica Shaw and Roy Twyman to their positions on the Board of Directors. Douglas Williams will continue to serve as Chairman of the Board.</w:t>
      </w:r>
    </w:p>
    <w:p>
      <w:pPr>
        <w:spacing w:after="0" w:line="108" w:lineRule="exact"/>
        <w:rPr>
          <w:sz w:val="20"/>
          <w:szCs w:val="20"/>
          <w:color w:val="auto"/>
        </w:rPr>
      </w:pPr>
    </w:p>
    <w:p>
      <w:pPr>
        <w:jc w:val="both"/>
        <w:ind w:right="20"/>
        <w:spacing w:after="0"/>
        <w:rPr>
          <w:sz w:val="20"/>
          <w:szCs w:val="20"/>
          <w:color w:val="auto"/>
        </w:rPr>
      </w:pPr>
      <w:r>
        <w:rPr>
          <w:rFonts w:ascii="Arial" w:cs="Arial" w:eastAsia="Arial" w:hAnsi="Arial"/>
          <w:sz w:val="13"/>
          <w:szCs w:val="13"/>
          <w:b w:val="1"/>
          <w:bCs w:val="1"/>
          <w:color w:val="auto"/>
        </w:rPr>
        <w:t>Douglas Williams, Chairman of the Board of Directors of AC Immune, commented</w:t>
      </w:r>
      <w:r>
        <w:rPr>
          <w:rFonts w:ascii="Arial" w:cs="Arial" w:eastAsia="Arial" w:hAnsi="Arial"/>
          <w:sz w:val="13"/>
          <w:szCs w:val="13"/>
          <w:color w:val="auto"/>
        </w:rPr>
        <w:t>: “In 2021, AC Immune successfully progressed and expanded its pipeline of innovative product candidates,</w:t>
      </w:r>
      <w:r>
        <w:rPr>
          <w:rFonts w:ascii="Arial" w:cs="Arial" w:eastAsia="Arial" w:hAnsi="Arial"/>
          <w:sz w:val="13"/>
          <w:szCs w:val="13"/>
          <w:b w:val="1"/>
          <w:bCs w:val="1"/>
          <w:color w:val="auto"/>
        </w:rPr>
        <w:t xml:space="preserve"> </w:t>
      </w:r>
      <w:r>
        <w:rPr>
          <w:rFonts w:ascii="Arial" w:cs="Arial" w:eastAsia="Arial" w:hAnsi="Arial"/>
          <w:sz w:val="13"/>
          <w:szCs w:val="13"/>
          <w:color w:val="auto"/>
        </w:rPr>
        <w:t>diversifying its interests within the field of neurodegenerative diseases. Looking ahead, the Company is advancing into the second half of 2022 with a strong direction and clear objectives designed to generate value for patients and shareholders. We remain on track to report four additional clinical data readouts in 2022, and have cash for operations deep into 2024. Based on its scientific excellence and the strength of its experienced management team, the Company continues to push forward in its goals to pioneer the delivery of precision medicine for neurodegenerative diseases. This is exemplified by the three clinical readouts already communicated during the first half of 2022.”</w:t>
      </w:r>
    </w:p>
    <w:p>
      <w:pPr>
        <w:spacing w:after="0" w:line="121" w:lineRule="exact"/>
        <w:rPr>
          <w:sz w:val="20"/>
          <w:szCs w:val="20"/>
          <w:color w:val="auto"/>
        </w:rPr>
      </w:pPr>
    </w:p>
    <w:p>
      <w:pPr>
        <w:spacing w:after="0"/>
        <w:rPr>
          <w:sz w:val="20"/>
          <w:szCs w:val="20"/>
          <w:color w:val="auto"/>
        </w:rPr>
      </w:pPr>
      <w:r>
        <w:rPr>
          <w:rFonts w:ascii="Arial" w:cs="Arial" w:eastAsia="Arial" w:hAnsi="Arial"/>
          <w:sz w:val="13"/>
          <w:szCs w:val="13"/>
          <w:color w:val="auto"/>
        </w:rPr>
        <w:t>Since the beginning of the year, AC Immune reported:</w:t>
      </w:r>
    </w:p>
    <w:p>
      <w:pPr>
        <w:spacing w:after="0" w:line="140" w:lineRule="exact"/>
        <w:rPr>
          <w:sz w:val="20"/>
          <w:szCs w:val="20"/>
          <w:color w:val="auto"/>
        </w:rPr>
      </w:pPr>
    </w:p>
    <w:p>
      <w:pPr>
        <w:ind w:left="460" w:hanging="231"/>
        <w:spacing w:after="0"/>
        <w:tabs>
          <w:tab w:leader="none" w:pos="460" w:val="left"/>
        </w:tabs>
        <w:numPr>
          <w:ilvl w:val="0"/>
          <w:numId w:val="1"/>
        </w:numPr>
        <w:rPr>
          <w:rFonts w:ascii="Times New Roman" w:cs="Times New Roman" w:eastAsia="Times New Roman" w:hAnsi="Times New Roman"/>
          <w:sz w:val="13"/>
          <w:szCs w:val="13"/>
          <w:color w:val="auto"/>
        </w:rPr>
      </w:pPr>
      <w:r>
        <w:rPr>
          <w:rFonts w:ascii="Arial" w:cs="Arial" w:eastAsia="Arial" w:hAnsi="Arial"/>
          <w:sz w:val="13"/>
          <w:szCs w:val="13"/>
          <w:color w:val="auto"/>
        </w:rPr>
        <w:t>Interim Phase 1b/2a data confirming the potent immunogenicity of the anti-pTau vaccine ACI-35.030 in Alzheimer’s disease, positioning ACI-35.030 as a first-in-class therapeutic</w:t>
      </w:r>
    </w:p>
    <w:p>
      <w:pPr>
        <w:spacing w:after="0" w:line="149" w:lineRule="exact"/>
        <w:rPr>
          <w:rFonts w:ascii="Times New Roman" w:cs="Times New Roman" w:eastAsia="Times New Roman" w:hAnsi="Times New Roman"/>
          <w:sz w:val="13"/>
          <w:szCs w:val="13"/>
          <w:color w:val="auto"/>
        </w:rPr>
      </w:pPr>
    </w:p>
    <w:p>
      <w:pPr>
        <w:ind w:left="460" w:hanging="231"/>
        <w:spacing w:after="0"/>
        <w:tabs>
          <w:tab w:leader="none" w:pos="460" w:val="left"/>
        </w:tabs>
        <w:numPr>
          <w:ilvl w:val="0"/>
          <w:numId w:val="1"/>
        </w:numPr>
        <w:rPr>
          <w:rFonts w:ascii="Times New Roman" w:cs="Times New Roman" w:eastAsia="Times New Roman" w:hAnsi="Times New Roman"/>
          <w:sz w:val="13"/>
          <w:szCs w:val="13"/>
          <w:color w:val="auto"/>
        </w:rPr>
      </w:pPr>
      <w:r>
        <w:rPr>
          <w:rFonts w:ascii="Arial" w:cs="Arial" w:eastAsia="Arial" w:hAnsi="Arial"/>
          <w:sz w:val="13"/>
          <w:szCs w:val="13"/>
          <w:color w:val="auto"/>
        </w:rPr>
        <w:t>The first clinical proof-of-concept data for an alpha-synuclein positron emission tomography (PET) tracer</w:t>
      </w:r>
    </w:p>
    <w:p>
      <w:pPr>
        <w:spacing w:after="0" w:line="149" w:lineRule="exact"/>
        <w:rPr>
          <w:rFonts w:ascii="Times New Roman" w:cs="Times New Roman" w:eastAsia="Times New Roman" w:hAnsi="Times New Roman"/>
          <w:sz w:val="13"/>
          <w:szCs w:val="13"/>
          <w:color w:val="auto"/>
        </w:rPr>
      </w:pPr>
    </w:p>
    <w:p>
      <w:pPr>
        <w:jc w:val="both"/>
        <w:ind w:left="460" w:hanging="231"/>
        <w:spacing w:after="0" w:line="247" w:lineRule="auto"/>
        <w:tabs>
          <w:tab w:leader="none" w:pos="460" w:val="left"/>
        </w:tabs>
        <w:numPr>
          <w:ilvl w:val="0"/>
          <w:numId w:val="1"/>
        </w:numPr>
        <w:rPr>
          <w:rFonts w:ascii="Times New Roman" w:cs="Times New Roman" w:eastAsia="Times New Roman" w:hAnsi="Times New Roman"/>
          <w:sz w:val="13"/>
          <w:szCs w:val="13"/>
          <w:color w:val="auto"/>
        </w:rPr>
      </w:pPr>
      <w:r>
        <w:rPr>
          <w:rFonts w:ascii="Arial" w:cs="Arial" w:eastAsia="Arial" w:hAnsi="Arial"/>
          <w:sz w:val="13"/>
          <w:szCs w:val="13"/>
          <w:color w:val="auto"/>
        </w:rPr>
        <w:t>Topline results from the Alzheimer’s Prevention Initiative (API) Autosomal Dominant Alzheimer's Disease (ADAD) Colombia Trial evaluating the anti-Abeta antibody crenezumab. Though the trial did not meet statistical significance on either co-primary endpoint, encouraging numerical differences favouring crenezumab over placebo were observed across the co-primary, multiple secondary, and exploratory endpoints. Further analyses of data from the trial remain ongoing</w:t>
      </w:r>
    </w:p>
    <w:p>
      <w:pPr>
        <w:spacing w:after="0" w:line="117" w:lineRule="exact"/>
        <w:rPr>
          <w:sz w:val="20"/>
          <w:szCs w:val="20"/>
          <w:color w:val="auto"/>
        </w:rPr>
      </w:pPr>
    </w:p>
    <w:p>
      <w:pPr>
        <w:spacing w:after="0"/>
        <w:rPr>
          <w:sz w:val="20"/>
          <w:szCs w:val="20"/>
          <w:color w:val="auto"/>
        </w:rPr>
      </w:pPr>
      <w:r>
        <w:rPr>
          <w:rFonts w:ascii="Arial" w:cs="Arial" w:eastAsia="Arial" w:hAnsi="Arial"/>
          <w:sz w:val="13"/>
          <w:szCs w:val="13"/>
          <w:color w:val="auto"/>
        </w:rPr>
        <w:t>During the Annual General Assembly, shareholders also approved all resolutions as proposed by the Board of Directors.</w:t>
      </w:r>
    </w:p>
    <w:p>
      <w:pPr>
        <w:spacing w:after="0" w:line="140" w:lineRule="exact"/>
        <w:rPr>
          <w:sz w:val="20"/>
          <w:szCs w:val="20"/>
          <w:color w:val="auto"/>
        </w:rPr>
      </w:pPr>
    </w:p>
    <w:p>
      <w:pPr>
        <w:spacing w:after="0"/>
        <w:rPr>
          <w:sz w:val="20"/>
          <w:szCs w:val="20"/>
          <w:color w:val="auto"/>
        </w:rPr>
      </w:pPr>
      <w:r>
        <w:rPr>
          <w:rFonts w:ascii="Arial" w:cs="Arial" w:eastAsia="Arial" w:hAnsi="Arial"/>
          <w:sz w:val="13"/>
          <w:szCs w:val="13"/>
          <w:color w:val="auto"/>
        </w:rPr>
        <w:t>The meeting was held in accordance with the requirements of the COVID-19 Ordinance 3, issued by the Swiss Federal Council.</w:t>
      </w:r>
    </w:p>
    <w:p>
      <w:pPr>
        <w:spacing w:after="0" w:line="217" w:lineRule="exact"/>
        <w:rPr>
          <w:sz w:val="20"/>
          <w:szCs w:val="20"/>
          <w:color w:val="auto"/>
        </w:rPr>
      </w:pPr>
    </w:p>
    <w:p>
      <w:pPr>
        <w:ind w:left="11000"/>
        <w:spacing w:after="0"/>
        <w:rPr>
          <w:sz w:val="20"/>
          <w:szCs w:val="20"/>
          <w:color w:val="auto"/>
        </w:rPr>
      </w:pPr>
      <w:r>
        <w:rPr>
          <w:rFonts w:ascii="Arial" w:cs="Arial" w:eastAsia="Arial" w:hAnsi="Arial"/>
          <w:sz w:val="13"/>
          <w:szCs w:val="13"/>
          <w:color w:val="auto"/>
        </w:rPr>
        <w:t>1 / 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5080</wp:posOffset>
            </wp:positionV>
            <wp:extent cx="7171690" cy="635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71690" cy="6350"/>
                    </a:xfrm>
                    <a:prstGeom prst="rect">
                      <a:avLst/>
                    </a:prstGeom>
                    <a:noFill/>
                  </pic:spPr>
                </pic:pic>
              </a:graphicData>
            </a:graphic>
          </wp:anchor>
        </w:drawing>
      </w:r>
    </w:p>
    <w:p>
      <w:pPr>
        <w:sectPr>
          <w:pgSz w:w="11900" w:h="16838" w:orient="portrait"/>
          <w:cols w:equalWidth="0" w:num="1">
            <w:col w:w="11300"/>
          </w:cols>
          <w:pgMar w:left="300" w:top="118" w:right="299" w:bottom="1440" w:gutter="0" w:footer="0" w:header="0"/>
        </w:sectPr>
      </w:pPr>
    </w:p>
    <w:bookmarkStart w:id="56" w:name="page57"/>
    <w:bookmarkEnd w:id="56"/>
    <w:p>
      <w:pPr>
        <w:spacing w:after="0"/>
        <w:rPr>
          <w:sz w:val="20"/>
          <w:szCs w:val="20"/>
          <w:color w:val="auto"/>
        </w:rPr>
      </w:pPr>
      <w:r>
        <w:rPr>
          <w:rFonts w:ascii="Arial" w:cs="Arial" w:eastAsia="Arial" w:hAnsi="Arial"/>
          <w:sz w:val="13"/>
          <w:szCs w:val="13"/>
          <w:b w:val="1"/>
          <w:bCs w:val="1"/>
          <w:color w:val="auto"/>
        </w:rPr>
        <w:t>About AC Immune SA</w:t>
      </w:r>
    </w:p>
    <w:p>
      <w:pPr>
        <w:spacing w:after="0" w:line="140" w:lineRule="exact"/>
        <w:rPr>
          <w:sz w:val="20"/>
          <w:szCs w:val="20"/>
          <w:color w:val="auto"/>
        </w:rPr>
      </w:pPr>
    </w:p>
    <w:p>
      <w:pPr>
        <w:jc w:val="both"/>
        <w:ind w:right="20"/>
        <w:spacing w:after="0" w:line="222" w:lineRule="auto"/>
        <w:rPr>
          <w:sz w:val="20"/>
          <w:szCs w:val="20"/>
          <w:color w:val="auto"/>
        </w:rPr>
      </w:pPr>
      <w:r>
        <w:rPr>
          <w:rFonts w:ascii="Arial" w:cs="Arial" w:eastAsia="Arial" w:hAnsi="Arial"/>
          <w:sz w:val="13"/>
          <w:szCs w:val="13"/>
          <w:color w:val="auto"/>
        </w:rPr>
        <w:t>AC Immune SA is a clinical-stage biopharmaceutical company that aims to become a global leader in precision medicine for neurodegenerative diseases, including Alzheimer’s disease, Parkinson’s disease, and NeuroOrphan indications driven by misfolded proteins. The Company’s two clinically validated technology platforms, SupraAntigen</w:t>
      </w:r>
      <w:r>
        <w:rPr>
          <w:rFonts w:ascii="Arial" w:cs="Arial" w:eastAsia="Arial" w:hAnsi="Arial"/>
          <w:sz w:val="21"/>
          <w:szCs w:val="21"/>
          <w:color w:val="auto"/>
          <w:vertAlign w:val="superscript"/>
        </w:rPr>
        <w:t>®</w:t>
      </w:r>
      <w:r>
        <w:rPr>
          <w:rFonts w:ascii="Arial" w:cs="Arial" w:eastAsia="Arial" w:hAnsi="Arial"/>
          <w:sz w:val="13"/>
          <w:szCs w:val="13"/>
          <w:color w:val="auto"/>
        </w:rPr>
        <w:t xml:space="preserve"> and Morphomer</w:t>
      </w:r>
      <w:r>
        <w:rPr>
          <w:rFonts w:ascii="Arial" w:cs="Arial" w:eastAsia="Arial" w:hAnsi="Arial"/>
          <w:sz w:val="21"/>
          <w:szCs w:val="21"/>
          <w:color w:val="auto"/>
          <w:vertAlign w:val="superscript"/>
        </w:rPr>
        <w:t>®</w:t>
      </w:r>
      <w:r>
        <w:rPr>
          <w:rFonts w:ascii="Arial" w:cs="Arial" w:eastAsia="Arial" w:hAnsi="Arial"/>
          <w:sz w:val="13"/>
          <w:szCs w:val="13"/>
          <w:color w:val="auto"/>
        </w:rPr>
        <w:t>, fuel its broad and diversified pipeline of first- and best-in-class assets, which currently features ten therapeutic and three diagnostic candidates, six of which are currently in clinical trials. AC Immune has a strong track record of securing strategic partnerships with leading global pharmaceutical companies including Genentech, a member of the Roche Group, Eli Lilly and Company, and Janssen Pharmaceuticals, Inc., resulting in substantial non-dilutive funding to advance its proprietary programs and &gt;$3 billion in potential milestone payments.</w:t>
      </w:r>
    </w:p>
    <w:p>
      <w:pPr>
        <w:spacing w:after="0" w:line="123" w:lineRule="exact"/>
        <w:rPr>
          <w:sz w:val="20"/>
          <w:szCs w:val="20"/>
          <w:color w:val="auto"/>
        </w:rPr>
      </w:pPr>
    </w:p>
    <w:p>
      <w:pPr>
        <w:jc w:val="both"/>
        <w:spacing w:after="0" w:line="208" w:lineRule="auto"/>
        <w:rPr>
          <w:sz w:val="20"/>
          <w:szCs w:val="20"/>
          <w:color w:val="auto"/>
        </w:rPr>
      </w:pPr>
      <w:r>
        <w:rPr>
          <w:rFonts w:ascii="Arial" w:cs="Arial" w:eastAsia="Arial" w:hAnsi="Arial"/>
          <w:sz w:val="13"/>
          <w:szCs w:val="13"/>
          <w:color w:val="auto"/>
        </w:rPr>
        <w:t>SupraAntigen</w:t>
      </w:r>
      <w:r>
        <w:rPr>
          <w:rFonts w:ascii="Arial" w:cs="Arial" w:eastAsia="Arial" w:hAnsi="Arial"/>
          <w:sz w:val="21"/>
          <w:szCs w:val="21"/>
          <w:color w:val="auto"/>
          <w:vertAlign w:val="superscript"/>
        </w:rPr>
        <w:t>®</w:t>
      </w:r>
      <w:r>
        <w:rPr>
          <w:rFonts w:ascii="Arial" w:cs="Arial" w:eastAsia="Arial" w:hAnsi="Arial"/>
          <w:sz w:val="13"/>
          <w:szCs w:val="13"/>
          <w:color w:val="auto"/>
        </w:rPr>
        <w:t xml:space="preserve"> is a registered trademark of AC Immune SA in the following territories: AU, EU, CH, GB, JP, RU and SG. Morphomer</w:t>
      </w:r>
      <w:r>
        <w:rPr>
          <w:rFonts w:ascii="Arial" w:cs="Arial" w:eastAsia="Arial" w:hAnsi="Arial"/>
          <w:sz w:val="21"/>
          <w:szCs w:val="21"/>
          <w:color w:val="auto"/>
          <w:vertAlign w:val="superscript"/>
        </w:rPr>
        <w:t>®</w:t>
      </w:r>
      <w:r>
        <w:rPr>
          <w:rFonts w:ascii="Arial" w:cs="Arial" w:eastAsia="Arial" w:hAnsi="Arial"/>
          <w:sz w:val="13"/>
          <w:szCs w:val="13"/>
          <w:color w:val="auto"/>
        </w:rPr>
        <w:t xml:space="preserve"> is a registered trademark of AC Immune SA in CN, CH, GB, JP, NO and RU.</w:t>
      </w:r>
    </w:p>
    <w:p>
      <w:pPr>
        <w:spacing w:after="0" w:line="122"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3800" w:type="dxa"/>
            <w:vAlign w:val="bottom"/>
            <w:gridSpan w:val="3"/>
          </w:tcPr>
          <w:p>
            <w:pPr>
              <w:spacing w:after="0"/>
              <w:rPr>
                <w:sz w:val="20"/>
                <w:szCs w:val="20"/>
                <w:color w:val="auto"/>
              </w:rPr>
            </w:pPr>
            <w:r>
              <w:rPr>
                <w:rFonts w:ascii="Arial" w:cs="Arial" w:eastAsia="Arial" w:hAnsi="Arial"/>
                <w:sz w:val="13"/>
                <w:szCs w:val="13"/>
                <w:b w:val="1"/>
                <w:bCs w:val="1"/>
                <w:color w:val="auto"/>
              </w:rPr>
              <w:t>For further information, please contact:</w:t>
            </w:r>
          </w:p>
        </w:tc>
        <w:tc>
          <w:tcPr>
            <w:tcW w:w="1800" w:type="dxa"/>
            <w:vAlign w:val="bottom"/>
          </w:tcPr>
          <w:p>
            <w:pPr>
              <w:spacing w:after="0"/>
              <w:rPr>
                <w:sz w:val="15"/>
                <w:szCs w:val="15"/>
                <w:color w:val="auto"/>
              </w:rPr>
            </w:pPr>
          </w:p>
        </w:tc>
        <w:tc>
          <w:tcPr>
            <w:tcW w:w="1840" w:type="dxa"/>
            <w:vAlign w:val="bottom"/>
          </w:tcPr>
          <w:p>
            <w:pPr>
              <w:spacing w:after="0"/>
              <w:rPr>
                <w:sz w:val="15"/>
                <w:szCs w:val="15"/>
                <w:color w:val="auto"/>
              </w:rPr>
            </w:pPr>
          </w:p>
        </w:tc>
      </w:tr>
      <w:tr>
        <w:trPr>
          <w:trHeight w:val="258"/>
        </w:trPr>
        <w:tc>
          <w:tcPr>
            <w:tcW w:w="3800" w:type="dxa"/>
            <w:vAlign w:val="bottom"/>
            <w:gridSpan w:val="3"/>
          </w:tcPr>
          <w:p>
            <w:pPr>
              <w:spacing w:after="0"/>
              <w:rPr>
                <w:sz w:val="20"/>
                <w:szCs w:val="20"/>
                <w:color w:val="auto"/>
              </w:rPr>
            </w:pPr>
            <w:r>
              <w:rPr>
                <w:rFonts w:ascii="Arial" w:cs="Arial" w:eastAsia="Arial" w:hAnsi="Arial"/>
                <w:sz w:val="13"/>
                <w:szCs w:val="13"/>
                <w:b w:val="1"/>
                <w:bCs w:val="1"/>
                <w:color w:val="auto"/>
              </w:rPr>
              <w:t>Media Relations</w:t>
            </w:r>
          </w:p>
        </w:tc>
        <w:tc>
          <w:tcPr>
            <w:tcW w:w="3640" w:type="dxa"/>
            <w:vAlign w:val="bottom"/>
            <w:gridSpan w:val="2"/>
          </w:tcPr>
          <w:p>
            <w:pPr>
              <w:ind w:left="1400"/>
              <w:spacing w:after="0"/>
              <w:rPr>
                <w:sz w:val="20"/>
                <w:szCs w:val="20"/>
                <w:color w:val="auto"/>
              </w:rPr>
            </w:pPr>
            <w:r>
              <w:rPr>
                <w:rFonts w:ascii="Arial" w:cs="Arial" w:eastAsia="Arial" w:hAnsi="Arial"/>
                <w:sz w:val="13"/>
                <w:szCs w:val="13"/>
                <w:b w:val="1"/>
                <w:bCs w:val="1"/>
                <w:color w:val="auto"/>
              </w:rPr>
              <w:t>Investor Relations</w:t>
            </w:r>
          </w:p>
        </w:tc>
      </w:tr>
      <w:tr>
        <w:trPr>
          <w:trHeight w:val="145"/>
        </w:trPr>
        <w:tc>
          <w:tcPr>
            <w:tcW w:w="3800" w:type="dxa"/>
            <w:vAlign w:val="bottom"/>
            <w:gridSpan w:val="3"/>
          </w:tcPr>
          <w:p>
            <w:pPr>
              <w:spacing w:after="0" w:line="145" w:lineRule="exact"/>
              <w:rPr>
                <w:sz w:val="20"/>
                <w:szCs w:val="20"/>
                <w:color w:val="auto"/>
              </w:rPr>
            </w:pPr>
            <w:r>
              <w:rPr>
                <w:rFonts w:ascii="Arial" w:cs="Arial" w:eastAsia="Arial" w:hAnsi="Arial"/>
                <w:sz w:val="13"/>
                <w:szCs w:val="13"/>
                <w:color w:val="auto"/>
              </w:rPr>
              <w:t>Saoyuth Nidh</w:t>
            </w:r>
          </w:p>
        </w:tc>
        <w:tc>
          <w:tcPr>
            <w:tcW w:w="3640" w:type="dxa"/>
            <w:vAlign w:val="bottom"/>
            <w:gridSpan w:val="2"/>
          </w:tcPr>
          <w:p>
            <w:pPr>
              <w:ind w:left="1400"/>
              <w:spacing w:after="0" w:line="145" w:lineRule="exact"/>
              <w:rPr>
                <w:sz w:val="20"/>
                <w:szCs w:val="20"/>
                <w:color w:val="auto"/>
              </w:rPr>
            </w:pPr>
            <w:r>
              <w:rPr>
                <w:rFonts w:ascii="Arial" w:cs="Arial" w:eastAsia="Arial" w:hAnsi="Arial"/>
                <w:sz w:val="13"/>
                <w:szCs w:val="13"/>
                <w:color w:val="auto"/>
              </w:rPr>
              <w:t>Gary Waanders, Ph.D., MBA</w:t>
            </w:r>
          </w:p>
        </w:tc>
      </w:tr>
      <w:tr>
        <w:trPr>
          <w:trHeight w:val="145"/>
        </w:trPr>
        <w:tc>
          <w:tcPr>
            <w:tcW w:w="3800" w:type="dxa"/>
            <w:vAlign w:val="bottom"/>
            <w:gridSpan w:val="3"/>
          </w:tcPr>
          <w:p>
            <w:pPr>
              <w:spacing w:after="0" w:line="145" w:lineRule="exact"/>
              <w:rPr>
                <w:sz w:val="20"/>
                <w:szCs w:val="20"/>
                <w:color w:val="auto"/>
              </w:rPr>
            </w:pPr>
            <w:r>
              <w:rPr>
                <w:rFonts w:ascii="Arial" w:cs="Arial" w:eastAsia="Arial" w:hAnsi="Arial"/>
                <w:sz w:val="13"/>
                <w:szCs w:val="13"/>
                <w:color w:val="auto"/>
              </w:rPr>
              <w:t>AC Immune</w:t>
            </w:r>
          </w:p>
        </w:tc>
        <w:tc>
          <w:tcPr>
            <w:tcW w:w="3640" w:type="dxa"/>
            <w:vAlign w:val="bottom"/>
            <w:gridSpan w:val="2"/>
          </w:tcPr>
          <w:p>
            <w:pPr>
              <w:ind w:left="1400"/>
              <w:spacing w:after="0" w:line="145" w:lineRule="exact"/>
              <w:rPr>
                <w:sz w:val="20"/>
                <w:szCs w:val="20"/>
                <w:color w:val="auto"/>
              </w:rPr>
            </w:pPr>
            <w:r>
              <w:rPr>
                <w:rFonts w:ascii="Arial" w:cs="Arial" w:eastAsia="Arial" w:hAnsi="Arial"/>
                <w:sz w:val="13"/>
                <w:szCs w:val="13"/>
                <w:color w:val="auto"/>
              </w:rPr>
              <w:t>AC Immune</w:t>
            </w:r>
          </w:p>
        </w:tc>
      </w:tr>
      <w:tr>
        <w:trPr>
          <w:trHeight w:val="145"/>
        </w:trPr>
        <w:tc>
          <w:tcPr>
            <w:tcW w:w="3800" w:type="dxa"/>
            <w:vAlign w:val="bottom"/>
            <w:gridSpan w:val="3"/>
          </w:tcPr>
          <w:p>
            <w:pPr>
              <w:spacing w:after="0" w:line="145" w:lineRule="exact"/>
              <w:rPr>
                <w:sz w:val="20"/>
                <w:szCs w:val="20"/>
                <w:color w:val="auto"/>
              </w:rPr>
            </w:pPr>
            <w:r>
              <w:rPr>
                <w:rFonts w:ascii="Arial" w:cs="Arial" w:eastAsia="Arial" w:hAnsi="Arial"/>
                <w:sz w:val="13"/>
                <w:szCs w:val="13"/>
                <w:color w:val="auto"/>
              </w:rPr>
              <w:t>Phone: +41 21 345 91 34</w:t>
            </w:r>
          </w:p>
        </w:tc>
        <w:tc>
          <w:tcPr>
            <w:tcW w:w="3640" w:type="dxa"/>
            <w:vAlign w:val="bottom"/>
            <w:gridSpan w:val="2"/>
          </w:tcPr>
          <w:p>
            <w:pPr>
              <w:ind w:left="1400"/>
              <w:spacing w:after="0" w:line="145" w:lineRule="exact"/>
              <w:rPr>
                <w:sz w:val="20"/>
                <w:szCs w:val="20"/>
                <w:color w:val="auto"/>
              </w:rPr>
            </w:pPr>
            <w:r>
              <w:rPr>
                <w:rFonts w:ascii="Arial" w:cs="Arial" w:eastAsia="Arial" w:hAnsi="Arial"/>
                <w:sz w:val="13"/>
                <w:szCs w:val="13"/>
                <w:color w:val="auto"/>
              </w:rPr>
              <w:t>Phone: +41 21 345 91 91</w:t>
            </w:r>
          </w:p>
        </w:tc>
      </w:tr>
      <w:tr>
        <w:trPr>
          <w:trHeight w:val="138"/>
        </w:trPr>
        <w:tc>
          <w:tcPr>
            <w:tcW w:w="3800" w:type="dxa"/>
            <w:vAlign w:val="bottom"/>
            <w:gridSpan w:val="3"/>
          </w:tcPr>
          <w:p>
            <w:pPr>
              <w:spacing w:after="0" w:line="138" w:lineRule="exact"/>
              <w:rPr>
                <w:sz w:val="20"/>
                <w:szCs w:val="20"/>
                <w:color w:val="auto"/>
              </w:rPr>
            </w:pPr>
            <w:r>
              <w:rPr>
                <w:rFonts w:ascii="Arial" w:cs="Arial" w:eastAsia="Arial" w:hAnsi="Arial"/>
                <w:sz w:val="13"/>
                <w:szCs w:val="13"/>
                <w:color w:val="auto"/>
              </w:rPr>
              <w:t xml:space="preserve">Email: </w:t>
            </w:r>
            <w:r>
              <w:rPr>
                <w:rFonts w:ascii="Arial" w:cs="Arial" w:eastAsia="Arial" w:hAnsi="Arial"/>
                <w:sz w:val="13"/>
                <w:szCs w:val="13"/>
                <w:color w:val="0000FF"/>
              </w:rPr>
              <w:t>saoyuth.nidh@acimmune.com</w:t>
            </w:r>
          </w:p>
        </w:tc>
        <w:tc>
          <w:tcPr>
            <w:tcW w:w="3640" w:type="dxa"/>
            <w:vAlign w:val="bottom"/>
            <w:gridSpan w:val="2"/>
          </w:tcPr>
          <w:p>
            <w:pPr>
              <w:ind w:left="1400"/>
              <w:spacing w:after="0" w:line="138" w:lineRule="exact"/>
              <w:rPr>
                <w:sz w:val="20"/>
                <w:szCs w:val="20"/>
                <w:color w:val="auto"/>
              </w:rPr>
            </w:pPr>
            <w:r>
              <w:rPr>
                <w:rFonts w:ascii="Arial" w:cs="Arial" w:eastAsia="Arial" w:hAnsi="Arial"/>
                <w:sz w:val="13"/>
                <w:szCs w:val="13"/>
                <w:color w:val="auto"/>
                <w:w w:val="98"/>
              </w:rPr>
              <w:t xml:space="preserve">Email: </w:t>
            </w:r>
            <w:r>
              <w:rPr>
                <w:rFonts w:ascii="Arial" w:cs="Arial" w:eastAsia="Arial" w:hAnsi="Arial"/>
                <w:sz w:val="13"/>
                <w:szCs w:val="13"/>
                <w:color w:val="0000FF"/>
                <w:w w:val="98"/>
              </w:rPr>
              <w:t>gary.waanders@acimmune.com</w:t>
            </w:r>
          </w:p>
        </w:tc>
      </w:tr>
      <w:tr>
        <w:trPr>
          <w:trHeight w:val="20"/>
        </w:trPr>
        <w:tc>
          <w:tcPr>
            <w:tcW w:w="400" w:type="dxa"/>
            <w:vAlign w:val="bottom"/>
          </w:tcPr>
          <w:p>
            <w:pPr>
              <w:spacing w:after="0" w:line="20" w:lineRule="exact"/>
              <w:rPr>
                <w:sz w:val="1"/>
                <w:szCs w:val="1"/>
                <w:color w:val="auto"/>
              </w:rPr>
            </w:pPr>
          </w:p>
        </w:tc>
        <w:tc>
          <w:tcPr>
            <w:tcW w:w="1720" w:type="dxa"/>
            <w:vAlign w:val="bottom"/>
            <w:shd w:val="clear" w:color="auto" w:fill="0000FF"/>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1840" w:type="dxa"/>
            <w:vAlign w:val="bottom"/>
            <w:shd w:val="clear" w:color="auto" w:fill="0000FF"/>
          </w:tcPr>
          <w:p>
            <w:pPr>
              <w:spacing w:after="0" w:line="20" w:lineRule="exact"/>
              <w:rPr>
                <w:sz w:val="1"/>
                <w:szCs w:val="1"/>
                <w:color w:val="auto"/>
              </w:rPr>
            </w:pPr>
          </w:p>
        </w:tc>
      </w:tr>
    </w:tbl>
    <w:p>
      <w:pPr>
        <w:spacing w:after="0" w:line="108"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280" w:type="dxa"/>
            <w:vAlign w:val="bottom"/>
            <w:gridSpan w:val="2"/>
          </w:tcPr>
          <w:p>
            <w:pPr>
              <w:spacing w:after="0"/>
              <w:rPr>
                <w:sz w:val="20"/>
                <w:szCs w:val="20"/>
                <w:color w:val="auto"/>
              </w:rPr>
            </w:pPr>
            <w:r>
              <w:rPr>
                <w:rFonts w:ascii="Arial" w:cs="Arial" w:eastAsia="Arial" w:hAnsi="Arial"/>
                <w:sz w:val="13"/>
                <w:szCs w:val="13"/>
                <w:b w:val="1"/>
                <w:bCs w:val="1"/>
                <w:color w:val="auto"/>
              </w:rPr>
              <w:t>U.S. Media</w:t>
            </w:r>
          </w:p>
        </w:tc>
        <w:tc>
          <w:tcPr>
            <w:tcW w:w="4880" w:type="dxa"/>
            <w:vAlign w:val="bottom"/>
            <w:gridSpan w:val="2"/>
          </w:tcPr>
          <w:p>
            <w:pPr>
              <w:ind w:left="2920"/>
              <w:spacing w:after="0"/>
              <w:rPr>
                <w:sz w:val="20"/>
                <w:szCs w:val="20"/>
                <w:color w:val="auto"/>
              </w:rPr>
            </w:pPr>
            <w:r>
              <w:rPr>
                <w:rFonts w:ascii="Arial" w:cs="Arial" w:eastAsia="Arial" w:hAnsi="Arial"/>
                <w:sz w:val="13"/>
                <w:szCs w:val="13"/>
                <w:b w:val="1"/>
                <w:bCs w:val="1"/>
                <w:color w:val="auto"/>
              </w:rPr>
              <w:t>U.S. Investors</w:t>
            </w:r>
          </w:p>
        </w:tc>
      </w:tr>
      <w:tr>
        <w:trPr>
          <w:trHeight w:val="145"/>
        </w:trPr>
        <w:tc>
          <w:tcPr>
            <w:tcW w:w="2280" w:type="dxa"/>
            <w:vAlign w:val="bottom"/>
            <w:gridSpan w:val="2"/>
          </w:tcPr>
          <w:p>
            <w:pPr>
              <w:spacing w:after="0" w:line="145" w:lineRule="exact"/>
              <w:rPr>
                <w:sz w:val="20"/>
                <w:szCs w:val="20"/>
                <w:color w:val="auto"/>
              </w:rPr>
            </w:pPr>
            <w:r>
              <w:rPr>
                <w:rFonts w:ascii="Arial" w:cs="Arial" w:eastAsia="Arial" w:hAnsi="Arial"/>
                <w:sz w:val="13"/>
                <w:szCs w:val="13"/>
                <w:color w:val="auto"/>
              </w:rPr>
              <w:t>Shani Lewis</w:t>
            </w:r>
          </w:p>
        </w:tc>
        <w:tc>
          <w:tcPr>
            <w:tcW w:w="4880" w:type="dxa"/>
            <w:vAlign w:val="bottom"/>
            <w:gridSpan w:val="2"/>
          </w:tcPr>
          <w:p>
            <w:pPr>
              <w:ind w:left="2920"/>
              <w:spacing w:after="0" w:line="145" w:lineRule="exact"/>
              <w:rPr>
                <w:sz w:val="20"/>
                <w:szCs w:val="20"/>
                <w:color w:val="auto"/>
              </w:rPr>
            </w:pPr>
            <w:r>
              <w:rPr>
                <w:rFonts w:ascii="Arial" w:cs="Arial" w:eastAsia="Arial" w:hAnsi="Arial"/>
                <w:sz w:val="13"/>
                <w:szCs w:val="13"/>
                <w:color w:val="auto"/>
              </w:rPr>
              <w:t>Corey Davis, Ph.D.</w:t>
            </w:r>
          </w:p>
        </w:tc>
      </w:tr>
      <w:tr>
        <w:trPr>
          <w:trHeight w:val="145"/>
        </w:trPr>
        <w:tc>
          <w:tcPr>
            <w:tcW w:w="2280" w:type="dxa"/>
            <w:vAlign w:val="bottom"/>
            <w:gridSpan w:val="2"/>
          </w:tcPr>
          <w:p>
            <w:pPr>
              <w:spacing w:after="0" w:line="145" w:lineRule="exact"/>
              <w:rPr>
                <w:sz w:val="20"/>
                <w:szCs w:val="20"/>
                <w:color w:val="auto"/>
              </w:rPr>
            </w:pPr>
            <w:r>
              <w:rPr>
                <w:rFonts w:ascii="Arial" w:cs="Arial" w:eastAsia="Arial" w:hAnsi="Arial"/>
                <w:sz w:val="13"/>
                <w:szCs w:val="13"/>
                <w:color w:val="auto"/>
              </w:rPr>
              <w:t>LaVoieHealthScience</w:t>
            </w:r>
          </w:p>
        </w:tc>
        <w:tc>
          <w:tcPr>
            <w:tcW w:w="4880" w:type="dxa"/>
            <w:vAlign w:val="bottom"/>
            <w:gridSpan w:val="2"/>
          </w:tcPr>
          <w:p>
            <w:pPr>
              <w:ind w:left="2920"/>
              <w:spacing w:after="0" w:line="145" w:lineRule="exact"/>
              <w:rPr>
                <w:sz w:val="20"/>
                <w:szCs w:val="20"/>
                <w:color w:val="auto"/>
              </w:rPr>
            </w:pPr>
            <w:r>
              <w:rPr>
                <w:rFonts w:ascii="Arial" w:cs="Arial" w:eastAsia="Arial" w:hAnsi="Arial"/>
                <w:sz w:val="13"/>
                <w:szCs w:val="13"/>
                <w:color w:val="auto"/>
              </w:rPr>
              <w:t>LifeSci Advisors</w:t>
            </w:r>
          </w:p>
        </w:tc>
      </w:tr>
      <w:tr>
        <w:trPr>
          <w:trHeight w:val="145"/>
        </w:trPr>
        <w:tc>
          <w:tcPr>
            <w:tcW w:w="2280" w:type="dxa"/>
            <w:vAlign w:val="bottom"/>
            <w:gridSpan w:val="2"/>
          </w:tcPr>
          <w:p>
            <w:pPr>
              <w:spacing w:after="0" w:line="145" w:lineRule="exact"/>
              <w:rPr>
                <w:sz w:val="20"/>
                <w:szCs w:val="20"/>
                <w:color w:val="auto"/>
              </w:rPr>
            </w:pPr>
            <w:r>
              <w:rPr>
                <w:rFonts w:ascii="Arial" w:cs="Arial" w:eastAsia="Arial" w:hAnsi="Arial"/>
                <w:sz w:val="13"/>
                <w:szCs w:val="13"/>
                <w:color w:val="auto"/>
              </w:rPr>
              <w:t>Phone: +1 609 516 5761</w:t>
            </w:r>
          </w:p>
        </w:tc>
        <w:tc>
          <w:tcPr>
            <w:tcW w:w="4880" w:type="dxa"/>
            <w:vAlign w:val="bottom"/>
            <w:gridSpan w:val="2"/>
          </w:tcPr>
          <w:p>
            <w:pPr>
              <w:ind w:left="2920"/>
              <w:spacing w:after="0" w:line="145" w:lineRule="exact"/>
              <w:rPr>
                <w:sz w:val="20"/>
                <w:szCs w:val="20"/>
                <w:color w:val="auto"/>
              </w:rPr>
            </w:pPr>
            <w:r>
              <w:rPr>
                <w:rFonts w:ascii="Arial" w:cs="Arial" w:eastAsia="Arial" w:hAnsi="Arial"/>
                <w:sz w:val="13"/>
                <w:szCs w:val="13"/>
                <w:color w:val="auto"/>
              </w:rPr>
              <w:t>Phone: +1 212 915 2577</w:t>
            </w:r>
          </w:p>
        </w:tc>
      </w:tr>
      <w:tr>
        <w:trPr>
          <w:trHeight w:val="138"/>
        </w:trPr>
        <w:tc>
          <w:tcPr>
            <w:tcW w:w="2280" w:type="dxa"/>
            <w:vAlign w:val="bottom"/>
            <w:gridSpan w:val="2"/>
          </w:tcPr>
          <w:p>
            <w:pPr>
              <w:spacing w:after="0" w:line="138" w:lineRule="exact"/>
              <w:rPr>
                <w:sz w:val="20"/>
                <w:szCs w:val="20"/>
                <w:color w:val="auto"/>
              </w:rPr>
            </w:pPr>
            <w:r>
              <w:rPr>
                <w:rFonts w:ascii="Arial" w:cs="Arial" w:eastAsia="Arial" w:hAnsi="Arial"/>
                <w:sz w:val="13"/>
                <w:szCs w:val="13"/>
                <w:color w:val="auto"/>
                <w:w w:val="98"/>
              </w:rPr>
              <w:t xml:space="preserve">Email: </w:t>
            </w:r>
            <w:r>
              <w:rPr>
                <w:rFonts w:ascii="Arial" w:cs="Arial" w:eastAsia="Arial" w:hAnsi="Arial"/>
                <w:sz w:val="13"/>
                <w:szCs w:val="13"/>
                <w:color w:val="0000FF"/>
                <w:w w:val="98"/>
              </w:rPr>
              <w:t>slewis@lavoiehealthscience.com</w:t>
            </w:r>
          </w:p>
        </w:tc>
        <w:tc>
          <w:tcPr>
            <w:tcW w:w="4880" w:type="dxa"/>
            <w:vAlign w:val="bottom"/>
            <w:gridSpan w:val="2"/>
          </w:tcPr>
          <w:p>
            <w:pPr>
              <w:ind w:left="2920"/>
              <w:spacing w:after="0" w:line="138" w:lineRule="exact"/>
              <w:rPr>
                <w:sz w:val="20"/>
                <w:szCs w:val="20"/>
                <w:color w:val="auto"/>
              </w:rPr>
            </w:pPr>
            <w:r>
              <w:rPr>
                <w:rFonts w:ascii="Arial" w:cs="Arial" w:eastAsia="Arial" w:hAnsi="Arial"/>
                <w:sz w:val="13"/>
                <w:szCs w:val="13"/>
                <w:color w:val="auto"/>
                <w:w w:val="97"/>
              </w:rPr>
              <w:t xml:space="preserve">Email: </w:t>
            </w:r>
            <w:r>
              <w:rPr>
                <w:rFonts w:ascii="Arial" w:cs="Arial" w:eastAsia="Arial" w:hAnsi="Arial"/>
                <w:sz w:val="13"/>
                <w:szCs w:val="13"/>
                <w:color w:val="0000FF"/>
                <w:w w:val="97"/>
              </w:rPr>
              <w:t>cdavis@lifesciadvisors.com</w:t>
            </w:r>
          </w:p>
        </w:tc>
      </w:tr>
      <w:tr>
        <w:trPr>
          <w:trHeight w:val="20"/>
        </w:trPr>
        <w:tc>
          <w:tcPr>
            <w:tcW w:w="400" w:type="dxa"/>
            <w:vAlign w:val="bottom"/>
          </w:tcPr>
          <w:p>
            <w:pPr>
              <w:spacing w:after="0" w:line="20" w:lineRule="exact"/>
              <w:rPr>
                <w:sz w:val="1"/>
                <w:szCs w:val="1"/>
                <w:color w:val="auto"/>
              </w:rPr>
            </w:pPr>
          </w:p>
        </w:tc>
        <w:tc>
          <w:tcPr>
            <w:tcW w:w="1880" w:type="dxa"/>
            <w:vAlign w:val="bottom"/>
            <w:shd w:val="clear" w:color="auto" w:fill="0000FF"/>
          </w:tcPr>
          <w:p>
            <w:pPr>
              <w:spacing w:after="0" w:line="20" w:lineRule="exact"/>
              <w:rPr>
                <w:sz w:val="1"/>
                <w:szCs w:val="1"/>
                <w:color w:val="auto"/>
              </w:rPr>
            </w:pPr>
          </w:p>
        </w:tc>
        <w:tc>
          <w:tcPr>
            <w:tcW w:w="3320" w:type="dxa"/>
            <w:vAlign w:val="bottom"/>
          </w:tcPr>
          <w:p>
            <w:pPr>
              <w:spacing w:after="0" w:line="20" w:lineRule="exact"/>
              <w:rPr>
                <w:sz w:val="1"/>
                <w:szCs w:val="1"/>
                <w:color w:val="auto"/>
              </w:rPr>
            </w:pPr>
          </w:p>
        </w:tc>
        <w:tc>
          <w:tcPr>
            <w:tcW w:w="1560" w:type="dxa"/>
            <w:vAlign w:val="bottom"/>
            <w:shd w:val="clear" w:color="auto" w:fill="0000FF"/>
          </w:tcPr>
          <w:p>
            <w:pPr>
              <w:spacing w:after="0" w:line="20" w:lineRule="exact"/>
              <w:rPr>
                <w:sz w:val="1"/>
                <w:szCs w:val="1"/>
                <w:color w:val="auto"/>
              </w:rPr>
            </w:pPr>
          </w:p>
        </w:tc>
      </w:tr>
    </w:tbl>
    <w:p>
      <w:pPr>
        <w:spacing w:after="0" w:line="287"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Forward looking statements</w:t>
      </w:r>
    </w:p>
    <w:p>
      <w:pPr>
        <w:spacing w:after="0" w:line="140" w:lineRule="exact"/>
        <w:rPr>
          <w:sz w:val="20"/>
          <w:szCs w:val="20"/>
          <w:color w:val="auto"/>
        </w:rPr>
      </w:pPr>
    </w:p>
    <w:p>
      <w:pPr>
        <w:jc w:val="both"/>
        <w:spacing w:after="0" w:line="237" w:lineRule="auto"/>
        <w:rPr>
          <w:sz w:val="20"/>
          <w:szCs w:val="20"/>
          <w:color w:val="auto"/>
        </w:rPr>
      </w:pPr>
      <w:r>
        <w:rPr>
          <w:rFonts w:ascii="Arial" w:cs="Arial" w:eastAsia="Arial" w:hAnsi="Arial"/>
          <w:sz w:val="13"/>
          <w:szCs w:val="13"/>
          <w:color w:val="auto"/>
        </w:rPr>
        <w:t>This press release contains statements that constitute “forward-looking statements” within the meaning of Section 27A of the Securities Act of 1933 and Section 21E of the Securities Exchange Act of 1934. Forward-looking statements are statements other than historical fact and may include statements that address future operating, financial or business performance or AC Immune’s strategies or expectations. In some cases, you can identify these statements by forward-looking words such as “may,” “might,” “will,” “should,” “expects,” “plans,” “anticipates,” “believes,” “estimates,” “predicts,” “projects,” “potential,” “outlook” or “continue,” and other comparable terminology. Forward-looking statements are based on management’s current expectations and beliefs and involve significant risks and uncertainties that could cause actual results, developments and business decisions to differ materially from those contemplated by these statements. These risks and uncertainties include those described under the captions “Item 3. Key Information – Risk Factors” and “Item 5. Operating and Financial Review and Prospects” in AC Immune’s Annual Report on Form 20-F and other filings with the Securities and Exchange Commission. These include: the impact of Covid-19 on our business, suppliers, patients and employees and any other impact of Covid-19. Forward-looking statements speak only as of the date they are made, and AC</w:t>
      </w:r>
    </w:p>
    <w:p>
      <w:pPr>
        <w:spacing w:after="0" w:line="199" w:lineRule="exact"/>
        <w:rPr>
          <w:sz w:val="20"/>
          <w:szCs w:val="20"/>
          <w:color w:val="auto"/>
        </w:rPr>
      </w:pPr>
    </w:p>
    <w:p>
      <w:pPr>
        <w:ind w:left="11000"/>
        <w:spacing w:after="0"/>
        <w:rPr>
          <w:sz w:val="20"/>
          <w:szCs w:val="20"/>
          <w:color w:val="auto"/>
        </w:rPr>
      </w:pPr>
      <w:r>
        <w:rPr>
          <w:rFonts w:ascii="Arial" w:cs="Arial" w:eastAsia="Arial" w:hAnsi="Arial"/>
          <w:sz w:val="13"/>
          <w:szCs w:val="13"/>
          <w:color w:val="auto"/>
        </w:rPr>
        <w:t>2 / 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5080</wp:posOffset>
            </wp:positionV>
            <wp:extent cx="7171690" cy="635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71690" cy="6350"/>
                    </a:xfrm>
                    <a:prstGeom prst="rect">
                      <a:avLst/>
                    </a:prstGeom>
                    <a:noFill/>
                  </pic:spPr>
                </pic:pic>
              </a:graphicData>
            </a:graphic>
          </wp:anchor>
        </w:drawing>
      </w:r>
    </w:p>
    <w:p>
      <w:pPr>
        <w:sectPr>
          <w:pgSz w:w="11900" w:h="16838" w:orient="portrait"/>
          <w:cols w:equalWidth="0" w:num="1">
            <w:col w:w="11300"/>
          </w:cols>
          <w:pgMar w:left="300" w:top="455" w:right="299" w:bottom="1440" w:gutter="0" w:footer="0" w:header="0"/>
        </w:sectPr>
      </w:pPr>
    </w:p>
    <w:bookmarkStart w:id="57" w:name="page58"/>
    <w:bookmarkEnd w:id="57"/>
    <w:p>
      <w:pPr>
        <w:spacing w:after="0" w:line="262" w:lineRule="auto"/>
        <w:rPr>
          <w:sz w:val="20"/>
          <w:szCs w:val="20"/>
          <w:color w:val="auto"/>
        </w:rPr>
      </w:pPr>
      <w:r>
        <w:rPr>
          <w:rFonts w:ascii="Arial" w:cs="Arial" w:eastAsia="Arial" w:hAnsi="Arial"/>
          <w:sz w:val="13"/>
          <w:szCs w:val="13"/>
          <w:color w:val="auto"/>
        </w:rPr>
        <w:t>Immune does not undertake any obligation to update them in light of new information, future developments or otherwise, except as may be required under applicable law. All forward-looking statements are qualified in their entirety by this cautionary statement.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ind w:left="11000"/>
        <w:spacing w:after="0"/>
        <w:rPr>
          <w:sz w:val="20"/>
          <w:szCs w:val="20"/>
          <w:color w:val="auto"/>
        </w:rPr>
      </w:pPr>
      <w:r>
        <w:rPr>
          <w:rFonts w:ascii="Arial" w:cs="Arial" w:eastAsia="Arial" w:hAnsi="Arial"/>
          <w:sz w:val="13"/>
          <w:szCs w:val="13"/>
          <w:color w:val="auto"/>
        </w:rPr>
        <w:t>3 / 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5080</wp:posOffset>
            </wp:positionV>
            <wp:extent cx="7171690" cy="635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71690" cy="6350"/>
                    </a:xfrm>
                    <a:prstGeom prst="rect">
                      <a:avLst/>
                    </a:prstGeom>
                    <a:noFill/>
                  </pic:spPr>
                </pic:pic>
              </a:graphicData>
            </a:graphic>
          </wp:anchor>
        </w:drawing>
      </w:r>
    </w:p>
    <w:p>
      <w:pPr>
        <w:sectPr>
          <w:pgSz w:w="11900" w:h="16838" w:orient="portrait"/>
          <w:cols w:equalWidth="0" w:num="1">
            <w:col w:w="11280"/>
          </w:cols>
          <w:pgMar w:left="300" w:top="455" w:right="319" w:bottom="1440" w:gutter="0" w:footer="0" w:header="0"/>
        </w:sectPr>
      </w:pPr>
    </w:p>
    <w:bookmarkStart w:id="58" w:name="page59"/>
    <w:bookmarkEnd w:id="58"/>
    <w:p>
      <w:pPr>
        <w:jc w:val="right"/>
        <w:spacing w:after="0"/>
        <w:rPr>
          <w:sz w:val="20"/>
          <w:szCs w:val="20"/>
          <w:color w:val="auto"/>
        </w:rPr>
      </w:pPr>
      <w:r>
        <w:rPr>
          <w:rFonts w:ascii="Times New Roman" w:cs="Times New Roman" w:eastAsia="Times New Roman" w:hAnsi="Times New Roman"/>
          <w:sz w:val="15"/>
          <w:szCs w:val="15"/>
          <w:b w:val="1"/>
          <w:bCs w:val="1"/>
          <w:color w:val="auto"/>
        </w:rPr>
        <w:t>Exhibit 99.3</w:t>
      </w:r>
    </w:p>
    <w:p>
      <w:pPr>
        <w:spacing w:after="0" w:line="351" w:lineRule="exact"/>
        <w:rPr>
          <w:sz w:val="20"/>
          <w:szCs w:val="20"/>
          <w:color w:val="auto"/>
        </w:rPr>
      </w:pPr>
    </w:p>
    <w:tbl>
      <w:tblPr>
        <w:tblLayout w:type="fixed"/>
        <w:tblInd w:w="10" w:type="dxa"/>
        <w:tblCellMar>
          <w:top w:w="0" w:type="dxa"/>
          <w:left w:w="0" w:type="dxa"/>
          <w:bottom w:w="0" w:type="dxa"/>
          <w:right w:w="0" w:type="dxa"/>
        </w:tblCellMar>
      </w:tblPr>
      <w:tr>
        <w:trPr>
          <w:trHeight w:val="193"/>
        </w:trPr>
        <w:tc>
          <w:tcPr>
            <w:tcW w:w="440" w:type="dxa"/>
            <w:vAlign w:val="bottom"/>
            <w:tcBorders>
              <w:top w:val="single" w:sz="8" w:color="auto"/>
              <w:left w:val="single" w:sz="8" w:color="auto"/>
            </w:tcBorders>
          </w:tcPr>
          <w:p>
            <w:pPr>
              <w:spacing w:after="0"/>
              <w:rPr>
                <w:sz w:val="16"/>
                <w:szCs w:val="16"/>
                <w:color w:val="auto"/>
              </w:rPr>
            </w:pPr>
          </w:p>
        </w:tc>
        <w:tc>
          <w:tcPr>
            <w:tcW w:w="5100" w:type="dxa"/>
            <w:vAlign w:val="bottom"/>
            <w:tcBorders>
              <w:top w:val="single" w:sz="8" w:color="auto"/>
              <w:right w:val="single" w:sz="8" w:color="auto"/>
            </w:tcBorders>
          </w:tcPr>
          <w:p>
            <w:pPr>
              <w:jc w:val="center"/>
              <w:ind w:right="376"/>
              <w:spacing w:after="0"/>
              <w:rPr>
                <w:sz w:val="20"/>
                <w:szCs w:val="20"/>
                <w:color w:val="auto"/>
              </w:rPr>
            </w:pPr>
            <w:r>
              <w:rPr>
                <w:rFonts w:ascii="Arial" w:cs="Arial" w:eastAsia="Arial" w:hAnsi="Arial"/>
                <w:sz w:val="13"/>
                <w:szCs w:val="13"/>
                <w:b w:val="1"/>
                <w:bCs w:val="1"/>
                <w:color w:val="auto"/>
                <w:w w:val="98"/>
              </w:rPr>
              <w:t>ARTICLES OF ASSOCIATION</w:t>
            </w:r>
          </w:p>
        </w:tc>
        <w:tc>
          <w:tcPr>
            <w:tcW w:w="240" w:type="dxa"/>
            <w:vAlign w:val="bottom"/>
            <w:tcBorders>
              <w:top w:val="single" w:sz="8" w:color="auto"/>
              <w:right w:val="single" w:sz="8" w:color="auto"/>
            </w:tcBorders>
          </w:tcPr>
          <w:p>
            <w:pPr>
              <w:spacing w:after="0"/>
              <w:rPr>
                <w:sz w:val="16"/>
                <w:szCs w:val="16"/>
                <w:color w:val="auto"/>
              </w:rPr>
            </w:pPr>
          </w:p>
        </w:tc>
        <w:tc>
          <w:tcPr>
            <w:tcW w:w="420" w:type="dxa"/>
            <w:vAlign w:val="bottom"/>
            <w:tcBorders>
              <w:top w:val="single" w:sz="8" w:color="auto"/>
            </w:tcBorders>
          </w:tcPr>
          <w:p>
            <w:pPr>
              <w:spacing w:after="0"/>
              <w:rPr>
                <w:sz w:val="16"/>
                <w:szCs w:val="16"/>
                <w:color w:val="auto"/>
              </w:rPr>
            </w:pPr>
          </w:p>
        </w:tc>
        <w:tc>
          <w:tcPr>
            <w:tcW w:w="5100" w:type="dxa"/>
            <w:vAlign w:val="bottom"/>
            <w:tcBorders>
              <w:top w:val="single" w:sz="8" w:color="auto"/>
              <w:right w:val="single" w:sz="8" w:color="auto"/>
            </w:tcBorders>
          </w:tcPr>
          <w:p>
            <w:pPr>
              <w:jc w:val="center"/>
              <w:ind w:right="376"/>
              <w:spacing w:after="0"/>
              <w:rPr>
                <w:sz w:val="20"/>
                <w:szCs w:val="20"/>
                <w:color w:val="auto"/>
              </w:rPr>
            </w:pPr>
            <w:r>
              <w:rPr>
                <w:rFonts w:ascii="Arial" w:cs="Arial" w:eastAsia="Arial" w:hAnsi="Arial"/>
                <w:sz w:val="13"/>
                <w:szCs w:val="13"/>
                <w:b w:val="1"/>
                <w:bCs w:val="1"/>
                <w:color w:val="auto"/>
                <w:w w:val="96"/>
              </w:rPr>
              <w:t>STATUTS</w:t>
            </w:r>
          </w:p>
        </w:tc>
      </w:tr>
      <w:tr>
        <w:trPr>
          <w:trHeight w:val="290"/>
        </w:trPr>
        <w:tc>
          <w:tcPr>
            <w:tcW w:w="440" w:type="dxa"/>
            <w:vAlign w:val="bottom"/>
            <w:tcBorders>
              <w:left w:val="single" w:sz="8" w:color="auto"/>
            </w:tcBorders>
          </w:tcPr>
          <w:p>
            <w:pPr>
              <w:spacing w:after="0"/>
              <w:rPr>
                <w:sz w:val="24"/>
                <w:szCs w:val="24"/>
                <w:color w:val="auto"/>
              </w:rPr>
            </w:pPr>
          </w:p>
        </w:tc>
        <w:tc>
          <w:tcPr>
            <w:tcW w:w="5100" w:type="dxa"/>
            <w:vAlign w:val="bottom"/>
            <w:tcBorders>
              <w:right w:val="single" w:sz="8" w:color="auto"/>
            </w:tcBorders>
          </w:tcPr>
          <w:p>
            <w:pPr>
              <w:jc w:val="center"/>
              <w:ind w:right="396"/>
              <w:spacing w:after="0"/>
              <w:rPr>
                <w:sz w:val="20"/>
                <w:szCs w:val="20"/>
                <w:color w:val="auto"/>
              </w:rPr>
            </w:pPr>
            <w:r>
              <w:rPr>
                <w:rFonts w:ascii="Arial" w:cs="Arial" w:eastAsia="Arial" w:hAnsi="Arial"/>
                <w:sz w:val="13"/>
                <w:szCs w:val="13"/>
                <w:b w:val="1"/>
                <w:bCs w:val="1"/>
                <w:color w:val="auto"/>
                <w:w w:val="97"/>
              </w:rPr>
              <w:t>of</w:t>
            </w:r>
          </w:p>
        </w:tc>
        <w:tc>
          <w:tcPr>
            <w:tcW w:w="240" w:type="dxa"/>
            <w:vAlign w:val="bottom"/>
            <w:tcBorders>
              <w:right w:val="single" w:sz="8" w:color="auto"/>
            </w:tcBorders>
          </w:tcPr>
          <w:p>
            <w:pPr>
              <w:spacing w:after="0"/>
              <w:rPr>
                <w:sz w:val="24"/>
                <w:szCs w:val="24"/>
                <w:color w:val="auto"/>
              </w:rPr>
            </w:pPr>
          </w:p>
        </w:tc>
        <w:tc>
          <w:tcPr>
            <w:tcW w:w="420" w:type="dxa"/>
            <w:vAlign w:val="bottom"/>
          </w:tcPr>
          <w:p>
            <w:pPr>
              <w:spacing w:after="0"/>
              <w:rPr>
                <w:sz w:val="24"/>
                <w:szCs w:val="24"/>
                <w:color w:val="auto"/>
              </w:rPr>
            </w:pPr>
          </w:p>
        </w:tc>
        <w:tc>
          <w:tcPr>
            <w:tcW w:w="5100" w:type="dxa"/>
            <w:vAlign w:val="bottom"/>
            <w:tcBorders>
              <w:right w:val="single" w:sz="8" w:color="auto"/>
            </w:tcBorders>
          </w:tcPr>
          <w:p>
            <w:pPr>
              <w:jc w:val="center"/>
              <w:ind w:right="376"/>
              <w:spacing w:after="0"/>
              <w:rPr>
                <w:sz w:val="20"/>
                <w:szCs w:val="20"/>
                <w:color w:val="auto"/>
              </w:rPr>
            </w:pPr>
            <w:r>
              <w:rPr>
                <w:rFonts w:ascii="Arial" w:cs="Arial" w:eastAsia="Arial" w:hAnsi="Arial"/>
                <w:sz w:val="13"/>
                <w:szCs w:val="13"/>
                <w:b w:val="1"/>
                <w:bCs w:val="1"/>
                <w:color w:val="auto"/>
                <w:w w:val="91"/>
              </w:rPr>
              <w:t>de</w:t>
            </w:r>
          </w:p>
        </w:tc>
      </w:tr>
      <w:tr>
        <w:trPr>
          <w:trHeight w:val="290"/>
        </w:trPr>
        <w:tc>
          <w:tcPr>
            <w:tcW w:w="440" w:type="dxa"/>
            <w:vAlign w:val="bottom"/>
            <w:tcBorders>
              <w:left w:val="single" w:sz="8" w:color="auto"/>
            </w:tcBorders>
          </w:tcPr>
          <w:p>
            <w:pPr>
              <w:spacing w:after="0"/>
              <w:rPr>
                <w:sz w:val="24"/>
                <w:szCs w:val="24"/>
                <w:color w:val="auto"/>
              </w:rPr>
            </w:pPr>
          </w:p>
        </w:tc>
        <w:tc>
          <w:tcPr>
            <w:tcW w:w="5100" w:type="dxa"/>
            <w:vAlign w:val="bottom"/>
            <w:tcBorders>
              <w:right w:val="single" w:sz="8" w:color="auto"/>
            </w:tcBorders>
          </w:tcPr>
          <w:p>
            <w:pPr>
              <w:jc w:val="center"/>
              <w:ind w:right="376"/>
              <w:spacing w:after="0"/>
              <w:rPr>
                <w:sz w:val="20"/>
                <w:szCs w:val="20"/>
                <w:color w:val="auto"/>
              </w:rPr>
            </w:pPr>
            <w:r>
              <w:rPr>
                <w:rFonts w:ascii="Arial" w:cs="Arial" w:eastAsia="Arial" w:hAnsi="Arial"/>
                <w:sz w:val="13"/>
                <w:szCs w:val="13"/>
                <w:b w:val="1"/>
                <w:bCs w:val="1"/>
                <w:color w:val="auto"/>
                <w:w w:val="98"/>
              </w:rPr>
              <w:t>AC Immune SA (AC Immune AG) (AC Immune Ltd)</w:t>
            </w:r>
          </w:p>
        </w:tc>
        <w:tc>
          <w:tcPr>
            <w:tcW w:w="240" w:type="dxa"/>
            <w:vAlign w:val="bottom"/>
            <w:tcBorders>
              <w:right w:val="single" w:sz="8" w:color="auto"/>
            </w:tcBorders>
          </w:tcPr>
          <w:p>
            <w:pPr>
              <w:spacing w:after="0"/>
              <w:rPr>
                <w:sz w:val="24"/>
                <w:szCs w:val="24"/>
                <w:color w:val="auto"/>
              </w:rPr>
            </w:pPr>
          </w:p>
        </w:tc>
        <w:tc>
          <w:tcPr>
            <w:tcW w:w="420" w:type="dxa"/>
            <w:vAlign w:val="bottom"/>
          </w:tcPr>
          <w:p>
            <w:pPr>
              <w:spacing w:after="0"/>
              <w:rPr>
                <w:sz w:val="24"/>
                <w:szCs w:val="24"/>
                <w:color w:val="auto"/>
              </w:rPr>
            </w:pPr>
          </w:p>
        </w:tc>
        <w:tc>
          <w:tcPr>
            <w:tcW w:w="5100" w:type="dxa"/>
            <w:vAlign w:val="bottom"/>
            <w:tcBorders>
              <w:right w:val="single" w:sz="8" w:color="auto"/>
            </w:tcBorders>
          </w:tcPr>
          <w:p>
            <w:pPr>
              <w:jc w:val="center"/>
              <w:ind w:right="376"/>
              <w:spacing w:after="0"/>
              <w:rPr>
                <w:sz w:val="20"/>
                <w:szCs w:val="20"/>
                <w:color w:val="auto"/>
              </w:rPr>
            </w:pPr>
            <w:r>
              <w:rPr>
                <w:rFonts w:ascii="Arial" w:cs="Arial" w:eastAsia="Arial" w:hAnsi="Arial"/>
                <w:sz w:val="13"/>
                <w:szCs w:val="13"/>
                <w:b w:val="1"/>
                <w:bCs w:val="1"/>
                <w:color w:val="auto"/>
                <w:w w:val="98"/>
              </w:rPr>
              <w:t>AC Immune SA (AC Immune AG) (AC Immune Ltd)</w:t>
            </w:r>
          </w:p>
        </w:tc>
      </w:tr>
      <w:tr>
        <w:trPr>
          <w:trHeight w:val="290"/>
        </w:trPr>
        <w:tc>
          <w:tcPr>
            <w:tcW w:w="440" w:type="dxa"/>
            <w:vAlign w:val="bottom"/>
            <w:tcBorders>
              <w:left w:val="single" w:sz="8" w:color="auto"/>
            </w:tcBorders>
          </w:tcPr>
          <w:p>
            <w:pPr>
              <w:spacing w:after="0"/>
              <w:rPr>
                <w:sz w:val="24"/>
                <w:szCs w:val="24"/>
                <w:color w:val="auto"/>
              </w:rPr>
            </w:pPr>
          </w:p>
        </w:tc>
        <w:tc>
          <w:tcPr>
            <w:tcW w:w="5100" w:type="dxa"/>
            <w:vAlign w:val="bottom"/>
            <w:tcBorders>
              <w:right w:val="single" w:sz="8" w:color="auto"/>
            </w:tcBorders>
          </w:tcPr>
          <w:p>
            <w:pPr>
              <w:jc w:val="center"/>
              <w:ind w:right="396"/>
              <w:spacing w:after="0"/>
              <w:rPr>
                <w:sz w:val="20"/>
                <w:szCs w:val="20"/>
                <w:color w:val="auto"/>
              </w:rPr>
            </w:pPr>
            <w:r>
              <w:rPr>
                <w:rFonts w:ascii="Arial" w:cs="Arial" w:eastAsia="Arial" w:hAnsi="Arial"/>
                <w:sz w:val="13"/>
                <w:szCs w:val="13"/>
                <w:b w:val="1"/>
                <w:bCs w:val="1"/>
                <w:color w:val="auto"/>
                <w:w w:val="98"/>
              </w:rPr>
              <w:t>with registered office in</w:t>
            </w:r>
          </w:p>
        </w:tc>
        <w:tc>
          <w:tcPr>
            <w:tcW w:w="240" w:type="dxa"/>
            <w:vAlign w:val="bottom"/>
            <w:tcBorders>
              <w:right w:val="single" w:sz="8" w:color="auto"/>
            </w:tcBorders>
          </w:tcPr>
          <w:p>
            <w:pPr>
              <w:spacing w:after="0"/>
              <w:rPr>
                <w:sz w:val="24"/>
                <w:szCs w:val="24"/>
                <w:color w:val="auto"/>
              </w:rPr>
            </w:pPr>
          </w:p>
        </w:tc>
        <w:tc>
          <w:tcPr>
            <w:tcW w:w="420" w:type="dxa"/>
            <w:vAlign w:val="bottom"/>
          </w:tcPr>
          <w:p>
            <w:pPr>
              <w:spacing w:after="0"/>
              <w:rPr>
                <w:sz w:val="24"/>
                <w:szCs w:val="24"/>
                <w:color w:val="auto"/>
              </w:rPr>
            </w:pPr>
          </w:p>
        </w:tc>
        <w:tc>
          <w:tcPr>
            <w:tcW w:w="5100" w:type="dxa"/>
            <w:vAlign w:val="bottom"/>
            <w:tcBorders>
              <w:right w:val="single" w:sz="8" w:color="auto"/>
            </w:tcBorders>
          </w:tcPr>
          <w:p>
            <w:pPr>
              <w:jc w:val="center"/>
              <w:ind w:right="396"/>
              <w:spacing w:after="0"/>
              <w:rPr>
                <w:sz w:val="20"/>
                <w:szCs w:val="20"/>
                <w:color w:val="auto"/>
              </w:rPr>
            </w:pPr>
            <w:r>
              <w:rPr>
                <w:rFonts w:ascii="Arial" w:cs="Arial" w:eastAsia="Arial" w:hAnsi="Arial"/>
                <w:sz w:val="13"/>
                <w:szCs w:val="13"/>
                <w:b w:val="1"/>
                <w:bCs w:val="1"/>
                <w:color w:val="auto"/>
                <w:w w:val="99"/>
              </w:rPr>
              <w:t>avec siège à</w:t>
            </w:r>
          </w:p>
        </w:tc>
      </w:tr>
      <w:tr>
        <w:trPr>
          <w:trHeight w:val="290"/>
        </w:trPr>
        <w:tc>
          <w:tcPr>
            <w:tcW w:w="440" w:type="dxa"/>
            <w:vAlign w:val="bottom"/>
            <w:tcBorders>
              <w:left w:val="single" w:sz="8" w:color="auto"/>
            </w:tcBorders>
          </w:tcPr>
          <w:p>
            <w:pPr>
              <w:spacing w:after="0"/>
              <w:rPr>
                <w:sz w:val="24"/>
                <w:szCs w:val="24"/>
                <w:color w:val="auto"/>
              </w:rPr>
            </w:pPr>
          </w:p>
        </w:tc>
        <w:tc>
          <w:tcPr>
            <w:tcW w:w="5100" w:type="dxa"/>
            <w:vAlign w:val="bottom"/>
            <w:tcBorders>
              <w:right w:val="single" w:sz="8" w:color="auto"/>
            </w:tcBorders>
          </w:tcPr>
          <w:p>
            <w:pPr>
              <w:jc w:val="center"/>
              <w:ind w:right="376"/>
              <w:spacing w:after="0"/>
              <w:rPr>
                <w:sz w:val="20"/>
                <w:szCs w:val="20"/>
                <w:color w:val="auto"/>
              </w:rPr>
            </w:pPr>
            <w:r>
              <w:rPr>
                <w:rFonts w:ascii="Arial" w:cs="Arial" w:eastAsia="Arial" w:hAnsi="Arial"/>
                <w:sz w:val="13"/>
                <w:szCs w:val="13"/>
                <w:b w:val="1"/>
                <w:bCs w:val="1"/>
                <w:color w:val="auto"/>
                <w:w w:val="97"/>
              </w:rPr>
              <w:t>Ecublens (VD)</w:t>
            </w:r>
          </w:p>
        </w:tc>
        <w:tc>
          <w:tcPr>
            <w:tcW w:w="240" w:type="dxa"/>
            <w:vAlign w:val="bottom"/>
            <w:tcBorders>
              <w:right w:val="single" w:sz="8" w:color="auto"/>
            </w:tcBorders>
          </w:tcPr>
          <w:p>
            <w:pPr>
              <w:spacing w:after="0"/>
              <w:rPr>
                <w:sz w:val="24"/>
                <w:szCs w:val="24"/>
                <w:color w:val="auto"/>
              </w:rPr>
            </w:pPr>
          </w:p>
        </w:tc>
        <w:tc>
          <w:tcPr>
            <w:tcW w:w="420" w:type="dxa"/>
            <w:vAlign w:val="bottom"/>
          </w:tcPr>
          <w:p>
            <w:pPr>
              <w:spacing w:after="0"/>
              <w:rPr>
                <w:sz w:val="24"/>
                <w:szCs w:val="24"/>
                <w:color w:val="auto"/>
              </w:rPr>
            </w:pPr>
          </w:p>
        </w:tc>
        <w:tc>
          <w:tcPr>
            <w:tcW w:w="5100" w:type="dxa"/>
            <w:vAlign w:val="bottom"/>
            <w:tcBorders>
              <w:right w:val="single" w:sz="8" w:color="auto"/>
            </w:tcBorders>
          </w:tcPr>
          <w:p>
            <w:pPr>
              <w:jc w:val="center"/>
              <w:ind w:right="396"/>
              <w:spacing w:after="0"/>
              <w:rPr>
                <w:sz w:val="20"/>
                <w:szCs w:val="20"/>
                <w:color w:val="auto"/>
              </w:rPr>
            </w:pPr>
            <w:r>
              <w:rPr>
                <w:rFonts w:ascii="Arial" w:cs="Arial" w:eastAsia="Arial" w:hAnsi="Arial"/>
                <w:sz w:val="13"/>
                <w:szCs w:val="13"/>
                <w:b w:val="1"/>
                <w:bCs w:val="1"/>
                <w:color w:val="auto"/>
                <w:w w:val="99"/>
              </w:rPr>
              <w:t>Ecublens (VD)</w:t>
            </w:r>
          </w:p>
        </w:tc>
      </w:tr>
      <w:tr>
        <w:trPr>
          <w:trHeight w:val="282"/>
        </w:trPr>
        <w:tc>
          <w:tcPr>
            <w:tcW w:w="5540" w:type="dxa"/>
            <w:vAlign w:val="bottom"/>
            <w:tcBorders>
              <w:left w:val="single" w:sz="8" w:color="auto"/>
              <w:right w:val="single" w:sz="8" w:color="auto"/>
            </w:tcBorders>
            <w:gridSpan w:val="2"/>
          </w:tcPr>
          <w:p>
            <w:pPr>
              <w:ind w:left="40"/>
              <w:spacing w:after="0"/>
              <w:rPr>
                <w:sz w:val="20"/>
                <w:szCs w:val="20"/>
                <w:color w:val="auto"/>
              </w:rPr>
            </w:pPr>
            <w:r>
              <w:rPr>
                <w:rFonts w:ascii="Arial" w:cs="Arial" w:eastAsia="Arial" w:hAnsi="Arial"/>
                <w:sz w:val="13"/>
                <w:szCs w:val="13"/>
                <w:color w:val="auto"/>
              </w:rPr>
              <w:t>The French version of these articles of association shall prevail.</w:t>
            </w:r>
          </w:p>
        </w:tc>
        <w:tc>
          <w:tcPr>
            <w:tcW w:w="240" w:type="dxa"/>
            <w:vAlign w:val="bottom"/>
            <w:tcBorders>
              <w:right w:val="single" w:sz="8" w:color="auto"/>
            </w:tcBorders>
          </w:tcPr>
          <w:p>
            <w:pPr>
              <w:spacing w:after="0"/>
              <w:rPr>
                <w:sz w:val="24"/>
                <w:szCs w:val="24"/>
                <w:color w:val="auto"/>
              </w:rPr>
            </w:pPr>
          </w:p>
        </w:tc>
        <w:tc>
          <w:tcPr>
            <w:tcW w:w="420" w:type="dxa"/>
            <w:vAlign w:val="bottom"/>
          </w:tcPr>
          <w:p>
            <w:pPr>
              <w:spacing w:after="0"/>
              <w:rPr>
                <w:sz w:val="24"/>
                <w:szCs w:val="24"/>
                <w:color w:val="auto"/>
              </w:rPr>
            </w:pPr>
          </w:p>
        </w:tc>
        <w:tc>
          <w:tcPr>
            <w:tcW w:w="5100" w:type="dxa"/>
            <w:vAlign w:val="bottom"/>
            <w:tcBorders>
              <w:right w:val="single" w:sz="8" w:color="auto"/>
            </w:tcBorders>
          </w:tcPr>
          <w:p>
            <w:pPr>
              <w:jc w:val="center"/>
              <w:ind w:right="396"/>
              <w:spacing w:after="0"/>
              <w:rPr>
                <w:sz w:val="20"/>
                <w:szCs w:val="20"/>
                <w:color w:val="auto"/>
              </w:rPr>
            </w:pPr>
            <w:r>
              <w:rPr>
                <w:rFonts w:ascii="Arial" w:cs="Arial" w:eastAsia="Arial" w:hAnsi="Arial"/>
                <w:sz w:val="13"/>
                <w:szCs w:val="13"/>
                <w:color w:val="auto"/>
                <w:w w:val="99"/>
              </w:rPr>
              <w:t>La version française de ces statuts fait foi.</w:t>
            </w:r>
          </w:p>
        </w:tc>
      </w:tr>
      <w:tr>
        <w:trPr>
          <w:trHeight w:val="153"/>
        </w:trPr>
        <w:tc>
          <w:tcPr>
            <w:tcW w:w="440" w:type="dxa"/>
            <w:vAlign w:val="bottom"/>
            <w:tcBorders>
              <w:left w:val="single" w:sz="8" w:color="auto"/>
              <w:bottom w:val="single" w:sz="8" w:color="auto"/>
            </w:tcBorders>
          </w:tcPr>
          <w:p>
            <w:pPr>
              <w:spacing w:after="0"/>
              <w:rPr>
                <w:sz w:val="13"/>
                <w:szCs w:val="13"/>
                <w:color w:val="auto"/>
              </w:rPr>
            </w:pPr>
          </w:p>
        </w:tc>
        <w:tc>
          <w:tcPr>
            <w:tcW w:w="5100" w:type="dxa"/>
            <w:vAlign w:val="bottom"/>
            <w:tcBorders>
              <w:bottom w:val="single" w:sz="8" w:color="auto"/>
              <w:right w:val="single" w:sz="8" w:color="auto"/>
            </w:tcBorders>
          </w:tcPr>
          <w:p>
            <w:pPr>
              <w:spacing w:after="0"/>
              <w:rPr>
                <w:sz w:val="13"/>
                <w:szCs w:val="13"/>
                <w:color w:val="auto"/>
              </w:rPr>
            </w:pPr>
          </w:p>
        </w:tc>
        <w:tc>
          <w:tcPr>
            <w:tcW w:w="240" w:type="dxa"/>
            <w:vAlign w:val="bottom"/>
            <w:tcBorders>
              <w:bottom w:val="single" w:sz="8" w:color="auto"/>
              <w:right w:val="single" w:sz="8" w:color="auto"/>
            </w:tcBorders>
          </w:tcPr>
          <w:p>
            <w:pPr>
              <w:spacing w:after="0"/>
              <w:rPr>
                <w:sz w:val="13"/>
                <w:szCs w:val="13"/>
                <w:color w:val="auto"/>
              </w:rPr>
            </w:pPr>
          </w:p>
        </w:tc>
        <w:tc>
          <w:tcPr>
            <w:tcW w:w="420" w:type="dxa"/>
            <w:vAlign w:val="bottom"/>
            <w:tcBorders>
              <w:bottom w:val="single" w:sz="8" w:color="auto"/>
            </w:tcBorders>
          </w:tcPr>
          <w:p>
            <w:pPr>
              <w:spacing w:after="0"/>
              <w:rPr>
                <w:sz w:val="13"/>
                <w:szCs w:val="13"/>
                <w:color w:val="auto"/>
              </w:rPr>
            </w:pPr>
          </w:p>
        </w:tc>
        <w:tc>
          <w:tcPr>
            <w:tcW w:w="5100" w:type="dxa"/>
            <w:vAlign w:val="bottom"/>
            <w:tcBorders>
              <w:bottom w:val="single" w:sz="8" w:color="auto"/>
              <w:right w:val="single" w:sz="8" w:color="auto"/>
            </w:tcBorders>
          </w:tcPr>
          <w:p>
            <w:pPr>
              <w:spacing w:after="0"/>
              <w:rPr>
                <w:sz w:val="13"/>
                <w:szCs w:val="13"/>
                <w:color w:val="auto"/>
              </w:rPr>
            </w:pPr>
          </w:p>
        </w:tc>
      </w:tr>
      <w:tr>
        <w:trPr>
          <w:trHeight w:val="141"/>
        </w:trPr>
        <w:tc>
          <w:tcPr>
            <w:tcW w:w="440" w:type="dxa"/>
            <w:vAlign w:val="bottom"/>
            <w:tcBorders>
              <w:left w:val="single" w:sz="8" w:color="auto"/>
            </w:tcBorders>
          </w:tcPr>
          <w:p>
            <w:pPr>
              <w:ind w:left="40"/>
              <w:spacing w:after="0" w:line="141" w:lineRule="exact"/>
              <w:rPr>
                <w:sz w:val="20"/>
                <w:szCs w:val="20"/>
                <w:color w:val="auto"/>
              </w:rPr>
            </w:pPr>
            <w:r>
              <w:rPr>
                <w:rFonts w:ascii="Arial" w:cs="Arial" w:eastAsia="Arial" w:hAnsi="Arial"/>
                <w:sz w:val="13"/>
                <w:szCs w:val="13"/>
                <w:b w:val="1"/>
                <w:bCs w:val="1"/>
                <w:color w:val="auto"/>
              </w:rPr>
              <w:t>I.</w:t>
            </w:r>
          </w:p>
        </w:tc>
        <w:tc>
          <w:tcPr>
            <w:tcW w:w="5100" w:type="dxa"/>
            <w:vAlign w:val="bottom"/>
            <w:tcBorders>
              <w:right w:val="single" w:sz="8" w:color="auto"/>
            </w:tcBorders>
          </w:tcPr>
          <w:p>
            <w:pPr>
              <w:ind w:left="200"/>
              <w:spacing w:after="0" w:line="141" w:lineRule="exact"/>
              <w:rPr>
                <w:sz w:val="20"/>
                <w:szCs w:val="20"/>
                <w:color w:val="auto"/>
              </w:rPr>
            </w:pPr>
            <w:r>
              <w:rPr>
                <w:rFonts w:ascii="Arial" w:cs="Arial" w:eastAsia="Arial" w:hAnsi="Arial"/>
                <w:sz w:val="13"/>
                <w:szCs w:val="13"/>
                <w:b w:val="1"/>
                <w:bCs w:val="1"/>
                <w:color w:val="auto"/>
              </w:rPr>
              <w:t>CORPORATE NAME, PRINCIPAL OFFICE, DURATION AND PURPOSE OF THE</w:t>
            </w:r>
          </w:p>
        </w:tc>
        <w:tc>
          <w:tcPr>
            <w:tcW w:w="240" w:type="dxa"/>
            <w:vAlign w:val="bottom"/>
            <w:tcBorders>
              <w:right w:val="single" w:sz="8" w:color="auto"/>
            </w:tcBorders>
          </w:tcPr>
          <w:p>
            <w:pPr>
              <w:spacing w:after="0"/>
              <w:rPr>
                <w:sz w:val="12"/>
                <w:szCs w:val="12"/>
                <w:color w:val="auto"/>
              </w:rPr>
            </w:pPr>
          </w:p>
        </w:tc>
        <w:tc>
          <w:tcPr>
            <w:tcW w:w="420" w:type="dxa"/>
            <w:vAlign w:val="bottom"/>
          </w:tcPr>
          <w:p>
            <w:pPr>
              <w:ind w:left="20"/>
              <w:spacing w:after="0" w:line="141" w:lineRule="exact"/>
              <w:rPr>
                <w:sz w:val="20"/>
                <w:szCs w:val="20"/>
                <w:color w:val="auto"/>
              </w:rPr>
            </w:pPr>
            <w:r>
              <w:rPr>
                <w:rFonts w:ascii="Arial" w:cs="Arial" w:eastAsia="Arial" w:hAnsi="Arial"/>
                <w:sz w:val="13"/>
                <w:szCs w:val="13"/>
                <w:b w:val="1"/>
                <w:bCs w:val="1"/>
                <w:color w:val="auto"/>
              </w:rPr>
              <w:t>I.</w:t>
            </w:r>
          </w:p>
        </w:tc>
        <w:tc>
          <w:tcPr>
            <w:tcW w:w="5100" w:type="dxa"/>
            <w:vAlign w:val="bottom"/>
            <w:tcBorders>
              <w:right w:val="single" w:sz="8" w:color="auto"/>
            </w:tcBorders>
          </w:tcPr>
          <w:p>
            <w:pPr>
              <w:ind w:left="160"/>
              <w:spacing w:after="0" w:line="141" w:lineRule="exact"/>
              <w:rPr>
                <w:sz w:val="20"/>
                <w:szCs w:val="20"/>
                <w:color w:val="auto"/>
              </w:rPr>
            </w:pPr>
            <w:r>
              <w:rPr>
                <w:rFonts w:ascii="Arial" w:cs="Arial" w:eastAsia="Arial" w:hAnsi="Arial"/>
                <w:sz w:val="13"/>
                <w:szCs w:val="13"/>
                <w:b w:val="1"/>
                <w:bCs w:val="1"/>
                <w:color w:val="auto"/>
              </w:rPr>
              <w:t>RAISON SOCIALE, SIÈGE, DURÉE ET BUT DE LA SOCIÉTÉ</w:t>
            </w:r>
          </w:p>
        </w:tc>
      </w:tr>
      <w:tr>
        <w:trPr>
          <w:trHeight w:val="177"/>
        </w:trPr>
        <w:tc>
          <w:tcPr>
            <w:tcW w:w="5540" w:type="dxa"/>
            <w:vAlign w:val="bottom"/>
            <w:tcBorders>
              <w:left w:val="single" w:sz="8" w:color="auto"/>
              <w:bottom w:val="single" w:sz="8" w:color="auto"/>
              <w:right w:val="single" w:sz="8" w:color="auto"/>
            </w:tcBorders>
            <w:gridSpan w:val="2"/>
          </w:tcPr>
          <w:p>
            <w:pPr>
              <w:ind w:left="40"/>
              <w:spacing w:after="0"/>
              <w:rPr>
                <w:sz w:val="20"/>
                <w:szCs w:val="20"/>
                <w:color w:val="auto"/>
              </w:rPr>
            </w:pPr>
            <w:r>
              <w:rPr>
                <w:rFonts w:ascii="Arial" w:cs="Arial" w:eastAsia="Arial" w:hAnsi="Arial"/>
                <w:sz w:val="13"/>
                <w:szCs w:val="13"/>
                <w:b w:val="1"/>
                <w:bCs w:val="1"/>
                <w:color w:val="auto"/>
              </w:rPr>
              <w:t>COMPANY</w:t>
            </w:r>
          </w:p>
        </w:tc>
        <w:tc>
          <w:tcPr>
            <w:tcW w:w="240" w:type="dxa"/>
            <w:vAlign w:val="bottom"/>
            <w:tcBorders>
              <w:bottom w:val="single" w:sz="8" w:color="auto"/>
              <w:right w:val="single" w:sz="8" w:color="auto"/>
            </w:tcBorders>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5100" w:type="dxa"/>
            <w:vAlign w:val="bottom"/>
            <w:tcBorders>
              <w:bottom w:val="single" w:sz="8" w:color="auto"/>
              <w:right w:val="single" w:sz="8" w:color="auto"/>
            </w:tcBorders>
          </w:tcPr>
          <w:p>
            <w:pPr>
              <w:spacing w:after="0"/>
              <w:rPr>
                <w:sz w:val="15"/>
                <w:szCs w:val="15"/>
                <w:color w:val="auto"/>
              </w:rPr>
            </w:pPr>
          </w:p>
        </w:tc>
      </w:tr>
      <w:tr>
        <w:trPr>
          <w:trHeight w:val="173"/>
        </w:trPr>
        <w:tc>
          <w:tcPr>
            <w:tcW w:w="5540" w:type="dxa"/>
            <w:vAlign w:val="bottom"/>
            <w:tcBorders>
              <w:left w:val="single" w:sz="8" w:color="auto"/>
              <w:right w:val="single" w:sz="8" w:color="auto"/>
            </w:tcBorders>
            <w:gridSpan w:val="2"/>
          </w:tcPr>
          <w:p>
            <w:pPr>
              <w:ind w:left="40"/>
              <w:spacing w:after="0"/>
              <w:rPr>
                <w:sz w:val="20"/>
                <w:szCs w:val="20"/>
                <w:color w:val="auto"/>
              </w:rPr>
            </w:pPr>
            <w:r>
              <w:rPr>
                <w:rFonts w:ascii="Arial" w:cs="Arial" w:eastAsia="Arial" w:hAnsi="Arial"/>
                <w:sz w:val="13"/>
                <w:szCs w:val="13"/>
                <w:b w:val="1"/>
                <w:bCs w:val="1"/>
                <w:color w:val="auto"/>
              </w:rPr>
              <w:t>Art. 1  Corporate Name and Duration</w:t>
            </w:r>
          </w:p>
        </w:tc>
        <w:tc>
          <w:tcPr>
            <w:tcW w:w="240" w:type="dxa"/>
            <w:vAlign w:val="bottom"/>
            <w:tcBorders>
              <w:right w:val="single" w:sz="8" w:color="auto"/>
            </w:tcBorders>
          </w:tcPr>
          <w:p>
            <w:pPr>
              <w:spacing w:after="0"/>
              <w:rPr>
                <w:sz w:val="15"/>
                <w:szCs w:val="15"/>
                <w:color w:val="auto"/>
              </w:rPr>
            </w:pPr>
          </w:p>
        </w:tc>
        <w:tc>
          <w:tcPr>
            <w:tcW w:w="5520" w:type="dxa"/>
            <w:vAlign w:val="bottom"/>
            <w:tcBorders>
              <w:right w:val="single" w:sz="8" w:color="auto"/>
            </w:tcBorders>
            <w:gridSpan w:val="2"/>
          </w:tcPr>
          <w:p>
            <w:pPr>
              <w:ind w:left="20"/>
              <w:spacing w:after="0"/>
              <w:rPr>
                <w:sz w:val="20"/>
                <w:szCs w:val="20"/>
                <w:color w:val="auto"/>
              </w:rPr>
            </w:pPr>
            <w:r>
              <w:rPr>
                <w:rFonts w:ascii="Arial" w:cs="Arial" w:eastAsia="Arial" w:hAnsi="Arial"/>
                <w:sz w:val="13"/>
                <w:szCs w:val="13"/>
                <w:b w:val="1"/>
                <w:bCs w:val="1"/>
                <w:color w:val="auto"/>
              </w:rPr>
              <w:t>Art. 1  Raison sociale et durée</w:t>
            </w:r>
          </w:p>
        </w:tc>
      </w:tr>
      <w:tr>
        <w:trPr>
          <w:trHeight w:val="282"/>
        </w:trPr>
        <w:tc>
          <w:tcPr>
            <w:tcW w:w="5540" w:type="dxa"/>
            <w:vAlign w:val="bottom"/>
            <w:tcBorders>
              <w:left w:val="single" w:sz="8" w:color="auto"/>
              <w:right w:val="single" w:sz="8" w:color="auto"/>
            </w:tcBorders>
            <w:gridSpan w:val="2"/>
          </w:tcPr>
          <w:p>
            <w:pPr>
              <w:ind w:left="40"/>
              <w:spacing w:after="0"/>
              <w:rPr>
                <w:sz w:val="20"/>
                <w:szCs w:val="20"/>
                <w:color w:val="auto"/>
              </w:rPr>
            </w:pPr>
            <w:r>
              <w:rPr>
                <w:rFonts w:ascii="Arial" w:cs="Arial" w:eastAsia="Arial" w:hAnsi="Arial"/>
                <w:sz w:val="13"/>
                <w:szCs w:val="13"/>
                <w:color w:val="auto"/>
              </w:rPr>
              <w:t>Under the name</w:t>
            </w:r>
          </w:p>
        </w:tc>
        <w:tc>
          <w:tcPr>
            <w:tcW w:w="240" w:type="dxa"/>
            <w:vAlign w:val="bottom"/>
            <w:tcBorders>
              <w:right w:val="single" w:sz="8" w:color="auto"/>
            </w:tcBorders>
          </w:tcPr>
          <w:p>
            <w:pPr>
              <w:spacing w:after="0"/>
              <w:rPr>
                <w:sz w:val="24"/>
                <w:szCs w:val="24"/>
                <w:color w:val="auto"/>
              </w:rPr>
            </w:pPr>
          </w:p>
        </w:tc>
        <w:tc>
          <w:tcPr>
            <w:tcW w:w="5520" w:type="dxa"/>
            <w:vAlign w:val="bottom"/>
            <w:tcBorders>
              <w:right w:val="single" w:sz="8" w:color="auto"/>
            </w:tcBorders>
            <w:gridSpan w:val="2"/>
          </w:tcPr>
          <w:p>
            <w:pPr>
              <w:ind w:left="20"/>
              <w:spacing w:after="0"/>
              <w:rPr>
                <w:sz w:val="20"/>
                <w:szCs w:val="20"/>
                <w:color w:val="auto"/>
              </w:rPr>
            </w:pPr>
            <w:r>
              <w:rPr>
                <w:rFonts w:ascii="Arial" w:cs="Arial" w:eastAsia="Arial" w:hAnsi="Arial"/>
                <w:sz w:val="13"/>
                <w:szCs w:val="13"/>
                <w:color w:val="auto"/>
              </w:rPr>
              <w:t>Sous la raison sociale</w:t>
            </w:r>
          </w:p>
        </w:tc>
      </w:tr>
      <w:tr>
        <w:trPr>
          <w:trHeight w:val="266"/>
        </w:trPr>
        <w:tc>
          <w:tcPr>
            <w:tcW w:w="440" w:type="dxa"/>
            <w:vAlign w:val="bottom"/>
            <w:tcBorders>
              <w:left w:val="single" w:sz="8" w:color="auto"/>
            </w:tcBorders>
          </w:tcPr>
          <w:p>
            <w:pPr>
              <w:spacing w:after="0"/>
              <w:rPr>
                <w:sz w:val="23"/>
                <w:szCs w:val="23"/>
                <w:color w:val="auto"/>
              </w:rPr>
            </w:pPr>
          </w:p>
        </w:tc>
        <w:tc>
          <w:tcPr>
            <w:tcW w:w="5100" w:type="dxa"/>
            <w:vAlign w:val="bottom"/>
            <w:tcBorders>
              <w:right w:val="single" w:sz="8" w:color="auto"/>
            </w:tcBorders>
          </w:tcPr>
          <w:p>
            <w:pPr>
              <w:jc w:val="center"/>
              <w:ind w:right="376"/>
              <w:spacing w:after="0"/>
              <w:rPr>
                <w:sz w:val="20"/>
                <w:szCs w:val="20"/>
                <w:color w:val="auto"/>
              </w:rPr>
            </w:pPr>
            <w:r>
              <w:rPr>
                <w:rFonts w:ascii="Arial" w:cs="Arial" w:eastAsia="Arial" w:hAnsi="Arial"/>
                <w:sz w:val="13"/>
                <w:szCs w:val="13"/>
                <w:color w:val="auto"/>
              </w:rPr>
              <w:t>AC Immune SA</w:t>
            </w:r>
          </w:p>
        </w:tc>
        <w:tc>
          <w:tcPr>
            <w:tcW w:w="240" w:type="dxa"/>
            <w:vAlign w:val="bottom"/>
            <w:tcBorders>
              <w:right w:val="single" w:sz="8" w:color="auto"/>
            </w:tcBorders>
          </w:tcPr>
          <w:p>
            <w:pPr>
              <w:spacing w:after="0"/>
              <w:rPr>
                <w:sz w:val="23"/>
                <w:szCs w:val="23"/>
                <w:color w:val="auto"/>
              </w:rPr>
            </w:pPr>
          </w:p>
        </w:tc>
        <w:tc>
          <w:tcPr>
            <w:tcW w:w="420" w:type="dxa"/>
            <w:vAlign w:val="bottom"/>
          </w:tcPr>
          <w:p>
            <w:pPr>
              <w:spacing w:after="0"/>
              <w:rPr>
                <w:sz w:val="23"/>
                <w:szCs w:val="23"/>
                <w:color w:val="auto"/>
              </w:rPr>
            </w:pPr>
          </w:p>
        </w:tc>
        <w:tc>
          <w:tcPr>
            <w:tcW w:w="5100" w:type="dxa"/>
            <w:vAlign w:val="bottom"/>
            <w:tcBorders>
              <w:right w:val="single" w:sz="8" w:color="auto"/>
            </w:tcBorders>
          </w:tcPr>
          <w:p>
            <w:pPr>
              <w:jc w:val="center"/>
              <w:ind w:right="396"/>
              <w:spacing w:after="0"/>
              <w:rPr>
                <w:sz w:val="20"/>
                <w:szCs w:val="20"/>
                <w:color w:val="auto"/>
              </w:rPr>
            </w:pPr>
            <w:r>
              <w:rPr>
                <w:rFonts w:ascii="Arial" w:cs="Arial" w:eastAsia="Arial" w:hAnsi="Arial"/>
                <w:sz w:val="13"/>
                <w:szCs w:val="13"/>
                <w:color w:val="auto"/>
                <w:w w:val="98"/>
              </w:rPr>
              <w:t>AC Immune SA</w:t>
            </w:r>
          </w:p>
        </w:tc>
      </w:tr>
      <w:tr>
        <w:trPr>
          <w:trHeight w:val="145"/>
        </w:trPr>
        <w:tc>
          <w:tcPr>
            <w:tcW w:w="440" w:type="dxa"/>
            <w:vAlign w:val="bottom"/>
            <w:tcBorders>
              <w:left w:val="single" w:sz="8" w:color="auto"/>
            </w:tcBorders>
          </w:tcPr>
          <w:p>
            <w:pPr>
              <w:spacing w:after="0"/>
              <w:rPr>
                <w:sz w:val="12"/>
                <w:szCs w:val="12"/>
                <w:color w:val="auto"/>
              </w:rPr>
            </w:pPr>
          </w:p>
        </w:tc>
        <w:tc>
          <w:tcPr>
            <w:tcW w:w="5100" w:type="dxa"/>
            <w:vAlign w:val="bottom"/>
            <w:tcBorders>
              <w:right w:val="single" w:sz="8" w:color="auto"/>
            </w:tcBorders>
          </w:tcPr>
          <w:p>
            <w:pPr>
              <w:jc w:val="center"/>
              <w:ind w:right="376"/>
              <w:spacing w:after="0" w:line="145" w:lineRule="exact"/>
              <w:rPr>
                <w:sz w:val="20"/>
                <w:szCs w:val="20"/>
                <w:color w:val="auto"/>
              </w:rPr>
            </w:pPr>
            <w:r>
              <w:rPr>
                <w:rFonts w:ascii="Arial" w:cs="Arial" w:eastAsia="Arial" w:hAnsi="Arial"/>
                <w:sz w:val="13"/>
                <w:szCs w:val="13"/>
                <w:color w:val="auto"/>
                <w:w w:val="98"/>
              </w:rPr>
              <w:t>(AC Immune AG)</w:t>
            </w:r>
          </w:p>
        </w:tc>
        <w:tc>
          <w:tcPr>
            <w:tcW w:w="240" w:type="dxa"/>
            <w:vAlign w:val="bottom"/>
            <w:tcBorders>
              <w:right w:val="single" w:sz="8" w:color="auto"/>
            </w:tcBorders>
          </w:tcPr>
          <w:p>
            <w:pPr>
              <w:spacing w:after="0"/>
              <w:rPr>
                <w:sz w:val="12"/>
                <w:szCs w:val="12"/>
                <w:color w:val="auto"/>
              </w:rPr>
            </w:pPr>
          </w:p>
        </w:tc>
        <w:tc>
          <w:tcPr>
            <w:tcW w:w="420" w:type="dxa"/>
            <w:vAlign w:val="bottom"/>
          </w:tcPr>
          <w:p>
            <w:pPr>
              <w:spacing w:after="0"/>
              <w:rPr>
                <w:sz w:val="12"/>
                <w:szCs w:val="12"/>
                <w:color w:val="auto"/>
              </w:rPr>
            </w:pPr>
          </w:p>
        </w:tc>
        <w:tc>
          <w:tcPr>
            <w:tcW w:w="5100" w:type="dxa"/>
            <w:vAlign w:val="bottom"/>
            <w:tcBorders>
              <w:right w:val="single" w:sz="8" w:color="auto"/>
            </w:tcBorders>
          </w:tcPr>
          <w:p>
            <w:pPr>
              <w:jc w:val="center"/>
              <w:ind w:right="376"/>
              <w:spacing w:after="0" w:line="145" w:lineRule="exact"/>
              <w:rPr>
                <w:sz w:val="20"/>
                <w:szCs w:val="20"/>
                <w:color w:val="auto"/>
              </w:rPr>
            </w:pPr>
            <w:r>
              <w:rPr>
                <w:rFonts w:ascii="Arial" w:cs="Arial" w:eastAsia="Arial" w:hAnsi="Arial"/>
                <w:sz w:val="13"/>
                <w:szCs w:val="13"/>
                <w:color w:val="auto"/>
                <w:w w:val="98"/>
              </w:rPr>
              <w:t>(AC Immune AG)</w:t>
            </w:r>
          </w:p>
        </w:tc>
      </w:tr>
      <w:tr>
        <w:trPr>
          <w:trHeight w:val="168"/>
        </w:trPr>
        <w:tc>
          <w:tcPr>
            <w:tcW w:w="440" w:type="dxa"/>
            <w:vAlign w:val="bottom"/>
            <w:tcBorders>
              <w:left w:val="single" w:sz="8" w:color="auto"/>
            </w:tcBorders>
          </w:tcPr>
          <w:p>
            <w:pPr>
              <w:spacing w:after="0"/>
              <w:rPr>
                <w:sz w:val="14"/>
                <w:szCs w:val="14"/>
                <w:color w:val="auto"/>
              </w:rPr>
            </w:pPr>
          </w:p>
        </w:tc>
        <w:tc>
          <w:tcPr>
            <w:tcW w:w="5100" w:type="dxa"/>
            <w:vAlign w:val="bottom"/>
            <w:tcBorders>
              <w:right w:val="single" w:sz="8" w:color="auto"/>
            </w:tcBorders>
          </w:tcPr>
          <w:p>
            <w:pPr>
              <w:jc w:val="center"/>
              <w:ind w:right="376"/>
              <w:spacing w:after="0"/>
              <w:rPr>
                <w:sz w:val="20"/>
                <w:szCs w:val="20"/>
                <w:color w:val="auto"/>
              </w:rPr>
            </w:pPr>
            <w:r>
              <w:rPr>
                <w:rFonts w:ascii="Arial" w:cs="Arial" w:eastAsia="Arial" w:hAnsi="Arial"/>
                <w:sz w:val="13"/>
                <w:szCs w:val="13"/>
                <w:color w:val="auto"/>
                <w:w w:val="98"/>
              </w:rPr>
              <w:t>(AC Immune Ltd)</w:t>
            </w:r>
          </w:p>
        </w:tc>
        <w:tc>
          <w:tcPr>
            <w:tcW w:w="240" w:type="dxa"/>
            <w:vAlign w:val="bottom"/>
            <w:tcBorders>
              <w:right w:val="single" w:sz="8" w:color="auto"/>
            </w:tcBorders>
          </w:tcPr>
          <w:p>
            <w:pPr>
              <w:spacing w:after="0"/>
              <w:rPr>
                <w:sz w:val="14"/>
                <w:szCs w:val="14"/>
                <w:color w:val="auto"/>
              </w:rPr>
            </w:pPr>
          </w:p>
        </w:tc>
        <w:tc>
          <w:tcPr>
            <w:tcW w:w="420" w:type="dxa"/>
            <w:vAlign w:val="bottom"/>
          </w:tcPr>
          <w:p>
            <w:pPr>
              <w:spacing w:after="0"/>
              <w:rPr>
                <w:sz w:val="14"/>
                <w:szCs w:val="14"/>
                <w:color w:val="auto"/>
              </w:rPr>
            </w:pPr>
          </w:p>
        </w:tc>
        <w:tc>
          <w:tcPr>
            <w:tcW w:w="5100" w:type="dxa"/>
            <w:vAlign w:val="bottom"/>
            <w:tcBorders>
              <w:right w:val="single" w:sz="8" w:color="auto"/>
            </w:tcBorders>
          </w:tcPr>
          <w:p>
            <w:pPr>
              <w:jc w:val="center"/>
              <w:ind w:right="376"/>
              <w:spacing w:after="0"/>
              <w:rPr>
                <w:sz w:val="20"/>
                <w:szCs w:val="20"/>
                <w:color w:val="auto"/>
              </w:rPr>
            </w:pPr>
            <w:r>
              <w:rPr>
                <w:rFonts w:ascii="Arial" w:cs="Arial" w:eastAsia="Arial" w:hAnsi="Arial"/>
                <w:sz w:val="13"/>
                <w:szCs w:val="13"/>
                <w:color w:val="auto"/>
                <w:w w:val="98"/>
              </w:rPr>
              <w:t>(AC Immune Ltd)</w:t>
            </w:r>
          </w:p>
        </w:tc>
      </w:tr>
      <w:tr>
        <w:trPr>
          <w:trHeight w:val="266"/>
        </w:trPr>
        <w:tc>
          <w:tcPr>
            <w:tcW w:w="5540" w:type="dxa"/>
            <w:vAlign w:val="bottom"/>
            <w:tcBorders>
              <w:left w:val="single" w:sz="8" w:color="auto"/>
              <w:right w:val="single" w:sz="8" w:color="auto"/>
            </w:tcBorders>
            <w:gridSpan w:val="2"/>
          </w:tcPr>
          <w:p>
            <w:pPr>
              <w:ind w:left="40"/>
              <w:spacing w:after="0"/>
              <w:rPr>
                <w:sz w:val="20"/>
                <w:szCs w:val="20"/>
                <w:color w:val="auto"/>
              </w:rPr>
            </w:pPr>
            <w:r>
              <w:rPr>
                <w:rFonts w:ascii="Arial" w:cs="Arial" w:eastAsia="Arial" w:hAnsi="Arial"/>
                <w:sz w:val="13"/>
                <w:szCs w:val="13"/>
                <w:color w:val="auto"/>
              </w:rPr>
              <w:t xml:space="preserve">there exists a Company pursuant to the provisions of Articles 620 </w:t>
            </w:r>
            <w:r>
              <w:rPr>
                <w:rFonts w:ascii="Arial" w:cs="Arial" w:eastAsia="Arial" w:hAnsi="Arial"/>
                <w:sz w:val="13"/>
                <w:szCs w:val="13"/>
                <w:i w:val="1"/>
                <w:iCs w:val="1"/>
                <w:color w:val="auto"/>
              </w:rPr>
              <w:t>et seq.</w:t>
            </w:r>
            <w:r>
              <w:rPr>
                <w:rFonts w:ascii="Arial" w:cs="Arial" w:eastAsia="Arial" w:hAnsi="Arial"/>
                <w:sz w:val="13"/>
                <w:szCs w:val="13"/>
                <w:color w:val="auto"/>
              </w:rPr>
              <w:t xml:space="preserve"> of the Swiss Code of</w:t>
            </w:r>
          </w:p>
        </w:tc>
        <w:tc>
          <w:tcPr>
            <w:tcW w:w="240" w:type="dxa"/>
            <w:vAlign w:val="bottom"/>
            <w:tcBorders>
              <w:right w:val="single" w:sz="8" w:color="auto"/>
            </w:tcBorders>
          </w:tcPr>
          <w:p>
            <w:pPr>
              <w:spacing w:after="0"/>
              <w:rPr>
                <w:sz w:val="23"/>
                <w:szCs w:val="23"/>
                <w:color w:val="auto"/>
              </w:rPr>
            </w:pPr>
          </w:p>
        </w:tc>
        <w:tc>
          <w:tcPr>
            <w:tcW w:w="5520" w:type="dxa"/>
            <w:vAlign w:val="bottom"/>
            <w:tcBorders>
              <w:right w:val="single" w:sz="8" w:color="auto"/>
            </w:tcBorders>
            <w:gridSpan w:val="2"/>
          </w:tcPr>
          <w:p>
            <w:pPr>
              <w:ind w:left="20"/>
              <w:spacing w:after="0"/>
              <w:rPr>
                <w:sz w:val="20"/>
                <w:szCs w:val="20"/>
                <w:color w:val="auto"/>
              </w:rPr>
            </w:pPr>
            <w:r>
              <w:rPr>
                <w:rFonts w:ascii="Arial" w:cs="Arial" w:eastAsia="Arial" w:hAnsi="Arial"/>
                <w:sz w:val="13"/>
                <w:szCs w:val="13"/>
                <w:color w:val="auto"/>
              </w:rPr>
              <w:t>il existe une société conformément aux articles 620 ss. du Code des Obligations suisse (CO)</w:t>
            </w:r>
          </w:p>
        </w:tc>
      </w:tr>
      <w:tr>
        <w:trPr>
          <w:trHeight w:val="145"/>
        </w:trPr>
        <w:tc>
          <w:tcPr>
            <w:tcW w:w="5540" w:type="dxa"/>
            <w:vAlign w:val="bottom"/>
            <w:tcBorders>
              <w:left w:val="single" w:sz="8" w:color="auto"/>
              <w:right w:val="single" w:sz="8" w:color="auto"/>
            </w:tcBorders>
            <w:gridSpan w:val="2"/>
          </w:tcPr>
          <w:p>
            <w:pPr>
              <w:ind w:left="40"/>
              <w:spacing w:after="0" w:line="145" w:lineRule="exact"/>
              <w:rPr>
                <w:sz w:val="20"/>
                <w:szCs w:val="20"/>
                <w:color w:val="auto"/>
              </w:rPr>
            </w:pPr>
            <w:r>
              <w:rPr>
                <w:rFonts w:ascii="Arial" w:cs="Arial" w:eastAsia="Arial" w:hAnsi="Arial"/>
                <w:sz w:val="13"/>
                <w:szCs w:val="13"/>
                <w:color w:val="auto"/>
              </w:rPr>
              <w:t>Obligations (CO) with registered office in Ecublens (VD). The duration of the Company is</w:t>
            </w:r>
          </w:p>
        </w:tc>
        <w:tc>
          <w:tcPr>
            <w:tcW w:w="240" w:type="dxa"/>
            <w:vAlign w:val="bottom"/>
            <w:tcBorders>
              <w:right w:val="single" w:sz="8" w:color="auto"/>
            </w:tcBorders>
          </w:tcPr>
          <w:p>
            <w:pPr>
              <w:spacing w:after="0"/>
              <w:rPr>
                <w:sz w:val="12"/>
                <w:szCs w:val="12"/>
                <w:color w:val="auto"/>
              </w:rPr>
            </w:pPr>
          </w:p>
        </w:tc>
        <w:tc>
          <w:tcPr>
            <w:tcW w:w="5520" w:type="dxa"/>
            <w:vAlign w:val="bottom"/>
            <w:tcBorders>
              <w:right w:val="single" w:sz="8" w:color="auto"/>
            </w:tcBorders>
            <w:gridSpan w:val="2"/>
          </w:tcPr>
          <w:p>
            <w:pPr>
              <w:ind w:left="20"/>
              <w:spacing w:after="0" w:line="145" w:lineRule="exact"/>
              <w:rPr>
                <w:sz w:val="20"/>
                <w:szCs w:val="20"/>
                <w:color w:val="auto"/>
              </w:rPr>
            </w:pPr>
            <w:r>
              <w:rPr>
                <w:rFonts w:ascii="Arial" w:cs="Arial" w:eastAsia="Arial" w:hAnsi="Arial"/>
                <w:sz w:val="13"/>
                <w:szCs w:val="13"/>
                <w:color w:val="auto"/>
              </w:rPr>
              <w:t>ayant son siège à Ecublens (VD). La durée de la société est illimitée.</w:t>
            </w:r>
          </w:p>
        </w:tc>
      </w:tr>
      <w:tr>
        <w:trPr>
          <w:trHeight w:val="168"/>
        </w:trPr>
        <w:tc>
          <w:tcPr>
            <w:tcW w:w="5540" w:type="dxa"/>
            <w:vAlign w:val="bottom"/>
            <w:tcBorders>
              <w:left w:val="single" w:sz="8" w:color="auto"/>
              <w:right w:val="single" w:sz="8" w:color="auto"/>
            </w:tcBorders>
            <w:gridSpan w:val="2"/>
          </w:tcPr>
          <w:p>
            <w:pPr>
              <w:ind w:left="40"/>
              <w:spacing w:after="0"/>
              <w:rPr>
                <w:sz w:val="20"/>
                <w:szCs w:val="20"/>
                <w:color w:val="auto"/>
              </w:rPr>
            </w:pPr>
            <w:r>
              <w:rPr>
                <w:rFonts w:ascii="Arial" w:cs="Arial" w:eastAsia="Arial" w:hAnsi="Arial"/>
                <w:sz w:val="13"/>
                <w:szCs w:val="13"/>
                <w:color w:val="auto"/>
              </w:rPr>
              <w:t>unlimited.</w:t>
            </w:r>
          </w:p>
        </w:tc>
        <w:tc>
          <w:tcPr>
            <w:tcW w:w="240" w:type="dxa"/>
            <w:vAlign w:val="bottom"/>
            <w:tcBorders>
              <w:right w:val="single" w:sz="8" w:color="auto"/>
            </w:tcBorders>
          </w:tcPr>
          <w:p>
            <w:pPr>
              <w:spacing w:after="0"/>
              <w:rPr>
                <w:sz w:val="14"/>
                <w:szCs w:val="14"/>
                <w:color w:val="auto"/>
              </w:rPr>
            </w:pPr>
          </w:p>
        </w:tc>
        <w:tc>
          <w:tcPr>
            <w:tcW w:w="420" w:type="dxa"/>
            <w:vAlign w:val="bottom"/>
          </w:tcPr>
          <w:p>
            <w:pPr>
              <w:spacing w:after="0"/>
              <w:rPr>
                <w:sz w:val="14"/>
                <w:szCs w:val="14"/>
                <w:color w:val="auto"/>
              </w:rPr>
            </w:pPr>
          </w:p>
        </w:tc>
        <w:tc>
          <w:tcPr>
            <w:tcW w:w="5100" w:type="dxa"/>
            <w:vAlign w:val="bottom"/>
            <w:tcBorders>
              <w:right w:val="single" w:sz="8" w:color="auto"/>
            </w:tcBorders>
          </w:tcPr>
          <w:p>
            <w:pPr>
              <w:spacing w:after="0"/>
              <w:rPr>
                <w:sz w:val="14"/>
                <w:szCs w:val="14"/>
                <w:color w:val="auto"/>
              </w:rPr>
            </w:pPr>
          </w:p>
        </w:tc>
      </w:tr>
      <w:tr>
        <w:trPr>
          <w:trHeight w:val="153"/>
        </w:trPr>
        <w:tc>
          <w:tcPr>
            <w:tcW w:w="440" w:type="dxa"/>
            <w:vAlign w:val="bottom"/>
            <w:tcBorders>
              <w:left w:val="single" w:sz="8" w:color="auto"/>
              <w:bottom w:val="single" w:sz="8" w:color="auto"/>
            </w:tcBorders>
          </w:tcPr>
          <w:p>
            <w:pPr>
              <w:spacing w:after="0"/>
              <w:rPr>
                <w:sz w:val="13"/>
                <w:szCs w:val="13"/>
                <w:color w:val="auto"/>
              </w:rPr>
            </w:pPr>
          </w:p>
        </w:tc>
        <w:tc>
          <w:tcPr>
            <w:tcW w:w="5100" w:type="dxa"/>
            <w:vAlign w:val="bottom"/>
            <w:tcBorders>
              <w:bottom w:val="single" w:sz="8" w:color="auto"/>
              <w:right w:val="single" w:sz="8" w:color="auto"/>
            </w:tcBorders>
          </w:tcPr>
          <w:p>
            <w:pPr>
              <w:spacing w:after="0"/>
              <w:rPr>
                <w:sz w:val="13"/>
                <w:szCs w:val="13"/>
                <w:color w:val="auto"/>
              </w:rPr>
            </w:pPr>
          </w:p>
        </w:tc>
        <w:tc>
          <w:tcPr>
            <w:tcW w:w="240" w:type="dxa"/>
            <w:vAlign w:val="bottom"/>
            <w:tcBorders>
              <w:bottom w:val="single" w:sz="8" w:color="auto"/>
              <w:right w:val="single" w:sz="8" w:color="auto"/>
            </w:tcBorders>
          </w:tcPr>
          <w:p>
            <w:pPr>
              <w:spacing w:after="0"/>
              <w:rPr>
                <w:sz w:val="13"/>
                <w:szCs w:val="13"/>
                <w:color w:val="auto"/>
              </w:rPr>
            </w:pPr>
          </w:p>
        </w:tc>
        <w:tc>
          <w:tcPr>
            <w:tcW w:w="420" w:type="dxa"/>
            <w:vAlign w:val="bottom"/>
            <w:tcBorders>
              <w:bottom w:val="single" w:sz="8" w:color="auto"/>
            </w:tcBorders>
          </w:tcPr>
          <w:p>
            <w:pPr>
              <w:spacing w:after="0"/>
              <w:rPr>
                <w:sz w:val="13"/>
                <w:szCs w:val="13"/>
                <w:color w:val="auto"/>
              </w:rPr>
            </w:pPr>
          </w:p>
        </w:tc>
        <w:tc>
          <w:tcPr>
            <w:tcW w:w="5100" w:type="dxa"/>
            <w:vAlign w:val="bottom"/>
            <w:tcBorders>
              <w:bottom w:val="single" w:sz="8" w:color="auto"/>
              <w:right w:val="single" w:sz="8" w:color="auto"/>
            </w:tcBorders>
          </w:tcPr>
          <w:p>
            <w:pPr>
              <w:spacing w:after="0"/>
              <w:rPr>
                <w:sz w:val="13"/>
                <w:szCs w:val="13"/>
                <w:color w:val="auto"/>
              </w:rPr>
            </w:pPr>
          </w:p>
        </w:tc>
      </w:tr>
      <w:tr>
        <w:trPr>
          <w:trHeight w:val="173"/>
        </w:trPr>
        <w:tc>
          <w:tcPr>
            <w:tcW w:w="440" w:type="dxa"/>
            <w:vAlign w:val="bottom"/>
            <w:tcBorders>
              <w:left w:val="single" w:sz="8" w:color="auto"/>
            </w:tcBorders>
          </w:tcPr>
          <w:p>
            <w:pPr>
              <w:ind w:left="40"/>
              <w:spacing w:after="0"/>
              <w:rPr>
                <w:sz w:val="20"/>
                <w:szCs w:val="20"/>
                <w:color w:val="auto"/>
              </w:rPr>
            </w:pPr>
            <w:r>
              <w:rPr>
                <w:rFonts w:ascii="Arial" w:cs="Arial" w:eastAsia="Arial" w:hAnsi="Arial"/>
                <w:sz w:val="13"/>
                <w:szCs w:val="13"/>
                <w:b w:val="1"/>
                <w:bCs w:val="1"/>
                <w:color w:val="auto"/>
              </w:rPr>
              <w:t>Art. 2</w:t>
            </w:r>
          </w:p>
        </w:tc>
        <w:tc>
          <w:tcPr>
            <w:tcW w:w="5100" w:type="dxa"/>
            <w:vAlign w:val="bottom"/>
            <w:tcBorders>
              <w:right w:val="single" w:sz="8" w:color="auto"/>
            </w:tcBorders>
          </w:tcPr>
          <w:p>
            <w:pPr>
              <w:ind w:left="60"/>
              <w:spacing w:after="0"/>
              <w:rPr>
                <w:sz w:val="20"/>
                <w:szCs w:val="20"/>
                <w:color w:val="auto"/>
              </w:rPr>
            </w:pPr>
            <w:r>
              <w:rPr>
                <w:rFonts w:ascii="Arial" w:cs="Arial" w:eastAsia="Arial" w:hAnsi="Arial"/>
                <w:sz w:val="13"/>
                <w:szCs w:val="13"/>
                <w:b w:val="1"/>
                <w:bCs w:val="1"/>
                <w:color w:val="auto"/>
              </w:rPr>
              <w:t>Purpose</w:t>
            </w:r>
          </w:p>
        </w:tc>
        <w:tc>
          <w:tcPr>
            <w:tcW w:w="240" w:type="dxa"/>
            <w:vAlign w:val="bottom"/>
            <w:tcBorders>
              <w:right w:val="single" w:sz="8" w:color="auto"/>
            </w:tcBorders>
          </w:tcPr>
          <w:p>
            <w:pPr>
              <w:spacing w:after="0"/>
              <w:rPr>
                <w:sz w:val="15"/>
                <w:szCs w:val="15"/>
                <w:color w:val="auto"/>
              </w:rPr>
            </w:pPr>
          </w:p>
        </w:tc>
        <w:tc>
          <w:tcPr>
            <w:tcW w:w="420" w:type="dxa"/>
            <w:vAlign w:val="bottom"/>
          </w:tcPr>
          <w:p>
            <w:pPr>
              <w:ind w:left="20"/>
              <w:spacing w:after="0"/>
              <w:rPr>
                <w:sz w:val="20"/>
                <w:szCs w:val="20"/>
                <w:color w:val="auto"/>
              </w:rPr>
            </w:pPr>
            <w:r>
              <w:rPr>
                <w:rFonts w:ascii="Arial" w:cs="Arial" w:eastAsia="Arial" w:hAnsi="Arial"/>
                <w:sz w:val="13"/>
                <w:szCs w:val="13"/>
                <w:b w:val="1"/>
                <w:bCs w:val="1"/>
                <w:color w:val="auto"/>
              </w:rPr>
              <w:t>Art. 2</w:t>
            </w:r>
          </w:p>
        </w:tc>
        <w:tc>
          <w:tcPr>
            <w:tcW w:w="5100" w:type="dxa"/>
            <w:vAlign w:val="bottom"/>
            <w:tcBorders>
              <w:right w:val="single" w:sz="8" w:color="auto"/>
            </w:tcBorders>
          </w:tcPr>
          <w:p>
            <w:pPr>
              <w:ind w:left="60"/>
              <w:spacing w:after="0"/>
              <w:rPr>
                <w:sz w:val="20"/>
                <w:szCs w:val="20"/>
                <w:color w:val="auto"/>
              </w:rPr>
            </w:pPr>
            <w:r>
              <w:rPr>
                <w:rFonts w:ascii="Arial" w:cs="Arial" w:eastAsia="Arial" w:hAnsi="Arial"/>
                <w:sz w:val="13"/>
                <w:szCs w:val="13"/>
                <w:b w:val="1"/>
                <w:bCs w:val="1"/>
                <w:color w:val="auto"/>
              </w:rPr>
              <w:t>But</w:t>
            </w:r>
          </w:p>
        </w:tc>
      </w:tr>
      <w:tr>
        <w:trPr>
          <w:trHeight w:val="258"/>
        </w:trPr>
        <w:tc>
          <w:tcPr>
            <w:tcW w:w="5540" w:type="dxa"/>
            <w:vAlign w:val="bottom"/>
            <w:tcBorders>
              <w:left w:val="single" w:sz="8" w:color="auto"/>
              <w:right w:val="single" w:sz="8" w:color="auto"/>
            </w:tcBorders>
            <w:gridSpan w:val="2"/>
          </w:tcPr>
          <w:p>
            <w:pPr>
              <w:ind w:left="40"/>
              <w:spacing w:after="0"/>
              <w:rPr>
                <w:sz w:val="20"/>
                <w:szCs w:val="20"/>
                <w:color w:val="auto"/>
              </w:rPr>
            </w:pPr>
            <w:r>
              <w:rPr>
                <w:rFonts w:ascii="Arial" w:cs="Arial" w:eastAsia="Arial" w:hAnsi="Arial"/>
                <w:sz w:val="13"/>
                <w:szCs w:val="13"/>
                <w:color w:val="auto"/>
                <w:w w:val="98"/>
              </w:rPr>
              <w:t>The purpose of the Company is the research, study, development, manufacture, promotion, sale</w:t>
            </w:r>
          </w:p>
        </w:tc>
        <w:tc>
          <w:tcPr>
            <w:tcW w:w="240" w:type="dxa"/>
            <w:vAlign w:val="bottom"/>
            <w:tcBorders>
              <w:right w:val="single" w:sz="8" w:color="auto"/>
            </w:tcBorders>
          </w:tcPr>
          <w:p>
            <w:pPr>
              <w:spacing w:after="0"/>
              <w:rPr>
                <w:sz w:val="22"/>
                <w:szCs w:val="22"/>
                <w:color w:val="auto"/>
              </w:rPr>
            </w:pPr>
          </w:p>
        </w:tc>
        <w:tc>
          <w:tcPr>
            <w:tcW w:w="5520" w:type="dxa"/>
            <w:vAlign w:val="bottom"/>
            <w:tcBorders>
              <w:right w:val="single" w:sz="8" w:color="auto"/>
            </w:tcBorders>
            <w:gridSpan w:val="2"/>
          </w:tcPr>
          <w:p>
            <w:pPr>
              <w:ind w:left="20"/>
              <w:spacing w:after="0"/>
              <w:rPr>
                <w:sz w:val="20"/>
                <w:szCs w:val="20"/>
                <w:color w:val="auto"/>
              </w:rPr>
            </w:pPr>
            <w:r>
              <w:rPr>
                <w:rFonts w:ascii="Arial" w:cs="Arial" w:eastAsia="Arial" w:hAnsi="Arial"/>
                <w:sz w:val="13"/>
                <w:szCs w:val="13"/>
                <w:color w:val="auto"/>
                <w:w w:val="99"/>
              </w:rPr>
              <w:t>Le but de la société est la recherche, les études, le développement, la fabrication, la promotion,</w:t>
            </w:r>
          </w:p>
        </w:tc>
      </w:tr>
      <w:tr>
        <w:trPr>
          <w:trHeight w:val="145"/>
        </w:trPr>
        <w:tc>
          <w:tcPr>
            <w:tcW w:w="5540" w:type="dxa"/>
            <w:vAlign w:val="bottom"/>
            <w:tcBorders>
              <w:left w:val="single" w:sz="8" w:color="auto"/>
              <w:right w:val="single" w:sz="8" w:color="auto"/>
            </w:tcBorders>
            <w:gridSpan w:val="2"/>
          </w:tcPr>
          <w:p>
            <w:pPr>
              <w:ind w:left="40"/>
              <w:spacing w:after="0" w:line="145" w:lineRule="exact"/>
              <w:rPr>
                <w:sz w:val="20"/>
                <w:szCs w:val="20"/>
                <w:color w:val="auto"/>
              </w:rPr>
            </w:pPr>
            <w:r>
              <w:rPr>
                <w:rFonts w:ascii="Arial" w:cs="Arial" w:eastAsia="Arial" w:hAnsi="Arial"/>
                <w:sz w:val="13"/>
                <w:szCs w:val="13"/>
                <w:color w:val="auto"/>
              </w:rPr>
              <w:t>and marketing of products and substances within the pharmaceutical and nutrition industry as</w:t>
            </w:r>
          </w:p>
        </w:tc>
        <w:tc>
          <w:tcPr>
            <w:tcW w:w="240" w:type="dxa"/>
            <w:vAlign w:val="bottom"/>
            <w:tcBorders>
              <w:right w:val="single" w:sz="8" w:color="auto"/>
            </w:tcBorders>
          </w:tcPr>
          <w:p>
            <w:pPr>
              <w:spacing w:after="0"/>
              <w:rPr>
                <w:sz w:val="12"/>
                <w:szCs w:val="12"/>
                <w:color w:val="auto"/>
              </w:rPr>
            </w:pPr>
          </w:p>
        </w:tc>
        <w:tc>
          <w:tcPr>
            <w:tcW w:w="5520" w:type="dxa"/>
            <w:vAlign w:val="bottom"/>
            <w:tcBorders>
              <w:right w:val="single" w:sz="8" w:color="auto"/>
            </w:tcBorders>
            <w:gridSpan w:val="2"/>
          </w:tcPr>
          <w:p>
            <w:pPr>
              <w:ind w:left="20"/>
              <w:spacing w:after="0" w:line="145" w:lineRule="exact"/>
              <w:rPr>
                <w:sz w:val="20"/>
                <w:szCs w:val="20"/>
                <w:color w:val="auto"/>
              </w:rPr>
            </w:pPr>
            <w:r>
              <w:rPr>
                <w:rFonts w:ascii="Arial" w:cs="Arial" w:eastAsia="Arial" w:hAnsi="Arial"/>
                <w:sz w:val="13"/>
                <w:szCs w:val="13"/>
                <w:color w:val="auto"/>
                <w:w w:val="99"/>
              </w:rPr>
              <w:t>la vente et le marketing des produits et des substances au sein de l'industrie pharmaceutique et</w:t>
            </w:r>
          </w:p>
        </w:tc>
      </w:tr>
      <w:tr>
        <w:trPr>
          <w:trHeight w:val="145"/>
        </w:trPr>
        <w:tc>
          <w:tcPr>
            <w:tcW w:w="5540" w:type="dxa"/>
            <w:vAlign w:val="bottom"/>
            <w:tcBorders>
              <w:left w:val="single" w:sz="8" w:color="auto"/>
              <w:right w:val="single" w:sz="8" w:color="auto"/>
            </w:tcBorders>
            <w:gridSpan w:val="2"/>
          </w:tcPr>
          <w:p>
            <w:pPr>
              <w:ind w:left="40"/>
              <w:spacing w:after="0" w:line="145" w:lineRule="exact"/>
              <w:rPr>
                <w:sz w:val="20"/>
                <w:szCs w:val="20"/>
                <w:color w:val="auto"/>
              </w:rPr>
            </w:pPr>
            <w:r>
              <w:rPr>
                <w:rFonts w:ascii="Arial" w:cs="Arial" w:eastAsia="Arial" w:hAnsi="Arial"/>
                <w:sz w:val="13"/>
                <w:szCs w:val="13"/>
                <w:color w:val="auto"/>
              </w:rPr>
              <w:t>well as the purchase, sale and exploitation of patents and licenses in this field.</w:t>
            </w:r>
          </w:p>
        </w:tc>
        <w:tc>
          <w:tcPr>
            <w:tcW w:w="240" w:type="dxa"/>
            <w:vAlign w:val="bottom"/>
            <w:tcBorders>
              <w:right w:val="single" w:sz="8" w:color="auto"/>
            </w:tcBorders>
          </w:tcPr>
          <w:p>
            <w:pPr>
              <w:spacing w:after="0"/>
              <w:rPr>
                <w:sz w:val="12"/>
                <w:szCs w:val="12"/>
                <w:color w:val="auto"/>
              </w:rPr>
            </w:pPr>
          </w:p>
        </w:tc>
        <w:tc>
          <w:tcPr>
            <w:tcW w:w="5520" w:type="dxa"/>
            <w:vAlign w:val="bottom"/>
            <w:tcBorders>
              <w:right w:val="single" w:sz="8" w:color="auto"/>
            </w:tcBorders>
            <w:gridSpan w:val="2"/>
          </w:tcPr>
          <w:p>
            <w:pPr>
              <w:ind w:left="20"/>
              <w:spacing w:after="0" w:line="145" w:lineRule="exact"/>
              <w:rPr>
                <w:sz w:val="20"/>
                <w:szCs w:val="20"/>
                <w:color w:val="auto"/>
              </w:rPr>
            </w:pPr>
            <w:r>
              <w:rPr>
                <w:rFonts w:ascii="Arial" w:cs="Arial" w:eastAsia="Arial" w:hAnsi="Arial"/>
                <w:sz w:val="13"/>
                <w:szCs w:val="13"/>
                <w:color w:val="auto"/>
              </w:rPr>
              <w:t>de la nutrition ainsi que l'achat, la vente et l'exploitation de brevets et de licences dans ce</w:t>
            </w:r>
          </w:p>
        </w:tc>
      </w:tr>
      <w:tr>
        <w:trPr>
          <w:trHeight w:val="168"/>
        </w:trPr>
        <w:tc>
          <w:tcPr>
            <w:tcW w:w="440" w:type="dxa"/>
            <w:vAlign w:val="bottom"/>
            <w:tcBorders>
              <w:left w:val="single" w:sz="8" w:color="auto"/>
            </w:tcBorders>
          </w:tcPr>
          <w:p>
            <w:pPr>
              <w:spacing w:after="0"/>
              <w:rPr>
                <w:sz w:val="14"/>
                <w:szCs w:val="14"/>
                <w:color w:val="auto"/>
              </w:rPr>
            </w:pPr>
          </w:p>
        </w:tc>
        <w:tc>
          <w:tcPr>
            <w:tcW w:w="5100" w:type="dxa"/>
            <w:vAlign w:val="bottom"/>
            <w:tcBorders>
              <w:right w:val="single" w:sz="8" w:color="auto"/>
            </w:tcBorders>
          </w:tcPr>
          <w:p>
            <w:pPr>
              <w:spacing w:after="0"/>
              <w:rPr>
                <w:sz w:val="14"/>
                <w:szCs w:val="14"/>
                <w:color w:val="auto"/>
              </w:rPr>
            </w:pPr>
          </w:p>
        </w:tc>
        <w:tc>
          <w:tcPr>
            <w:tcW w:w="240" w:type="dxa"/>
            <w:vAlign w:val="bottom"/>
            <w:tcBorders>
              <w:right w:val="single" w:sz="8" w:color="auto"/>
            </w:tcBorders>
          </w:tcPr>
          <w:p>
            <w:pPr>
              <w:spacing w:after="0"/>
              <w:rPr>
                <w:sz w:val="14"/>
                <w:szCs w:val="14"/>
                <w:color w:val="auto"/>
              </w:rPr>
            </w:pPr>
          </w:p>
        </w:tc>
        <w:tc>
          <w:tcPr>
            <w:tcW w:w="5520" w:type="dxa"/>
            <w:vAlign w:val="bottom"/>
            <w:tcBorders>
              <w:right w:val="single" w:sz="8" w:color="auto"/>
            </w:tcBorders>
            <w:gridSpan w:val="2"/>
          </w:tcPr>
          <w:p>
            <w:pPr>
              <w:ind w:left="20"/>
              <w:spacing w:after="0"/>
              <w:rPr>
                <w:sz w:val="20"/>
                <w:szCs w:val="20"/>
                <w:color w:val="auto"/>
              </w:rPr>
            </w:pPr>
            <w:r>
              <w:rPr>
                <w:rFonts w:ascii="Arial" w:cs="Arial" w:eastAsia="Arial" w:hAnsi="Arial"/>
                <w:sz w:val="13"/>
                <w:szCs w:val="13"/>
                <w:color w:val="auto"/>
              </w:rPr>
              <w:t>domaine.</w:t>
            </w:r>
          </w:p>
        </w:tc>
      </w:tr>
      <w:tr>
        <w:trPr>
          <w:trHeight w:val="153"/>
        </w:trPr>
        <w:tc>
          <w:tcPr>
            <w:tcW w:w="5540" w:type="dxa"/>
            <w:vAlign w:val="bottom"/>
            <w:tcBorders>
              <w:left w:val="single" w:sz="8" w:color="auto"/>
              <w:bottom w:val="single" w:sz="8" w:color="auto"/>
              <w:right w:val="single" w:sz="8" w:color="auto"/>
            </w:tcBorders>
            <w:gridSpan w:val="2"/>
          </w:tcPr>
          <w:p>
            <w:pPr>
              <w:spacing w:after="0"/>
              <w:rPr>
                <w:sz w:val="13"/>
                <w:szCs w:val="13"/>
                <w:color w:val="auto"/>
              </w:rPr>
            </w:pPr>
          </w:p>
        </w:tc>
        <w:tc>
          <w:tcPr>
            <w:tcW w:w="240" w:type="dxa"/>
            <w:vAlign w:val="bottom"/>
            <w:tcBorders>
              <w:bottom w:val="single" w:sz="8" w:color="auto"/>
              <w:right w:val="single" w:sz="8" w:color="auto"/>
            </w:tcBorders>
          </w:tcPr>
          <w:p>
            <w:pPr>
              <w:spacing w:after="0"/>
              <w:rPr>
                <w:sz w:val="13"/>
                <w:szCs w:val="13"/>
                <w:color w:val="auto"/>
              </w:rPr>
            </w:pPr>
          </w:p>
        </w:tc>
        <w:tc>
          <w:tcPr>
            <w:tcW w:w="5520" w:type="dxa"/>
            <w:vAlign w:val="bottom"/>
            <w:tcBorders>
              <w:bottom w:val="single" w:sz="8" w:color="auto"/>
              <w:right w:val="single" w:sz="8" w:color="auto"/>
            </w:tcBorders>
            <w:gridSpan w:val="2"/>
          </w:tcPr>
          <w:p>
            <w:pPr>
              <w:spacing w:after="0"/>
              <w:rPr>
                <w:sz w:val="13"/>
                <w:szCs w:val="13"/>
                <w:color w:val="auto"/>
              </w:rPr>
            </w:pPr>
          </w:p>
        </w:tc>
      </w:tr>
      <w:tr>
        <w:trPr>
          <w:trHeight w:val="141"/>
        </w:trPr>
        <w:tc>
          <w:tcPr>
            <w:tcW w:w="5540" w:type="dxa"/>
            <w:vAlign w:val="bottom"/>
            <w:tcBorders>
              <w:left w:val="single" w:sz="8" w:color="auto"/>
              <w:right w:val="single" w:sz="8" w:color="auto"/>
            </w:tcBorders>
            <w:gridSpan w:val="2"/>
          </w:tcPr>
          <w:p>
            <w:pPr>
              <w:ind w:left="40"/>
              <w:spacing w:after="0" w:line="141" w:lineRule="exact"/>
              <w:rPr>
                <w:sz w:val="20"/>
                <w:szCs w:val="20"/>
                <w:color w:val="auto"/>
              </w:rPr>
            </w:pPr>
            <w:r>
              <w:rPr>
                <w:rFonts w:ascii="Arial" w:cs="Arial" w:eastAsia="Arial" w:hAnsi="Arial"/>
                <w:sz w:val="13"/>
                <w:szCs w:val="13"/>
                <w:color w:val="auto"/>
              </w:rPr>
              <w:t>The Company may engage in any activities which are apt to favor the purpose of the Company</w:t>
            </w:r>
          </w:p>
        </w:tc>
        <w:tc>
          <w:tcPr>
            <w:tcW w:w="240" w:type="dxa"/>
            <w:vAlign w:val="bottom"/>
            <w:tcBorders>
              <w:right w:val="single" w:sz="8" w:color="auto"/>
            </w:tcBorders>
          </w:tcPr>
          <w:p>
            <w:pPr>
              <w:spacing w:after="0"/>
              <w:rPr>
                <w:sz w:val="12"/>
                <w:szCs w:val="12"/>
                <w:color w:val="auto"/>
              </w:rPr>
            </w:pPr>
          </w:p>
        </w:tc>
        <w:tc>
          <w:tcPr>
            <w:tcW w:w="5520" w:type="dxa"/>
            <w:vAlign w:val="bottom"/>
            <w:tcBorders>
              <w:right w:val="single" w:sz="8" w:color="auto"/>
            </w:tcBorders>
            <w:gridSpan w:val="2"/>
          </w:tcPr>
          <w:p>
            <w:pPr>
              <w:ind w:left="20"/>
              <w:spacing w:after="0" w:line="141" w:lineRule="exact"/>
              <w:rPr>
                <w:sz w:val="20"/>
                <w:szCs w:val="20"/>
                <w:color w:val="auto"/>
              </w:rPr>
            </w:pPr>
            <w:r>
              <w:rPr>
                <w:rFonts w:ascii="Arial" w:cs="Arial" w:eastAsia="Arial" w:hAnsi="Arial"/>
                <w:sz w:val="13"/>
                <w:szCs w:val="13"/>
                <w:color w:val="auto"/>
              </w:rPr>
              <w:t>La société peut se livrer à des activités qui sont de nature à favoriser directement ou</w:t>
            </w:r>
          </w:p>
        </w:tc>
      </w:tr>
      <w:tr>
        <w:trPr>
          <w:trHeight w:val="145"/>
        </w:trPr>
        <w:tc>
          <w:tcPr>
            <w:tcW w:w="5540" w:type="dxa"/>
            <w:vAlign w:val="bottom"/>
            <w:tcBorders>
              <w:left w:val="single" w:sz="8" w:color="auto"/>
              <w:right w:val="single" w:sz="8" w:color="auto"/>
            </w:tcBorders>
            <w:gridSpan w:val="2"/>
          </w:tcPr>
          <w:p>
            <w:pPr>
              <w:ind w:left="40"/>
              <w:spacing w:after="0" w:line="145" w:lineRule="exact"/>
              <w:rPr>
                <w:sz w:val="20"/>
                <w:szCs w:val="20"/>
                <w:color w:val="auto"/>
              </w:rPr>
            </w:pPr>
            <w:r>
              <w:rPr>
                <w:rFonts w:ascii="Arial" w:cs="Arial" w:eastAsia="Arial" w:hAnsi="Arial"/>
                <w:sz w:val="13"/>
                <w:szCs w:val="13"/>
                <w:color w:val="auto"/>
              </w:rPr>
              <w:t>directly or indirectly. The Company may also acquire and sell real estate.</w:t>
            </w:r>
          </w:p>
        </w:tc>
        <w:tc>
          <w:tcPr>
            <w:tcW w:w="240" w:type="dxa"/>
            <w:vAlign w:val="bottom"/>
            <w:tcBorders>
              <w:right w:val="single" w:sz="8" w:color="auto"/>
            </w:tcBorders>
          </w:tcPr>
          <w:p>
            <w:pPr>
              <w:spacing w:after="0"/>
              <w:rPr>
                <w:sz w:val="12"/>
                <w:szCs w:val="12"/>
                <w:color w:val="auto"/>
              </w:rPr>
            </w:pPr>
          </w:p>
        </w:tc>
        <w:tc>
          <w:tcPr>
            <w:tcW w:w="5520" w:type="dxa"/>
            <w:vAlign w:val="bottom"/>
            <w:tcBorders>
              <w:right w:val="single" w:sz="8" w:color="auto"/>
            </w:tcBorders>
            <w:gridSpan w:val="2"/>
          </w:tcPr>
          <w:p>
            <w:pPr>
              <w:ind w:left="20"/>
              <w:spacing w:after="0" w:line="145" w:lineRule="exact"/>
              <w:rPr>
                <w:sz w:val="20"/>
                <w:szCs w:val="20"/>
                <w:color w:val="auto"/>
              </w:rPr>
            </w:pPr>
            <w:r>
              <w:rPr>
                <w:rFonts w:ascii="Arial" w:cs="Arial" w:eastAsia="Arial" w:hAnsi="Arial"/>
                <w:sz w:val="13"/>
                <w:szCs w:val="13"/>
                <w:color w:val="auto"/>
              </w:rPr>
              <w:t>indirectement le but de la société. La société peut également acquérir et vendre des biens</w:t>
            </w:r>
          </w:p>
        </w:tc>
      </w:tr>
      <w:tr>
        <w:trPr>
          <w:trHeight w:val="173"/>
        </w:trPr>
        <w:tc>
          <w:tcPr>
            <w:tcW w:w="440" w:type="dxa"/>
            <w:vAlign w:val="bottom"/>
            <w:tcBorders>
              <w:left w:val="single" w:sz="8" w:color="auto"/>
              <w:bottom w:val="single" w:sz="8" w:color="auto"/>
            </w:tcBorders>
          </w:tcPr>
          <w:p>
            <w:pPr>
              <w:spacing w:after="0"/>
              <w:rPr>
                <w:sz w:val="15"/>
                <w:szCs w:val="15"/>
                <w:color w:val="auto"/>
              </w:rPr>
            </w:pPr>
          </w:p>
        </w:tc>
        <w:tc>
          <w:tcPr>
            <w:tcW w:w="5100" w:type="dxa"/>
            <w:vAlign w:val="bottom"/>
            <w:tcBorders>
              <w:bottom w:val="single" w:sz="8" w:color="auto"/>
              <w:right w:val="single" w:sz="8" w:color="auto"/>
            </w:tcBorders>
          </w:tcPr>
          <w:p>
            <w:pPr>
              <w:spacing w:after="0"/>
              <w:rPr>
                <w:sz w:val="15"/>
                <w:szCs w:val="15"/>
                <w:color w:val="auto"/>
              </w:rPr>
            </w:pPr>
          </w:p>
        </w:tc>
        <w:tc>
          <w:tcPr>
            <w:tcW w:w="240" w:type="dxa"/>
            <w:vAlign w:val="bottom"/>
            <w:tcBorders>
              <w:bottom w:val="single" w:sz="8" w:color="auto"/>
              <w:right w:val="single" w:sz="8" w:color="auto"/>
            </w:tcBorders>
          </w:tcPr>
          <w:p>
            <w:pPr>
              <w:spacing w:after="0"/>
              <w:rPr>
                <w:sz w:val="15"/>
                <w:szCs w:val="15"/>
                <w:color w:val="auto"/>
              </w:rPr>
            </w:pPr>
          </w:p>
        </w:tc>
        <w:tc>
          <w:tcPr>
            <w:tcW w:w="5520" w:type="dxa"/>
            <w:vAlign w:val="bottom"/>
            <w:tcBorders>
              <w:bottom w:val="single" w:sz="8" w:color="auto"/>
              <w:right w:val="single" w:sz="8" w:color="auto"/>
            </w:tcBorders>
            <w:gridSpan w:val="2"/>
          </w:tcPr>
          <w:p>
            <w:pPr>
              <w:ind w:left="20"/>
              <w:spacing w:after="0"/>
              <w:rPr>
                <w:sz w:val="20"/>
                <w:szCs w:val="20"/>
                <w:color w:val="auto"/>
              </w:rPr>
            </w:pPr>
            <w:r>
              <w:rPr>
                <w:rFonts w:ascii="Arial" w:cs="Arial" w:eastAsia="Arial" w:hAnsi="Arial"/>
                <w:sz w:val="13"/>
                <w:szCs w:val="13"/>
                <w:color w:val="auto"/>
              </w:rPr>
              <w:t>immobiliers.</w:t>
            </w:r>
          </w:p>
        </w:tc>
      </w:tr>
    </w:tbl>
    <w:p>
      <w:pPr>
        <w:spacing w:after="0" w:line="59"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5"/>
          <w:szCs w:val="15"/>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12700</wp:posOffset>
            </wp:positionV>
            <wp:extent cx="7171690" cy="635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71690" cy="6350"/>
                    </a:xfrm>
                    <a:prstGeom prst="rect">
                      <a:avLst/>
                    </a:prstGeom>
                    <a:noFill/>
                  </pic:spPr>
                </pic:pic>
              </a:graphicData>
            </a:graphic>
          </wp:anchor>
        </w:drawing>
      </w:r>
    </w:p>
    <w:p>
      <w:pPr>
        <w:sectPr>
          <w:pgSz w:w="11900" w:h="16838" w:orient="portrait"/>
          <w:cols w:equalWidth="0" w:num="1">
            <w:col w:w="11300"/>
          </w:cols>
          <w:pgMar w:left="300" w:top="118" w:right="299" w:bottom="1440" w:gutter="0" w:footer="0" w:header="0"/>
        </w:sectPr>
      </w:pPr>
    </w:p>
    <w:bookmarkStart w:id="59" w:name="page60"/>
    <w:bookmarkEnd w:id="59"/>
    <w:tbl>
      <w:tblPr>
        <w:tblLayout w:type="fixed"/>
        <w:tblInd w:w="10" w:type="dxa"/>
        <w:tblCellMar>
          <w:top w:w="0" w:type="dxa"/>
          <w:left w:w="0" w:type="dxa"/>
          <w:bottom w:w="0" w:type="dxa"/>
          <w:right w:w="0" w:type="dxa"/>
        </w:tblCellMar>
      </w:tblPr>
      <w:tr>
        <w:trPr>
          <w:trHeight w:val="161"/>
        </w:trPr>
        <w:tc>
          <w:tcPr>
            <w:tcW w:w="5540" w:type="dxa"/>
            <w:vAlign w:val="bottom"/>
            <w:tcBorders>
              <w:top w:val="single" w:sz="8" w:color="auto"/>
              <w:left w:val="single" w:sz="8" w:color="auto"/>
              <w:right w:val="single" w:sz="8" w:color="auto"/>
            </w:tcBorders>
          </w:tcPr>
          <w:p>
            <w:pPr>
              <w:ind w:left="40"/>
              <w:spacing w:after="0"/>
              <w:rPr>
                <w:sz w:val="20"/>
                <w:szCs w:val="20"/>
                <w:color w:val="auto"/>
              </w:rPr>
            </w:pPr>
            <w:r>
              <w:rPr>
                <w:rFonts w:ascii="Arial" w:cs="Arial" w:eastAsia="Arial" w:hAnsi="Arial"/>
                <w:sz w:val="13"/>
                <w:szCs w:val="13"/>
                <w:color w:val="auto"/>
              </w:rPr>
              <w:t>The Company may open branch offices in Switzerland and abroad and may also acquire</w:t>
            </w:r>
          </w:p>
        </w:tc>
        <w:tc>
          <w:tcPr>
            <w:tcW w:w="240" w:type="dxa"/>
            <w:vAlign w:val="bottom"/>
            <w:tcBorders>
              <w:top w:val="single" w:sz="8" w:color="auto"/>
              <w:right w:val="single" w:sz="8" w:color="auto"/>
            </w:tcBorders>
          </w:tcPr>
          <w:p>
            <w:pPr>
              <w:spacing w:after="0"/>
              <w:rPr>
                <w:sz w:val="14"/>
                <w:szCs w:val="14"/>
                <w:color w:val="auto"/>
              </w:rPr>
            </w:pPr>
          </w:p>
        </w:tc>
        <w:tc>
          <w:tcPr>
            <w:tcW w:w="5520" w:type="dxa"/>
            <w:vAlign w:val="bottom"/>
            <w:tcBorders>
              <w:top w:val="single" w:sz="8" w:color="auto"/>
              <w:right w:val="single" w:sz="8" w:color="auto"/>
            </w:tcBorders>
          </w:tcPr>
          <w:p>
            <w:pPr>
              <w:ind w:left="20"/>
              <w:spacing w:after="0"/>
              <w:rPr>
                <w:sz w:val="20"/>
                <w:szCs w:val="20"/>
                <w:color w:val="auto"/>
              </w:rPr>
            </w:pPr>
            <w:r>
              <w:rPr>
                <w:rFonts w:ascii="Arial" w:cs="Arial" w:eastAsia="Arial" w:hAnsi="Arial"/>
                <w:sz w:val="13"/>
                <w:szCs w:val="13"/>
                <w:color w:val="auto"/>
                <w:w w:val="99"/>
              </w:rPr>
              <w:t>La société peut ouvrir des succursales en Suisse et à l'étranger et peut également acquérir des</w:t>
            </w:r>
          </w:p>
        </w:tc>
      </w:tr>
      <w:tr>
        <w:trPr>
          <w:trHeight w:val="173"/>
        </w:trPr>
        <w:tc>
          <w:tcPr>
            <w:tcW w:w="554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3"/>
                <w:szCs w:val="13"/>
                <w:color w:val="auto"/>
              </w:rPr>
              <w:t>participations in other companies.</w:t>
            </w:r>
          </w:p>
        </w:tc>
        <w:tc>
          <w:tcPr>
            <w:tcW w:w="240" w:type="dxa"/>
            <w:vAlign w:val="bottom"/>
            <w:tcBorders>
              <w:bottom w:val="single" w:sz="8" w:color="auto"/>
              <w:right w:val="single" w:sz="8" w:color="auto"/>
            </w:tcBorders>
          </w:tcPr>
          <w:p>
            <w:pPr>
              <w:spacing w:after="0"/>
              <w:rPr>
                <w:sz w:val="15"/>
                <w:szCs w:val="15"/>
                <w:color w:val="auto"/>
              </w:rPr>
            </w:pPr>
          </w:p>
        </w:tc>
        <w:tc>
          <w:tcPr>
            <w:tcW w:w="55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3"/>
                <w:szCs w:val="13"/>
                <w:color w:val="auto"/>
              </w:rPr>
              <w:t>participations dans d'autres sociétés.</w:t>
            </w:r>
          </w:p>
        </w:tc>
      </w:tr>
      <w:tr>
        <w:trPr>
          <w:trHeight w:val="173"/>
        </w:trPr>
        <w:tc>
          <w:tcPr>
            <w:tcW w:w="554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3"/>
                <w:szCs w:val="13"/>
                <w:color w:val="auto"/>
              </w:rPr>
              <w:t>The Company may provide securities to its subsidiaries and supply guarantees.</w:t>
            </w:r>
          </w:p>
        </w:tc>
        <w:tc>
          <w:tcPr>
            <w:tcW w:w="240" w:type="dxa"/>
            <w:vAlign w:val="bottom"/>
            <w:tcBorders>
              <w:bottom w:val="single" w:sz="8" w:color="auto"/>
              <w:right w:val="single" w:sz="8" w:color="auto"/>
            </w:tcBorders>
          </w:tcPr>
          <w:p>
            <w:pPr>
              <w:spacing w:after="0"/>
              <w:rPr>
                <w:sz w:val="15"/>
                <w:szCs w:val="15"/>
                <w:color w:val="auto"/>
              </w:rPr>
            </w:pPr>
          </w:p>
        </w:tc>
        <w:tc>
          <w:tcPr>
            <w:tcW w:w="55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3"/>
                <w:szCs w:val="13"/>
                <w:color w:val="auto"/>
              </w:rPr>
              <w:t>La société peut fournir des titres à ses filiales et des garanties d'approvisionnement.</w:t>
            </w:r>
          </w:p>
        </w:tc>
      </w:tr>
      <w:tr>
        <w:trPr>
          <w:trHeight w:val="177"/>
        </w:trPr>
        <w:tc>
          <w:tcPr>
            <w:tcW w:w="554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3"/>
                <w:szCs w:val="13"/>
                <w:b w:val="1"/>
                <w:bCs w:val="1"/>
                <w:color w:val="auto"/>
              </w:rPr>
              <w:t>II.  SHARE CAPITAL AND SHARES</w:t>
            </w:r>
          </w:p>
        </w:tc>
        <w:tc>
          <w:tcPr>
            <w:tcW w:w="240" w:type="dxa"/>
            <w:vAlign w:val="bottom"/>
            <w:tcBorders>
              <w:bottom w:val="single" w:sz="8" w:color="auto"/>
              <w:right w:val="single" w:sz="8" w:color="auto"/>
            </w:tcBorders>
          </w:tcPr>
          <w:p>
            <w:pPr>
              <w:spacing w:after="0"/>
              <w:rPr>
                <w:sz w:val="15"/>
                <w:szCs w:val="15"/>
                <w:color w:val="auto"/>
              </w:rPr>
            </w:pPr>
          </w:p>
        </w:tc>
        <w:tc>
          <w:tcPr>
            <w:tcW w:w="55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3"/>
                <w:szCs w:val="13"/>
                <w:b w:val="1"/>
                <w:bCs w:val="1"/>
                <w:color w:val="auto"/>
              </w:rPr>
              <w:t>II.  CAPITAL-ACTIONS ET ACTIONS</w:t>
            </w:r>
          </w:p>
        </w:tc>
      </w:tr>
      <w:tr>
        <w:trPr>
          <w:trHeight w:val="173"/>
        </w:trPr>
        <w:tc>
          <w:tcPr>
            <w:tcW w:w="55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3"/>
                <w:szCs w:val="13"/>
                <w:b w:val="1"/>
                <w:bCs w:val="1"/>
                <w:color w:val="auto"/>
              </w:rPr>
              <w:t>Art. 3  Share Capital and Shares</w:t>
            </w:r>
          </w:p>
        </w:tc>
        <w:tc>
          <w:tcPr>
            <w:tcW w:w="240" w:type="dxa"/>
            <w:vAlign w:val="bottom"/>
            <w:tcBorders>
              <w:right w:val="single" w:sz="8" w:color="auto"/>
            </w:tcBorders>
          </w:tcPr>
          <w:p>
            <w:pPr>
              <w:spacing w:after="0"/>
              <w:rPr>
                <w:sz w:val="15"/>
                <w:szCs w:val="15"/>
                <w:color w:val="auto"/>
              </w:rPr>
            </w:pPr>
          </w:p>
        </w:tc>
        <w:tc>
          <w:tcPr>
            <w:tcW w:w="5520" w:type="dxa"/>
            <w:vAlign w:val="bottom"/>
            <w:tcBorders>
              <w:right w:val="single" w:sz="8" w:color="auto"/>
            </w:tcBorders>
          </w:tcPr>
          <w:p>
            <w:pPr>
              <w:ind w:left="20"/>
              <w:spacing w:after="0"/>
              <w:rPr>
                <w:sz w:val="20"/>
                <w:szCs w:val="20"/>
                <w:color w:val="auto"/>
              </w:rPr>
            </w:pPr>
            <w:r>
              <w:rPr>
                <w:rFonts w:ascii="Arial" w:cs="Arial" w:eastAsia="Arial" w:hAnsi="Arial"/>
                <w:sz w:val="13"/>
                <w:szCs w:val="13"/>
                <w:b w:val="1"/>
                <w:bCs w:val="1"/>
                <w:color w:val="auto"/>
              </w:rPr>
              <w:t>Art. 3  Capital-actions et actions</w:t>
            </w:r>
          </w:p>
        </w:tc>
      </w:tr>
      <w:tr>
        <w:trPr>
          <w:trHeight w:val="258"/>
        </w:trPr>
        <w:tc>
          <w:tcPr>
            <w:tcW w:w="55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3"/>
                <w:szCs w:val="13"/>
                <w:color w:val="auto"/>
              </w:rPr>
              <w:t>The Share Capital of the Company is CHF 1'792'702.30. It is divided into 89'635'115 registered</w:t>
            </w:r>
          </w:p>
        </w:tc>
        <w:tc>
          <w:tcPr>
            <w:tcW w:w="240" w:type="dxa"/>
            <w:vAlign w:val="bottom"/>
            <w:tcBorders>
              <w:right w:val="single" w:sz="8" w:color="auto"/>
            </w:tcBorders>
          </w:tcPr>
          <w:p>
            <w:pPr>
              <w:spacing w:after="0"/>
              <w:rPr>
                <w:sz w:val="22"/>
                <w:szCs w:val="22"/>
                <w:color w:val="auto"/>
              </w:rPr>
            </w:pPr>
          </w:p>
        </w:tc>
        <w:tc>
          <w:tcPr>
            <w:tcW w:w="5520" w:type="dxa"/>
            <w:vAlign w:val="bottom"/>
            <w:tcBorders>
              <w:right w:val="single" w:sz="8" w:color="auto"/>
            </w:tcBorders>
          </w:tcPr>
          <w:p>
            <w:pPr>
              <w:ind w:left="20"/>
              <w:spacing w:after="0"/>
              <w:rPr>
                <w:sz w:val="20"/>
                <w:szCs w:val="20"/>
                <w:color w:val="auto"/>
              </w:rPr>
            </w:pPr>
            <w:r>
              <w:rPr>
                <w:rFonts w:ascii="Arial" w:cs="Arial" w:eastAsia="Arial" w:hAnsi="Arial"/>
                <w:sz w:val="13"/>
                <w:szCs w:val="13"/>
                <w:color w:val="auto"/>
              </w:rPr>
              <w:t>Le capital-actions de la société se monte à CHF 1'792'702.30. Il est divisé en 89'635'115</w:t>
            </w:r>
          </w:p>
        </w:tc>
      </w:tr>
      <w:tr>
        <w:trPr>
          <w:trHeight w:val="168"/>
        </w:trPr>
        <w:tc>
          <w:tcPr>
            <w:tcW w:w="55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3"/>
                <w:szCs w:val="13"/>
                <w:color w:val="auto"/>
              </w:rPr>
              <w:t>shares with a nominal value of CHF 0.02 each, fully paid-in.</w:t>
            </w:r>
          </w:p>
        </w:tc>
        <w:tc>
          <w:tcPr>
            <w:tcW w:w="240" w:type="dxa"/>
            <w:vAlign w:val="bottom"/>
            <w:tcBorders>
              <w:right w:val="single" w:sz="8" w:color="auto"/>
            </w:tcBorders>
          </w:tcPr>
          <w:p>
            <w:pPr>
              <w:spacing w:after="0"/>
              <w:rPr>
                <w:sz w:val="14"/>
                <w:szCs w:val="14"/>
                <w:color w:val="auto"/>
              </w:rPr>
            </w:pPr>
          </w:p>
        </w:tc>
        <w:tc>
          <w:tcPr>
            <w:tcW w:w="5520" w:type="dxa"/>
            <w:vAlign w:val="bottom"/>
            <w:tcBorders>
              <w:right w:val="single" w:sz="8" w:color="auto"/>
            </w:tcBorders>
          </w:tcPr>
          <w:p>
            <w:pPr>
              <w:ind w:left="20"/>
              <w:spacing w:after="0"/>
              <w:rPr>
                <w:sz w:val="20"/>
                <w:szCs w:val="20"/>
                <w:color w:val="auto"/>
              </w:rPr>
            </w:pPr>
            <w:r>
              <w:rPr>
                <w:rFonts w:ascii="Arial" w:cs="Arial" w:eastAsia="Arial" w:hAnsi="Arial"/>
                <w:sz w:val="13"/>
                <w:szCs w:val="13"/>
                <w:color w:val="auto"/>
              </w:rPr>
              <w:t>actions nominatives d'une valeur nominale de CHF 0.02 chacune, entièrement libérées.</w:t>
            </w:r>
          </w:p>
        </w:tc>
      </w:tr>
      <w:tr>
        <w:trPr>
          <w:trHeight w:val="266"/>
        </w:trPr>
        <w:tc>
          <w:tcPr>
            <w:tcW w:w="55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3"/>
                <w:szCs w:val="13"/>
                <w:color w:val="auto"/>
              </w:rPr>
              <w:t>According to the contribution in kind agreement dated October 12th, 2021, the Company</w:t>
            </w:r>
          </w:p>
        </w:tc>
        <w:tc>
          <w:tcPr>
            <w:tcW w:w="240" w:type="dxa"/>
            <w:vAlign w:val="bottom"/>
            <w:tcBorders>
              <w:right w:val="single" w:sz="8" w:color="auto"/>
            </w:tcBorders>
          </w:tcPr>
          <w:p>
            <w:pPr>
              <w:spacing w:after="0"/>
              <w:rPr>
                <w:sz w:val="23"/>
                <w:szCs w:val="23"/>
                <w:color w:val="auto"/>
              </w:rPr>
            </w:pPr>
          </w:p>
        </w:tc>
        <w:tc>
          <w:tcPr>
            <w:tcW w:w="5520" w:type="dxa"/>
            <w:vAlign w:val="bottom"/>
            <w:tcBorders>
              <w:right w:val="single" w:sz="8" w:color="auto"/>
            </w:tcBorders>
          </w:tcPr>
          <w:p>
            <w:pPr>
              <w:ind w:left="20"/>
              <w:spacing w:after="0"/>
              <w:rPr>
                <w:sz w:val="20"/>
                <w:szCs w:val="20"/>
                <w:color w:val="auto"/>
              </w:rPr>
            </w:pPr>
            <w:r>
              <w:rPr>
                <w:rFonts w:ascii="Arial" w:cs="Arial" w:eastAsia="Arial" w:hAnsi="Arial"/>
                <w:sz w:val="13"/>
                <w:szCs w:val="13"/>
                <w:color w:val="auto"/>
              </w:rPr>
              <w:t>Selon contrat d’apport du 12 octobre 2021, la Société acquiert de Affiris AG (FN 240538),</w:t>
            </w:r>
          </w:p>
        </w:tc>
      </w:tr>
      <w:tr>
        <w:trPr>
          <w:trHeight w:val="145"/>
        </w:trPr>
        <w:tc>
          <w:tcPr>
            <w:tcW w:w="5540" w:type="dxa"/>
            <w:vAlign w:val="bottom"/>
            <w:tcBorders>
              <w:left w:val="single" w:sz="8" w:color="auto"/>
              <w:right w:val="single" w:sz="8" w:color="auto"/>
            </w:tcBorders>
          </w:tcPr>
          <w:p>
            <w:pPr>
              <w:ind w:left="40"/>
              <w:spacing w:after="0" w:line="145" w:lineRule="exact"/>
              <w:rPr>
                <w:sz w:val="20"/>
                <w:szCs w:val="20"/>
                <w:color w:val="auto"/>
              </w:rPr>
            </w:pPr>
            <w:r>
              <w:rPr>
                <w:rFonts w:ascii="Arial" w:cs="Arial" w:eastAsia="Arial" w:hAnsi="Arial"/>
                <w:sz w:val="13"/>
                <w:szCs w:val="13"/>
                <w:color w:val="auto"/>
              </w:rPr>
              <w:t>acquires from Affiris AG (FN 240538), a company incorporated under Austrian law with its</w:t>
            </w:r>
          </w:p>
        </w:tc>
        <w:tc>
          <w:tcPr>
            <w:tcW w:w="240" w:type="dxa"/>
            <w:vAlign w:val="bottom"/>
            <w:tcBorders>
              <w:right w:val="single" w:sz="8" w:color="auto"/>
            </w:tcBorders>
          </w:tcPr>
          <w:p>
            <w:pPr>
              <w:spacing w:after="0"/>
              <w:rPr>
                <w:sz w:val="12"/>
                <w:szCs w:val="12"/>
                <w:color w:val="auto"/>
              </w:rPr>
            </w:pPr>
          </w:p>
        </w:tc>
        <w:tc>
          <w:tcPr>
            <w:tcW w:w="5520" w:type="dxa"/>
            <w:vAlign w:val="bottom"/>
            <w:tcBorders>
              <w:right w:val="single" w:sz="8" w:color="auto"/>
            </w:tcBorders>
          </w:tcPr>
          <w:p>
            <w:pPr>
              <w:ind w:left="20"/>
              <w:spacing w:after="0" w:line="145" w:lineRule="exact"/>
              <w:rPr>
                <w:sz w:val="20"/>
                <w:szCs w:val="20"/>
                <w:color w:val="auto"/>
              </w:rPr>
            </w:pPr>
            <w:r>
              <w:rPr>
                <w:rFonts w:ascii="Arial" w:cs="Arial" w:eastAsia="Arial" w:hAnsi="Arial"/>
                <w:sz w:val="13"/>
                <w:szCs w:val="13"/>
                <w:color w:val="auto"/>
              </w:rPr>
              <w:t>société de droit autrichien ayant son siège à Vienne (Autriche) les droits liés à des brevets,</w:t>
            </w:r>
          </w:p>
        </w:tc>
      </w:tr>
      <w:tr>
        <w:trPr>
          <w:trHeight w:val="145"/>
        </w:trPr>
        <w:tc>
          <w:tcPr>
            <w:tcW w:w="5540" w:type="dxa"/>
            <w:vAlign w:val="bottom"/>
            <w:tcBorders>
              <w:left w:val="single" w:sz="8" w:color="auto"/>
              <w:right w:val="single" w:sz="8" w:color="auto"/>
            </w:tcBorders>
          </w:tcPr>
          <w:p>
            <w:pPr>
              <w:ind w:left="40"/>
              <w:spacing w:after="0" w:line="145" w:lineRule="exact"/>
              <w:rPr>
                <w:sz w:val="20"/>
                <w:szCs w:val="20"/>
                <w:color w:val="auto"/>
              </w:rPr>
            </w:pPr>
            <w:r>
              <w:rPr>
                <w:rFonts w:ascii="Arial" w:cs="Arial" w:eastAsia="Arial" w:hAnsi="Arial"/>
                <w:sz w:val="13"/>
                <w:szCs w:val="13"/>
                <w:color w:val="auto"/>
              </w:rPr>
              <w:t>registered  office  in  Vienna  (Austria),  the  rights  related  to  patents,  patent  applications,</w:t>
            </w:r>
          </w:p>
        </w:tc>
        <w:tc>
          <w:tcPr>
            <w:tcW w:w="240" w:type="dxa"/>
            <w:vAlign w:val="bottom"/>
            <w:tcBorders>
              <w:right w:val="single" w:sz="8" w:color="auto"/>
            </w:tcBorders>
          </w:tcPr>
          <w:p>
            <w:pPr>
              <w:spacing w:after="0"/>
              <w:rPr>
                <w:sz w:val="12"/>
                <w:szCs w:val="12"/>
                <w:color w:val="auto"/>
              </w:rPr>
            </w:pPr>
          </w:p>
        </w:tc>
        <w:tc>
          <w:tcPr>
            <w:tcW w:w="5520" w:type="dxa"/>
            <w:vAlign w:val="bottom"/>
            <w:tcBorders>
              <w:right w:val="single" w:sz="8" w:color="auto"/>
            </w:tcBorders>
          </w:tcPr>
          <w:p>
            <w:pPr>
              <w:ind w:left="20"/>
              <w:spacing w:after="0" w:line="145" w:lineRule="exact"/>
              <w:rPr>
                <w:sz w:val="20"/>
                <w:szCs w:val="20"/>
                <w:color w:val="auto"/>
              </w:rPr>
            </w:pPr>
            <w:r>
              <w:rPr>
                <w:rFonts w:ascii="Arial" w:cs="Arial" w:eastAsia="Arial" w:hAnsi="Arial"/>
                <w:sz w:val="13"/>
                <w:szCs w:val="13"/>
                <w:color w:val="auto"/>
              </w:rPr>
              <w:t>dépôts de brevets, marques et savoir-faire. Cet apport est fait et accepté pour le prix de USD</w:t>
            </w:r>
          </w:p>
        </w:tc>
      </w:tr>
      <w:tr>
        <w:trPr>
          <w:trHeight w:val="145"/>
        </w:trPr>
        <w:tc>
          <w:tcPr>
            <w:tcW w:w="5540" w:type="dxa"/>
            <w:vAlign w:val="bottom"/>
            <w:tcBorders>
              <w:left w:val="single" w:sz="8" w:color="auto"/>
              <w:right w:val="single" w:sz="8" w:color="auto"/>
            </w:tcBorders>
          </w:tcPr>
          <w:p>
            <w:pPr>
              <w:ind w:left="40"/>
              <w:spacing w:after="0" w:line="145" w:lineRule="exact"/>
              <w:rPr>
                <w:sz w:val="20"/>
                <w:szCs w:val="20"/>
                <w:color w:val="auto"/>
              </w:rPr>
            </w:pPr>
            <w:r>
              <w:rPr>
                <w:rFonts w:ascii="Arial" w:cs="Arial" w:eastAsia="Arial" w:hAnsi="Arial"/>
                <w:sz w:val="13"/>
                <w:szCs w:val="13"/>
                <w:color w:val="auto"/>
              </w:rPr>
              <w:t>trademarks and know-how. This contribution is made and accepted for the price of USD</w:t>
            </w:r>
          </w:p>
        </w:tc>
        <w:tc>
          <w:tcPr>
            <w:tcW w:w="240" w:type="dxa"/>
            <w:vAlign w:val="bottom"/>
            <w:tcBorders>
              <w:right w:val="single" w:sz="8" w:color="auto"/>
            </w:tcBorders>
          </w:tcPr>
          <w:p>
            <w:pPr>
              <w:spacing w:after="0"/>
              <w:rPr>
                <w:sz w:val="12"/>
                <w:szCs w:val="12"/>
                <w:color w:val="auto"/>
              </w:rPr>
            </w:pPr>
          </w:p>
        </w:tc>
        <w:tc>
          <w:tcPr>
            <w:tcW w:w="5520" w:type="dxa"/>
            <w:vAlign w:val="bottom"/>
            <w:tcBorders>
              <w:right w:val="single" w:sz="8" w:color="auto"/>
            </w:tcBorders>
          </w:tcPr>
          <w:p>
            <w:pPr>
              <w:ind w:left="20"/>
              <w:spacing w:after="0" w:line="145" w:lineRule="exact"/>
              <w:rPr>
                <w:sz w:val="20"/>
                <w:szCs w:val="20"/>
                <w:color w:val="auto"/>
              </w:rPr>
            </w:pPr>
            <w:r>
              <w:rPr>
                <w:rFonts w:ascii="Arial" w:cs="Arial" w:eastAsia="Arial" w:hAnsi="Arial"/>
                <w:sz w:val="13"/>
                <w:szCs w:val="13"/>
                <w:color w:val="auto"/>
                <w:w w:val="99"/>
              </w:rPr>
              <w:t>53'702'500.--, et payé par la remise à l'apporteur d’un total de 6'501'513 actions nominatives de</w:t>
            </w:r>
          </w:p>
        </w:tc>
      </w:tr>
      <w:tr>
        <w:trPr>
          <w:trHeight w:val="145"/>
        </w:trPr>
        <w:tc>
          <w:tcPr>
            <w:tcW w:w="5540" w:type="dxa"/>
            <w:vAlign w:val="bottom"/>
            <w:tcBorders>
              <w:left w:val="single" w:sz="8" w:color="auto"/>
              <w:right w:val="single" w:sz="8" w:color="auto"/>
            </w:tcBorders>
          </w:tcPr>
          <w:p>
            <w:pPr>
              <w:ind w:left="40"/>
              <w:spacing w:after="0" w:line="145" w:lineRule="exact"/>
              <w:rPr>
                <w:sz w:val="20"/>
                <w:szCs w:val="20"/>
                <w:color w:val="auto"/>
              </w:rPr>
            </w:pPr>
            <w:r>
              <w:rPr>
                <w:rFonts w:ascii="Arial" w:cs="Arial" w:eastAsia="Arial" w:hAnsi="Arial"/>
                <w:sz w:val="13"/>
                <w:szCs w:val="13"/>
                <w:color w:val="auto"/>
              </w:rPr>
              <w:t>53,702,500.--, and paid by the delivery to the contributor of a total of 6,501,513 fully paid up</w:t>
            </w:r>
          </w:p>
        </w:tc>
        <w:tc>
          <w:tcPr>
            <w:tcW w:w="240" w:type="dxa"/>
            <w:vAlign w:val="bottom"/>
            <w:tcBorders>
              <w:right w:val="single" w:sz="8" w:color="auto"/>
            </w:tcBorders>
          </w:tcPr>
          <w:p>
            <w:pPr>
              <w:spacing w:after="0"/>
              <w:rPr>
                <w:sz w:val="12"/>
                <w:szCs w:val="12"/>
                <w:color w:val="auto"/>
              </w:rPr>
            </w:pPr>
          </w:p>
        </w:tc>
        <w:tc>
          <w:tcPr>
            <w:tcW w:w="5520" w:type="dxa"/>
            <w:vAlign w:val="bottom"/>
            <w:tcBorders>
              <w:right w:val="single" w:sz="8" w:color="auto"/>
            </w:tcBorders>
          </w:tcPr>
          <w:p>
            <w:pPr>
              <w:ind w:left="20"/>
              <w:spacing w:after="0" w:line="145" w:lineRule="exact"/>
              <w:rPr>
                <w:sz w:val="20"/>
                <w:szCs w:val="20"/>
                <w:color w:val="auto"/>
              </w:rPr>
            </w:pPr>
            <w:r>
              <w:rPr>
                <w:rFonts w:ascii="Arial" w:cs="Arial" w:eastAsia="Arial" w:hAnsi="Arial"/>
                <w:sz w:val="13"/>
                <w:szCs w:val="13"/>
                <w:color w:val="auto"/>
              </w:rPr>
              <w:t>la Société d'une valeur nominale de CHF 0.02 chacune, entièrement libérées.</w:t>
            </w:r>
          </w:p>
        </w:tc>
      </w:tr>
      <w:tr>
        <w:trPr>
          <w:trHeight w:val="168"/>
        </w:trPr>
        <w:tc>
          <w:tcPr>
            <w:tcW w:w="55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3"/>
                <w:szCs w:val="13"/>
                <w:color w:val="auto"/>
              </w:rPr>
              <w:t>registered shares of the Company with a nominal value of CHF 0.02 each.</w:t>
            </w:r>
          </w:p>
        </w:tc>
        <w:tc>
          <w:tcPr>
            <w:tcW w:w="240" w:type="dxa"/>
            <w:vAlign w:val="bottom"/>
            <w:tcBorders>
              <w:right w:val="single" w:sz="8" w:color="auto"/>
            </w:tcBorders>
          </w:tcPr>
          <w:p>
            <w:pPr>
              <w:spacing w:after="0"/>
              <w:rPr>
                <w:sz w:val="14"/>
                <w:szCs w:val="14"/>
                <w:color w:val="auto"/>
              </w:rPr>
            </w:pPr>
          </w:p>
        </w:tc>
        <w:tc>
          <w:tcPr>
            <w:tcW w:w="5520" w:type="dxa"/>
            <w:vAlign w:val="bottom"/>
            <w:tcBorders>
              <w:right w:val="single" w:sz="8" w:color="auto"/>
            </w:tcBorders>
          </w:tcPr>
          <w:p>
            <w:pPr>
              <w:spacing w:after="0"/>
              <w:rPr>
                <w:sz w:val="14"/>
                <w:szCs w:val="14"/>
                <w:color w:val="auto"/>
              </w:rPr>
            </w:pPr>
          </w:p>
        </w:tc>
      </w:tr>
      <w:tr>
        <w:trPr>
          <w:trHeight w:val="153"/>
        </w:trPr>
        <w:tc>
          <w:tcPr>
            <w:tcW w:w="5540" w:type="dxa"/>
            <w:vAlign w:val="bottom"/>
            <w:tcBorders>
              <w:left w:val="single" w:sz="8" w:color="auto"/>
              <w:bottom w:val="single" w:sz="8" w:color="auto"/>
              <w:right w:val="single" w:sz="8" w:color="auto"/>
            </w:tcBorders>
          </w:tcPr>
          <w:p>
            <w:pPr>
              <w:spacing w:after="0"/>
              <w:rPr>
                <w:sz w:val="13"/>
                <w:szCs w:val="13"/>
                <w:color w:val="auto"/>
              </w:rPr>
            </w:pPr>
          </w:p>
        </w:tc>
        <w:tc>
          <w:tcPr>
            <w:tcW w:w="240" w:type="dxa"/>
            <w:vAlign w:val="bottom"/>
            <w:tcBorders>
              <w:bottom w:val="single" w:sz="8" w:color="auto"/>
              <w:right w:val="single" w:sz="8" w:color="auto"/>
            </w:tcBorders>
          </w:tcPr>
          <w:p>
            <w:pPr>
              <w:spacing w:after="0"/>
              <w:rPr>
                <w:sz w:val="13"/>
                <w:szCs w:val="13"/>
                <w:color w:val="auto"/>
              </w:rPr>
            </w:pPr>
          </w:p>
        </w:tc>
        <w:tc>
          <w:tcPr>
            <w:tcW w:w="5520" w:type="dxa"/>
            <w:vAlign w:val="bottom"/>
            <w:tcBorders>
              <w:bottom w:val="single" w:sz="8" w:color="auto"/>
              <w:right w:val="single" w:sz="8" w:color="auto"/>
            </w:tcBorders>
          </w:tcPr>
          <w:p>
            <w:pPr>
              <w:spacing w:after="0"/>
              <w:rPr>
                <w:sz w:val="13"/>
                <w:szCs w:val="13"/>
                <w:color w:val="auto"/>
              </w:rPr>
            </w:pPr>
          </w:p>
        </w:tc>
      </w:tr>
      <w:tr>
        <w:trPr>
          <w:trHeight w:val="173"/>
        </w:trPr>
        <w:tc>
          <w:tcPr>
            <w:tcW w:w="554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3"/>
                <w:szCs w:val="13"/>
                <w:b w:val="1"/>
                <w:bCs w:val="1"/>
                <w:color w:val="auto"/>
              </w:rPr>
              <w:t>Art. 3a  Authorized Capital Increase of Share Capital</w:t>
            </w:r>
          </w:p>
        </w:tc>
        <w:tc>
          <w:tcPr>
            <w:tcW w:w="240" w:type="dxa"/>
            <w:vAlign w:val="bottom"/>
            <w:tcBorders>
              <w:bottom w:val="single" w:sz="8" w:color="auto"/>
              <w:right w:val="single" w:sz="8" w:color="auto"/>
            </w:tcBorders>
          </w:tcPr>
          <w:p>
            <w:pPr>
              <w:spacing w:after="0"/>
              <w:rPr>
                <w:sz w:val="15"/>
                <w:szCs w:val="15"/>
                <w:color w:val="auto"/>
              </w:rPr>
            </w:pPr>
          </w:p>
        </w:tc>
        <w:tc>
          <w:tcPr>
            <w:tcW w:w="55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3"/>
                <w:szCs w:val="13"/>
                <w:b w:val="1"/>
                <w:bCs w:val="1"/>
                <w:color w:val="auto"/>
              </w:rPr>
              <w:t>Art. 3a   Augmentation autorisée du capital-actions</w:t>
            </w:r>
          </w:p>
        </w:tc>
      </w:tr>
      <w:tr>
        <w:trPr>
          <w:trHeight w:val="141"/>
        </w:trPr>
        <w:tc>
          <w:tcPr>
            <w:tcW w:w="5540" w:type="dxa"/>
            <w:vAlign w:val="bottom"/>
            <w:tcBorders>
              <w:left w:val="single" w:sz="8" w:color="auto"/>
              <w:right w:val="single" w:sz="8" w:color="auto"/>
            </w:tcBorders>
          </w:tcPr>
          <w:p>
            <w:pPr>
              <w:ind w:left="40"/>
              <w:spacing w:after="0" w:line="141" w:lineRule="exact"/>
              <w:rPr>
                <w:sz w:val="20"/>
                <w:szCs w:val="20"/>
                <w:color w:val="auto"/>
              </w:rPr>
            </w:pPr>
            <w:r>
              <w:rPr>
                <w:rFonts w:ascii="Arial" w:cs="Arial" w:eastAsia="Arial" w:hAnsi="Arial"/>
                <w:sz w:val="13"/>
                <w:szCs w:val="13"/>
                <w:color w:val="auto"/>
              </w:rPr>
              <w:t>The Board of Directors is authorized to increase the share capital, in one or several steps, until</w:t>
            </w:r>
          </w:p>
        </w:tc>
        <w:tc>
          <w:tcPr>
            <w:tcW w:w="240" w:type="dxa"/>
            <w:vAlign w:val="bottom"/>
            <w:tcBorders>
              <w:right w:val="single" w:sz="8" w:color="auto"/>
            </w:tcBorders>
          </w:tcPr>
          <w:p>
            <w:pPr>
              <w:spacing w:after="0"/>
              <w:rPr>
                <w:sz w:val="12"/>
                <w:szCs w:val="12"/>
                <w:color w:val="auto"/>
              </w:rPr>
            </w:pPr>
          </w:p>
        </w:tc>
        <w:tc>
          <w:tcPr>
            <w:tcW w:w="5520" w:type="dxa"/>
            <w:vAlign w:val="bottom"/>
            <w:tcBorders>
              <w:right w:val="single" w:sz="8" w:color="auto"/>
            </w:tcBorders>
          </w:tcPr>
          <w:p>
            <w:pPr>
              <w:ind w:left="20"/>
              <w:spacing w:after="0" w:line="141" w:lineRule="exact"/>
              <w:rPr>
                <w:sz w:val="20"/>
                <w:szCs w:val="20"/>
                <w:color w:val="auto"/>
              </w:rPr>
            </w:pPr>
            <w:r>
              <w:rPr>
                <w:rFonts w:ascii="Arial" w:cs="Arial" w:eastAsia="Arial" w:hAnsi="Arial"/>
                <w:sz w:val="13"/>
                <w:szCs w:val="13"/>
                <w:color w:val="auto"/>
              </w:rPr>
              <w:t>Le conseil d'administration est autorisé à augmenter le capital-actions, en une ou plusieurs</w:t>
            </w:r>
          </w:p>
        </w:tc>
      </w:tr>
      <w:tr>
        <w:trPr>
          <w:trHeight w:val="145"/>
        </w:trPr>
        <w:tc>
          <w:tcPr>
            <w:tcW w:w="5540" w:type="dxa"/>
            <w:vAlign w:val="bottom"/>
            <w:tcBorders>
              <w:left w:val="single" w:sz="8" w:color="auto"/>
              <w:right w:val="single" w:sz="8" w:color="auto"/>
            </w:tcBorders>
          </w:tcPr>
          <w:p>
            <w:pPr>
              <w:ind w:left="40"/>
              <w:spacing w:after="0" w:line="145" w:lineRule="exact"/>
              <w:rPr>
                <w:sz w:val="20"/>
                <w:szCs w:val="20"/>
                <w:color w:val="auto"/>
              </w:rPr>
            </w:pPr>
            <w:r>
              <w:rPr>
                <w:rFonts w:ascii="Arial" w:cs="Arial" w:eastAsia="Arial" w:hAnsi="Arial"/>
                <w:sz w:val="13"/>
                <w:szCs w:val="13"/>
                <w:color w:val="auto"/>
              </w:rPr>
              <w:t>24 June 2024, by a maximum amount of CHF 400’000 by issuing a maximum of 20'000'000</w:t>
            </w:r>
          </w:p>
        </w:tc>
        <w:tc>
          <w:tcPr>
            <w:tcW w:w="240" w:type="dxa"/>
            <w:vAlign w:val="bottom"/>
            <w:tcBorders>
              <w:right w:val="single" w:sz="8" w:color="auto"/>
            </w:tcBorders>
          </w:tcPr>
          <w:p>
            <w:pPr>
              <w:spacing w:after="0"/>
              <w:rPr>
                <w:sz w:val="12"/>
                <w:szCs w:val="12"/>
                <w:color w:val="auto"/>
              </w:rPr>
            </w:pPr>
          </w:p>
        </w:tc>
        <w:tc>
          <w:tcPr>
            <w:tcW w:w="5520" w:type="dxa"/>
            <w:vAlign w:val="bottom"/>
            <w:tcBorders>
              <w:right w:val="single" w:sz="8" w:color="auto"/>
            </w:tcBorders>
          </w:tcPr>
          <w:p>
            <w:pPr>
              <w:ind w:left="20"/>
              <w:spacing w:after="0" w:line="145" w:lineRule="exact"/>
              <w:rPr>
                <w:sz w:val="20"/>
                <w:szCs w:val="20"/>
                <w:color w:val="auto"/>
              </w:rPr>
            </w:pPr>
            <w:r>
              <w:rPr>
                <w:rFonts w:ascii="Arial" w:cs="Arial" w:eastAsia="Arial" w:hAnsi="Arial"/>
                <w:sz w:val="13"/>
                <w:szCs w:val="13"/>
                <w:color w:val="auto"/>
              </w:rPr>
              <w:t>étapes jusqu'au 24 juin 2024, d'un montant maximum de CHF 400'000 par l'émission d'un</w:t>
            </w:r>
          </w:p>
        </w:tc>
      </w:tr>
      <w:tr>
        <w:trPr>
          <w:trHeight w:val="145"/>
        </w:trPr>
        <w:tc>
          <w:tcPr>
            <w:tcW w:w="5540" w:type="dxa"/>
            <w:vAlign w:val="bottom"/>
            <w:tcBorders>
              <w:left w:val="single" w:sz="8" w:color="auto"/>
              <w:right w:val="single" w:sz="8" w:color="auto"/>
            </w:tcBorders>
          </w:tcPr>
          <w:p>
            <w:pPr>
              <w:ind w:left="40"/>
              <w:spacing w:after="0" w:line="145" w:lineRule="exact"/>
              <w:rPr>
                <w:sz w:val="20"/>
                <w:szCs w:val="20"/>
                <w:color w:val="auto"/>
              </w:rPr>
            </w:pPr>
            <w:r>
              <w:rPr>
                <w:rFonts w:ascii="Arial" w:cs="Arial" w:eastAsia="Arial" w:hAnsi="Arial"/>
                <w:sz w:val="13"/>
                <w:szCs w:val="13"/>
                <w:color w:val="auto"/>
              </w:rPr>
              <w:t>registered shares with a par value of CHF 0.02 each, to be fully paid up. An increase of the</w:t>
            </w:r>
          </w:p>
        </w:tc>
        <w:tc>
          <w:tcPr>
            <w:tcW w:w="240" w:type="dxa"/>
            <w:vAlign w:val="bottom"/>
            <w:tcBorders>
              <w:right w:val="single" w:sz="8" w:color="auto"/>
            </w:tcBorders>
          </w:tcPr>
          <w:p>
            <w:pPr>
              <w:spacing w:after="0"/>
              <w:rPr>
                <w:sz w:val="12"/>
                <w:szCs w:val="12"/>
                <w:color w:val="auto"/>
              </w:rPr>
            </w:pPr>
          </w:p>
        </w:tc>
        <w:tc>
          <w:tcPr>
            <w:tcW w:w="5520" w:type="dxa"/>
            <w:vAlign w:val="bottom"/>
            <w:tcBorders>
              <w:right w:val="single" w:sz="8" w:color="auto"/>
            </w:tcBorders>
          </w:tcPr>
          <w:p>
            <w:pPr>
              <w:ind w:left="20"/>
              <w:spacing w:after="0" w:line="145" w:lineRule="exact"/>
              <w:rPr>
                <w:sz w:val="20"/>
                <w:szCs w:val="20"/>
                <w:color w:val="auto"/>
              </w:rPr>
            </w:pPr>
            <w:r>
              <w:rPr>
                <w:rFonts w:ascii="Arial" w:cs="Arial" w:eastAsia="Arial" w:hAnsi="Arial"/>
                <w:sz w:val="13"/>
                <w:szCs w:val="13"/>
                <w:color w:val="auto"/>
              </w:rPr>
              <w:t>nombre maximum de 20'000'000 actions nominatives d'une valeur nominale de CHF 0.02</w:t>
            </w:r>
          </w:p>
        </w:tc>
      </w:tr>
      <w:tr>
        <w:trPr>
          <w:trHeight w:val="145"/>
        </w:trPr>
        <w:tc>
          <w:tcPr>
            <w:tcW w:w="5540" w:type="dxa"/>
            <w:vAlign w:val="bottom"/>
            <w:tcBorders>
              <w:left w:val="single" w:sz="8" w:color="auto"/>
              <w:right w:val="single" w:sz="8" w:color="auto"/>
            </w:tcBorders>
          </w:tcPr>
          <w:p>
            <w:pPr>
              <w:ind w:left="40"/>
              <w:spacing w:after="0" w:line="145" w:lineRule="exact"/>
              <w:rPr>
                <w:sz w:val="20"/>
                <w:szCs w:val="20"/>
                <w:color w:val="auto"/>
              </w:rPr>
            </w:pPr>
            <w:r>
              <w:rPr>
                <w:rFonts w:ascii="Arial" w:cs="Arial" w:eastAsia="Arial" w:hAnsi="Arial"/>
                <w:sz w:val="13"/>
                <w:szCs w:val="13"/>
                <w:color w:val="auto"/>
              </w:rPr>
              <w:t>share capital (i) by means of an offering underwritten by a financial institution, a syndicate or</w:t>
            </w:r>
          </w:p>
        </w:tc>
        <w:tc>
          <w:tcPr>
            <w:tcW w:w="240" w:type="dxa"/>
            <w:vAlign w:val="bottom"/>
            <w:tcBorders>
              <w:right w:val="single" w:sz="8" w:color="auto"/>
            </w:tcBorders>
          </w:tcPr>
          <w:p>
            <w:pPr>
              <w:spacing w:after="0"/>
              <w:rPr>
                <w:sz w:val="12"/>
                <w:szCs w:val="12"/>
                <w:color w:val="auto"/>
              </w:rPr>
            </w:pPr>
          </w:p>
        </w:tc>
        <w:tc>
          <w:tcPr>
            <w:tcW w:w="5520" w:type="dxa"/>
            <w:vAlign w:val="bottom"/>
            <w:tcBorders>
              <w:right w:val="single" w:sz="8" w:color="auto"/>
            </w:tcBorders>
          </w:tcPr>
          <w:p>
            <w:pPr>
              <w:ind w:left="20"/>
              <w:spacing w:after="0" w:line="145" w:lineRule="exact"/>
              <w:rPr>
                <w:sz w:val="20"/>
                <w:szCs w:val="20"/>
                <w:color w:val="auto"/>
              </w:rPr>
            </w:pPr>
            <w:r>
              <w:rPr>
                <w:rFonts w:ascii="Arial" w:cs="Arial" w:eastAsia="Arial" w:hAnsi="Arial"/>
                <w:sz w:val="13"/>
                <w:szCs w:val="13"/>
                <w:color w:val="auto"/>
              </w:rPr>
              <w:t>chacune, à libérer entièrement. Une augmentation de capital (i) par souscription d'actions par</w:t>
            </w:r>
          </w:p>
        </w:tc>
      </w:tr>
      <w:tr>
        <w:trPr>
          <w:trHeight w:val="145"/>
        </w:trPr>
        <w:tc>
          <w:tcPr>
            <w:tcW w:w="5540" w:type="dxa"/>
            <w:vAlign w:val="bottom"/>
            <w:tcBorders>
              <w:left w:val="single" w:sz="8" w:color="auto"/>
              <w:right w:val="single" w:sz="8" w:color="auto"/>
            </w:tcBorders>
          </w:tcPr>
          <w:p>
            <w:pPr>
              <w:ind w:left="40"/>
              <w:spacing w:after="0" w:line="145" w:lineRule="exact"/>
              <w:rPr>
                <w:sz w:val="20"/>
                <w:szCs w:val="20"/>
                <w:color w:val="auto"/>
              </w:rPr>
            </w:pPr>
            <w:r>
              <w:rPr>
                <w:rFonts w:ascii="Arial" w:cs="Arial" w:eastAsia="Arial" w:hAnsi="Arial"/>
                <w:sz w:val="13"/>
                <w:szCs w:val="13"/>
                <w:color w:val="auto"/>
              </w:rPr>
              <w:t>another third party or third parties, followed by an offer to the then-existing shareholders of the</w:t>
            </w:r>
          </w:p>
        </w:tc>
        <w:tc>
          <w:tcPr>
            <w:tcW w:w="240" w:type="dxa"/>
            <w:vAlign w:val="bottom"/>
            <w:tcBorders>
              <w:right w:val="single" w:sz="8" w:color="auto"/>
            </w:tcBorders>
          </w:tcPr>
          <w:p>
            <w:pPr>
              <w:spacing w:after="0"/>
              <w:rPr>
                <w:sz w:val="12"/>
                <w:szCs w:val="12"/>
                <w:color w:val="auto"/>
              </w:rPr>
            </w:pPr>
          </w:p>
        </w:tc>
        <w:tc>
          <w:tcPr>
            <w:tcW w:w="5520" w:type="dxa"/>
            <w:vAlign w:val="bottom"/>
            <w:tcBorders>
              <w:right w:val="single" w:sz="8" w:color="auto"/>
            </w:tcBorders>
          </w:tcPr>
          <w:p>
            <w:pPr>
              <w:ind w:left="20"/>
              <w:spacing w:after="0" w:line="145" w:lineRule="exact"/>
              <w:rPr>
                <w:sz w:val="20"/>
                <w:szCs w:val="20"/>
                <w:color w:val="auto"/>
              </w:rPr>
            </w:pPr>
            <w:r>
              <w:rPr>
                <w:rFonts w:ascii="Arial" w:cs="Arial" w:eastAsia="Arial" w:hAnsi="Arial"/>
                <w:sz w:val="13"/>
                <w:szCs w:val="13"/>
                <w:color w:val="auto"/>
              </w:rPr>
              <w:t>une institution financière, un syndicat ou un tiers ou des tiers, suivie par une souscription</w:t>
            </w:r>
          </w:p>
        </w:tc>
      </w:tr>
      <w:tr>
        <w:trPr>
          <w:trHeight w:val="145"/>
        </w:trPr>
        <w:tc>
          <w:tcPr>
            <w:tcW w:w="5540" w:type="dxa"/>
            <w:vAlign w:val="bottom"/>
            <w:tcBorders>
              <w:left w:val="single" w:sz="8" w:color="auto"/>
              <w:right w:val="single" w:sz="8" w:color="auto"/>
            </w:tcBorders>
          </w:tcPr>
          <w:p>
            <w:pPr>
              <w:ind w:left="40"/>
              <w:spacing w:after="0" w:line="145" w:lineRule="exact"/>
              <w:rPr>
                <w:sz w:val="20"/>
                <w:szCs w:val="20"/>
                <w:color w:val="auto"/>
              </w:rPr>
            </w:pPr>
            <w:r>
              <w:rPr>
                <w:rFonts w:ascii="Arial" w:cs="Arial" w:eastAsia="Arial" w:hAnsi="Arial"/>
                <w:sz w:val="13"/>
                <w:szCs w:val="13"/>
                <w:color w:val="auto"/>
              </w:rPr>
              <w:t>Company and (ii) in partial amounts, shall also be permissible.</w:t>
            </w:r>
          </w:p>
        </w:tc>
        <w:tc>
          <w:tcPr>
            <w:tcW w:w="240" w:type="dxa"/>
            <w:vAlign w:val="bottom"/>
            <w:tcBorders>
              <w:right w:val="single" w:sz="8" w:color="auto"/>
            </w:tcBorders>
          </w:tcPr>
          <w:p>
            <w:pPr>
              <w:spacing w:after="0"/>
              <w:rPr>
                <w:sz w:val="12"/>
                <w:szCs w:val="12"/>
                <w:color w:val="auto"/>
              </w:rPr>
            </w:pPr>
          </w:p>
        </w:tc>
        <w:tc>
          <w:tcPr>
            <w:tcW w:w="5520" w:type="dxa"/>
            <w:vAlign w:val="bottom"/>
            <w:tcBorders>
              <w:right w:val="single" w:sz="8" w:color="auto"/>
            </w:tcBorders>
          </w:tcPr>
          <w:p>
            <w:pPr>
              <w:ind w:left="20"/>
              <w:spacing w:after="0" w:line="145" w:lineRule="exact"/>
              <w:rPr>
                <w:sz w:val="20"/>
                <w:szCs w:val="20"/>
                <w:color w:val="auto"/>
              </w:rPr>
            </w:pPr>
            <w:r>
              <w:rPr>
                <w:rFonts w:ascii="Arial" w:cs="Arial" w:eastAsia="Arial" w:hAnsi="Arial"/>
                <w:sz w:val="13"/>
                <w:szCs w:val="13"/>
                <w:color w:val="auto"/>
              </w:rPr>
              <w:t>d'actions par les actionnaires de la société alors existants et (ii) par montants partiels, est</w:t>
            </w:r>
          </w:p>
        </w:tc>
      </w:tr>
      <w:tr>
        <w:trPr>
          <w:trHeight w:val="173"/>
        </w:trPr>
        <w:tc>
          <w:tcPr>
            <w:tcW w:w="5540" w:type="dxa"/>
            <w:vAlign w:val="bottom"/>
            <w:tcBorders>
              <w:left w:val="single" w:sz="8" w:color="auto"/>
              <w:bottom w:val="single" w:sz="8" w:color="auto"/>
              <w:right w:val="single" w:sz="8" w:color="auto"/>
            </w:tcBorders>
          </w:tcPr>
          <w:p>
            <w:pPr>
              <w:spacing w:after="0"/>
              <w:rPr>
                <w:sz w:val="15"/>
                <w:szCs w:val="15"/>
                <w:color w:val="auto"/>
              </w:rPr>
            </w:pPr>
          </w:p>
        </w:tc>
        <w:tc>
          <w:tcPr>
            <w:tcW w:w="240" w:type="dxa"/>
            <w:vAlign w:val="bottom"/>
            <w:tcBorders>
              <w:bottom w:val="single" w:sz="8" w:color="auto"/>
              <w:right w:val="single" w:sz="8" w:color="auto"/>
            </w:tcBorders>
          </w:tcPr>
          <w:p>
            <w:pPr>
              <w:spacing w:after="0"/>
              <w:rPr>
                <w:sz w:val="15"/>
                <w:szCs w:val="15"/>
                <w:color w:val="auto"/>
              </w:rPr>
            </w:pPr>
          </w:p>
        </w:tc>
        <w:tc>
          <w:tcPr>
            <w:tcW w:w="55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3"/>
                <w:szCs w:val="13"/>
                <w:color w:val="auto"/>
              </w:rPr>
              <w:t>également autorisée.</w:t>
            </w:r>
          </w:p>
        </w:tc>
      </w:tr>
      <w:tr>
        <w:trPr>
          <w:trHeight w:val="173"/>
        </w:trPr>
        <w:tc>
          <w:tcPr>
            <w:tcW w:w="554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3"/>
                <w:szCs w:val="13"/>
                <w:color w:val="auto"/>
              </w:rPr>
              <w:t>The Board of Directors shall determine the time of the issuance, the issue price, the</w:t>
            </w:r>
          </w:p>
        </w:tc>
        <w:tc>
          <w:tcPr>
            <w:tcW w:w="240" w:type="dxa"/>
            <w:vAlign w:val="bottom"/>
            <w:tcBorders>
              <w:bottom w:val="single" w:sz="8" w:color="auto"/>
              <w:right w:val="single" w:sz="8" w:color="auto"/>
            </w:tcBorders>
          </w:tcPr>
          <w:p>
            <w:pPr>
              <w:spacing w:after="0"/>
              <w:rPr>
                <w:sz w:val="15"/>
                <w:szCs w:val="15"/>
                <w:color w:val="auto"/>
              </w:rPr>
            </w:pPr>
          </w:p>
        </w:tc>
        <w:tc>
          <w:tcPr>
            <w:tcW w:w="55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3"/>
                <w:szCs w:val="13"/>
                <w:color w:val="auto"/>
              </w:rPr>
              <w:t>Le conseil d'administration fixe la date d'émission, le prix d'émission, la manière de</w:t>
            </w:r>
          </w:p>
        </w:tc>
      </w:tr>
    </w:tbl>
    <w:p>
      <w:pPr>
        <w:spacing w:after="0" w:line="59"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5"/>
          <w:szCs w:val="15"/>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12700</wp:posOffset>
            </wp:positionV>
            <wp:extent cx="7171690" cy="635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71690" cy="6350"/>
                    </a:xfrm>
                    <a:prstGeom prst="rect">
                      <a:avLst/>
                    </a:prstGeom>
                    <a:noFill/>
                  </pic:spPr>
                </pic:pic>
              </a:graphicData>
            </a:graphic>
          </wp:anchor>
        </w:drawing>
      </w:r>
    </w:p>
    <w:p>
      <w:pPr>
        <w:sectPr>
          <w:pgSz w:w="11900" w:h="16838" w:orient="portrait"/>
          <w:cols w:equalWidth="0" w:num="1">
            <w:col w:w="11300"/>
          </w:cols>
          <w:pgMar w:left="300" w:top="448" w:right="299" w:bottom="1440" w:gutter="0" w:footer="0" w:header="0"/>
        </w:sectPr>
      </w:pPr>
    </w:p>
    <w:bookmarkStart w:id="60" w:name="page61"/>
    <w:bookmarkEnd w:id="60"/>
    <w:tbl>
      <w:tblPr>
        <w:tblLayout w:type="fixed"/>
        <w:tblInd w:w="10" w:type="dxa"/>
        <w:tblCellMar>
          <w:top w:w="0" w:type="dxa"/>
          <w:left w:w="0" w:type="dxa"/>
          <w:bottom w:w="0" w:type="dxa"/>
          <w:right w:w="0" w:type="dxa"/>
        </w:tblCellMar>
      </w:tblPr>
      <w:tr>
        <w:trPr>
          <w:trHeight w:val="161"/>
        </w:trPr>
        <w:tc>
          <w:tcPr>
            <w:tcW w:w="5540" w:type="dxa"/>
            <w:vAlign w:val="bottom"/>
            <w:tcBorders>
              <w:top w:val="single" w:sz="8" w:color="auto"/>
              <w:left w:val="single" w:sz="8" w:color="auto"/>
              <w:right w:val="single" w:sz="8" w:color="auto"/>
            </w:tcBorders>
            <w:gridSpan w:val="2"/>
          </w:tcPr>
          <w:p>
            <w:pPr>
              <w:ind w:left="40"/>
              <w:spacing w:after="0"/>
              <w:rPr>
                <w:sz w:val="20"/>
                <w:szCs w:val="20"/>
                <w:color w:val="auto"/>
              </w:rPr>
            </w:pPr>
            <w:r>
              <w:rPr>
                <w:rFonts w:ascii="Arial" w:cs="Arial" w:eastAsia="Arial" w:hAnsi="Arial"/>
                <w:sz w:val="13"/>
                <w:szCs w:val="13"/>
                <w:color w:val="auto"/>
              </w:rPr>
              <w:t>manner in which the new registered shares have to be paid up, the date from which the</w:t>
            </w:r>
          </w:p>
        </w:tc>
        <w:tc>
          <w:tcPr>
            <w:tcW w:w="240" w:type="dxa"/>
            <w:vAlign w:val="bottom"/>
            <w:tcBorders>
              <w:top w:val="single" w:sz="8" w:color="auto"/>
              <w:right w:val="single" w:sz="8" w:color="auto"/>
            </w:tcBorders>
          </w:tcPr>
          <w:p>
            <w:pPr>
              <w:spacing w:after="0"/>
              <w:rPr>
                <w:sz w:val="14"/>
                <w:szCs w:val="14"/>
                <w:color w:val="auto"/>
              </w:rPr>
            </w:pPr>
          </w:p>
        </w:tc>
        <w:tc>
          <w:tcPr>
            <w:tcW w:w="5520" w:type="dxa"/>
            <w:vAlign w:val="bottom"/>
            <w:tcBorders>
              <w:top w:val="single" w:sz="8" w:color="auto"/>
              <w:right w:val="single" w:sz="8" w:color="auto"/>
            </w:tcBorders>
            <w:gridSpan w:val="2"/>
          </w:tcPr>
          <w:p>
            <w:pPr>
              <w:ind w:left="20"/>
              <w:spacing w:after="0"/>
              <w:rPr>
                <w:sz w:val="20"/>
                <w:szCs w:val="20"/>
                <w:color w:val="auto"/>
              </w:rPr>
            </w:pPr>
            <w:r>
              <w:rPr>
                <w:rFonts w:ascii="Arial" w:cs="Arial" w:eastAsia="Arial" w:hAnsi="Arial"/>
                <w:sz w:val="13"/>
                <w:szCs w:val="13"/>
                <w:color w:val="auto"/>
              </w:rPr>
              <w:t>libérer les nouvelles actions nominatives, la date à partir de laquelle les actions nominatives</w:t>
            </w:r>
          </w:p>
        </w:tc>
      </w:tr>
      <w:tr>
        <w:trPr>
          <w:trHeight w:val="145"/>
        </w:trPr>
        <w:tc>
          <w:tcPr>
            <w:tcW w:w="5540" w:type="dxa"/>
            <w:vAlign w:val="bottom"/>
            <w:tcBorders>
              <w:left w:val="single" w:sz="8" w:color="auto"/>
              <w:right w:val="single" w:sz="8" w:color="auto"/>
            </w:tcBorders>
            <w:gridSpan w:val="2"/>
          </w:tcPr>
          <w:p>
            <w:pPr>
              <w:ind w:left="40"/>
              <w:spacing w:after="0" w:line="145" w:lineRule="exact"/>
              <w:rPr>
                <w:sz w:val="20"/>
                <w:szCs w:val="20"/>
                <w:color w:val="auto"/>
              </w:rPr>
            </w:pPr>
            <w:r>
              <w:rPr>
                <w:rFonts w:ascii="Arial" w:cs="Arial" w:eastAsia="Arial" w:hAnsi="Arial"/>
                <w:sz w:val="13"/>
                <w:szCs w:val="13"/>
                <w:color w:val="auto"/>
              </w:rPr>
              <w:t>registered shares carry the right to dividends, the conditions for the exercise of the preemptive</w:t>
            </w:r>
          </w:p>
        </w:tc>
        <w:tc>
          <w:tcPr>
            <w:tcW w:w="240" w:type="dxa"/>
            <w:vAlign w:val="bottom"/>
            <w:tcBorders>
              <w:right w:val="single" w:sz="8" w:color="auto"/>
            </w:tcBorders>
          </w:tcPr>
          <w:p>
            <w:pPr>
              <w:spacing w:after="0"/>
              <w:rPr>
                <w:sz w:val="12"/>
                <w:szCs w:val="12"/>
                <w:color w:val="auto"/>
              </w:rPr>
            </w:pPr>
          </w:p>
        </w:tc>
        <w:tc>
          <w:tcPr>
            <w:tcW w:w="5520" w:type="dxa"/>
            <w:vAlign w:val="bottom"/>
            <w:tcBorders>
              <w:right w:val="single" w:sz="8" w:color="auto"/>
            </w:tcBorders>
            <w:gridSpan w:val="2"/>
          </w:tcPr>
          <w:p>
            <w:pPr>
              <w:ind w:left="20"/>
              <w:spacing w:after="0" w:line="145" w:lineRule="exact"/>
              <w:rPr>
                <w:sz w:val="20"/>
                <w:szCs w:val="20"/>
                <w:color w:val="auto"/>
              </w:rPr>
            </w:pPr>
            <w:r>
              <w:rPr>
                <w:rFonts w:ascii="Arial" w:cs="Arial" w:eastAsia="Arial" w:hAnsi="Arial"/>
                <w:sz w:val="13"/>
                <w:szCs w:val="13"/>
                <w:color w:val="auto"/>
              </w:rPr>
              <w:t>donnent  droit  à  un  dividende,  les  conditions  pour  l'exercice  des  droits  de  souscription</w:t>
            </w:r>
          </w:p>
        </w:tc>
      </w:tr>
      <w:tr>
        <w:trPr>
          <w:trHeight w:val="145"/>
        </w:trPr>
        <w:tc>
          <w:tcPr>
            <w:tcW w:w="5540" w:type="dxa"/>
            <w:vAlign w:val="bottom"/>
            <w:tcBorders>
              <w:left w:val="single" w:sz="8" w:color="auto"/>
              <w:right w:val="single" w:sz="8" w:color="auto"/>
            </w:tcBorders>
            <w:gridSpan w:val="2"/>
          </w:tcPr>
          <w:p>
            <w:pPr>
              <w:ind w:left="40"/>
              <w:spacing w:after="0" w:line="145" w:lineRule="exact"/>
              <w:rPr>
                <w:sz w:val="20"/>
                <w:szCs w:val="20"/>
                <w:color w:val="auto"/>
              </w:rPr>
            </w:pPr>
            <w:r>
              <w:rPr>
                <w:rFonts w:ascii="Arial" w:cs="Arial" w:eastAsia="Arial" w:hAnsi="Arial"/>
                <w:sz w:val="13"/>
                <w:szCs w:val="13"/>
                <w:color w:val="auto"/>
              </w:rPr>
              <w:t>rights and the allotment of preemptive rights that have not been exercised. The Board of</w:t>
            </w:r>
          </w:p>
        </w:tc>
        <w:tc>
          <w:tcPr>
            <w:tcW w:w="240" w:type="dxa"/>
            <w:vAlign w:val="bottom"/>
            <w:tcBorders>
              <w:right w:val="single" w:sz="8" w:color="auto"/>
            </w:tcBorders>
          </w:tcPr>
          <w:p>
            <w:pPr>
              <w:spacing w:after="0"/>
              <w:rPr>
                <w:sz w:val="12"/>
                <w:szCs w:val="12"/>
                <w:color w:val="auto"/>
              </w:rPr>
            </w:pPr>
          </w:p>
        </w:tc>
        <w:tc>
          <w:tcPr>
            <w:tcW w:w="5520" w:type="dxa"/>
            <w:vAlign w:val="bottom"/>
            <w:tcBorders>
              <w:right w:val="single" w:sz="8" w:color="auto"/>
            </w:tcBorders>
            <w:gridSpan w:val="2"/>
          </w:tcPr>
          <w:p>
            <w:pPr>
              <w:ind w:left="20"/>
              <w:spacing w:after="0" w:line="145" w:lineRule="exact"/>
              <w:rPr>
                <w:sz w:val="20"/>
                <w:szCs w:val="20"/>
                <w:color w:val="auto"/>
              </w:rPr>
            </w:pPr>
            <w:r>
              <w:rPr>
                <w:rFonts w:ascii="Arial" w:cs="Arial" w:eastAsia="Arial" w:hAnsi="Arial"/>
                <w:sz w:val="13"/>
                <w:szCs w:val="13"/>
                <w:color w:val="auto"/>
                <w:w w:val="99"/>
              </w:rPr>
              <w:t>préférentiels et l'attribution des droits de souscription préférentiels qui n'ont pas été exercés. Le</w:t>
            </w:r>
          </w:p>
        </w:tc>
      </w:tr>
      <w:tr>
        <w:trPr>
          <w:trHeight w:val="145"/>
        </w:trPr>
        <w:tc>
          <w:tcPr>
            <w:tcW w:w="5540" w:type="dxa"/>
            <w:vAlign w:val="bottom"/>
            <w:tcBorders>
              <w:left w:val="single" w:sz="8" w:color="auto"/>
              <w:right w:val="single" w:sz="8" w:color="auto"/>
            </w:tcBorders>
            <w:gridSpan w:val="2"/>
          </w:tcPr>
          <w:p>
            <w:pPr>
              <w:ind w:left="40"/>
              <w:spacing w:after="0" w:line="145" w:lineRule="exact"/>
              <w:rPr>
                <w:sz w:val="20"/>
                <w:szCs w:val="20"/>
                <w:color w:val="auto"/>
              </w:rPr>
            </w:pPr>
            <w:r>
              <w:rPr>
                <w:rFonts w:ascii="Arial" w:cs="Arial" w:eastAsia="Arial" w:hAnsi="Arial"/>
                <w:sz w:val="13"/>
                <w:szCs w:val="13"/>
                <w:color w:val="auto"/>
              </w:rPr>
              <w:t>Directors may allow the preemptive rights that have not been exercised to expire, or it may</w:t>
            </w:r>
          </w:p>
        </w:tc>
        <w:tc>
          <w:tcPr>
            <w:tcW w:w="240" w:type="dxa"/>
            <w:vAlign w:val="bottom"/>
            <w:tcBorders>
              <w:right w:val="single" w:sz="8" w:color="auto"/>
            </w:tcBorders>
          </w:tcPr>
          <w:p>
            <w:pPr>
              <w:spacing w:after="0"/>
              <w:rPr>
                <w:sz w:val="12"/>
                <w:szCs w:val="12"/>
                <w:color w:val="auto"/>
              </w:rPr>
            </w:pPr>
          </w:p>
        </w:tc>
        <w:tc>
          <w:tcPr>
            <w:tcW w:w="5520" w:type="dxa"/>
            <w:vAlign w:val="bottom"/>
            <w:tcBorders>
              <w:right w:val="single" w:sz="8" w:color="auto"/>
            </w:tcBorders>
            <w:gridSpan w:val="2"/>
          </w:tcPr>
          <w:p>
            <w:pPr>
              <w:ind w:left="20"/>
              <w:spacing w:after="0" w:line="145" w:lineRule="exact"/>
              <w:rPr>
                <w:sz w:val="20"/>
                <w:szCs w:val="20"/>
                <w:color w:val="auto"/>
              </w:rPr>
            </w:pPr>
            <w:r>
              <w:rPr>
                <w:rFonts w:ascii="Arial" w:cs="Arial" w:eastAsia="Arial" w:hAnsi="Arial"/>
                <w:sz w:val="13"/>
                <w:szCs w:val="13"/>
                <w:color w:val="auto"/>
                <w:w w:val="99"/>
              </w:rPr>
              <w:t>conseil d'administration peut autoriser que des droits de souscription préférentiels qui n'ont pas</w:t>
            </w:r>
          </w:p>
        </w:tc>
      </w:tr>
      <w:tr>
        <w:trPr>
          <w:trHeight w:val="145"/>
        </w:trPr>
        <w:tc>
          <w:tcPr>
            <w:tcW w:w="5540" w:type="dxa"/>
            <w:vAlign w:val="bottom"/>
            <w:tcBorders>
              <w:left w:val="single" w:sz="8" w:color="auto"/>
              <w:right w:val="single" w:sz="8" w:color="auto"/>
            </w:tcBorders>
            <w:gridSpan w:val="2"/>
          </w:tcPr>
          <w:p>
            <w:pPr>
              <w:ind w:left="40"/>
              <w:spacing w:after="0" w:line="145" w:lineRule="exact"/>
              <w:rPr>
                <w:sz w:val="20"/>
                <w:szCs w:val="20"/>
                <w:color w:val="auto"/>
              </w:rPr>
            </w:pPr>
            <w:r>
              <w:rPr>
                <w:rFonts w:ascii="Arial" w:cs="Arial" w:eastAsia="Arial" w:hAnsi="Arial"/>
                <w:sz w:val="13"/>
                <w:szCs w:val="13"/>
                <w:color w:val="auto"/>
                <w:w w:val="99"/>
              </w:rPr>
              <w:t>place with third parties such rights or registered shares, the preemptive rights of which have not</w:t>
            </w:r>
          </w:p>
        </w:tc>
        <w:tc>
          <w:tcPr>
            <w:tcW w:w="240" w:type="dxa"/>
            <w:vAlign w:val="bottom"/>
            <w:tcBorders>
              <w:right w:val="single" w:sz="8" w:color="auto"/>
            </w:tcBorders>
          </w:tcPr>
          <w:p>
            <w:pPr>
              <w:spacing w:after="0"/>
              <w:rPr>
                <w:sz w:val="12"/>
                <w:szCs w:val="12"/>
                <w:color w:val="auto"/>
              </w:rPr>
            </w:pPr>
          </w:p>
        </w:tc>
        <w:tc>
          <w:tcPr>
            <w:tcW w:w="5520" w:type="dxa"/>
            <w:vAlign w:val="bottom"/>
            <w:tcBorders>
              <w:right w:val="single" w:sz="8" w:color="auto"/>
            </w:tcBorders>
            <w:gridSpan w:val="2"/>
          </w:tcPr>
          <w:p>
            <w:pPr>
              <w:ind w:left="20"/>
              <w:spacing w:after="0" w:line="145" w:lineRule="exact"/>
              <w:rPr>
                <w:sz w:val="20"/>
                <w:szCs w:val="20"/>
                <w:color w:val="auto"/>
              </w:rPr>
            </w:pPr>
            <w:r>
              <w:rPr>
                <w:rFonts w:ascii="Arial" w:cs="Arial" w:eastAsia="Arial" w:hAnsi="Arial"/>
                <w:sz w:val="13"/>
                <w:szCs w:val="13"/>
                <w:color w:val="auto"/>
                <w:w w:val="99"/>
              </w:rPr>
              <w:t>été exercés expirent ou attribuer à des tiers ces droits ou actions nominatives, dont les droits de</w:t>
            </w:r>
          </w:p>
        </w:tc>
      </w:tr>
      <w:tr>
        <w:trPr>
          <w:trHeight w:val="145"/>
        </w:trPr>
        <w:tc>
          <w:tcPr>
            <w:tcW w:w="5540" w:type="dxa"/>
            <w:vAlign w:val="bottom"/>
            <w:tcBorders>
              <w:left w:val="single" w:sz="8" w:color="auto"/>
              <w:right w:val="single" w:sz="8" w:color="auto"/>
            </w:tcBorders>
            <w:gridSpan w:val="2"/>
          </w:tcPr>
          <w:p>
            <w:pPr>
              <w:ind w:left="40"/>
              <w:spacing w:after="0" w:line="145" w:lineRule="exact"/>
              <w:rPr>
                <w:sz w:val="20"/>
                <w:szCs w:val="20"/>
                <w:color w:val="auto"/>
              </w:rPr>
            </w:pPr>
            <w:r>
              <w:rPr>
                <w:rFonts w:ascii="Arial" w:cs="Arial" w:eastAsia="Arial" w:hAnsi="Arial"/>
                <w:sz w:val="13"/>
                <w:szCs w:val="13"/>
                <w:color w:val="auto"/>
              </w:rPr>
              <w:t>been exercised, at market conditions or use them otherwise in the interest of the Company.</w:t>
            </w:r>
          </w:p>
        </w:tc>
        <w:tc>
          <w:tcPr>
            <w:tcW w:w="240" w:type="dxa"/>
            <w:vAlign w:val="bottom"/>
            <w:tcBorders>
              <w:right w:val="single" w:sz="8" w:color="auto"/>
            </w:tcBorders>
          </w:tcPr>
          <w:p>
            <w:pPr>
              <w:spacing w:after="0"/>
              <w:rPr>
                <w:sz w:val="12"/>
                <w:szCs w:val="12"/>
                <w:color w:val="auto"/>
              </w:rPr>
            </w:pPr>
          </w:p>
        </w:tc>
        <w:tc>
          <w:tcPr>
            <w:tcW w:w="5520" w:type="dxa"/>
            <w:vAlign w:val="bottom"/>
            <w:tcBorders>
              <w:right w:val="single" w:sz="8" w:color="auto"/>
            </w:tcBorders>
            <w:gridSpan w:val="2"/>
          </w:tcPr>
          <w:p>
            <w:pPr>
              <w:ind w:left="20"/>
              <w:spacing w:after="0" w:line="145" w:lineRule="exact"/>
              <w:rPr>
                <w:sz w:val="20"/>
                <w:szCs w:val="20"/>
                <w:color w:val="auto"/>
              </w:rPr>
            </w:pPr>
            <w:r>
              <w:rPr>
                <w:rFonts w:ascii="Arial" w:cs="Arial" w:eastAsia="Arial" w:hAnsi="Arial"/>
                <w:sz w:val="13"/>
                <w:szCs w:val="13"/>
                <w:color w:val="auto"/>
              </w:rPr>
              <w:t>souscription préférentiels n'ont pas été exercés, aux conditions du marché ou les utiliser</w:t>
            </w:r>
          </w:p>
        </w:tc>
      </w:tr>
      <w:tr>
        <w:trPr>
          <w:trHeight w:val="173"/>
        </w:trPr>
        <w:tc>
          <w:tcPr>
            <w:tcW w:w="560" w:type="dxa"/>
            <w:vAlign w:val="bottom"/>
            <w:tcBorders>
              <w:left w:val="single" w:sz="8" w:color="auto"/>
              <w:bottom w:val="single" w:sz="8" w:color="auto"/>
            </w:tcBorders>
          </w:tcPr>
          <w:p>
            <w:pPr>
              <w:spacing w:after="0"/>
              <w:rPr>
                <w:sz w:val="15"/>
                <w:szCs w:val="15"/>
                <w:color w:val="auto"/>
              </w:rPr>
            </w:pPr>
          </w:p>
        </w:tc>
        <w:tc>
          <w:tcPr>
            <w:tcW w:w="4980" w:type="dxa"/>
            <w:vAlign w:val="bottom"/>
            <w:tcBorders>
              <w:bottom w:val="single" w:sz="8" w:color="auto"/>
              <w:right w:val="single" w:sz="8" w:color="auto"/>
            </w:tcBorders>
          </w:tcPr>
          <w:p>
            <w:pPr>
              <w:spacing w:after="0"/>
              <w:rPr>
                <w:sz w:val="15"/>
                <w:szCs w:val="15"/>
                <w:color w:val="auto"/>
              </w:rPr>
            </w:pPr>
          </w:p>
        </w:tc>
        <w:tc>
          <w:tcPr>
            <w:tcW w:w="240" w:type="dxa"/>
            <w:vAlign w:val="bottom"/>
            <w:tcBorders>
              <w:bottom w:val="single" w:sz="8" w:color="auto"/>
              <w:right w:val="single" w:sz="8" w:color="auto"/>
            </w:tcBorders>
          </w:tcPr>
          <w:p>
            <w:pPr>
              <w:spacing w:after="0"/>
              <w:rPr>
                <w:sz w:val="15"/>
                <w:szCs w:val="15"/>
                <w:color w:val="auto"/>
              </w:rPr>
            </w:pPr>
          </w:p>
        </w:tc>
        <w:tc>
          <w:tcPr>
            <w:tcW w:w="5520" w:type="dxa"/>
            <w:vAlign w:val="bottom"/>
            <w:tcBorders>
              <w:bottom w:val="single" w:sz="8" w:color="auto"/>
              <w:right w:val="single" w:sz="8" w:color="auto"/>
            </w:tcBorders>
            <w:gridSpan w:val="2"/>
          </w:tcPr>
          <w:p>
            <w:pPr>
              <w:ind w:left="20"/>
              <w:spacing w:after="0"/>
              <w:rPr>
                <w:sz w:val="20"/>
                <w:szCs w:val="20"/>
                <w:color w:val="auto"/>
              </w:rPr>
            </w:pPr>
            <w:r>
              <w:rPr>
                <w:rFonts w:ascii="Arial" w:cs="Arial" w:eastAsia="Arial" w:hAnsi="Arial"/>
                <w:sz w:val="13"/>
                <w:szCs w:val="13"/>
                <w:color w:val="auto"/>
              </w:rPr>
              <w:t>autrement dans l'intérêt de la société.</w:t>
            </w:r>
          </w:p>
        </w:tc>
      </w:tr>
      <w:tr>
        <w:trPr>
          <w:trHeight w:val="145"/>
        </w:trPr>
        <w:tc>
          <w:tcPr>
            <w:tcW w:w="5540" w:type="dxa"/>
            <w:vAlign w:val="bottom"/>
            <w:tcBorders>
              <w:left w:val="single" w:sz="8" w:color="auto"/>
              <w:right w:val="single" w:sz="8" w:color="auto"/>
            </w:tcBorders>
            <w:gridSpan w:val="2"/>
          </w:tcPr>
          <w:p>
            <w:pPr>
              <w:ind w:left="40"/>
              <w:spacing w:after="0" w:line="146" w:lineRule="exact"/>
              <w:rPr>
                <w:sz w:val="20"/>
                <w:szCs w:val="20"/>
                <w:color w:val="auto"/>
              </w:rPr>
            </w:pPr>
            <w:r>
              <w:rPr>
                <w:rFonts w:ascii="Arial" w:cs="Arial" w:eastAsia="Arial" w:hAnsi="Arial"/>
                <w:sz w:val="13"/>
                <w:szCs w:val="13"/>
                <w:color w:val="auto"/>
              </w:rPr>
              <w:t>The Board of Directors is authorized to withdraw or  limit  the  preemptive  rights  of  the</w:t>
            </w:r>
          </w:p>
        </w:tc>
        <w:tc>
          <w:tcPr>
            <w:tcW w:w="240" w:type="dxa"/>
            <w:vAlign w:val="bottom"/>
            <w:tcBorders>
              <w:right w:val="single" w:sz="8" w:color="auto"/>
            </w:tcBorders>
          </w:tcPr>
          <w:p>
            <w:pPr>
              <w:spacing w:after="0"/>
              <w:rPr>
                <w:sz w:val="12"/>
                <w:szCs w:val="12"/>
                <w:color w:val="auto"/>
              </w:rPr>
            </w:pPr>
          </w:p>
        </w:tc>
        <w:tc>
          <w:tcPr>
            <w:tcW w:w="5520" w:type="dxa"/>
            <w:vAlign w:val="bottom"/>
            <w:tcBorders>
              <w:right w:val="single" w:sz="8" w:color="auto"/>
            </w:tcBorders>
            <w:gridSpan w:val="2"/>
          </w:tcPr>
          <w:p>
            <w:pPr>
              <w:ind w:left="20"/>
              <w:spacing w:after="0" w:line="146" w:lineRule="exact"/>
              <w:rPr>
                <w:sz w:val="20"/>
                <w:szCs w:val="20"/>
                <w:color w:val="auto"/>
              </w:rPr>
            </w:pPr>
            <w:r>
              <w:rPr>
                <w:rFonts w:ascii="Arial" w:cs="Arial" w:eastAsia="Arial" w:hAnsi="Arial"/>
                <w:sz w:val="13"/>
                <w:szCs w:val="13"/>
                <w:color w:val="auto"/>
              </w:rPr>
              <w:t>Le conseil d'administration est autorisé à retirer ou à limiter les droits préférentiels de</w:t>
            </w:r>
          </w:p>
        </w:tc>
      </w:tr>
      <w:tr>
        <w:trPr>
          <w:trHeight w:val="168"/>
        </w:trPr>
        <w:tc>
          <w:tcPr>
            <w:tcW w:w="5540" w:type="dxa"/>
            <w:vAlign w:val="bottom"/>
            <w:tcBorders>
              <w:left w:val="single" w:sz="8" w:color="auto"/>
              <w:right w:val="single" w:sz="8" w:color="auto"/>
            </w:tcBorders>
            <w:gridSpan w:val="2"/>
          </w:tcPr>
          <w:p>
            <w:pPr>
              <w:ind w:left="40"/>
              <w:spacing w:after="0"/>
              <w:rPr>
                <w:sz w:val="20"/>
                <w:szCs w:val="20"/>
                <w:color w:val="auto"/>
              </w:rPr>
            </w:pPr>
            <w:r>
              <w:rPr>
                <w:rFonts w:ascii="Arial" w:cs="Arial" w:eastAsia="Arial" w:hAnsi="Arial"/>
                <w:sz w:val="13"/>
                <w:szCs w:val="13"/>
                <w:color w:val="auto"/>
              </w:rPr>
              <w:t>shareholders and to allot them to third parties:</w:t>
            </w:r>
          </w:p>
        </w:tc>
        <w:tc>
          <w:tcPr>
            <w:tcW w:w="240" w:type="dxa"/>
            <w:vAlign w:val="bottom"/>
            <w:tcBorders>
              <w:right w:val="single" w:sz="8" w:color="auto"/>
            </w:tcBorders>
          </w:tcPr>
          <w:p>
            <w:pPr>
              <w:spacing w:after="0"/>
              <w:rPr>
                <w:sz w:val="14"/>
                <w:szCs w:val="14"/>
                <w:color w:val="auto"/>
              </w:rPr>
            </w:pPr>
          </w:p>
        </w:tc>
        <w:tc>
          <w:tcPr>
            <w:tcW w:w="5520" w:type="dxa"/>
            <w:vAlign w:val="bottom"/>
            <w:tcBorders>
              <w:right w:val="single" w:sz="8" w:color="auto"/>
            </w:tcBorders>
            <w:gridSpan w:val="2"/>
          </w:tcPr>
          <w:p>
            <w:pPr>
              <w:ind w:left="20"/>
              <w:spacing w:after="0"/>
              <w:rPr>
                <w:sz w:val="20"/>
                <w:szCs w:val="20"/>
                <w:color w:val="auto"/>
              </w:rPr>
            </w:pPr>
            <w:r>
              <w:rPr>
                <w:rFonts w:ascii="Arial" w:cs="Arial" w:eastAsia="Arial" w:hAnsi="Arial"/>
                <w:sz w:val="13"/>
                <w:szCs w:val="13"/>
                <w:color w:val="auto"/>
              </w:rPr>
              <w:t>souscription des actionnaires et à les attribuer à des tiers:</w:t>
            </w:r>
          </w:p>
        </w:tc>
      </w:tr>
      <w:tr>
        <w:trPr>
          <w:trHeight w:val="266"/>
        </w:trPr>
        <w:tc>
          <w:tcPr>
            <w:tcW w:w="5540" w:type="dxa"/>
            <w:vAlign w:val="bottom"/>
            <w:tcBorders>
              <w:left w:val="single" w:sz="8" w:color="auto"/>
              <w:right w:val="single" w:sz="8" w:color="auto"/>
            </w:tcBorders>
            <w:gridSpan w:val="2"/>
          </w:tcPr>
          <w:p>
            <w:pPr>
              <w:ind w:left="40"/>
              <w:spacing w:after="0"/>
              <w:rPr>
                <w:sz w:val="20"/>
                <w:szCs w:val="20"/>
                <w:color w:val="auto"/>
              </w:rPr>
            </w:pPr>
            <w:r>
              <w:rPr>
                <w:rFonts w:ascii="Arial" w:cs="Arial" w:eastAsia="Arial" w:hAnsi="Arial"/>
                <w:sz w:val="13"/>
                <w:szCs w:val="13"/>
                <w:color w:val="auto"/>
              </w:rPr>
              <w:t>a) if the issue price of the new registered shares is determined by reference to the market price</w:t>
            </w:r>
          </w:p>
        </w:tc>
        <w:tc>
          <w:tcPr>
            <w:tcW w:w="240" w:type="dxa"/>
            <w:vAlign w:val="bottom"/>
            <w:tcBorders>
              <w:right w:val="single" w:sz="8" w:color="auto"/>
            </w:tcBorders>
          </w:tcPr>
          <w:p>
            <w:pPr>
              <w:spacing w:after="0"/>
              <w:rPr>
                <w:sz w:val="23"/>
                <w:szCs w:val="23"/>
                <w:color w:val="auto"/>
              </w:rPr>
            </w:pPr>
          </w:p>
        </w:tc>
        <w:tc>
          <w:tcPr>
            <w:tcW w:w="5520" w:type="dxa"/>
            <w:vAlign w:val="bottom"/>
            <w:tcBorders>
              <w:right w:val="single" w:sz="8" w:color="auto"/>
            </w:tcBorders>
            <w:gridSpan w:val="2"/>
          </w:tcPr>
          <w:p>
            <w:pPr>
              <w:ind w:left="20"/>
              <w:spacing w:after="0"/>
              <w:rPr>
                <w:sz w:val="20"/>
                <w:szCs w:val="20"/>
                <w:color w:val="auto"/>
              </w:rPr>
            </w:pPr>
            <w:r>
              <w:rPr>
                <w:rFonts w:ascii="Arial" w:cs="Arial" w:eastAsia="Arial" w:hAnsi="Arial"/>
                <w:sz w:val="13"/>
                <w:szCs w:val="13"/>
                <w:color w:val="auto"/>
              </w:rPr>
              <w:t>a) si le prix d'émission des nouvelles actions nominatives est déterminé avec une référence au</w:t>
            </w:r>
          </w:p>
        </w:tc>
      </w:tr>
      <w:tr>
        <w:trPr>
          <w:trHeight w:val="168"/>
        </w:trPr>
        <w:tc>
          <w:tcPr>
            <w:tcW w:w="5540" w:type="dxa"/>
            <w:vAlign w:val="bottom"/>
            <w:tcBorders>
              <w:left w:val="single" w:sz="8" w:color="auto"/>
              <w:right w:val="single" w:sz="8" w:color="auto"/>
            </w:tcBorders>
            <w:gridSpan w:val="2"/>
          </w:tcPr>
          <w:p>
            <w:pPr>
              <w:ind w:left="40"/>
              <w:spacing w:after="0"/>
              <w:rPr>
                <w:sz w:val="20"/>
                <w:szCs w:val="20"/>
                <w:color w:val="auto"/>
              </w:rPr>
            </w:pPr>
            <w:r>
              <w:rPr>
                <w:rFonts w:ascii="Arial" w:cs="Arial" w:eastAsia="Arial" w:hAnsi="Arial"/>
                <w:sz w:val="13"/>
                <w:szCs w:val="13"/>
                <w:color w:val="auto"/>
              </w:rPr>
              <w:t>(with a customary discount); or</w:t>
            </w:r>
          </w:p>
        </w:tc>
        <w:tc>
          <w:tcPr>
            <w:tcW w:w="240" w:type="dxa"/>
            <w:vAlign w:val="bottom"/>
            <w:tcBorders>
              <w:right w:val="single" w:sz="8" w:color="auto"/>
            </w:tcBorders>
          </w:tcPr>
          <w:p>
            <w:pPr>
              <w:spacing w:after="0"/>
              <w:rPr>
                <w:sz w:val="14"/>
                <w:szCs w:val="14"/>
                <w:color w:val="auto"/>
              </w:rPr>
            </w:pPr>
          </w:p>
        </w:tc>
        <w:tc>
          <w:tcPr>
            <w:tcW w:w="5520" w:type="dxa"/>
            <w:vAlign w:val="bottom"/>
            <w:tcBorders>
              <w:right w:val="single" w:sz="8" w:color="auto"/>
            </w:tcBorders>
            <w:gridSpan w:val="2"/>
          </w:tcPr>
          <w:p>
            <w:pPr>
              <w:ind w:left="20"/>
              <w:spacing w:after="0"/>
              <w:rPr>
                <w:sz w:val="20"/>
                <w:szCs w:val="20"/>
                <w:color w:val="auto"/>
              </w:rPr>
            </w:pPr>
            <w:r>
              <w:rPr>
                <w:rFonts w:ascii="Arial" w:cs="Arial" w:eastAsia="Arial" w:hAnsi="Arial"/>
                <w:sz w:val="13"/>
                <w:szCs w:val="13"/>
                <w:color w:val="auto"/>
              </w:rPr>
              <w:t>prix de marché (avec un rabais usuel); ou</w:t>
            </w:r>
          </w:p>
        </w:tc>
      </w:tr>
      <w:tr>
        <w:trPr>
          <w:trHeight w:val="266"/>
        </w:trPr>
        <w:tc>
          <w:tcPr>
            <w:tcW w:w="5540" w:type="dxa"/>
            <w:vAlign w:val="bottom"/>
            <w:tcBorders>
              <w:left w:val="single" w:sz="8" w:color="auto"/>
              <w:right w:val="single" w:sz="8" w:color="auto"/>
            </w:tcBorders>
            <w:gridSpan w:val="2"/>
          </w:tcPr>
          <w:p>
            <w:pPr>
              <w:ind w:left="40"/>
              <w:spacing w:after="0"/>
              <w:rPr>
                <w:sz w:val="20"/>
                <w:szCs w:val="20"/>
                <w:color w:val="auto"/>
              </w:rPr>
            </w:pPr>
            <w:r>
              <w:rPr>
                <w:rFonts w:ascii="Arial" w:cs="Arial" w:eastAsia="Arial" w:hAnsi="Arial"/>
                <w:sz w:val="13"/>
                <w:szCs w:val="13"/>
                <w:color w:val="auto"/>
              </w:rPr>
              <w:t>b) for the acquisition of an enterprise, part of an enterprise or participations, or for the financing</w:t>
            </w:r>
          </w:p>
        </w:tc>
        <w:tc>
          <w:tcPr>
            <w:tcW w:w="240" w:type="dxa"/>
            <w:vAlign w:val="bottom"/>
            <w:tcBorders>
              <w:right w:val="single" w:sz="8" w:color="auto"/>
            </w:tcBorders>
          </w:tcPr>
          <w:p>
            <w:pPr>
              <w:spacing w:after="0"/>
              <w:rPr>
                <w:sz w:val="23"/>
                <w:szCs w:val="23"/>
                <w:color w:val="auto"/>
              </w:rPr>
            </w:pPr>
          </w:p>
        </w:tc>
        <w:tc>
          <w:tcPr>
            <w:tcW w:w="5520" w:type="dxa"/>
            <w:vAlign w:val="bottom"/>
            <w:tcBorders>
              <w:right w:val="single" w:sz="8" w:color="auto"/>
            </w:tcBorders>
            <w:gridSpan w:val="2"/>
          </w:tcPr>
          <w:p>
            <w:pPr>
              <w:ind w:left="20"/>
              <w:spacing w:after="0"/>
              <w:rPr>
                <w:sz w:val="20"/>
                <w:szCs w:val="20"/>
                <w:color w:val="auto"/>
              </w:rPr>
            </w:pPr>
            <w:r>
              <w:rPr>
                <w:rFonts w:ascii="Arial" w:cs="Arial" w:eastAsia="Arial" w:hAnsi="Arial"/>
                <w:sz w:val="13"/>
                <w:szCs w:val="13"/>
                <w:color w:val="auto"/>
              </w:rPr>
              <w:t>b) pour l'acquisition d'une entreprise, part d'entreprise ou participation, ou pour le financement</w:t>
            </w:r>
          </w:p>
        </w:tc>
      </w:tr>
      <w:tr>
        <w:trPr>
          <w:trHeight w:val="145"/>
        </w:trPr>
        <w:tc>
          <w:tcPr>
            <w:tcW w:w="5540" w:type="dxa"/>
            <w:vAlign w:val="bottom"/>
            <w:tcBorders>
              <w:left w:val="single" w:sz="8" w:color="auto"/>
              <w:right w:val="single" w:sz="8" w:color="auto"/>
            </w:tcBorders>
            <w:gridSpan w:val="2"/>
          </w:tcPr>
          <w:p>
            <w:pPr>
              <w:ind w:left="40"/>
              <w:spacing w:after="0" w:line="145" w:lineRule="exact"/>
              <w:rPr>
                <w:sz w:val="20"/>
                <w:szCs w:val="20"/>
                <w:color w:val="auto"/>
              </w:rPr>
            </w:pPr>
            <w:r>
              <w:rPr>
                <w:rFonts w:ascii="Arial" w:cs="Arial" w:eastAsia="Arial" w:hAnsi="Arial"/>
                <w:sz w:val="13"/>
                <w:szCs w:val="13"/>
                <w:color w:val="auto"/>
              </w:rPr>
              <w:t>or refinancing of any of such acquisition, or in the event of share placement for the financing or</w:t>
            </w:r>
          </w:p>
        </w:tc>
        <w:tc>
          <w:tcPr>
            <w:tcW w:w="240" w:type="dxa"/>
            <w:vAlign w:val="bottom"/>
            <w:tcBorders>
              <w:right w:val="single" w:sz="8" w:color="auto"/>
            </w:tcBorders>
          </w:tcPr>
          <w:p>
            <w:pPr>
              <w:spacing w:after="0"/>
              <w:rPr>
                <w:sz w:val="12"/>
                <w:szCs w:val="12"/>
                <w:color w:val="auto"/>
              </w:rPr>
            </w:pPr>
          </w:p>
        </w:tc>
        <w:tc>
          <w:tcPr>
            <w:tcW w:w="5520" w:type="dxa"/>
            <w:vAlign w:val="bottom"/>
            <w:tcBorders>
              <w:right w:val="single" w:sz="8" w:color="auto"/>
            </w:tcBorders>
            <w:gridSpan w:val="2"/>
          </w:tcPr>
          <w:p>
            <w:pPr>
              <w:ind w:left="20"/>
              <w:spacing w:after="0" w:line="145" w:lineRule="exact"/>
              <w:rPr>
                <w:sz w:val="20"/>
                <w:szCs w:val="20"/>
                <w:color w:val="auto"/>
              </w:rPr>
            </w:pPr>
            <w:r>
              <w:rPr>
                <w:rFonts w:ascii="Arial" w:cs="Arial" w:eastAsia="Arial" w:hAnsi="Arial"/>
                <w:sz w:val="13"/>
                <w:szCs w:val="13"/>
                <w:color w:val="auto"/>
                <w:w w:val="99"/>
              </w:rPr>
              <w:t>ou le refinancement de ladite acquisition, ou en cas de placement d'actions pour le financement</w:t>
            </w:r>
          </w:p>
        </w:tc>
      </w:tr>
      <w:tr>
        <w:trPr>
          <w:trHeight w:val="168"/>
        </w:trPr>
        <w:tc>
          <w:tcPr>
            <w:tcW w:w="5540" w:type="dxa"/>
            <w:vAlign w:val="bottom"/>
            <w:tcBorders>
              <w:left w:val="single" w:sz="8" w:color="auto"/>
              <w:right w:val="single" w:sz="8" w:color="auto"/>
            </w:tcBorders>
            <w:gridSpan w:val="2"/>
          </w:tcPr>
          <w:p>
            <w:pPr>
              <w:ind w:left="40"/>
              <w:spacing w:after="0"/>
              <w:rPr>
                <w:sz w:val="20"/>
                <w:szCs w:val="20"/>
                <w:color w:val="auto"/>
              </w:rPr>
            </w:pPr>
            <w:r>
              <w:rPr>
                <w:rFonts w:ascii="Arial" w:cs="Arial" w:eastAsia="Arial" w:hAnsi="Arial"/>
                <w:sz w:val="13"/>
                <w:szCs w:val="13"/>
                <w:color w:val="auto"/>
              </w:rPr>
              <w:t>refinancing of such placement; or</w:t>
            </w:r>
          </w:p>
        </w:tc>
        <w:tc>
          <w:tcPr>
            <w:tcW w:w="240" w:type="dxa"/>
            <w:vAlign w:val="bottom"/>
            <w:tcBorders>
              <w:right w:val="single" w:sz="8" w:color="auto"/>
            </w:tcBorders>
          </w:tcPr>
          <w:p>
            <w:pPr>
              <w:spacing w:after="0"/>
              <w:rPr>
                <w:sz w:val="14"/>
                <w:szCs w:val="14"/>
                <w:color w:val="auto"/>
              </w:rPr>
            </w:pPr>
          </w:p>
        </w:tc>
        <w:tc>
          <w:tcPr>
            <w:tcW w:w="5520" w:type="dxa"/>
            <w:vAlign w:val="bottom"/>
            <w:tcBorders>
              <w:right w:val="single" w:sz="8" w:color="auto"/>
            </w:tcBorders>
            <w:gridSpan w:val="2"/>
          </w:tcPr>
          <w:p>
            <w:pPr>
              <w:ind w:left="20"/>
              <w:spacing w:after="0"/>
              <w:rPr>
                <w:sz w:val="20"/>
                <w:szCs w:val="20"/>
                <w:color w:val="auto"/>
              </w:rPr>
            </w:pPr>
            <w:r>
              <w:rPr>
                <w:rFonts w:ascii="Arial" w:cs="Arial" w:eastAsia="Arial" w:hAnsi="Arial"/>
                <w:sz w:val="13"/>
                <w:szCs w:val="13"/>
                <w:color w:val="auto"/>
              </w:rPr>
              <w:t>ou le refinancement dudit placement; ou</w:t>
            </w:r>
          </w:p>
        </w:tc>
      </w:tr>
      <w:tr>
        <w:trPr>
          <w:trHeight w:val="266"/>
        </w:trPr>
        <w:tc>
          <w:tcPr>
            <w:tcW w:w="5540" w:type="dxa"/>
            <w:vAlign w:val="bottom"/>
            <w:tcBorders>
              <w:left w:val="single" w:sz="8" w:color="auto"/>
              <w:right w:val="single" w:sz="8" w:color="auto"/>
            </w:tcBorders>
            <w:gridSpan w:val="2"/>
          </w:tcPr>
          <w:p>
            <w:pPr>
              <w:ind w:left="40"/>
              <w:spacing w:after="0"/>
              <w:rPr>
                <w:sz w:val="20"/>
                <w:szCs w:val="20"/>
                <w:color w:val="auto"/>
              </w:rPr>
            </w:pPr>
            <w:r>
              <w:rPr>
                <w:rFonts w:ascii="Arial" w:cs="Arial" w:eastAsia="Arial" w:hAnsi="Arial"/>
                <w:sz w:val="13"/>
                <w:szCs w:val="13"/>
                <w:color w:val="auto"/>
              </w:rPr>
              <w:t>c) for raising of capital (including private placements) in a fast and flexible manner which</w:t>
            </w:r>
          </w:p>
        </w:tc>
        <w:tc>
          <w:tcPr>
            <w:tcW w:w="240" w:type="dxa"/>
            <w:vAlign w:val="bottom"/>
            <w:tcBorders>
              <w:right w:val="single" w:sz="8" w:color="auto"/>
            </w:tcBorders>
          </w:tcPr>
          <w:p>
            <w:pPr>
              <w:spacing w:after="0"/>
              <w:rPr>
                <w:sz w:val="23"/>
                <w:szCs w:val="23"/>
                <w:color w:val="auto"/>
              </w:rPr>
            </w:pPr>
          </w:p>
        </w:tc>
        <w:tc>
          <w:tcPr>
            <w:tcW w:w="5520" w:type="dxa"/>
            <w:vAlign w:val="bottom"/>
            <w:tcBorders>
              <w:right w:val="single" w:sz="8" w:color="auto"/>
            </w:tcBorders>
            <w:gridSpan w:val="2"/>
          </w:tcPr>
          <w:p>
            <w:pPr>
              <w:ind w:left="20"/>
              <w:spacing w:after="0"/>
              <w:rPr>
                <w:sz w:val="20"/>
                <w:szCs w:val="20"/>
                <w:color w:val="auto"/>
              </w:rPr>
            </w:pPr>
            <w:r>
              <w:rPr>
                <w:rFonts w:ascii="Arial" w:cs="Arial" w:eastAsia="Arial" w:hAnsi="Arial"/>
                <w:sz w:val="13"/>
                <w:szCs w:val="13"/>
                <w:color w:val="auto"/>
                <w:w w:val="99"/>
              </w:rPr>
              <w:t>c) pour lever des capitaux (y compris des placements privés) dans un délai rapide et flexible, ce</w:t>
            </w:r>
          </w:p>
        </w:tc>
      </w:tr>
      <w:tr>
        <w:trPr>
          <w:trHeight w:val="145"/>
        </w:trPr>
        <w:tc>
          <w:tcPr>
            <w:tcW w:w="5540" w:type="dxa"/>
            <w:vAlign w:val="bottom"/>
            <w:tcBorders>
              <w:left w:val="single" w:sz="8" w:color="auto"/>
              <w:right w:val="single" w:sz="8" w:color="auto"/>
            </w:tcBorders>
            <w:gridSpan w:val="2"/>
          </w:tcPr>
          <w:p>
            <w:pPr>
              <w:ind w:left="40"/>
              <w:spacing w:after="0" w:line="145" w:lineRule="exact"/>
              <w:rPr>
                <w:sz w:val="20"/>
                <w:szCs w:val="20"/>
                <w:color w:val="auto"/>
              </w:rPr>
            </w:pPr>
            <w:r>
              <w:rPr>
                <w:rFonts w:ascii="Arial" w:cs="Arial" w:eastAsia="Arial" w:hAnsi="Arial"/>
                <w:sz w:val="13"/>
                <w:szCs w:val="13"/>
                <w:color w:val="auto"/>
              </w:rPr>
              <w:t>probably could not be reached without the exclusion of the statutory pre-emptive right of the</w:t>
            </w:r>
          </w:p>
        </w:tc>
        <w:tc>
          <w:tcPr>
            <w:tcW w:w="240" w:type="dxa"/>
            <w:vAlign w:val="bottom"/>
            <w:tcBorders>
              <w:right w:val="single" w:sz="8" w:color="auto"/>
            </w:tcBorders>
          </w:tcPr>
          <w:p>
            <w:pPr>
              <w:spacing w:after="0"/>
              <w:rPr>
                <w:sz w:val="12"/>
                <w:szCs w:val="12"/>
                <w:color w:val="auto"/>
              </w:rPr>
            </w:pPr>
          </w:p>
        </w:tc>
        <w:tc>
          <w:tcPr>
            <w:tcW w:w="5520" w:type="dxa"/>
            <w:vAlign w:val="bottom"/>
            <w:tcBorders>
              <w:right w:val="single" w:sz="8" w:color="auto"/>
            </w:tcBorders>
            <w:gridSpan w:val="2"/>
          </w:tcPr>
          <w:p>
            <w:pPr>
              <w:ind w:left="20"/>
              <w:spacing w:after="0" w:line="145" w:lineRule="exact"/>
              <w:rPr>
                <w:sz w:val="20"/>
                <w:szCs w:val="20"/>
                <w:color w:val="auto"/>
              </w:rPr>
            </w:pPr>
            <w:r>
              <w:rPr>
                <w:rFonts w:ascii="Arial" w:cs="Arial" w:eastAsia="Arial" w:hAnsi="Arial"/>
                <w:sz w:val="13"/>
                <w:szCs w:val="13"/>
                <w:color w:val="auto"/>
              </w:rPr>
              <w:t>qui  ne  pourrait  probablement  pas  être  réalisé  sans  l'exclusion  du  droit  préférentiel  de</w:t>
            </w:r>
          </w:p>
        </w:tc>
      </w:tr>
      <w:tr>
        <w:trPr>
          <w:trHeight w:val="168"/>
        </w:trPr>
        <w:tc>
          <w:tcPr>
            <w:tcW w:w="5540" w:type="dxa"/>
            <w:vAlign w:val="bottom"/>
            <w:tcBorders>
              <w:left w:val="single" w:sz="8" w:color="auto"/>
              <w:right w:val="single" w:sz="8" w:color="auto"/>
            </w:tcBorders>
            <w:gridSpan w:val="2"/>
          </w:tcPr>
          <w:p>
            <w:pPr>
              <w:ind w:left="40"/>
              <w:spacing w:after="0"/>
              <w:rPr>
                <w:sz w:val="20"/>
                <w:szCs w:val="20"/>
                <w:color w:val="auto"/>
              </w:rPr>
            </w:pPr>
            <w:r>
              <w:rPr>
                <w:rFonts w:ascii="Arial" w:cs="Arial" w:eastAsia="Arial" w:hAnsi="Arial"/>
                <w:sz w:val="13"/>
                <w:szCs w:val="13"/>
                <w:color w:val="auto"/>
              </w:rPr>
              <w:t>existing shareholders.</w:t>
            </w:r>
          </w:p>
        </w:tc>
        <w:tc>
          <w:tcPr>
            <w:tcW w:w="240" w:type="dxa"/>
            <w:vAlign w:val="bottom"/>
            <w:tcBorders>
              <w:right w:val="single" w:sz="8" w:color="auto"/>
            </w:tcBorders>
          </w:tcPr>
          <w:p>
            <w:pPr>
              <w:spacing w:after="0"/>
              <w:rPr>
                <w:sz w:val="14"/>
                <w:szCs w:val="14"/>
                <w:color w:val="auto"/>
              </w:rPr>
            </w:pPr>
          </w:p>
        </w:tc>
        <w:tc>
          <w:tcPr>
            <w:tcW w:w="5520" w:type="dxa"/>
            <w:vAlign w:val="bottom"/>
            <w:tcBorders>
              <w:right w:val="single" w:sz="8" w:color="auto"/>
            </w:tcBorders>
            <w:gridSpan w:val="2"/>
          </w:tcPr>
          <w:p>
            <w:pPr>
              <w:ind w:left="20"/>
              <w:spacing w:after="0"/>
              <w:rPr>
                <w:sz w:val="20"/>
                <w:szCs w:val="20"/>
                <w:color w:val="auto"/>
              </w:rPr>
            </w:pPr>
            <w:r>
              <w:rPr>
                <w:rFonts w:ascii="Arial" w:cs="Arial" w:eastAsia="Arial" w:hAnsi="Arial"/>
                <w:sz w:val="13"/>
                <w:szCs w:val="13"/>
                <w:color w:val="auto"/>
              </w:rPr>
              <w:t>souscription statuaire des actionnaires existants.</w:t>
            </w:r>
          </w:p>
        </w:tc>
      </w:tr>
      <w:tr>
        <w:trPr>
          <w:trHeight w:val="153"/>
        </w:trPr>
        <w:tc>
          <w:tcPr>
            <w:tcW w:w="5540" w:type="dxa"/>
            <w:vAlign w:val="bottom"/>
            <w:tcBorders>
              <w:left w:val="single" w:sz="8" w:color="auto"/>
              <w:bottom w:val="single" w:sz="8" w:color="auto"/>
              <w:right w:val="single" w:sz="8" w:color="auto"/>
            </w:tcBorders>
            <w:gridSpan w:val="2"/>
          </w:tcPr>
          <w:p>
            <w:pPr>
              <w:spacing w:after="0"/>
              <w:rPr>
                <w:sz w:val="13"/>
                <w:szCs w:val="13"/>
                <w:color w:val="auto"/>
              </w:rPr>
            </w:pPr>
          </w:p>
        </w:tc>
        <w:tc>
          <w:tcPr>
            <w:tcW w:w="240" w:type="dxa"/>
            <w:vAlign w:val="bottom"/>
            <w:tcBorders>
              <w:bottom w:val="single" w:sz="8" w:color="auto"/>
              <w:right w:val="single" w:sz="8" w:color="auto"/>
            </w:tcBorders>
          </w:tcPr>
          <w:p>
            <w:pPr>
              <w:spacing w:after="0"/>
              <w:rPr>
                <w:sz w:val="13"/>
                <w:szCs w:val="13"/>
                <w:color w:val="auto"/>
              </w:rPr>
            </w:pPr>
          </w:p>
        </w:tc>
        <w:tc>
          <w:tcPr>
            <w:tcW w:w="5520" w:type="dxa"/>
            <w:vAlign w:val="bottom"/>
            <w:tcBorders>
              <w:bottom w:val="single" w:sz="8" w:color="auto"/>
              <w:right w:val="single" w:sz="8" w:color="auto"/>
            </w:tcBorders>
            <w:gridSpan w:val="2"/>
          </w:tcPr>
          <w:p>
            <w:pPr>
              <w:spacing w:after="0"/>
              <w:rPr>
                <w:sz w:val="13"/>
                <w:szCs w:val="13"/>
                <w:color w:val="auto"/>
              </w:rPr>
            </w:pPr>
          </w:p>
        </w:tc>
      </w:tr>
      <w:tr>
        <w:trPr>
          <w:trHeight w:val="141"/>
        </w:trPr>
        <w:tc>
          <w:tcPr>
            <w:tcW w:w="5540" w:type="dxa"/>
            <w:vAlign w:val="bottom"/>
            <w:tcBorders>
              <w:left w:val="single" w:sz="8" w:color="auto"/>
              <w:right w:val="single" w:sz="8" w:color="auto"/>
            </w:tcBorders>
            <w:gridSpan w:val="2"/>
          </w:tcPr>
          <w:p>
            <w:pPr>
              <w:ind w:left="40"/>
              <w:spacing w:after="0" w:line="141" w:lineRule="exact"/>
              <w:rPr>
                <w:sz w:val="20"/>
                <w:szCs w:val="20"/>
                <w:color w:val="auto"/>
              </w:rPr>
            </w:pPr>
            <w:r>
              <w:rPr>
                <w:rFonts w:ascii="Arial" w:cs="Arial" w:eastAsia="Arial" w:hAnsi="Arial"/>
                <w:sz w:val="13"/>
                <w:szCs w:val="13"/>
                <w:color w:val="auto"/>
              </w:rPr>
              <w:t>The acquisition of registered shares out of authorized capital increase of share capital for</w:t>
            </w:r>
          </w:p>
        </w:tc>
        <w:tc>
          <w:tcPr>
            <w:tcW w:w="240" w:type="dxa"/>
            <w:vAlign w:val="bottom"/>
            <w:tcBorders>
              <w:right w:val="single" w:sz="8" w:color="auto"/>
            </w:tcBorders>
          </w:tcPr>
          <w:p>
            <w:pPr>
              <w:spacing w:after="0"/>
              <w:rPr>
                <w:sz w:val="12"/>
                <w:szCs w:val="12"/>
                <w:color w:val="auto"/>
              </w:rPr>
            </w:pPr>
          </w:p>
        </w:tc>
        <w:tc>
          <w:tcPr>
            <w:tcW w:w="5520" w:type="dxa"/>
            <w:vAlign w:val="bottom"/>
            <w:tcBorders>
              <w:right w:val="single" w:sz="8" w:color="auto"/>
            </w:tcBorders>
            <w:gridSpan w:val="2"/>
          </w:tcPr>
          <w:p>
            <w:pPr>
              <w:ind w:left="20"/>
              <w:spacing w:after="0" w:line="141" w:lineRule="exact"/>
              <w:rPr>
                <w:sz w:val="20"/>
                <w:szCs w:val="20"/>
                <w:color w:val="auto"/>
              </w:rPr>
            </w:pPr>
            <w:r>
              <w:rPr>
                <w:rFonts w:ascii="Arial" w:cs="Arial" w:eastAsia="Arial" w:hAnsi="Arial"/>
                <w:sz w:val="13"/>
                <w:szCs w:val="13"/>
                <w:color w:val="auto"/>
              </w:rPr>
              <w:t>L'acquisition d'actions nominatives dans le cadre d'une augmentation autorisée du capital-</w:t>
            </w:r>
          </w:p>
        </w:tc>
      </w:tr>
      <w:tr>
        <w:trPr>
          <w:trHeight w:val="145"/>
        </w:trPr>
        <w:tc>
          <w:tcPr>
            <w:tcW w:w="5540" w:type="dxa"/>
            <w:vAlign w:val="bottom"/>
            <w:tcBorders>
              <w:left w:val="single" w:sz="8" w:color="auto"/>
              <w:right w:val="single" w:sz="8" w:color="auto"/>
            </w:tcBorders>
            <w:gridSpan w:val="2"/>
          </w:tcPr>
          <w:p>
            <w:pPr>
              <w:ind w:left="40"/>
              <w:spacing w:after="0" w:line="145" w:lineRule="exact"/>
              <w:rPr>
                <w:sz w:val="20"/>
                <w:szCs w:val="20"/>
                <w:color w:val="auto"/>
              </w:rPr>
            </w:pPr>
            <w:r>
              <w:rPr>
                <w:rFonts w:ascii="Arial" w:cs="Arial" w:eastAsia="Arial" w:hAnsi="Arial"/>
                <w:sz w:val="13"/>
                <w:szCs w:val="13"/>
                <w:color w:val="auto"/>
              </w:rPr>
              <w:t>general purposes and any transfers of registered shares shall be subject to the restrictions</w:t>
            </w:r>
          </w:p>
        </w:tc>
        <w:tc>
          <w:tcPr>
            <w:tcW w:w="240" w:type="dxa"/>
            <w:vAlign w:val="bottom"/>
            <w:tcBorders>
              <w:right w:val="single" w:sz="8" w:color="auto"/>
            </w:tcBorders>
          </w:tcPr>
          <w:p>
            <w:pPr>
              <w:spacing w:after="0"/>
              <w:rPr>
                <w:sz w:val="12"/>
                <w:szCs w:val="12"/>
                <w:color w:val="auto"/>
              </w:rPr>
            </w:pPr>
          </w:p>
        </w:tc>
        <w:tc>
          <w:tcPr>
            <w:tcW w:w="5520" w:type="dxa"/>
            <w:vAlign w:val="bottom"/>
            <w:tcBorders>
              <w:right w:val="single" w:sz="8" w:color="auto"/>
            </w:tcBorders>
            <w:gridSpan w:val="2"/>
          </w:tcPr>
          <w:p>
            <w:pPr>
              <w:ind w:left="20"/>
              <w:spacing w:after="0" w:line="145" w:lineRule="exact"/>
              <w:rPr>
                <w:sz w:val="20"/>
                <w:szCs w:val="20"/>
                <w:color w:val="auto"/>
              </w:rPr>
            </w:pPr>
            <w:r>
              <w:rPr>
                <w:rFonts w:ascii="Arial" w:cs="Arial" w:eastAsia="Arial" w:hAnsi="Arial"/>
                <w:sz w:val="13"/>
                <w:szCs w:val="13"/>
                <w:color w:val="auto"/>
              </w:rPr>
              <w:t>actions à des fins générales et les transferts d'actions nominatives sont soumis aux restrictions</w:t>
            </w:r>
          </w:p>
        </w:tc>
      </w:tr>
      <w:tr>
        <w:trPr>
          <w:trHeight w:val="173"/>
        </w:trPr>
        <w:tc>
          <w:tcPr>
            <w:tcW w:w="5540" w:type="dxa"/>
            <w:vAlign w:val="bottom"/>
            <w:tcBorders>
              <w:left w:val="single" w:sz="8" w:color="auto"/>
              <w:bottom w:val="single" w:sz="8" w:color="auto"/>
              <w:right w:val="single" w:sz="8" w:color="auto"/>
            </w:tcBorders>
            <w:gridSpan w:val="2"/>
          </w:tcPr>
          <w:p>
            <w:pPr>
              <w:ind w:left="40"/>
              <w:spacing w:after="0"/>
              <w:rPr>
                <w:sz w:val="20"/>
                <w:szCs w:val="20"/>
                <w:color w:val="auto"/>
              </w:rPr>
            </w:pPr>
            <w:r>
              <w:rPr>
                <w:rFonts w:ascii="Arial" w:cs="Arial" w:eastAsia="Arial" w:hAnsi="Arial"/>
                <w:sz w:val="13"/>
                <w:szCs w:val="13"/>
                <w:color w:val="auto"/>
              </w:rPr>
              <w:t>specified in Article 4 of the Articles of Association.</w:t>
            </w:r>
          </w:p>
        </w:tc>
        <w:tc>
          <w:tcPr>
            <w:tcW w:w="240" w:type="dxa"/>
            <w:vAlign w:val="bottom"/>
            <w:tcBorders>
              <w:bottom w:val="single" w:sz="8" w:color="auto"/>
              <w:right w:val="single" w:sz="8" w:color="auto"/>
            </w:tcBorders>
          </w:tcPr>
          <w:p>
            <w:pPr>
              <w:spacing w:after="0"/>
              <w:rPr>
                <w:sz w:val="15"/>
                <w:szCs w:val="15"/>
                <w:color w:val="auto"/>
              </w:rPr>
            </w:pPr>
          </w:p>
        </w:tc>
        <w:tc>
          <w:tcPr>
            <w:tcW w:w="5520" w:type="dxa"/>
            <w:vAlign w:val="bottom"/>
            <w:tcBorders>
              <w:bottom w:val="single" w:sz="8" w:color="auto"/>
              <w:right w:val="single" w:sz="8" w:color="auto"/>
            </w:tcBorders>
            <w:gridSpan w:val="2"/>
          </w:tcPr>
          <w:p>
            <w:pPr>
              <w:ind w:left="20"/>
              <w:spacing w:after="0"/>
              <w:rPr>
                <w:sz w:val="20"/>
                <w:szCs w:val="20"/>
                <w:color w:val="auto"/>
              </w:rPr>
            </w:pPr>
            <w:r>
              <w:rPr>
                <w:rFonts w:ascii="Arial" w:cs="Arial" w:eastAsia="Arial" w:hAnsi="Arial"/>
                <w:sz w:val="13"/>
                <w:szCs w:val="13"/>
                <w:color w:val="auto"/>
              </w:rPr>
              <w:t>prévues à l'article 4 des statuts.</w:t>
            </w:r>
          </w:p>
        </w:tc>
      </w:tr>
      <w:tr>
        <w:trPr>
          <w:trHeight w:val="145"/>
        </w:trPr>
        <w:tc>
          <w:tcPr>
            <w:tcW w:w="560" w:type="dxa"/>
            <w:vAlign w:val="bottom"/>
            <w:tcBorders>
              <w:left w:val="single" w:sz="8" w:color="auto"/>
            </w:tcBorders>
          </w:tcPr>
          <w:p>
            <w:pPr>
              <w:ind w:left="40"/>
              <w:spacing w:after="0" w:line="146" w:lineRule="exact"/>
              <w:rPr>
                <w:sz w:val="20"/>
                <w:szCs w:val="20"/>
                <w:color w:val="auto"/>
              </w:rPr>
            </w:pPr>
            <w:r>
              <w:rPr>
                <w:rFonts w:ascii="Arial" w:cs="Arial" w:eastAsia="Arial" w:hAnsi="Arial"/>
                <w:sz w:val="13"/>
                <w:szCs w:val="13"/>
                <w:b w:val="1"/>
                <w:bCs w:val="1"/>
                <w:color w:val="auto"/>
              </w:rPr>
              <w:t>Art. 3b</w:t>
            </w:r>
          </w:p>
        </w:tc>
        <w:tc>
          <w:tcPr>
            <w:tcW w:w="4980" w:type="dxa"/>
            <w:vAlign w:val="bottom"/>
            <w:tcBorders>
              <w:right w:val="single" w:sz="8" w:color="auto"/>
            </w:tcBorders>
          </w:tcPr>
          <w:p>
            <w:pPr>
              <w:ind w:left="140"/>
              <w:spacing w:after="0" w:line="146" w:lineRule="exact"/>
              <w:rPr>
                <w:sz w:val="20"/>
                <w:szCs w:val="20"/>
                <w:color w:val="auto"/>
              </w:rPr>
            </w:pPr>
            <w:r>
              <w:rPr>
                <w:rFonts w:ascii="Arial" w:cs="Arial" w:eastAsia="Arial" w:hAnsi="Arial"/>
                <w:sz w:val="13"/>
                <w:szCs w:val="13"/>
                <w:b w:val="1"/>
                <w:bCs w:val="1"/>
                <w:color w:val="auto"/>
              </w:rPr>
              <w:t>Conditional Capital Increase for Bonds and Similar Debt Instruments</w:t>
            </w:r>
          </w:p>
        </w:tc>
        <w:tc>
          <w:tcPr>
            <w:tcW w:w="240" w:type="dxa"/>
            <w:vAlign w:val="bottom"/>
            <w:tcBorders>
              <w:right w:val="single" w:sz="8" w:color="auto"/>
            </w:tcBorders>
          </w:tcPr>
          <w:p>
            <w:pPr>
              <w:spacing w:after="0"/>
              <w:rPr>
                <w:sz w:val="12"/>
                <w:szCs w:val="12"/>
                <w:color w:val="auto"/>
              </w:rPr>
            </w:pPr>
          </w:p>
        </w:tc>
        <w:tc>
          <w:tcPr>
            <w:tcW w:w="520" w:type="dxa"/>
            <w:vAlign w:val="bottom"/>
          </w:tcPr>
          <w:p>
            <w:pPr>
              <w:ind w:left="20"/>
              <w:spacing w:after="0" w:line="146" w:lineRule="exact"/>
              <w:rPr>
                <w:sz w:val="20"/>
                <w:szCs w:val="20"/>
                <w:color w:val="auto"/>
              </w:rPr>
            </w:pPr>
            <w:r>
              <w:rPr>
                <w:rFonts w:ascii="Arial" w:cs="Arial" w:eastAsia="Arial" w:hAnsi="Arial"/>
                <w:sz w:val="13"/>
                <w:szCs w:val="13"/>
                <w:b w:val="1"/>
                <w:bCs w:val="1"/>
                <w:color w:val="auto"/>
              </w:rPr>
              <w:t>Art. 3b</w:t>
            </w:r>
          </w:p>
        </w:tc>
        <w:tc>
          <w:tcPr>
            <w:tcW w:w="5000" w:type="dxa"/>
            <w:vAlign w:val="bottom"/>
            <w:tcBorders>
              <w:right w:val="single" w:sz="8" w:color="auto"/>
            </w:tcBorders>
          </w:tcPr>
          <w:p>
            <w:pPr>
              <w:ind w:left="120"/>
              <w:spacing w:after="0" w:line="146" w:lineRule="exact"/>
              <w:rPr>
                <w:sz w:val="20"/>
                <w:szCs w:val="20"/>
                <w:color w:val="auto"/>
              </w:rPr>
            </w:pPr>
            <w:r>
              <w:rPr>
                <w:rFonts w:ascii="Arial" w:cs="Arial" w:eastAsia="Arial" w:hAnsi="Arial"/>
                <w:sz w:val="13"/>
                <w:szCs w:val="13"/>
                <w:b w:val="1"/>
                <w:bCs w:val="1"/>
                <w:color w:val="auto"/>
              </w:rPr>
              <w:t>Augmentation conditionnelle du capital-actions pour les obligations et</w:t>
            </w:r>
          </w:p>
        </w:tc>
      </w:tr>
      <w:tr>
        <w:trPr>
          <w:trHeight w:val="177"/>
        </w:trPr>
        <w:tc>
          <w:tcPr>
            <w:tcW w:w="560" w:type="dxa"/>
            <w:vAlign w:val="bottom"/>
            <w:tcBorders>
              <w:left w:val="single" w:sz="8" w:color="auto"/>
              <w:bottom w:val="single" w:sz="8" w:color="auto"/>
            </w:tcBorders>
          </w:tcPr>
          <w:p>
            <w:pPr>
              <w:spacing w:after="0"/>
              <w:rPr>
                <w:sz w:val="15"/>
                <w:szCs w:val="15"/>
                <w:color w:val="auto"/>
              </w:rPr>
            </w:pPr>
          </w:p>
        </w:tc>
        <w:tc>
          <w:tcPr>
            <w:tcW w:w="4980" w:type="dxa"/>
            <w:vAlign w:val="bottom"/>
            <w:tcBorders>
              <w:bottom w:val="single" w:sz="8" w:color="auto"/>
              <w:right w:val="single" w:sz="8" w:color="auto"/>
            </w:tcBorders>
          </w:tcPr>
          <w:p>
            <w:pPr>
              <w:spacing w:after="0"/>
              <w:rPr>
                <w:sz w:val="15"/>
                <w:szCs w:val="15"/>
                <w:color w:val="auto"/>
              </w:rPr>
            </w:pPr>
          </w:p>
        </w:tc>
        <w:tc>
          <w:tcPr>
            <w:tcW w:w="240" w:type="dxa"/>
            <w:vAlign w:val="bottom"/>
            <w:tcBorders>
              <w:bottom w:val="single" w:sz="8" w:color="auto"/>
              <w:right w:val="single" w:sz="8" w:color="auto"/>
            </w:tcBorders>
          </w:tcPr>
          <w:p>
            <w:pPr>
              <w:spacing w:after="0"/>
              <w:rPr>
                <w:sz w:val="15"/>
                <w:szCs w:val="15"/>
                <w:color w:val="auto"/>
              </w:rPr>
            </w:pPr>
          </w:p>
        </w:tc>
        <w:tc>
          <w:tcPr>
            <w:tcW w:w="5520" w:type="dxa"/>
            <w:vAlign w:val="bottom"/>
            <w:tcBorders>
              <w:bottom w:val="single" w:sz="8" w:color="auto"/>
              <w:right w:val="single" w:sz="8" w:color="auto"/>
            </w:tcBorders>
            <w:gridSpan w:val="2"/>
          </w:tcPr>
          <w:p>
            <w:pPr>
              <w:ind w:left="20"/>
              <w:spacing w:after="0"/>
              <w:rPr>
                <w:sz w:val="20"/>
                <w:szCs w:val="20"/>
                <w:color w:val="auto"/>
              </w:rPr>
            </w:pPr>
            <w:r>
              <w:rPr>
                <w:rFonts w:ascii="Arial" w:cs="Arial" w:eastAsia="Arial" w:hAnsi="Arial"/>
                <w:sz w:val="13"/>
                <w:szCs w:val="13"/>
                <w:b w:val="1"/>
                <w:bCs w:val="1"/>
                <w:color w:val="auto"/>
              </w:rPr>
              <w:t>instruments de dettes similaire</w:t>
            </w:r>
          </w:p>
        </w:tc>
      </w:tr>
    </w:tbl>
    <w:p>
      <w:pPr>
        <w:spacing w:after="0" w:line="59"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5"/>
          <w:szCs w:val="15"/>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12700</wp:posOffset>
            </wp:positionV>
            <wp:extent cx="7171690" cy="635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71690" cy="6350"/>
                    </a:xfrm>
                    <a:prstGeom prst="rect">
                      <a:avLst/>
                    </a:prstGeom>
                    <a:noFill/>
                  </pic:spPr>
                </pic:pic>
              </a:graphicData>
            </a:graphic>
          </wp:anchor>
        </w:drawing>
      </w:r>
    </w:p>
    <w:p>
      <w:pPr>
        <w:sectPr>
          <w:pgSz w:w="11900" w:h="16838" w:orient="portrait"/>
          <w:cols w:equalWidth="0" w:num="1">
            <w:col w:w="11300"/>
          </w:cols>
          <w:pgMar w:left="300" w:top="448" w:right="299" w:bottom="1440" w:gutter="0" w:footer="0" w:header="0"/>
        </w:sectPr>
      </w:pPr>
    </w:p>
    <w:bookmarkStart w:id="61" w:name="page62"/>
    <w:bookmarkEnd w:id="61"/>
    <w:tbl>
      <w:tblPr>
        <w:tblLayout w:type="fixed"/>
        <w:tblInd w:w="10" w:type="dxa"/>
        <w:tblCellMar>
          <w:top w:w="0" w:type="dxa"/>
          <w:left w:w="0" w:type="dxa"/>
          <w:bottom w:w="0" w:type="dxa"/>
          <w:right w:w="0" w:type="dxa"/>
        </w:tblCellMar>
      </w:tblPr>
      <w:tr>
        <w:trPr>
          <w:trHeight w:val="161"/>
        </w:trPr>
        <w:tc>
          <w:tcPr>
            <w:tcW w:w="5540" w:type="dxa"/>
            <w:vAlign w:val="bottom"/>
            <w:tcBorders>
              <w:top w:val="single" w:sz="8" w:color="auto"/>
              <w:left w:val="single" w:sz="8" w:color="auto"/>
              <w:right w:val="single" w:sz="8" w:color="auto"/>
            </w:tcBorders>
          </w:tcPr>
          <w:p>
            <w:pPr>
              <w:ind w:left="40"/>
              <w:spacing w:after="0"/>
              <w:rPr>
                <w:sz w:val="20"/>
                <w:szCs w:val="20"/>
                <w:color w:val="auto"/>
              </w:rPr>
            </w:pPr>
            <w:r>
              <w:rPr>
                <w:rFonts w:ascii="Arial" w:cs="Arial" w:eastAsia="Arial" w:hAnsi="Arial"/>
                <w:sz w:val="13"/>
                <w:szCs w:val="13"/>
                <w:color w:val="auto"/>
              </w:rPr>
              <w:t>The share capital of the Company shall be increased by a maximum amount of CHF 100’000</w:t>
            </w:r>
          </w:p>
        </w:tc>
        <w:tc>
          <w:tcPr>
            <w:tcW w:w="240" w:type="dxa"/>
            <w:vAlign w:val="bottom"/>
            <w:tcBorders>
              <w:top w:val="single" w:sz="8" w:color="auto"/>
              <w:right w:val="single" w:sz="8" w:color="auto"/>
            </w:tcBorders>
          </w:tcPr>
          <w:p>
            <w:pPr>
              <w:spacing w:after="0"/>
              <w:rPr>
                <w:sz w:val="14"/>
                <w:szCs w:val="14"/>
                <w:color w:val="auto"/>
              </w:rPr>
            </w:pPr>
          </w:p>
        </w:tc>
        <w:tc>
          <w:tcPr>
            <w:tcW w:w="5520" w:type="dxa"/>
            <w:vAlign w:val="bottom"/>
            <w:tcBorders>
              <w:top w:val="single" w:sz="8" w:color="auto"/>
              <w:right w:val="single" w:sz="8" w:color="auto"/>
            </w:tcBorders>
          </w:tcPr>
          <w:p>
            <w:pPr>
              <w:ind w:left="20"/>
              <w:spacing w:after="0"/>
              <w:rPr>
                <w:sz w:val="20"/>
                <w:szCs w:val="20"/>
                <w:color w:val="auto"/>
              </w:rPr>
            </w:pPr>
            <w:r>
              <w:rPr>
                <w:rFonts w:ascii="Arial" w:cs="Arial" w:eastAsia="Arial" w:hAnsi="Arial"/>
                <w:sz w:val="13"/>
                <w:szCs w:val="13"/>
                <w:color w:val="auto"/>
              </w:rPr>
              <w:t>Le capital-actions de la société peut être augmenté d'un montant maximum de CHF 100’000</w:t>
            </w:r>
          </w:p>
        </w:tc>
      </w:tr>
      <w:tr>
        <w:trPr>
          <w:trHeight w:val="145"/>
        </w:trPr>
        <w:tc>
          <w:tcPr>
            <w:tcW w:w="5540" w:type="dxa"/>
            <w:vAlign w:val="bottom"/>
            <w:tcBorders>
              <w:left w:val="single" w:sz="8" w:color="auto"/>
              <w:right w:val="single" w:sz="8" w:color="auto"/>
            </w:tcBorders>
          </w:tcPr>
          <w:p>
            <w:pPr>
              <w:ind w:left="40"/>
              <w:spacing w:after="0" w:line="145" w:lineRule="exact"/>
              <w:rPr>
                <w:sz w:val="20"/>
                <w:szCs w:val="20"/>
                <w:color w:val="auto"/>
              </w:rPr>
            </w:pPr>
            <w:r>
              <w:rPr>
                <w:rFonts w:ascii="Arial" w:cs="Arial" w:eastAsia="Arial" w:hAnsi="Arial"/>
                <w:sz w:val="13"/>
                <w:szCs w:val="13"/>
                <w:color w:val="auto"/>
              </w:rPr>
              <w:t>through the issue of a maximum of 5’000’000 registered shares, payable in full, each with a</w:t>
            </w:r>
          </w:p>
        </w:tc>
        <w:tc>
          <w:tcPr>
            <w:tcW w:w="240" w:type="dxa"/>
            <w:vAlign w:val="bottom"/>
            <w:tcBorders>
              <w:right w:val="single" w:sz="8" w:color="auto"/>
            </w:tcBorders>
          </w:tcPr>
          <w:p>
            <w:pPr>
              <w:spacing w:after="0"/>
              <w:rPr>
                <w:sz w:val="12"/>
                <w:szCs w:val="12"/>
                <w:color w:val="auto"/>
              </w:rPr>
            </w:pPr>
          </w:p>
        </w:tc>
        <w:tc>
          <w:tcPr>
            <w:tcW w:w="5520" w:type="dxa"/>
            <w:vAlign w:val="bottom"/>
            <w:tcBorders>
              <w:right w:val="single" w:sz="8" w:color="auto"/>
            </w:tcBorders>
          </w:tcPr>
          <w:p>
            <w:pPr>
              <w:ind w:left="20"/>
              <w:spacing w:after="0" w:line="145" w:lineRule="exact"/>
              <w:rPr>
                <w:sz w:val="20"/>
                <w:szCs w:val="20"/>
                <w:color w:val="auto"/>
              </w:rPr>
            </w:pPr>
            <w:r>
              <w:rPr>
                <w:rFonts w:ascii="Arial" w:cs="Arial" w:eastAsia="Arial" w:hAnsi="Arial"/>
                <w:sz w:val="13"/>
                <w:szCs w:val="13"/>
                <w:color w:val="auto"/>
              </w:rPr>
              <w:t>par l'émission d'un maximum de 5’000’000 actions nominatives, d'une valeur nominale de</w:t>
            </w:r>
          </w:p>
        </w:tc>
      </w:tr>
      <w:tr>
        <w:trPr>
          <w:trHeight w:val="145"/>
        </w:trPr>
        <w:tc>
          <w:tcPr>
            <w:tcW w:w="5540" w:type="dxa"/>
            <w:vAlign w:val="bottom"/>
            <w:tcBorders>
              <w:left w:val="single" w:sz="8" w:color="auto"/>
              <w:right w:val="single" w:sz="8" w:color="auto"/>
            </w:tcBorders>
          </w:tcPr>
          <w:p>
            <w:pPr>
              <w:ind w:left="40"/>
              <w:spacing w:after="0" w:line="145" w:lineRule="exact"/>
              <w:rPr>
                <w:sz w:val="20"/>
                <w:szCs w:val="20"/>
                <w:color w:val="auto"/>
              </w:rPr>
            </w:pPr>
            <w:r>
              <w:rPr>
                <w:rFonts w:ascii="Arial" w:cs="Arial" w:eastAsia="Arial" w:hAnsi="Arial"/>
                <w:sz w:val="13"/>
                <w:szCs w:val="13"/>
                <w:color w:val="auto"/>
              </w:rPr>
              <w:t>nominal value of CHF 0.02 through the exercise of conversion and/or option or warrant rights</w:t>
            </w:r>
          </w:p>
        </w:tc>
        <w:tc>
          <w:tcPr>
            <w:tcW w:w="240" w:type="dxa"/>
            <w:vAlign w:val="bottom"/>
            <w:tcBorders>
              <w:right w:val="single" w:sz="8" w:color="auto"/>
            </w:tcBorders>
          </w:tcPr>
          <w:p>
            <w:pPr>
              <w:spacing w:after="0"/>
              <w:rPr>
                <w:sz w:val="12"/>
                <w:szCs w:val="12"/>
                <w:color w:val="auto"/>
              </w:rPr>
            </w:pPr>
          </w:p>
        </w:tc>
        <w:tc>
          <w:tcPr>
            <w:tcW w:w="5520" w:type="dxa"/>
            <w:vAlign w:val="bottom"/>
            <w:tcBorders>
              <w:right w:val="single" w:sz="8" w:color="auto"/>
            </w:tcBorders>
          </w:tcPr>
          <w:p>
            <w:pPr>
              <w:ind w:left="20"/>
              <w:spacing w:after="0" w:line="145" w:lineRule="exact"/>
              <w:rPr>
                <w:sz w:val="20"/>
                <w:szCs w:val="20"/>
                <w:color w:val="auto"/>
              </w:rPr>
            </w:pPr>
            <w:r>
              <w:rPr>
                <w:rFonts w:ascii="Arial" w:cs="Arial" w:eastAsia="Arial" w:hAnsi="Arial"/>
                <w:sz w:val="13"/>
                <w:szCs w:val="13"/>
                <w:color w:val="auto"/>
              </w:rPr>
              <w:t>CHF 0.02 chacune, à libérer entièrement, suite à l'exercice de droits de conversion et/ou</w:t>
            </w:r>
          </w:p>
        </w:tc>
      </w:tr>
      <w:tr>
        <w:trPr>
          <w:trHeight w:val="145"/>
        </w:trPr>
        <w:tc>
          <w:tcPr>
            <w:tcW w:w="5540" w:type="dxa"/>
            <w:vAlign w:val="bottom"/>
            <w:tcBorders>
              <w:left w:val="single" w:sz="8" w:color="auto"/>
              <w:right w:val="single" w:sz="8" w:color="auto"/>
            </w:tcBorders>
          </w:tcPr>
          <w:p>
            <w:pPr>
              <w:ind w:left="40"/>
              <w:spacing w:after="0" w:line="145" w:lineRule="exact"/>
              <w:rPr>
                <w:sz w:val="20"/>
                <w:szCs w:val="20"/>
                <w:color w:val="auto"/>
              </w:rPr>
            </w:pPr>
            <w:r>
              <w:rPr>
                <w:rFonts w:ascii="Arial" w:cs="Arial" w:eastAsia="Arial" w:hAnsi="Arial"/>
                <w:sz w:val="13"/>
                <w:szCs w:val="13"/>
                <w:color w:val="auto"/>
                <w:w w:val="99"/>
              </w:rPr>
              <w:t>granted in connection with bonds or similar instruments, issued or to be issued by the Company</w:t>
            </w:r>
          </w:p>
        </w:tc>
        <w:tc>
          <w:tcPr>
            <w:tcW w:w="240" w:type="dxa"/>
            <w:vAlign w:val="bottom"/>
            <w:tcBorders>
              <w:right w:val="single" w:sz="8" w:color="auto"/>
            </w:tcBorders>
          </w:tcPr>
          <w:p>
            <w:pPr>
              <w:spacing w:after="0"/>
              <w:rPr>
                <w:sz w:val="12"/>
                <w:szCs w:val="12"/>
                <w:color w:val="auto"/>
              </w:rPr>
            </w:pPr>
          </w:p>
        </w:tc>
        <w:tc>
          <w:tcPr>
            <w:tcW w:w="5520" w:type="dxa"/>
            <w:vAlign w:val="bottom"/>
            <w:tcBorders>
              <w:right w:val="single" w:sz="8" w:color="auto"/>
            </w:tcBorders>
          </w:tcPr>
          <w:p>
            <w:pPr>
              <w:ind w:left="20"/>
              <w:spacing w:after="0" w:line="145" w:lineRule="exact"/>
              <w:rPr>
                <w:sz w:val="20"/>
                <w:szCs w:val="20"/>
                <w:color w:val="auto"/>
              </w:rPr>
            </w:pPr>
            <w:r>
              <w:rPr>
                <w:rFonts w:ascii="Arial" w:cs="Arial" w:eastAsia="Arial" w:hAnsi="Arial"/>
                <w:sz w:val="13"/>
                <w:szCs w:val="13"/>
                <w:color w:val="auto"/>
              </w:rPr>
              <w:t>d'option ou de bons de souscription accordés en relation avec des obligations ou d'instruments</w:t>
            </w:r>
          </w:p>
        </w:tc>
      </w:tr>
      <w:tr>
        <w:trPr>
          <w:trHeight w:val="145"/>
        </w:trPr>
        <w:tc>
          <w:tcPr>
            <w:tcW w:w="5540" w:type="dxa"/>
            <w:vAlign w:val="bottom"/>
            <w:tcBorders>
              <w:left w:val="single" w:sz="8" w:color="auto"/>
              <w:right w:val="single" w:sz="8" w:color="auto"/>
            </w:tcBorders>
          </w:tcPr>
          <w:p>
            <w:pPr>
              <w:ind w:left="40"/>
              <w:spacing w:after="0" w:line="145" w:lineRule="exact"/>
              <w:rPr>
                <w:sz w:val="20"/>
                <w:szCs w:val="20"/>
                <w:color w:val="auto"/>
              </w:rPr>
            </w:pPr>
            <w:r>
              <w:rPr>
                <w:rFonts w:ascii="Arial" w:cs="Arial" w:eastAsia="Arial" w:hAnsi="Arial"/>
                <w:sz w:val="13"/>
                <w:szCs w:val="13"/>
                <w:color w:val="auto"/>
              </w:rPr>
              <w:t>or by subsidiaries of the Company, including convertible debt instruments.</w:t>
            </w:r>
          </w:p>
        </w:tc>
        <w:tc>
          <w:tcPr>
            <w:tcW w:w="240" w:type="dxa"/>
            <w:vAlign w:val="bottom"/>
            <w:tcBorders>
              <w:right w:val="single" w:sz="8" w:color="auto"/>
            </w:tcBorders>
          </w:tcPr>
          <w:p>
            <w:pPr>
              <w:spacing w:after="0"/>
              <w:rPr>
                <w:sz w:val="12"/>
                <w:szCs w:val="12"/>
                <w:color w:val="auto"/>
              </w:rPr>
            </w:pPr>
          </w:p>
        </w:tc>
        <w:tc>
          <w:tcPr>
            <w:tcW w:w="5520" w:type="dxa"/>
            <w:vAlign w:val="bottom"/>
            <w:tcBorders>
              <w:right w:val="single" w:sz="8" w:color="auto"/>
            </w:tcBorders>
          </w:tcPr>
          <w:p>
            <w:pPr>
              <w:ind w:left="20"/>
              <w:spacing w:after="0" w:line="145" w:lineRule="exact"/>
              <w:rPr>
                <w:sz w:val="20"/>
                <w:szCs w:val="20"/>
                <w:color w:val="auto"/>
              </w:rPr>
            </w:pPr>
            <w:r>
              <w:rPr>
                <w:rFonts w:ascii="Arial" w:cs="Arial" w:eastAsia="Arial" w:hAnsi="Arial"/>
                <w:sz w:val="13"/>
                <w:szCs w:val="13"/>
                <w:color w:val="auto"/>
              </w:rPr>
              <w:t>similaires, émis ou devant être émis par la société ou par des filiales de la société, y compris</w:t>
            </w:r>
          </w:p>
        </w:tc>
      </w:tr>
      <w:tr>
        <w:trPr>
          <w:trHeight w:val="173"/>
        </w:trPr>
        <w:tc>
          <w:tcPr>
            <w:tcW w:w="5540" w:type="dxa"/>
            <w:vAlign w:val="bottom"/>
            <w:tcBorders>
              <w:left w:val="single" w:sz="8" w:color="auto"/>
              <w:bottom w:val="single" w:sz="8" w:color="auto"/>
              <w:right w:val="single" w:sz="8" w:color="auto"/>
            </w:tcBorders>
          </w:tcPr>
          <w:p>
            <w:pPr>
              <w:spacing w:after="0"/>
              <w:rPr>
                <w:sz w:val="15"/>
                <w:szCs w:val="15"/>
                <w:color w:val="auto"/>
              </w:rPr>
            </w:pPr>
          </w:p>
        </w:tc>
        <w:tc>
          <w:tcPr>
            <w:tcW w:w="240" w:type="dxa"/>
            <w:vAlign w:val="bottom"/>
            <w:tcBorders>
              <w:bottom w:val="single" w:sz="8" w:color="auto"/>
              <w:right w:val="single" w:sz="8" w:color="auto"/>
            </w:tcBorders>
          </w:tcPr>
          <w:p>
            <w:pPr>
              <w:spacing w:after="0"/>
              <w:rPr>
                <w:sz w:val="15"/>
                <w:szCs w:val="15"/>
                <w:color w:val="auto"/>
              </w:rPr>
            </w:pPr>
          </w:p>
        </w:tc>
        <w:tc>
          <w:tcPr>
            <w:tcW w:w="55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3"/>
                <w:szCs w:val="13"/>
                <w:color w:val="auto"/>
              </w:rPr>
              <w:t>les instruments d'emprunt convertibles.</w:t>
            </w:r>
          </w:p>
        </w:tc>
      </w:tr>
      <w:tr>
        <w:trPr>
          <w:trHeight w:val="145"/>
        </w:trPr>
        <w:tc>
          <w:tcPr>
            <w:tcW w:w="5540" w:type="dxa"/>
            <w:vAlign w:val="bottom"/>
            <w:tcBorders>
              <w:left w:val="single" w:sz="8" w:color="auto"/>
              <w:right w:val="single" w:sz="8" w:color="auto"/>
            </w:tcBorders>
          </w:tcPr>
          <w:p>
            <w:pPr>
              <w:ind w:left="40"/>
              <w:spacing w:after="0" w:line="146" w:lineRule="exact"/>
              <w:rPr>
                <w:sz w:val="20"/>
                <w:szCs w:val="20"/>
                <w:color w:val="auto"/>
              </w:rPr>
            </w:pPr>
            <w:r>
              <w:rPr>
                <w:rFonts w:ascii="Arial" w:cs="Arial" w:eastAsia="Arial" w:hAnsi="Arial"/>
                <w:sz w:val="13"/>
                <w:szCs w:val="13"/>
                <w:color w:val="auto"/>
              </w:rPr>
              <w:t>Shareholders' subscription rights are excluded. Shareholders' advance subscription rights with</w:t>
            </w:r>
          </w:p>
        </w:tc>
        <w:tc>
          <w:tcPr>
            <w:tcW w:w="240" w:type="dxa"/>
            <w:vAlign w:val="bottom"/>
            <w:tcBorders>
              <w:right w:val="single" w:sz="8" w:color="auto"/>
            </w:tcBorders>
          </w:tcPr>
          <w:p>
            <w:pPr>
              <w:spacing w:after="0"/>
              <w:rPr>
                <w:sz w:val="12"/>
                <w:szCs w:val="12"/>
                <w:color w:val="auto"/>
              </w:rPr>
            </w:pPr>
          </w:p>
        </w:tc>
        <w:tc>
          <w:tcPr>
            <w:tcW w:w="5520" w:type="dxa"/>
            <w:vAlign w:val="bottom"/>
            <w:tcBorders>
              <w:right w:val="single" w:sz="8" w:color="auto"/>
            </w:tcBorders>
          </w:tcPr>
          <w:p>
            <w:pPr>
              <w:ind w:left="20"/>
              <w:spacing w:after="0" w:line="146" w:lineRule="exact"/>
              <w:rPr>
                <w:sz w:val="20"/>
                <w:szCs w:val="20"/>
                <w:color w:val="auto"/>
              </w:rPr>
            </w:pPr>
            <w:r>
              <w:rPr>
                <w:rFonts w:ascii="Arial" w:cs="Arial" w:eastAsia="Arial" w:hAnsi="Arial"/>
                <w:sz w:val="13"/>
                <w:szCs w:val="13"/>
                <w:color w:val="auto"/>
              </w:rPr>
              <w:t>Le droit de souscription préférentiel des actionnaires est exclu. Les droits de souscription</w:t>
            </w:r>
          </w:p>
        </w:tc>
      </w:tr>
      <w:tr>
        <w:trPr>
          <w:trHeight w:val="145"/>
        </w:trPr>
        <w:tc>
          <w:tcPr>
            <w:tcW w:w="5540" w:type="dxa"/>
            <w:vAlign w:val="bottom"/>
            <w:tcBorders>
              <w:left w:val="single" w:sz="8" w:color="auto"/>
              <w:right w:val="single" w:sz="8" w:color="auto"/>
            </w:tcBorders>
          </w:tcPr>
          <w:p>
            <w:pPr>
              <w:ind w:left="40"/>
              <w:spacing w:after="0" w:line="145" w:lineRule="exact"/>
              <w:rPr>
                <w:sz w:val="20"/>
                <w:szCs w:val="20"/>
                <w:color w:val="auto"/>
              </w:rPr>
            </w:pPr>
            <w:r>
              <w:rPr>
                <w:rFonts w:ascii="Arial" w:cs="Arial" w:eastAsia="Arial" w:hAnsi="Arial"/>
                <w:sz w:val="13"/>
                <w:szCs w:val="13"/>
                <w:color w:val="auto"/>
                <w:w w:val="99"/>
              </w:rPr>
              <w:t>regard to the new bonds or similar instruments may be restricted or excluded by decision of the</w:t>
            </w:r>
          </w:p>
        </w:tc>
        <w:tc>
          <w:tcPr>
            <w:tcW w:w="240" w:type="dxa"/>
            <w:vAlign w:val="bottom"/>
            <w:tcBorders>
              <w:right w:val="single" w:sz="8" w:color="auto"/>
            </w:tcBorders>
          </w:tcPr>
          <w:p>
            <w:pPr>
              <w:spacing w:after="0"/>
              <w:rPr>
                <w:sz w:val="12"/>
                <w:szCs w:val="12"/>
                <w:color w:val="auto"/>
              </w:rPr>
            </w:pPr>
          </w:p>
        </w:tc>
        <w:tc>
          <w:tcPr>
            <w:tcW w:w="5520" w:type="dxa"/>
            <w:vAlign w:val="bottom"/>
            <w:tcBorders>
              <w:right w:val="single" w:sz="8" w:color="auto"/>
            </w:tcBorders>
          </w:tcPr>
          <w:p>
            <w:pPr>
              <w:ind w:left="20"/>
              <w:spacing w:after="0" w:line="145" w:lineRule="exact"/>
              <w:rPr>
                <w:sz w:val="20"/>
                <w:szCs w:val="20"/>
                <w:color w:val="auto"/>
              </w:rPr>
            </w:pPr>
            <w:r>
              <w:rPr>
                <w:rFonts w:ascii="Arial" w:cs="Arial" w:eastAsia="Arial" w:hAnsi="Arial"/>
                <w:sz w:val="13"/>
                <w:szCs w:val="13"/>
                <w:color w:val="auto"/>
              </w:rPr>
              <w:t>préférentiels préalables des actionnaires à l'égard des nouvelles obligations ou instruments</w:t>
            </w:r>
          </w:p>
        </w:tc>
      </w:tr>
      <w:tr>
        <w:trPr>
          <w:trHeight w:val="145"/>
        </w:trPr>
        <w:tc>
          <w:tcPr>
            <w:tcW w:w="5540" w:type="dxa"/>
            <w:vAlign w:val="bottom"/>
            <w:tcBorders>
              <w:left w:val="single" w:sz="8" w:color="auto"/>
              <w:right w:val="single" w:sz="8" w:color="auto"/>
            </w:tcBorders>
          </w:tcPr>
          <w:p>
            <w:pPr>
              <w:ind w:left="40"/>
              <w:spacing w:after="0" w:line="145" w:lineRule="exact"/>
              <w:rPr>
                <w:sz w:val="20"/>
                <w:szCs w:val="20"/>
                <w:color w:val="auto"/>
              </w:rPr>
            </w:pPr>
            <w:r>
              <w:rPr>
                <w:rFonts w:ascii="Arial" w:cs="Arial" w:eastAsia="Arial" w:hAnsi="Arial"/>
                <w:sz w:val="13"/>
                <w:szCs w:val="13"/>
                <w:color w:val="auto"/>
              </w:rPr>
              <w:t>Board of Directors in order to finance or re-finance the acquisition of companies, parts of</w:t>
            </w:r>
          </w:p>
        </w:tc>
        <w:tc>
          <w:tcPr>
            <w:tcW w:w="240" w:type="dxa"/>
            <w:vAlign w:val="bottom"/>
            <w:tcBorders>
              <w:right w:val="single" w:sz="8" w:color="auto"/>
            </w:tcBorders>
          </w:tcPr>
          <w:p>
            <w:pPr>
              <w:spacing w:after="0"/>
              <w:rPr>
                <w:sz w:val="12"/>
                <w:szCs w:val="12"/>
                <w:color w:val="auto"/>
              </w:rPr>
            </w:pPr>
          </w:p>
        </w:tc>
        <w:tc>
          <w:tcPr>
            <w:tcW w:w="5520" w:type="dxa"/>
            <w:vAlign w:val="bottom"/>
            <w:tcBorders>
              <w:right w:val="single" w:sz="8" w:color="auto"/>
            </w:tcBorders>
          </w:tcPr>
          <w:p>
            <w:pPr>
              <w:ind w:left="20"/>
              <w:spacing w:after="0" w:line="145" w:lineRule="exact"/>
              <w:rPr>
                <w:sz w:val="20"/>
                <w:szCs w:val="20"/>
                <w:color w:val="auto"/>
              </w:rPr>
            </w:pPr>
            <w:r>
              <w:rPr>
                <w:rFonts w:ascii="Arial" w:cs="Arial" w:eastAsia="Arial" w:hAnsi="Arial"/>
                <w:sz w:val="13"/>
                <w:szCs w:val="13"/>
                <w:color w:val="auto"/>
                <w:w w:val="98"/>
              </w:rPr>
              <w:t>similaires peuvent être limités ou exclus par décision du conseil d'administration afin de financer</w:t>
            </w:r>
          </w:p>
        </w:tc>
      </w:tr>
      <w:tr>
        <w:trPr>
          <w:trHeight w:val="145"/>
        </w:trPr>
        <w:tc>
          <w:tcPr>
            <w:tcW w:w="5540" w:type="dxa"/>
            <w:vAlign w:val="bottom"/>
            <w:tcBorders>
              <w:left w:val="single" w:sz="8" w:color="auto"/>
              <w:right w:val="single" w:sz="8" w:color="auto"/>
            </w:tcBorders>
          </w:tcPr>
          <w:p>
            <w:pPr>
              <w:ind w:left="40"/>
              <w:spacing w:after="0" w:line="145" w:lineRule="exact"/>
              <w:rPr>
                <w:sz w:val="20"/>
                <w:szCs w:val="20"/>
                <w:color w:val="auto"/>
              </w:rPr>
            </w:pPr>
            <w:r>
              <w:rPr>
                <w:rFonts w:ascii="Arial" w:cs="Arial" w:eastAsia="Arial" w:hAnsi="Arial"/>
                <w:sz w:val="13"/>
                <w:szCs w:val="13"/>
                <w:color w:val="auto"/>
              </w:rPr>
              <w:t>companies or holdings, or new investments planned by the Company, or in order to issue</w:t>
            </w:r>
          </w:p>
        </w:tc>
        <w:tc>
          <w:tcPr>
            <w:tcW w:w="240" w:type="dxa"/>
            <w:vAlign w:val="bottom"/>
            <w:tcBorders>
              <w:right w:val="single" w:sz="8" w:color="auto"/>
            </w:tcBorders>
          </w:tcPr>
          <w:p>
            <w:pPr>
              <w:spacing w:after="0"/>
              <w:rPr>
                <w:sz w:val="12"/>
                <w:szCs w:val="12"/>
                <w:color w:val="auto"/>
              </w:rPr>
            </w:pPr>
          </w:p>
        </w:tc>
        <w:tc>
          <w:tcPr>
            <w:tcW w:w="5520" w:type="dxa"/>
            <w:vAlign w:val="bottom"/>
            <w:tcBorders>
              <w:right w:val="single" w:sz="8" w:color="auto"/>
            </w:tcBorders>
          </w:tcPr>
          <w:p>
            <w:pPr>
              <w:ind w:left="20"/>
              <w:spacing w:after="0" w:line="145" w:lineRule="exact"/>
              <w:rPr>
                <w:sz w:val="20"/>
                <w:szCs w:val="20"/>
                <w:color w:val="auto"/>
              </w:rPr>
            </w:pPr>
            <w:r>
              <w:rPr>
                <w:rFonts w:ascii="Arial" w:cs="Arial" w:eastAsia="Arial" w:hAnsi="Arial"/>
                <w:sz w:val="13"/>
                <w:szCs w:val="13"/>
                <w:color w:val="auto"/>
              </w:rPr>
              <w:t>ou de refinancer l'acquisition d'entreprises, parts d'entreprises ou de holdings, ou de nouveaux</w:t>
            </w:r>
          </w:p>
        </w:tc>
      </w:tr>
      <w:tr>
        <w:trPr>
          <w:trHeight w:val="145"/>
        </w:trPr>
        <w:tc>
          <w:tcPr>
            <w:tcW w:w="5540" w:type="dxa"/>
            <w:vAlign w:val="bottom"/>
            <w:tcBorders>
              <w:left w:val="single" w:sz="8" w:color="auto"/>
              <w:right w:val="single" w:sz="8" w:color="auto"/>
            </w:tcBorders>
          </w:tcPr>
          <w:p>
            <w:pPr>
              <w:ind w:left="40"/>
              <w:spacing w:after="0" w:line="145" w:lineRule="exact"/>
              <w:rPr>
                <w:sz w:val="20"/>
                <w:szCs w:val="20"/>
                <w:color w:val="auto"/>
              </w:rPr>
            </w:pPr>
            <w:r>
              <w:rPr>
                <w:rFonts w:ascii="Arial" w:cs="Arial" w:eastAsia="Arial" w:hAnsi="Arial"/>
                <w:sz w:val="13"/>
                <w:szCs w:val="13"/>
                <w:color w:val="auto"/>
              </w:rPr>
              <w:t>convertible  bonds  and  warrants  on  the  international  capital  markets  or  through  private</w:t>
            </w:r>
          </w:p>
        </w:tc>
        <w:tc>
          <w:tcPr>
            <w:tcW w:w="240" w:type="dxa"/>
            <w:vAlign w:val="bottom"/>
            <w:tcBorders>
              <w:right w:val="single" w:sz="8" w:color="auto"/>
            </w:tcBorders>
          </w:tcPr>
          <w:p>
            <w:pPr>
              <w:spacing w:after="0"/>
              <w:rPr>
                <w:sz w:val="12"/>
                <w:szCs w:val="12"/>
                <w:color w:val="auto"/>
              </w:rPr>
            </w:pPr>
          </w:p>
        </w:tc>
        <w:tc>
          <w:tcPr>
            <w:tcW w:w="5520" w:type="dxa"/>
            <w:vAlign w:val="bottom"/>
            <w:tcBorders>
              <w:right w:val="single" w:sz="8" w:color="auto"/>
            </w:tcBorders>
          </w:tcPr>
          <w:p>
            <w:pPr>
              <w:ind w:left="20"/>
              <w:spacing w:after="0" w:line="145" w:lineRule="exact"/>
              <w:rPr>
                <w:sz w:val="20"/>
                <w:szCs w:val="20"/>
                <w:color w:val="auto"/>
              </w:rPr>
            </w:pPr>
            <w:r>
              <w:rPr>
                <w:rFonts w:ascii="Arial" w:cs="Arial" w:eastAsia="Arial" w:hAnsi="Arial"/>
                <w:sz w:val="13"/>
                <w:szCs w:val="13"/>
                <w:color w:val="auto"/>
              </w:rPr>
              <w:t>investissements prévus par la société, ou en vue d'émettre des obligations convertibles et des</w:t>
            </w:r>
          </w:p>
        </w:tc>
      </w:tr>
      <w:tr>
        <w:trPr>
          <w:trHeight w:val="145"/>
        </w:trPr>
        <w:tc>
          <w:tcPr>
            <w:tcW w:w="5540" w:type="dxa"/>
            <w:vAlign w:val="bottom"/>
            <w:tcBorders>
              <w:left w:val="single" w:sz="8" w:color="auto"/>
              <w:right w:val="single" w:sz="8" w:color="auto"/>
            </w:tcBorders>
          </w:tcPr>
          <w:p>
            <w:pPr>
              <w:ind w:left="40"/>
              <w:spacing w:after="0" w:line="145" w:lineRule="exact"/>
              <w:rPr>
                <w:sz w:val="20"/>
                <w:szCs w:val="20"/>
                <w:color w:val="auto"/>
              </w:rPr>
            </w:pPr>
            <w:r>
              <w:rPr>
                <w:rFonts w:ascii="Arial" w:cs="Arial" w:eastAsia="Arial" w:hAnsi="Arial"/>
                <w:sz w:val="13"/>
                <w:szCs w:val="13"/>
                <w:color w:val="auto"/>
              </w:rPr>
              <w:t>placement. If advance subscription rights are excluded, then (1) the instruments are to be</w:t>
            </w:r>
          </w:p>
        </w:tc>
        <w:tc>
          <w:tcPr>
            <w:tcW w:w="240" w:type="dxa"/>
            <w:vAlign w:val="bottom"/>
            <w:tcBorders>
              <w:right w:val="single" w:sz="8" w:color="auto"/>
            </w:tcBorders>
          </w:tcPr>
          <w:p>
            <w:pPr>
              <w:spacing w:after="0"/>
              <w:rPr>
                <w:sz w:val="12"/>
                <w:szCs w:val="12"/>
                <w:color w:val="auto"/>
              </w:rPr>
            </w:pPr>
          </w:p>
        </w:tc>
        <w:tc>
          <w:tcPr>
            <w:tcW w:w="5520" w:type="dxa"/>
            <w:vAlign w:val="bottom"/>
            <w:tcBorders>
              <w:right w:val="single" w:sz="8" w:color="auto"/>
            </w:tcBorders>
          </w:tcPr>
          <w:p>
            <w:pPr>
              <w:ind w:left="20"/>
              <w:spacing w:after="0" w:line="145" w:lineRule="exact"/>
              <w:rPr>
                <w:sz w:val="20"/>
                <w:szCs w:val="20"/>
                <w:color w:val="auto"/>
              </w:rPr>
            </w:pPr>
            <w:r>
              <w:rPr>
                <w:rFonts w:ascii="Arial" w:cs="Arial" w:eastAsia="Arial" w:hAnsi="Arial"/>
                <w:sz w:val="13"/>
                <w:szCs w:val="13"/>
                <w:color w:val="auto"/>
              </w:rPr>
              <w:t>bons de souscription sur les marchés internationaux de capitaux ou par placement privé. Si les</w:t>
            </w:r>
          </w:p>
        </w:tc>
      </w:tr>
      <w:tr>
        <w:trPr>
          <w:trHeight w:val="145"/>
        </w:trPr>
        <w:tc>
          <w:tcPr>
            <w:tcW w:w="5540" w:type="dxa"/>
            <w:vAlign w:val="bottom"/>
            <w:tcBorders>
              <w:left w:val="single" w:sz="8" w:color="auto"/>
              <w:right w:val="single" w:sz="8" w:color="auto"/>
            </w:tcBorders>
          </w:tcPr>
          <w:p>
            <w:pPr>
              <w:ind w:left="40"/>
              <w:spacing w:after="0" w:line="145" w:lineRule="exact"/>
              <w:rPr>
                <w:sz w:val="20"/>
                <w:szCs w:val="20"/>
                <w:color w:val="auto"/>
              </w:rPr>
            </w:pPr>
            <w:r>
              <w:rPr>
                <w:rFonts w:ascii="Arial" w:cs="Arial" w:eastAsia="Arial" w:hAnsi="Arial"/>
                <w:sz w:val="13"/>
                <w:szCs w:val="13"/>
                <w:color w:val="auto"/>
              </w:rPr>
              <w:t>placed at market conditions, (2) the exercise period is not to exceed ten years from the date of</w:t>
            </w:r>
          </w:p>
        </w:tc>
        <w:tc>
          <w:tcPr>
            <w:tcW w:w="240" w:type="dxa"/>
            <w:vAlign w:val="bottom"/>
            <w:tcBorders>
              <w:right w:val="single" w:sz="8" w:color="auto"/>
            </w:tcBorders>
          </w:tcPr>
          <w:p>
            <w:pPr>
              <w:spacing w:after="0"/>
              <w:rPr>
                <w:sz w:val="12"/>
                <w:szCs w:val="12"/>
                <w:color w:val="auto"/>
              </w:rPr>
            </w:pPr>
          </w:p>
        </w:tc>
        <w:tc>
          <w:tcPr>
            <w:tcW w:w="5520" w:type="dxa"/>
            <w:vAlign w:val="bottom"/>
            <w:tcBorders>
              <w:right w:val="single" w:sz="8" w:color="auto"/>
            </w:tcBorders>
          </w:tcPr>
          <w:p>
            <w:pPr>
              <w:ind w:left="20"/>
              <w:spacing w:after="0" w:line="145" w:lineRule="exact"/>
              <w:rPr>
                <w:sz w:val="20"/>
                <w:szCs w:val="20"/>
                <w:color w:val="auto"/>
              </w:rPr>
            </w:pPr>
            <w:r>
              <w:rPr>
                <w:rFonts w:ascii="Arial" w:cs="Arial" w:eastAsia="Arial" w:hAnsi="Arial"/>
                <w:sz w:val="13"/>
                <w:szCs w:val="13"/>
                <w:color w:val="auto"/>
              </w:rPr>
              <w:t>droits de souscription préférentiels préalables sont exclus, (1) les instruments doivent être</w:t>
            </w:r>
          </w:p>
        </w:tc>
      </w:tr>
      <w:tr>
        <w:trPr>
          <w:trHeight w:val="145"/>
        </w:trPr>
        <w:tc>
          <w:tcPr>
            <w:tcW w:w="5540" w:type="dxa"/>
            <w:vAlign w:val="bottom"/>
            <w:tcBorders>
              <w:left w:val="single" w:sz="8" w:color="auto"/>
              <w:right w:val="single" w:sz="8" w:color="auto"/>
            </w:tcBorders>
          </w:tcPr>
          <w:p>
            <w:pPr>
              <w:ind w:left="40"/>
              <w:spacing w:after="0" w:line="145" w:lineRule="exact"/>
              <w:rPr>
                <w:sz w:val="20"/>
                <w:szCs w:val="20"/>
                <w:color w:val="auto"/>
              </w:rPr>
            </w:pPr>
            <w:r>
              <w:rPr>
                <w:rFonts w:ascii="Arial" w:cs="Arial" w:eastAsia="Arial" w:hAnsi="Arial"/>
                <w:sz w:val="13"/>
                <w:szCs w:val="13"/>
                <w:color w:val="auto"/>
              </w:rPr>
              <w:t>issue for warrants and twenty years for conversion rights and (3) the conversion or exercise</w:t>
            </w:r>
          </w:p>
        </w:tc>
        <w:tc>
          <w:tcPr>
            <w:tcW w:w="240" w:type="dxa"/>
            <w:vAlign w:val="bottom"/>
            <w:tcBorders>
              <w:right w:val="single" w:sz="8" w:color="auto"/>
            </w:tcBorders>
          </w:tcPr>
          <w:p>
            <w:pPr>
              <w:spacing w:after="0"/>
              <w:rPr>
                <w:sz w:val="12"/>
                <w:szCs w:val="12"/>
                <w:color w:val="auto"/>
              </w:rPr>
            </w:pPr>
          </w:p>
        </w:tc>
        <w:tc>
          <w:tcPr>
            <w:tcW w:w="5520" w:type="dxa"/>
            <w:vAlign w:val="bottom"/>
            <w:tcBorders>
              <w:right w:val="single" w:sz="8" w:color="auto"/>
            </w:tcBorders>
          </w:tcPr>
          <w:p>
            <w:pPr>
              <w:ind w:left="20"/>
              <w:spacing w:after="0" w:line="145" w:lineRule="exact"/>
              <w:rPr>
                <w:sz w:val="20"/>
                <w:szCs w:val="20"/>
                <w:color w:val="auto"/>
              </w:rPr>
            </w:pPr>
            <w:r>
              <w:rPr>
                <w:rFonts w:ascii="Arial" w:cs="Arial" w:eastAsia="Arial" w:hAnsi="Arial"/>
                <w:sz w:val="13"/>
                <w:szCs w:val="13"/>
                <w:color w:val="auto"/>
              </w:rPr>
              <w:t>attribués aux conditions du marché, (2) la période d'exercice ne doit pas dépasser dix ans à</w:t>
            </w:r>
          </w:p>
        </w:tc>
      </w:tr>
      <w:tr>
        <w:trPr>
          <w:trHeight w:val="145"/>
        </w:trPr>
        <w:tc>
          <w:tcPr>
            <w:tcW w:w="5540" w:type="dxa"/>
            <w:vAlign w:val="bottom"/>
            <w:tcBorders>
              <w:left w:val="single" w:sz="8" w:color="auto"/>
              <w:right w:val="single" w:sz="8" w:color="auto"/>
            </w:tcBorders>
          </w:tcPr>
          <w:p>
            <w:pPr>
              <w:ind w:left="40"/>
              <w:spacing w:after="0" w:line="145" w:lineRule="exact"/>
              <w:rPr>
                <w:sz w:val="20"/>
                <w:szCs w:val="20"/>
                <w:color w:val="auto"/>
              </w:rPr>
            </w:pPr>
            <w:r>
              <w:rPr>
                <w:rFonts w:ascii="Arial" w:cs="Arial" w:eastAsia="Arial" w:hAnsi="Arial"/>
                <w:sz w:val="13"/>
                <w:szCs w:val="13"/>
                <w:color w:val="auto"/>
              </w:rPr>
              <w:t>price for the new shares is to be set at least in line with the market conditions prevailing at the</w:t>
            </w:r>
          </w:p>
        </w:tc>
        <w:tc>
          <w:tcPr>
            <w:tcW w:w="240" w:type="dxa"/>
            <w:vAlign w:val="bottom"/>
            <w:tcBorders>
              <w:right w:val="single" w:sz="8" w:color="auto"/>
            </w:tcBorders>
          </w:tcPr>
          <w:p>
            <w:pPr>
              <w:spacing w:after="0"/>
              <w:rPr>
                <w:sz w:val="12"/>
                <w:szCs w:val="12"/>
                <w:color w:val="auto"/>
              </w:rPr>
            </w:pPr>
          </w:p>
        </w:tc>
        <w:tc>
          <w:tcPr>
            <w:tcW w:w="5520" w:type="dxa"/>
            <w:vAlign w:val="bottom"/>
            <w:tcBorders>
              <w:right w:val="single" w:sz="8" w:color="auto"/>
            </w:tcBorders>
          </w:tcPr>
          <w:p>
            <w:pPr>
              <w:ind w:left="20"/>
              <w:spacing w:after="0" w:line="145" w:lineRule="exact"/>
              <w:rPr>
                <w:sz w:val="20"/>
                <w:szCs w:val="20"/>
                <w:color w:val="auto"/>
              </w:rPr>
            </w:pPr>
            <w:r>
              <w:rPr>
                <w:rFonts w:ascii="Arial" w:cs="Arial" w:eastAsia="Arial" w:hAnsi="Arial"/>
                <w:sz w:val="13"/>
                <w:szCs w:val="13"/>
                <w:color w:val="auto"/>
              </w:rPr>
              <w:t>partir de la date d'émission des bons de souscription et vingt ans pour les droits de conversion</w:t>
            </w:r>
          </w:p>
        </w:tc>
      </w:tr>
      <w:tr>
        <w:trPr>
          <w:trHeight w:val="145"/>
        </w:trPr>
        <w:tc>
          <w:tcPr>
            <w:tcW w:w="5540" w:type="dxa"/>
            <w:vAlign w:val="bottom"/>
            <w:tcBorders>
              <w:left w:val="single" w:sz="8" w:color="auto"/>
              <w:right w:val="single" w:sz="8" w:color="auto"/>
            </w:tcBorders>
          </w:tcPr>
          <w:p>
            <w:pPr>
              <w:ind w:left="40"/>
              <w:spacing w:after="0" w:line="145" w:lineRule="exact"/>
              <w:rPr>
                <w:sz w:val="20"/>
                <w:szCs w:val="20"/>
                <w:color w:val="auto"/>
              </w:rPr>
            </w:pPr>
            <w:r>
              <w:rPr>
                <w:rFonts w:ascii="Arial" w:cs="Arial" w:eastAsia="Arial" w:hAnsi="Arial"/>
                <w:sz w:val="13"/>
                <w:szCs w:val="13"/>
                <w:color w:val="auto"/>
                <w:w w:val="99"/>
              </w:rPr>
              <w:t>date on which the instruments are issued. The respective holders of conversion and/or option or</w:t>
            </w:r>
          </w:p>
        </w:tc>
        <w:tc>
          <w:tcPr>
            <w:tcW w:w="240" w:type="dxa"/>
            <w:vAlign w:val="bottom"/>
            <w:tcBorders>
              <w:right w:val="single" w:sz="8" w:color="auto"/>
            </w:tcBorders>
          </w:tcPr>
          <w:p>
            <w:pPr>
              <w:spacing w:after="0"/>
              <w:rPr>
                <w:sz w:val="12"/>
                <w:szCs w:val="12"/>
                <w:color w:val="auto"/>
              </w:rPr>
            </w:pPr>
          </w:p>
        </w:tc>
        <w:tc>
          <w:tcPr>
            <w:tcW w:w="5520" w:type="dxa"/>
            <w:vAlign w:val="bottom"/>
            <w:tcBorders>
              <w:right w:val="single" w:sz="8" w:color="auto"/>
            </w:tcBorders>
          </w:tcPr>
          <w:p>
            <w:pPr>
              <w:ind w:left="20"/>
              <w:spacing w:after="0" w:line="145" w:lineRule="exact"/>
              <w:rPr>
                <w:sz w:val="20"/>
                <w:szCs w:val="20"/>
                <w:color w:val="auto"/>
              </w:rPr>
            </w:pPr>
            <w:r>
              <w:rPr>
                <w:rFonts w:ascii="Arial" w:cs="Arial" w:eastAsia="Arial" w:hAnsi="Arial"/>
                <w:sz w:val="13"/>
                <w:szCs w:val="13"/>
                <w:color w:val="auto"/>
              </w:rPr>
              <w:t>et (3) le prix de conversion ou d'exercice des actions nouvelles doit être fixé au moins aux</w:t>
            </w:r>
          </w:p>
        </w:tc>
      </w:tr>
      <w:tr>
        <w:trPr>
          <w:trHeight w:val="145"/>
        </w:trPr>
        <w:tc>
          <w:tcPr>
            <w:tcW w:w="5540" w:type="dxa"/>
            <w:vAlign w:val="bottom"/>
            <w:tcBorders>
              <w:left w:val="single" w:sz="8" w:color="auto"/>
              <w:right w:val="single" w:sz="8" w:color="auto"/>
            </w:tcBorders>
          </w:tcPr>
          <w:p>
            <w:pPr>
              <w:ind w:left="40"/>
              <w:spacing w:after="0" w:line="145" w:lineRule="exact"/>
              <w:rPr>
                <w:sz w:val="20"/>
                <w:szCs w:val="20"/>
                <w:color w:val="auto"/>
              </w:rPr>
            </w:pPr>
            <w:r>
              <w:rPr>
                <w:rFonts w:ascii="Arial" w:cs="Arial" w:eastAsia="Arial" w:hAnsi="Arial"/>
                <w:sz w:val="13"/>
                <w:szCs w:val="13"/>
                <w:color w:val="auto"/>
              </w:rPr>
              <w:t>warrant rights are entitled to subscribe the new shares.</w:t>
            </w:r>
          </w:p>
        </w:tc>
        <w:tc>
          <w:tcPr>
            <w:tcW w:w="240" w:type="dxa"/>
            <w:vAlign w:val="bottom"/>
            <w:tcBorders>
              <w:right w:val="single" w:sz="8" w:color="auto"/>
            </w:tcBorders>
          </w:tcPr>
          <w:p>
            <w:pPr>
              <w:spacing w:after="0"/>
              <w:rPr>
                <w:sz w:val="12"/>
                <w:szCs w:val="12"/>
                <w:color w:val="auto"/>
              </w:rPr>
            </w:pPr>
          </w:p>
        </w:tc>
        <w:tc>
          <w:tcPr>
            <w:tcW w:w="5520" w:type="dxa"/>
            <w:vAlign w:val="bottom"/>
            <w:tcBorders>
              <w:right w:val="single" w:sz="8" w:color="auto"/>
            </w:tcBorders>
          </w:tcPr>
          <w:p>
            <w:pPr>
              <w:ind w:left="20"/>
              <w:spacing w:after="0" w:line="145" w:lineRule="exact"/>
              <w:rPr>
                <w:sz w:val="20"/>
                <w:szCs w:val="20"/>
                <w:color w:val="auto"/>
              </w:rPr>
            </w:pPr>
            <w:r>
              <w:rPr>
                <w:rFonts w:ascii="Arial" w:cs="Arial" w:eastAsia="Arial" w:hAnsi="Arial"/>
                <w:sz w:val="13"/>
                <w:szCs w:val="13"/>
                <w:color w:val="auto"/>
              </w:rPr>
              <w:t>conditions du marché prévalant à la date à laquelle les instruments sont émis. Les détenteurs</w:t>
            </w:r>
          </w:p>
        </w:tc>
      </w:tr>
      <w:tr>
        <w:trPr>
          <w:trHeight w:val="145"/>
        </w:trPr>
        <w:tc>
          <w:tcPr>
            <w:tcW w:w="5540" w:type="dxa"/>
            <w:vAlign w:val="bottom"/>
            <w:tcBorders>
              <w:left w:val="single" w:sz="8" w:color="auto"/>
              <w:right w:val="single" w:sz="8" w:color="auto"/>
            </w:tcBorders>
          </w:tcPr>
          <w:p>
            <w:pPr>
              <w:spacing w:after="0"/>
              <w:rPr>
                <w:sz w:val="12"/>
                <w:szCs w:val="12"/>
                <w:color w:val="auto"/>
              </w:rPr>
            </w:pPr>
          </w:p>
        </w:tc>
        <w:tc>
          <w:tcPr>
            <w:tcW w:w="240" w:type="dxa"/>
            <w:vAlign w:val="bottom"/>
            <w:tcBorders>
              <w:right w:val="single" w:sz="8" w:color="auto"/>
            </w:tcBorders>
          </w:tcPr>
          <w:p>
            <w:pPr>
              <w:spacing w:after="0"/>
              <w:rPr>
                <w:sz w:val="12"/>
                <w:szCs w:val="12"/>
                <w:color w:val="auto"/>
              </w:rPr>
            </w:pPr>
          </w:p>
        </w:tc>
        <w:tc>
          <w:tcPr>
            <w:tcW w:w="5520" w:type="dxa"/>
            <w:vAlign w:val="bottom"/>
            <w:tcBorders>
              <w:right w:val="single" w:sz="8" w:color="auto"/>
            </w:tcBorders>
          </w:tcPr>
          <w:p>
            <w:pPr>
              <w:ind w:left="20"/>
              <w:spacing w:after="0" w:line="145" w:lineRule="exact"/>
              <w:rPr>
                <w:sz w:val="20"/>
                <w:szCs w:val="20"/>
                <w:color w:val="auto"/>
              </w:rPr>
            </w:pPr>
            <w:r>
              <w:rPr>
                <w:rFonts w:ascii="Arial" w:cs="Arial" w:eastAsia="Arial" w:hAnsi="Arial"/>
                <w:sz w:val="13"/>
                <w:szCs w:val="13"/>
                <w:color w:val="auto"/>
              </w:rPr>
              <w:t>respectifs de droits de conversion et/ou option ou de bons de souscription ont le droit de</w:t>
            </w:r>
          </w:p>
        </w:tc>
      </w:tr>
      <w:tr>
        <w:trPr>
          <w:trHeight w:val="173"/>
        </w:trPr>
        <w:tc>
          <w:tcPr>
            <w:tcW w:w="5540" w:type="dxa"/>
            <w:vAlign w:val="bottom"/>
            <w:tcBorders>
              <w:left w:val="single" w:sz="8" w:color="auto"/>
              <w:bottom w:val="single" w:sz="8" w:color="auto"/>
              <w:right w:val="single" w:sz="8" w:color="auto"/>
            </w:tcBorders>
          </w:tcPr>
          <w:p>
            <w:pPr>
              <w:spacing w:after="0"/>
              <w:rPr>
                <w:sz w:val="15"/>
                <w:szCs w:val="15"/>
                <w:color w:val="auto"/>
              </w:rPr>
            </w:pPr>
          </w:p>
        </w:tc>
        <w:tc>
          <w:tcPr>
            <w:tcW w:w="240" w:type="dxa"/>
            <w:vAlign w:val="bottom"/>
            <w:tcBorders>
              <w:bottom w:val="single" w:sz="8" w:color="auto"/>
              <w:right w:val="single" w:sz="8" w:color="auto"/>
            </w:tcBorders>
          </w:tcPr>
          <w:p>
            <w:pPr>
              <w:spacing w:after="0"/>
              <w:rPr>
                <w:sz w:val="15"/>
                <w:szCs w:val="15"/>
                <w:color w:val="auto"/>
              </w:rPr>
            </w:pPr>
          </w:p>
        </w:tc>
        <w:tc>
          <w:tcPr>
            <w:tcW w:w="55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3"/>
                <w:szCs w:val="13"/>
                <w:color w:val="auto"/>
              </w:rPr>
              <w:t>souscrire les nouvelles actions.</w:t>
            </w:r>
          </w:p>
        </w:tc>
      </w:tr>
      <w:tr>
        <w:trPr>
          <w:trHeight w:val="145"/>
        </w:trPr>
        <w:tc>
          <w:tcPr>
            <w:tcW w:w="5540" w:type="dxa"/>
            <w:vAlign w:val="bottom"/>
            <w:tcBorders>
              <w:left w:val="single" w:sz="8" w:color="auto"/>
              <w:right w:val="single" w:sz="8" w:color="auto"/>
            </w:tcBorders>
          </w:tcPr>
          <w:p>
            <w:pPr>
              <w:ind w:left="40"/>
              <w:spacing w:after="0" w:line="146" w:lineRule="exact"/>
              <w:rPr>
                <w:sz w:val="20"/>
                <w:szCs w:val="20"/>
                <w:color w:val="auto"/>
              </w:rPr>
            </w:pPr>
            <w:r>
              <w:rPr>
                <w:rFonts w:ascii="Arial" w:cs="Arial" w:eastAsia="Arial" w:hAnsi="Arial"/>
                <w:sz w:val="13"/>
                <w:szCs w:val="13"/>
                <w:color w:val="auto"/>
              </w:rPr>
              <w:t>The acquisition of registered shares through the exercise of conversion rights or warrants and</w:t>
            </w:r>
          </w:p>
        </w:tc>
        <w:tc>
          <w:tcPr>
            <w:tcW w:w="240" w:type="dxa"/>
            <w:vAlign w:val="bottom"/>
            <w:tcBorders>
              <w:right w:val="single" w:sz="8" w:color="auto"/>
            </w:tcBorders>
          </w:tcPr>
          <w:p>
            <w:pPr>
              <w:spacing w:after="0"/>
              <w:rPr>
                <w:sz w:val="12"/>
                <w:szCs w:val="12"/>
                <w:color w:val="auto"/>
              </w:rPr>
            </w:pPr>
          </w:p>
        </w:tc>
        <w:tc>
          <w:tcPr>
            <w:tcW w:w="5520" w:type="dxa"/>
            <w:vAlign w:val="bottom"/>
            <w:tcBorders>
              <w:right w:val="single" w:sz="8" w:color="auto"/>
            </w:tcBorders>
          </w:tcPr>
          <w:p>
            <w:pPr>
              <w:ind w:left="20"/>
              <w:spacing w:after="0" w:line="146" w:lineRule="exact"/>
              <w:rPr>
                <w:sz w:val="20"/>
                <w:szCs w:val="20"/>
                <w:color w:val="auto"/>
              </w:rPr>
            </w:pPr>
            <w:r>
              <w:rPr>
                <w:rFonts w:ascii="Arial" w:cs="Arial" w:eastAsia="Arial" w:hAnsi="Arial"/>
                <w:sz w:val="13"/>
                <w:szCs w:val="13"/>
                <w:color w:val="auto"/>
              </w:rPr>
              <w:t>L'acquisition d'actions nominatives par l'exercice de droits ou de bons de conversion et les</w:t>
            </w:r>
          </w:p>
        </w:tc>
      </w:tr>
      <w:tr>
        <w:trPr>
          <w:trHeight w:val="145"/>
        </w:trPr>
        <w:tc>
          <w:tcPr>
            <w:tcW w:w="5540" w:type="dxa"/>
            <w:vAlign w:val="bottom"/>
            <w:tcBorders>
              <w:left w:val="single" w:sz="8" w:color="auto"/>
              <w:right w:val="single" w:sz="8" w:color="auto"/>
            </w:tcBorders>
          </w:tcPr>
          <w:p>
            <w:pPr>
              <w:ind w:left="40"/>
              <w:spacing w:after="0" w:line="145" w:lineRule="exact"/>
              <w:rPr>
                <w:sz w:val="20"/>
                <w:szCs w:val="20"/>
                <w:color w:val="auto"/>
              </w:rPr>
            </w:pPr>
            <w:r>
              <w:rPr>
                <w:rFonts w:ascii="Arial" w:cs="Arial" w:eastAsia="Arial" w:hAnsi="Arial"/>
                <w:sz w:val="13"/>
                <w:szCs w:val="13"/>
                <w:color w:val="auto"/>
              </w:rPr>
              <w:t>any transfers of registered shares shall be subject to the restrictions specified in Article 4 of the</w:t>
            </w:r>
          </w:p>
        </w:tc>
        <w:tc>
          <w:tcPr>
            <w:tcW w:w="240" w:type="dxa"/>
            <w:vAlign w:val="bottom"/>
            <w:tcBorders>
              <w:right w:val="single" w:sz="8" w:color="auto"/>
            </w:tcBorders>
          </w:tcPr>
          <w:p>
            <w:pPr>
              <w:spacing w:after="0"/>
              <w:rPr>
                <w:sz w:val="12"/>
                <w:szCs w:val="12"/>
                <w:color w:val="auto"/>
              </w:rPr>
            </w:pPr>
          </w:p>
        </w:tc>
        <w:tc>
          <w:tcPr>
            <w:tcW w:w="5520" w:type="dxa"/>
            <w:vAlign w:val="bottom"/>
            <w:tcBorders>
              <w:right w:val="single" w:sz="8" w:color="auto"/>
            </w:tcBorders>
          </w:tcPr>
          <w:p>
            <w:pPr>
              <w:ind w:left="20"/>
              <w:spacing w:after="0" w:line="145" w:lineRule="exact"/>
              <w:rPr>
                <w:sz w:val="20"/>
                <w:szCs w:val="20"/>
                <w:color w:val="auto"/>
              </w:rPr>
            </w:pPr>
            <w:r>
              <w:rPr>
                <w:rFonts w:ascii="Arial" w:cs="Arial" w:eastAsia="Arial" w:hAnsi="Arial"/>
                <w:sz w:val="13"/>
                <w:szCs w:val="13"/>
                <w:color w:val="auto"/>
              </w:rPr>
              <w:t>transferts d'actions nominatives sont assujetties aux restrictions prévues par l'article 4 des</w:t>
            </w:r>
          </w:p>
        </w:tc>
      </w:tr>
      <w:tr>
        <w:trPr>
          <w:trHeight w:val="173"/>
        </w:trPr>
        <w:tc>
          <w:tcPr>
            <w:tcW w:w="554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3"/>
                <w:szCs w:val="13"/>
                <w:color w:val="auto"/>
              </w:rPr>
              <w:t>Articles of Association.</w:t>
            </w:r>
          </w:p>
        </w:tc>
        <w:tc>
          <w:tcPr>
            <w:tcW w:w="240" w:type="dxa"/>
            <w:vAlign w:val="bottom"/>
            <w:tcBorders>
              <w:bottom w:val="single" w:sz="8" w:color="auto"/>
              <w:right w:val="single" w:sz="8" w:color="auto"/>
            </w:tcBorders>
          </w:tcPr>
          <w:p>
            <w:pPr>
              <w:spacing w:after="0"/>
              <w:rPr>
                <w:sz w:val="15"/>
                <w:szCs w:val="15"/>
                <w:color w:val="auto"/>
              </w:rPr>
            </w:pPr>
          </w:p>
        </w:tc>
        <w:tc>
          <w:tcPr>
            <w:tcW w:w="55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3"/>
                <w:szCs w:val="13"/>
                <w:color w:val="auto"/>
              </w:rPr>
              <w:t>statuts.</w:t>
            </w:r>
          </w:p>
        </w:tc>
      </w:tr>
      <w:tr>
        <w:trPr>
          <w:trHeight w:val="177"/>
        </w:trPr>
        <w:tc>
          <w:tcPr>
            <w:tcW w:w="554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3"/>
                <w:szCs w:val="13"/>
                <w:b w:val="1"/>
                <w:bCs w:val="1"/>
                <w:color w:val="auto"/>
              </w:rPr>
              <w:t>Art. 3c  Conditional Share Capital</w:t>
            </w:r>
          </w:p>
        </w:tc>
        <w:tc>
          <w:tcPr>
            <w:tcW w:w="240" w:type="dxa"/>
            <w:vAlign w:val="bottom"/>
            <w:tcBorders>
              <w:bottom w:val="single" w:sz="8" w:color="auto"/>
              <w:right w:val="single" w:sz="8" w:color="auto"/>
            </w:tcBorders>
          </w:tcPr>
          <w:p>
            <w:pPr>
              <w:spacing w:after="0"/>
              <w:rPr>
                <w:sz w:val="15"/>
                <w:szCs w:val="15"/>
                <w:color w:val="auto"/>
              </w:rPr>
            </w:pPr>
          </w:p>
        </w:tc>
        <w:tc>
          <w:tcPr>
            <w:tcW w:w="55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3"/>
                <w:szCs w:val="13"/>
                <w:b w:val="1"/>
                <w:bCs w:val="1"/>
                <w:color w:val="auto"/>
              </w:rPr>
              <w:t>Art. 3c  Augmentation conditionnelle du capital-actions pour</w:t>
            </w:r>
          </w:p>
        </w:tc>
      </w:tr>
      <w:tr>
        <w:trPr>
          <w:trHeight w:val="173"/>
        </w:trPr>
        <w:tc>
          <w:tcPr>
            <w:tcW w:w="554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3"/>
                <w:szCs w:val="13"/>
                <w:b w:val="1"/>
                <w:bCs w:val="1"/>
                <w:color w:val="auto"/>
              </w:rPr>
              <w:t>Increase for Employee Benefit Plans</w:t>
            </w:r>
          </w:p>
        </w:tc>
        <w:tc>
          <w:tcPr>
            <w:tcW w:w="240" w:type="dxa"/>
            <w:vAlign w:val="bottom"/>
            <w:tcBorders>
              <w:bottom w:val="single" w:sz="8" w:color="auto"/>
              <w:right w:val="single" w:sz="8" w:color="auto"/>
            </w:tcBorders>
          </w:tcPr>
          <w:p>
            <w:pPr>
              <w:spacing w:after="0"/>
              <w:rPr>
                <w:sz w:val="15"/>
                <w:szCs w:val="15"/>
                <w:color w:val="auto"/>
              </w:rPr>
            </w:pPr>
          </w:p>
        </w:tc>
        <w:tc>
          <w:tcPr>
            <w:tcW w:w="55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3"/>
                <w:szCs w:val="13"/>
                <w:b w:val="1"/>
                <w:bCs w:val="1"/>
                <w:color w:val="auto"/>
              </w:rPr>
              <w:t>les plans d'avantages sociaux</w:t>
            </w:r>
          </w:p>
        </w:tc>
      </w:tr>
      <w:tr>
        <w:trPr>
          <w:trHeight w:val="141"/>
        </w:trPr>
        <w:tc>
          <w:tcPr>
            <w:tcW w:w="5540" w:type="dxa"/>
            <w:vAlign w:val="bottom"/>
            <w:tcBorders>
              <w:left w:val="single" w:sz="8" w:color="auto"/>
              <w:right w:val="single" w:sz="8" w:color="auto"/>
            </w:tcBorders>
          </w:tcPr>
          <w:p>
            <w:pPr>
              <w:ind w:left="40"/>
              <w:spacing w:after="0" w:line="141" w:lineRule="exact"/>
              <w:rPr>
                <w:sz w:val="20"/>
                <w:szCs w:val="20"/>
                <w:color w:val="auto"/>
              </w:rPr>
            </w:pPr>
            <w:r>
              <w:rPr>
                <w:rFonts w:ascii="Arial" w:cs="Arial" w:eastAsia="Arial" w:hAnsi="Arial"/>
                <w:sz w:val="13"/>
                <w:szCs w:val="13"/>
                <w:color w:val="auto"/>
              </w:rPr>
              <w:t>The share capital of the Company shall be increased by an amount not exceeding CHF 96’000</w:t>
            </w:r>
          </w:p>
        </w:tc>
        <w:tc>
          <w:tcPr>
            <w:tcW w:w="240" w:type="dxa"/>
            <w:vAlign w:val="bottom"/>
            <w:tcBorders>
              <w:right w:val="single" w:sz="8" w:color="auto"/>
            </w:tcBorders>
          </w:tcPr>
          <w:p>
            <w:pPr>
              <w:spacing w:after="0"/>
              <w:rPr>
                <w:sz w:val="12"/>
                <w:szCs w:val="12"/>
                <w:color w:val="auto"/>
              </w:rPr>
            </w:pPr>
          </w:p>
        </w:tc>
        <w:tc>
          <w:tcPr>
            <w:tcW w:w="5520" w:type="dxa"/>
            <w:vAlign w:val="bottom"/>
            <w:tcBorders>
              <w:right w:val="single" w:sz="8" w:color="auto"/>
            </w:tcBorders>
          </w:tcPr>
          <w:p>
            <w:pPr>
              <w:ind w:left="20"/>
              <w:spacing w:after="0" w:line="141" w:lineRule="exact"/>
              <w:rPr>
                <w:sz w:val="20"/>
                <w:szCs w:val="20"/>
                <w:color w:val="auto"/>
              </w:rPr>
            </w:pPr>
            <w:r>
              <w:rPr>
                <w:rFonts w:ascii="Arial" w:cs="Arial" w:eastAsia="Arial" w:hAnsi="Arial"/>
                <w:sz w:val="13"/>
                <w:szCs w:val="13"/>
                <w:color w:val="auto"/>
              </w:rPr>
              <w:t>Le capital social de la société sera augmenté d'un montant ne dépassant pas CHF 96’000 par</w:t>
            </w:r>
          </w:p>
        </w:tc>
      </w:tr>
      <w:tr>
        <w:trPr>
          <w:trHeight w:val="145"/>
        </w:trPr>
        <w:tc>
          <w:tcPr>
            <w:tcW w:w="5540" w:type="dxa"/>
            <w:vAlign w:val="bottom"/>
            <w:tcBorders>
              <w:left w:val="single" w:sz="8" w:color="auto"/>
              <w:right w:val="single" w:sz="8" w:color="auto"/>
            </w:tcBorders>
          </w:tcPr>
          <w:p>
            <w:pPr>
              <w:ind w:left="40"/>
              <w:spacing w:after="0" w:line="145" w:lineRule="exact"/>
              <w:rPr>
                <w:sz w:val="20"/>
                <w:szCs w:val="20"/>
                <w:color w:val="auto"/>
              </w:rPr>
            </w:pPr>
            <w:r>
              <w:rPr>
                <w:rFonts w:ascii="Arial" w:cs="Arial" w:eastAsia="Arial" w:hAnsi="Arial"/>
                <w:sz w:val="13"/>
                <w:szCs w:val="13"/>
                <w:color w:val="auto"/>
              </w:rPr>
              <w:t>through the issue of a maximum of 4’800’000 registered shares, payable in full, each with a</w:t>
            </w:r>
          </w:p>
        </w:tc>
        <w:tc>
          <w:tcPr>
            <w:tcW w:w="240" w:type="dxa"/>
            <w:vAlign w:val="bottom"/>
            <w:tcBorders>
              <w:right w:val="single" w:sz="8" w:color="auto"/>
            </w:tcBorders>
          </w:tcPr>
          <w:p>
            <w:pPr>
              <w:spacing w:after="0"/>
              <w:rPr>
                <w:sz w:val="12"/>
                <w:szCs w:val="12"/>
                <w:color w:val="auto"/>
              </w:rPr>
            </w:pPr>
          </w:p>
        </w:tc>
        <w:tc>
          <w:tcPr>
            <w:tcW w:w="5520" w:type="dxa"/>
            <w:vAlign w:val="bottom"/>
            <w:tcBorders>
              <w:right w:val="single" w:sz="8" w:color="auto"/>
            </w:tcBorders>
          </w:tcPr>
          <w:p>
            <w:pPr>
              <w:ind w:left="20"/>
              <w:spacing w:after="0" w:line="145" w:lineRule="exact"/>
              <w:rPr>
                <w:sz w:val="20"/>
                <w:szCs w:val="20"/>
                <w:color w:val="auto"/>
              </w:rPr>
            </w:pPr>
            <w:r>
              <w:rPr>
                <w:rFonts w:ascii="Arial" w:cs="Arial" w:eastAsia="Arial" w:hAnsi="Arial"/>
                <w:sz w:val="13"/>
                <w:szCs w:val="13"/>
                <w:color w:val="auto"/>
              </w:rPr>
              <w:t>l'émission d'un maximum de 4’800’000 actions nominatives, entièrement libérées, chacune</w:t>
            </w:r>
          </w:p>
        </w:tc>
      </w:tr>
      <w:tr>
        <w:trPr>
          <w:trHeight w:val="145"/>
        </w:trPr>
        <w:tc>
          <w:tcPr>
            <w:tcW w:w="5540" w:type="dxa"/>
            <w:vAlign w:val="bottom"/>
            <w:tcBorders>
              <w:left w:val="single" w:sz="8" w:color="auto"/>
              <w:right w:val="single" w:sz="8" w:color="auto"/>
            </w:tcBorders>
          </w:tcPr>
          <w:p>
            <w:pPr>
              <w:ind w:left="40"/>
              <w:spacing w:after="0" w:line="145" w:lineRule="exact"/>
              <w:rPr>
                <w:sz w:val="20"/>
                <w:szCs w:val="20"/>
                <w:color w:val="auto"/>
              </w:rPr>
            </w:pPr>
            <w:r>
              <w:rPr>
                <w:rFonts w:ascii="Arial" w:cs="Arial" w:eastAsia="Arial" w:hAnsi="Arial"/>
                <w:sz w:val="13"/>
                <w:szCs w:val="13"/>
                <w:color w:val="auto"/>
              </w:rPr>
              <w:t>nominal value of CHF 0.02, in connection with the exercise of option rights granted to any</w:t>
            </w:r>
          </w:p>
        </w:tc>
        <w:tc>
          <w:tcPr>
            <w:tcW w:w="240" w:type="dxa"/>
            <w:vAlign w:val="bottom"/>
            <w:tcBorders>
              <w:right w:val="single" w:sz="8" w:color="auto"/>
            </w:tcBorders>
          </w:tcPr>
          <w:p>
            <w:pPr>
              <w:spacing w:after="0"/>
              <w:rPr>
                <w:sz w:val="12"/>
                <w:szCs w:val="12"/>
                <w:color w:val="auto"/>
              </w:rPr>
            </w:pPr>
          </w:p>
        </w:tc>
        <w:tc>
          <w:tcPr>
            <w:tcW w:w="5520" w:type="dxa"/>
            <w:vAlign w:val="bottom"/>
            <w:tcBorders>
              <w:right w:val="single" w:sz="8" w:color="auto"/>
            </w:tcBorders>
          </w:tcPr>
          <w:p>
            <w:pPr>
              <w:ind w:left="20"/>
              <w:spacing w:after="0" w:line="145" w:lineRule="exact"/>
              <w:rPr>
                <w:sz w:val="20"/>
                <w:szCs w:val="20"/>
                <w:color w:val="auto"/>
              </w:rPr>
            </w:pPr>
            <w:r>
              <w:rPr>
                <w:rFonts w:ascii="Arial" w:cs="Arial" w:eastAsia="Arial" w:hAnsi="Arial"/>
                <w:sz w:val="13"/>
                <w:szCs w:val="13"/>
                <w:color w:val="auto"/>
              </w:rPr>
              <w:t>avec une valeur nominale de CHF 0.02, dans le cadre de l'exercice de droits d'option accordés</w:t>
            </w:r>
          </w:p>
        </w:tc>
      </w:tr>
      <w:tr>
        <w:trPr>
          <w:trHeight w:val="145"/>
        </w:trPr>
        <w:tc>
          <w:tcPr>
            <w:tcW w:w="5540" w:type="dxa"/>
            <w:vAlign w:val="bottom"/>
            <w:tcBorders>
              <w:left w:val="single" w:sz="8" w:color="auto"/>
              <w:right w:val="single" w:sz="8" w:color="auto"/>
            </w:tcBorders>
          </w:tcPr>
          <w:p>
            <w:pPr>
              <w:ind w:left="40"/>
              <w:spacing w:after="0" w:line="145" w:lineRule="exact"/>
              <w:rPr>
                <w:sz w:val="20"/>
                <w:szCs w:val="20"/>
                <w:color w:val="auto"/>
              </w:rPr>
            </w:pPr>
            <w:r>
              <w:rPr>
                <w:rFonts w:ascii="Arial" w:cs="Arial" w:eastAsia="Arial" w:hAnsi="Arial"/>
                <w:sz w:val="13"/>
                <w:szCs w:val="13"/>
                <w:color w:val="auto"/>
              </w:rPr>
              <w:t>employee of the Company or a subsidiary, and any consultant, members of the Board of</w:t>
            </w:r>
          </w:p>
        </w:tc>
        <w:tc>
          <w:tcPr>
            <w:tcW w:w="240" w:type="dxa"/>
            <w:vAlign w:val="bottom"/>
            <w:tcBorders>
              <w:right w:val="single" w:sz="8" w:color="auto"/>
            </w:tcBorders>
          </w:tcPr>
          <w:p>
            <w:pPr>
              <w:spacing w:after="0"/>
              <w:rPr>
                <w:sz w:val="12"/>
                <w:szCs w:val="12"/>
                <w:color w:val="auto"/>
              </w:rPr>
            </w:pPr>
          </w:p>
        </w:tc>
        <w:tc>
          <w:tcPr>
            <w:tcW w:w="5520" w:type="dxa"/>
            <w:vAlign w:val="bottom"/>
            <w:tcBorders>
              <w:right w:val="single" w:sz="8" w:color="auto"/>
            </w:tcBorders>
          </w:tcPr>
          <w:p>
            <w:pPr>
              <w:ind w:left="20"/>
              <w:spacing w:after="0" w:line="145" w:lineRule="exact"/>
              <w:rPr>
                <w:sz w:val="20"/>
                <w:szCs w:val="20"/>
                <w:color w:val="auto"/>
              </w:rPr>
            </w:pPr>
            <w:r>
              <w:rPr>
                <w:rFonts w:ascii="Arial" w:cs="Arial" w:eastAsia="Arial" w:hAnsi="Arial"/>
                <w:sz w:val="13"/>
                <w:szCs w:val="13"/>
                <w:color w:val="auto"/>
                <w:w w:val="99"/>
              </w:rPr>
              <w:t>à tout employé de la Société ou d'une succursale, et à tout consultant, aux membres du conseil</w:t>
            </w:r>
          </w:p>
        </w:tc>
      </w:tr>
      <w:tr>
        <w:trPr>
          <w:trHeight w:val="145"/>
        </w:trPr>
        <w:tc>
          <w:tcPr>
            <w:tcW w:w="5540" w:type="dxa"/>
            <w:vAlign w:val="bottom"/>
            <w:tcBorders>
              <w:left w:val="single" w:sz="8" w:color="auto"/>
              <w:right w:val="single" w:sz="8" w:color="auto"/>
            </w:tcBorders>
          </w:tcPr>
          <w:p>
            <w:pPr>
              <w:ind w:left="40"/>
              <w:spacing w:after="0" w:line="145" w:lineRule="exact"/>
              <w:rPr>
                <w:sz w:val="20"/>
                <w:szCs w:val="20"/>
                <w:color w:val="auto"/>
              </w:rPr>
            </w:pPr>
            <w:r>
              <w:rPr>
                <w:rFonts w:ascii="Arial" w:cs="Arial" w:eastAsia="Arial" w:hAnsi="Arial"/>
                <w:sz w:val="13"/>
                <w:szCs w:val="13"/>
                <w:color w:val="auto"/>
              </w:rPr>
              <w:t>Directors, or other person providing services to the Company or a subsidiary.</w:t>
            </w:r>
          </w:p>
        </w:tc>
        <w:tc>
          <w:tcPr>
            <w:tcW w:w="240" w:type="dxa"/>
            <w:vAlign w:val="bottom"/>
            <w:tcBorders>
              <w:right w:val="single" w:sz="8" w:color="auto"/>
            </w:tcBorders>
          </w:tcPr>
          <w:p>
            <w:pPr>
              <w:spacing w:after="0"/>
              <w:rPr>
                <w:sz w:val="12"/>
                <w:szCs w:val="12"/>
                <w:color w:val="auto"/>
              </w:rPr>
            </w:pPr>
          </w:p>
        </w:tc>
        <w:tc>
          <w:tcPr>
            <w:tcW w:w="5520" w:type="dxa"/>
            <w:vAlign w:val="bottom"/>
            <w:tcBorders>
              <w:right w:val="single" w:sz="8" w:color="auto"/>
            </w:tcBorders>
          </w:tcPr>
          <w:p>
            <w:pPr>
              <w:ind w:left="20"/>
              <w:spacing w:after="0" w:line="145" w:lineRule="exact"/>
              <w:rPr>
                <w:sz w:val="20"/>
                <w:szCs w:val="20"/>
                <w:color w:val="auto"/>
              </w:rPr>
            </w:pPr>
            <w:r>
              <w:rPr>
                <w:rFonts w:ascii="Arial" w:cs="Arial" w:eastAsia="Arial" w:hAnsi="Arial"/>
                <w:sz w:val="13"/>
                <w:szCs w:val="13"/>
                <w:color w:val="auto"/>
              </w:rPr>
              <w:t>d'administration, ou à d'autres personnes fournissant des services en faveur de la Société ou</w:t>
            </w:r>
          </w:p>
        </w:tc>
      </w:tr>
      <w:tr>
        <w:trPr>
          <w:trHeight w:val="173"/>
        </w:trPr>
        <w:tc>
          <w:tcPr>
            <w:tcW w:w="5540" w:type="dxa"/>
            <w:vAlign w:val="bottom"/>
            <w:tcBorders>
              <w:left w:val="single" w:sz="8" w:color="auto"/>
              <w:bottom w:val="single" w:sz="8" w:color="auto"/>
              <w:right w:val="single" w:sz="8" w:color="auto"/>
            </w:tcBorders>
          </w:tcPr>
          <w:p>
            <w:pPr>
              <w:spacing w:after="0"/>
              <w:rPr>
                <w:sz w:val="15"/>
                <w:szCs w:val="15"/>
                <w:color w:val="auto"/>
              </w:rPr>
            </w:pPr>
          </w:p>
        </w:tc>
        <w:tc>
          <w:tcPr>
            <w:tcW w:w="240" w:type="dxa"/>
            <w:vAlign w:val="bottom"/>
            <w:tcBorders>
              <w:bottom w:val="single" w:sz="8" w:color="auto"/>
              <w:right w:val="single" w:sz="8" w:color="auto"/>
            </w:tcBorders>
          </w:tcPr>
          <w:p>
            <w:pPr>
              <w:spacing w:after="0"/>
              <w:rPr>
                <w:sz w:val="15"/>
                <w:szCs w:val="15"/>
                <w:color w:val="auto"/>
              </w:rPr>
            </w:pPr>
          </w:p>
        </w:tc>
        <w:tc>
          <w:tcPr>
            <w:tcW w:w="55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3"/>
                <w:szCs w:val="13"/>
                <w:color w:val="auto"/>
              </w:rPr>
              <w:t>d'une filiale.</w:t>
            </w:r>
          </w:p>
        </w:tc>
      </w:tr>
      <w:tr>
        <w:trPr>
          <w:trHeight w:val="145"/>
        </w:trPr>
        <w:tc>
          <w:tcPr>
            <w:tcW w:w="5540" w:type="dxa"/>
            <w:vAlign w:val="bottom"/>
            <w:tcBorders>
              <w:left w:val="single" w:sz="8" w:color="auto"/>
              <w:right w:val="single" w:sz="8" w:color="auto"/>
            </w:tcBorders>
          </w:tcPr>
          <w:p>
            <w:pPr>
              <w:ind w:left="40"/>
              <w:spacing w:after="0" w:line="146" w:lineRule="exact"/>
              <w:rPr>
                <w:sz w:val="20"/>
                <w:szCs w:val="20"/>
                <w:color w:val="auto"/>
              </w:rPr>
            </w:pPr>
            <w:r>
              <w:rPr>
                <w:rFonts w:ascii="Arial" w:cs="Arial" w:eastAsia="Arial" w:hAnsi="Arial"/>
                <w:sz w:val="13"/>
                <w:szCs w:val="13"/>
                <w:color w:val="auto"/>
              </w:rPr>
              <w:t>Shareholders' subscription rights shall be excluded with regard to these shares. These new</w:t>
            </w:r>
          </w:p>
        </w:tc>
        <w:tc>
          <w:tcPr>
            <w:tcW w:w="240" w:type="dxa"/>
            <w:vAlign w:val="bottom"/>
            <w:tcBorders>
              <w:right w:val="single" w:sz="8" w:color="auto"/>
            </w:tcBorders>
          </w:tcPr>
          <w:p>
            <w:pPr>
              <w:spacing w:after="0"/>
              <w:rPr>
                <w:sz w:val="12"/>
                <w:szCs w:val="12"/>
                <w:color w:val="auto"/>
              </w:rPr>
            </w:pPr>
          </w:p>
        </w:tc>
        <w:tc>
          <w:tcPr>
            <w:tcW w:w="5520" w:type="dxa"/>
            <w:vAlign w:val="bottom"/>
            <w:tcBorders>
              <w:right w:val="single" w:sz="8" w:color="auto"/>
            </w:tcBorders>
          </w:tcPr>
          <w:p>
            <w:pPr>
              <w:ind w:left="20"/>
              <w:spacing w:after="0" w:line="146" w:lineRule="exact"/>
              <w:rPr>
                <w:sz w:val="20"/>
                <w:szCs w:val="20"/>
                <w:color w:val="auto"/>
              </w:rPr>
            </w:pPr>
            <w:r>
              <w:rPr>
                <w:rFonts w:ascii="Arial" w:cs="Arial" w:eastAsia="Arial" w:hAnsi="Arial"/>
                <w:sz w:val="13"/>
                <w:szCs w:val="13"/>
                <w:color w:val="auto"/>
              </w:rPr>
              <w:t>Le droit de souscription préférentiel des actionnaires est exclu à l'égard de ces actions. Ces</w:t>
            </w:r>
          </w:p>
        </w:tc>
      </w:tr>
      <w:tr>
        <w:trPr>
          <w:trHeight w:val="145"/>
        </w:trPr>
        <w:tc>
          <w:tcPr>
            <w:tcW w:w="5540" w:type="dxa"/>
            <w:vAlign w:val="bottom"/>
            <w:tcBorders>
              <w:left w:val="single" w:sz="8" w:color="auto"/>
              <w:right w:val="single" w:sz="8" w:color="auto"/>
            </w:tcBorders>
          </w:tcPr>
          <w:p>
            <w:pPr>
              <w:ind w:left="40"/>
              <w:spacing w:after="0" w:line="145" w:lineRule="exact"/>
              <w:rPr>
                <w:sz w:val="20"/>
                <w:szCs w:val="20"/>
                <w:color w:val="auto"/>
              </w:rPr>
            </w:pPr>
            <w:r>
              <w:rPr>
                <w:rFonts w:ascii="Arial" w:cs="Arial" w:eastAsia="Arial" w:hAnsi="Arial"/>
                <w:sz w:val="13"/>
                <w:szCs w:val="13"/>
                <w:color w:val="auto"/>
              </w:rPr>
              <w:t>registered shares may be issued at a price below the current market price. The Board of</w:t>
            </w:r>
          </w:p>
        </w:tc>
        <w:tc>
          <w:tcPr>
            <w:tcW w:w="240" w:type="dxa"/>
            <w:vAlign w:val="bottom"/>
            <w:tcBorders>
              <w:right w:val="single" w:sz="8" w:color="auto"/>
            </w:tcBorders>
          </w:tcPr>
          <w:p>
            <w:pPr>
              <w:spacing w:after="0"/>
              <w:rPr>
                <w:sz w:val="12"/>
                <w:szCs w:val="12"/>
                <w:color w:val="auto"/>
              </w:rPr>
            </w:pPr>
          </w:p>
        </w:tc>
        <w:tc>
          <w:tcPr>
            <w:tcW w:w="5520" w:type="dxa"/>
            <w:vAlign w:val="bottom"/>
            <w:tcBorders>
              <w:right w:val="single" w:sz="8" w:color="auto"/>
            </w:tcBorders>
          </w:tcPr>
          <w:p>
            <w:pPr>
              <w:ind w:left="20"/>
              <w:spacing w:after="0" w:line="145" w:lineRule="exact"/>
              <w:rPr>
                <w:sz w:val="20"/>
                <w:szCs w:val="20"/>
                <w:color w:val="auto"/>
              </w:rPr>
            </w:pPr>
            <w:r>
              <w:rPr>
                <w:rFonts w:ascii="Arial" w:cs="Arial" w:eastAsia="Arial" w:hAnsi="Arial"/>
                <w:sz w:val="13"/>
                <w:szCs w:val="13"/>
                <w:color w:val="auto"/>
                <w:w w:val="99"/>
              </w:rPr>
              <w:t>nouvelles actions nominatives peuvent être émises à un prix inférieur au prix du marché actuel.</w:t>
            </w:r>
          </w:p>
        </w:tc>
      </w:tr>
      <w:tr>
        <w:trPr>
          <w:trHeight w:val="145"/>
        </w:trPr>
        <w:tc>
          <w:tcPr>
            <w:tcW w:w="5540" w:type="dxa"/>
            <w:vAlign w:val="bottom"/>
            <w:tcBorders>
              <w:left w:val="single" w:sz="8" w:color="auto"/>
              <w:right w:val="single" w:sz="8" w:color="auto"/>
            </w:tcBorders>
          </w:tcPr>
          <w:p>
            <w:pPr>
              <w:ind w:left="40"/>
              <w:spacing w:after="0" w:line="145" w:lineRule="exact"/>
              <w:rPr>
                <w:sz w:val="20"/>
                <w:szCs w:val="20"/>
                <w:color w:val="auto"/>
              </w:rPr>
            </w:pPr>
            <w:r>
              <w:rPr>
                <w:rFonts w:ascii="Arial" w:cs="Arial" w:eastAsia="Arial" w:hAnsi="Arial"/>
                <w:sz w:val="13"/>
                <w:szCs w:val="13"/>
                <w:color w:val="auto"/>
              </w:rPr>
              <w:t>Directors shall specify the precise conditions of issue including the issue price of the shares.</w:t>
            </w:r>
          </w:p>
        </w:tc>
        <w:tc>
          <w:tcPr>
            <w:tcW w:w="240" w:type="dxa"/>
            <w:vAlign w:val="bottom"/>
            <w:tcBorders>
              <w:right w:val="single" w:sz="8" w:color="auto"/>
            </w:tcBorders>
          </w:tcPr>
          <w:p>
            <w:pPr>
              <w:spacing w:after="0"/>
              <w:rPr>
                <w:sz w:val="12"/>
                <w:szCs w:val="12"/>
                <w:color w:val="auto"/>
              </w:rPr>
            </w:pPr>
          </w:p>
        </w:tc>
        <w:tc>
          <w:tcPr>
            <w:tcW w:w="5520" w:type="dxa"/>
            <w:vAlign w:val="bottom"/>
            <w:tcBorders>
              <w:right w:val="single" w:sz="8" w:color="auto"/>
            </w:tcBorders>
          </w:tcPr>
          <w:p>
            <w:pPr>
              <w:ind w:left="20"/>
              <w:spacing w:after="0" w:line="145" w:lineRule="exact"/>
              <w:rPr>
                <w:sz w:val="20"/>
                <w:szCs w:val="20"/>
                <w:color w:val="auto"/>
              </w:rPr>
            </w:pPr>
            <w:r>
              <w:rPr>
                <w:rFonts w:ascii="Arial" w:cs="Arial" w:eastAsia="Arial" w:hAnsi="Arial"/>
                <w:sz w:val="13"/>
                <w:szCs w:val="13"/>
                <w:color w:val="auto"/>
              </w:rPr>
              <w:t>Le conseil d'administration doit préciser les conditions précises d'émission, y compris le prix</w:t>
            </w:r>
          </w:p>
        </w:tc>
      </w:tr>
      <w:tr>
        <w:trPr>
          <w:trHeight w:val="173"/>
        </w:trPr>
        <w:tc>
          <w:tcPr>
            <w:tcW w:w="5540" w:type="dxa"/>
            <w:vAlign w:val="bottom"/>
            <w:tcBorders>
              <w:left w:val="single" w:sz="8" w:color="auto"/>
              <w:bottom w:val="single" w:sz="8" w:color="auto"/>
              <w:right w:val="single" w:sz="8" w:color="auto"/>
            </w:tcBorders>
          </w:tcPr>
          <w:p>
            <w:pPr>
              <w:spacing w:after="0"/>
              <w:rPr>
                <w:sz w:val="15"/>
                <w:szCs w:val="15"/>
                <w:color w:val="auto"/>
              </w:rPr>
            </w:pPr>
          </w:p>
        </w:tc>
        <w:tc>
          <w:tcPr>
            <w:tcW w:w="240" w:type="dxa"/>
            <w:vAlign w:val="bottom"/>
            <w:tcBorders>
              <w:bottom w:val="single" w:sz="8" w:color="auto"/>
              <w:right w:val="single" w:sz="8" w:color="auto"/>
            </w:tcBorders>
          </w:tcPr>
          <w:p>
            <w:pPr>
              <w:spacing w:after="0"/>
              <w:rPr>
                <w:sz w:val="15"/>
                <w:szCs w:val="15"/>
                <w:color w:val="auto"/>
              </w:rPr>
            </w:pPr>
          </w:p>
        </w:tc>
        <w:tc>
          <w:tcPr>
            <w:tcW w:w="55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3"/>
                <w:szCs w:val="13"/>
                <w:color w:val="auto"/>
              </w:rPr>
              <w:t>d'émission des actions.</w:t>
            </w:r>
          </w:p>
        </w:tc>
      </w:tr>
      <w:tr>
        <w:trPr>
          <w:trHeight w:val="145"/>
        </w:trPr>
        <w:tc>
          <w:tcPr>
            <w:tcW w:w="5540" w:type="dxa"/>
            <w:vAlign w:val="bottom"/>
            <w:tcBorders>
              <w:left w:val="single" w:sz="8" w:color="auto"/>
              <w:right w:val="single" w:sz="8" w:color="auto"/>
            </w:tcBorders>
          </w:tcPr>
          <w:p>
            <w:pPr>
              <w:ind w:left="40"/>
              <w:spacing w:after="0" w:line="146" w:lineRule="exact"/>
              <w:rPr>
                <w:sz w:val="20"/>
                <w:szCs w:val="20"/>
                <w:color w:val="auto"/>
              </w:rPr>
            </w:pPr>
            <w:r>
              <w:rPr>
                <w:rFonts w:ascii="Arial" w:cs="Arial" w:eastAsia="Arial" w:hAnsi="Arial"/>
                <w:sz w:val="13"/>
                <w:szCs w:val="13"/>
                <w:color w:val="auto"/>
              </w:rPr>
              <w:t>The acquisition of registered shares in connection with employee participation and any further</w:t>
            </w:r>
          </w:p>
        </w:tc>
        <w:tc>
          <w:tcPr>
            <w:tcW w:w="240" w:type="dxa"/>
            <w:vAlign w:val="bottom"/>
            <w:tcBorders>
              <w:right w:val="single" w:sz="8" w:color="auto"/>
            </w:tcBorders>
          </w:tcPr>
          <w:p>
            <w:pPr>
              <w:spacing w:after="0"/>
              <w:rPr>
                <w:sz w:val="12"/>
                <w:szCs w:val="12"/>
                <w:color w:val="auto"/>
              </w:rPr>
            </w:pPr>
          </w:p>
        </w:tc>
        <w:tc>
          <w:tcPr>
            <w:tcW w:w="5520" w:type="dxa"/>
            <w:vAlign w:val="bottom"/>
            <w:tcBorders>
              <w:right w:val="single" w:sz="8" w:color="auto"/>
            </w:tcBorders>
          </w:tcPr>
          <w:p>
            <w:pPr>
              <w:ind w:left="20"/>
              <w:spacing w:after="0" w:line="146" w:lineRule="exact"/>
              <w:rPr>
                <w:sz w:val="20"/>
                <w:szCs w:val="20"/>
                <w:color w:val="auto"/>
              </w:rPr>
            </w:pPr>
            <w:r>
              <w:rPr>
                <w:rFonts w:ascii="Arial" w:cs="Arial" w:eastAsia="Arial" w:hAnsi="Arial"/>
                <w:sz w:val="13"/>
                <w:szCs w:val="13"/>
                <w:color w:val="auto"/>
              </w:rPr>
              <w:t>L'acquisition d'actions nominatives dans le cadre de la participation des employés et d'autres</w:t>
            </w:r>
          </w:p>
        </w:tc>
      </w:tr>
      <w:tr>
        <w:trPr>
          <w:trHeight w:val="145"/>
        </w:trPr>
        <w:tc>
          <w:tcPr>
            <w:tcW w:w="5540" w:type="dxa"/>
            <w:vAlign w:val="bottom"/>
            <w:tcBorders>
              <w:left w:val="single" w:sz="8" w:color="auto"/>
              <w:right w:val="single" w:sz="8" w:color="auto"/>
            </w:tcBorders>
          </w:tcPr>
          <w:p>
            <w:pPr>
              <w:ind w:left="40"/>
              <w:spacing w:after="0" w:line="145" w:lineRule="exact"/>
              <w:rPr>
                <w:sz w:val="20"/>
                <w:szCs w:val="20"/>
                <w:color w:val="auto"/>
              </w:rPr>
            </w:pPr>
            <w:r>
              <w:rPr>
                <w:rFonts w:ascii="Arial" w:cs="Arial" w:eastAsia="Arial" w:hAnsi="Arial"/>
                <w:sz w:val="13"/>
                <w:szCs w:val="13"/>
                <w:color w:val="auto"/>
              </w:rPr>
              <w:t>transfers of registered shares shall be subject to the restrictions specified in Article 4 of the</w:t>
            </w:r>
          </w:p>
        </w:tc>
        <w:tc>
          <w:tcPr>
            <w:tcW w:w="240" w:type="dxa"/>
            <w:vAlign w:val="bottom"/>
            <w:tcBorders>
              <w:right w:val="single" w:sz="8" w:color="auto"/>
            </w:tcBorders>
          </w:tcPr>
          <w:p>
            <w:pPr>
              <w:spacing w:after="0"/>
              <w:rPr>
                <w:sz w:val="12"/>
                <w:szCs w:val="12"/>
                <w:color w:val="auto"/>
              </w:rPr>
            </w:pPr>
          </w:p>
        </w:tc>
        <w:tc>
          <w:tcPr>
            <w:tcW w:w="5520" w:type="dxa"/>
            <w:vAlign w:val="bottom"/>
            <w:tcBorders>
              <w:right w:val="single" w:sz="8" w:color="auto"/>
            </w:tcBorders>
          </w:tcPr>
          <w:p>
            <w:pPr>
              <w:ind w:left="20"/>
              <w:spacing w:after="0" w:line="145" w:lineRule="exact"/>
              <w:rPr>
                <w:sz w:val="20"/>
                <w:szCs w:val="20"/>
                <w:color w:val="auto"/>
              </w:rPr>
            </w:pPr>
            <w:r>
              <w:rPr>
                <w:rFonts w:ascii="Arial" w:cs="Arial" w:eastAsia="Arial" w:hAnsi="Arial"/>
                <w:sz w:val="13"/>
                <w:szCs w:val="13"/>
                <w:color w:val="auto"/>
              </w:rPr>
              <w:t>transferts d'actions nominatives sont soumis aux restrictions prévues à l'article 4 des statuts.</w:t>
            </w:r>
          </w:p>
        </w:tc>
      </w:tr>
      <w:tr>
        <w:trPr>
          <w:trHeight w:val="173"/>
        </w:trPr>
        <w:tc>
          <w:tcPr>
            <w:tcW w:w="554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3"/>
                <w:szCs w:val="13"/>
                <w:color w:val="auto"/>
              </w:rPr>
              <w:t>Articles of Association.</w:t>
            </w:r>
          </w:p>
        </w:tc>
        <w:tc>
          <w:tcPr>
            <w:tcW w:w="240" w:type="dxa"/>
            <w:vAlign w:val="bottom"/>
            <w:tcBorders>
              <w:bottom w:val="single" w:sz="8" w:color="auto"/>
              <w:right w:val="single" w:sz="8" w:color="auto"/>
            </w:tcBorders>
          </w:tcPr>
          <w:p>
            <w:pPr>
              <w:spacing w:after="0"/>
              <w:rPr>
                <w:sz w:val="15"/>
                <w:szCs w:val="15"/>
                <w:color w:val="auto"/>
              </w:rPr>
            </w:pPr>
          </w:p>
        </w:tc>
        <w:tc>
          <w:tcPr>
            <w:tcW w:w="5520" w:type="dxa"/>
            <w:vAlign w:val="bottom"/>
            <w:tcBorders>
              <w:bottom w:val="single" w:sz="8" w:color="auto"/>
              <w:right w:val="single" w:sz="8" w:color="auto"/>
            </w:tcBorders>
          </w:tcPr>
          <w:p>
            <w:pPr>
              <w:spacing w:after="0"/>
              <w:rPr>
                <w:sz w:val="15"/>
                <w:szCs w:val="15"/>
                <w:color w:val="auto"/>
              </w:rPr>
            </w:pPr>
          </w:p>
        </w:tc>
      </w:tr>
      <w:tr>
        <w:trPr>
          <w:trHeight w:val="177"/>
        </w:trPr>
        <w:tc>
          <w:tcPr>
            <w:tcW w:w="55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3"/>
                <w:szCs w:val="13"/>
                <w:b w:val="1"/>
                <w:bCs w:val="1"/>
                <w:color w:val="auto"/>
              </w:rPr>
              <w:t>Art. 4  Share Register</w:t>
            </w:r>
          </w:p>
        </w:tc>
        <w:tc>
          <w:tcPr>
            <w:tcW w:w="240" w:type="dxa"/>
            <w:vAlign w:val="bottom"/>
            <w:tcBorders>
              <w:right w:val="single" w:sz="8" w:color="auto"/>
            </w:tcBorders>
          </w:tcPr>
          <w:p>
            <w:pPr>
              <w:spacing w:after="0"/>
              <w:rPr>
                <w:sz w:val="15"/>
                <w:szCs w:val="15"/>
                <w:color w:val="auto"/>
              </w:rPr>
            </w:pPr>
          </w:p>
        </w:tc>
        <w:tc>
          <w:tcPr>
            <w:tcW w:w="5520" w:type="dxa"/>
            <w:vAlign w:val="bottom"/>
            <w:tcBorders>
              <w:right w:val="single" w:sz="8" w:color="auto"/>
            </w:tcBorders>
          </w:tcPr>
          <w:p>
            <w:pPr>
              <w:ind w:left="20"/>
              <w:spacing w:after="0"/>
              <w:rPr>
                <w:sz w:val="20"/>
                <w:szCs w:val="20"/>
                <w:color w:val="auto"/>
              </w:rPr>
            </w:pPr>
            <w:r>
              <w:rPr>
                <w:rFonts w:ascii="Arial" w:cs="Arial" w:eastAsia="Arial" w:hAnsi="Arial"/>
                <w:sz w:val="13"/>
                <w:szCs w:val="13"/>
                <w:b w:val="1"/>
                <w:bCs w:val="1"/>
                <w:color w:val="auto"/>
              </w:rPr>
              <w:t>Art. 4  Registre des actions</w:t>
            </w:r>
          </w:p>
        </w:tc>
      </w:tr>
      <w:tr>
        <w:trPr>
          <w:trHeight w:val="258"/>
        </w:trPr>
        <w:tc>
          <w:tcPr>
            <w:tcW w:w="55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3"/>
                <w:szCs w:val="13"/>
                <w:color w:val="auto"/>
              </w:rPr>
              <w:t>The Company shall maintain a share register in which it shall register the name, first name and</w:t>
            </w:r>
          </w:p>
        </w:tc>
        <w:tc>
          <w:tcPr>
            <w:tcW w:w="240" w:type="dxa"/>
            <w:vAlign w:val="bottom"/>
            <w:tcBorders>
              <w:right w:val="single" w:sz="8" w:color="auto"/>
            </w:tcBorders>
          </w:tcPr>
          <w:p>
            <w:pPr>
              <w:spacing w:after="0"/>
              <w:rPr>
                <w:sz w:val="22"/>
                <w:szCs w:val="22"/>
                <w:color w:val="auto"/>
              </w:rPr>
            </w:pPr>
          </w:p>
        </w:tc>
        <w:tc>
          <w:tcPr>
            <w:tcW w:w="5520" w:type="dxa"/>
            <w:vAlign w:val="bottom"/>
            <w:tcBorders>
              <w:right w:val="single" w:sz="8" w:color="auto"/>
            </w:tcBorders>
          </w:tcPr>
          <w:p>
            <w:pPr>
              <w:ind w:left="20"/>
              <w:spacing w:after="0"/>
              <w:rPr>
                <w:sz w:val="20"/>
                <w:szCs w:val="20"/>
                <w:color w:val="auto"/>
              </w:rPr>
            </w:pPr>
            <w:r>
              <w:rPr>
                <w:rFonts w:ascii="Arial" w:cs="Arial" w:eastAsia="Arial" w:hAnsi="Arial"/>
                <w:sz w:val="13"/>
                <w:szCs w:val="13"/>
                <w:color w:val="auto"/>
                <w:w w:val="99"/>
              </w:rPr>
              <w:t>La société tient un registre des actions nominatives, dans lequel sont inscrits le nom, le prénom</w:t>
            </w:r>
          </w:p>
        </w:tc>
      </w:tr>
      <w:tr>
        <w:trPr>
          <w:trHeight w:val="145"/>
        </w:trPr>
        <w:tc>
          <w:tcPr>
            <w:tcW w:w="5540" w:type="dxa"/>
            <w:vAlign w:val="bottom"/>
            <w:tcBorders>
              <w:left w:val="single" w:sz="8" w:color="auto"/>
              <w:right w:val="single" w:sz="8" w:color="auto"/>
            </w:tcBorders>
          </w:tcPr>
          <w:p>
            <w:pPr>
              <w:ind w:left="40"/>
              <w:spacing w:after="0" w:line="145" w:lineRule="exact"/>
              <w:rPr>
                <w:sz w:val="20"/>
                <w:szCs w:val="20"/>
                <w:color w:val="auto"/>
              </w:rPr>
            </w:pPr>
            <w:r>
              <w:rPr>
                <w:rFonts w:ascii="Arial" w:cs="Arial" w:eastAsia="Arial" w:hAnsi="Arial"/>
                <w:sz w:val="13"/>
                <w:szCs w:val="13"/>
                <w:color w:val="auto"/>
              </w:rPr>
              <w:t>place of residence (in case of legal persons the place of incorporation) of the owners and</w:t>
            </w:r>
          </w:p>
        </w:tc>
        <w:tc>
          <w:tcPr>
            <w:tcW w:w="240" w:type="dxa"/>
            <w:vAlign w:val="bottom"/>
            <w:tcBorders>
              <w:right w:val="single" w:sz="8" w:color="auto"/>
            </w:tcBorders>
          </w:tcPr>
          <w:p>
            <w:pPr>
              <w:spacing w:after="0"/>
              <w:rPr>
                <w:sz w:val="12"/>
                <w:szCs w:val="12"/>
                <w:color w:val="auto"/>
              </w:rPr>
            </w:pPr>
          </w:p>
        </w:tc>
        <w:tc>
          <w:tcPr>
            <w:tcW w:w="5520" w:type="dxa"/>
            <w:vAlign w:val="bottom"/>
            <w:tcBorders>
              <w:right w:val="single" w:sz="8" w:color="auto"/>
            </w:tcBorders>
          </w:tcPr>
          <w:p>
            <w:pPr>
              <w:ind w:left="20"/>
              <w:spacing w:after="0" w:line="145" w:lineRule="exact"/>
              <w:rPr>
                <w:sz w:val="20"/>
                <w:szCs w:val="20"/>
                <w:color w:val="auto"/>
              </w:rPr>
            </w:pPr>
            <w:r>
              <w:rPr>
                <w:rFonts w:ascii="Arial" w:cs="Arial" w:eastAsia="Arial" w:hAnsi="Arial"/>
                <w:sz w:val="13"/>
                <w:szCs w:val="13"/>
                <w:color w:val="auto"/>
              </w:rPr>
              <w:t>et l'adresse (dans le cas d'une personne morale, le siège) des propriétaires et des usufruitiers</w:t>
            </w:r>
          </w:p>
        </w:tc>
      </w:tr>
      <w:tr>
        <w:trPr>
          <w:trHeight w:val="145"/>
        </w:trPr>
        <w:tc>
          <w:tcPr>
            <w:tcW w:w="5540" w:type="dxa"/>
            <w:vAlign w:val="bottom"/>
            <w:tcBorders>
              <w:left w:val="single" w:sz="8" w:color="auto"/>
              <w:right w:val="single" w:sz="8" w:color="auto"/>
            </w:tcBorders>
          </w:tcPr>
          <w:p>
            <w:pPr>
              <w:ind w:left="40"/>
              <w:spacing w:after="0" w:line="145" w:lineRule="exact"/>
              <w:rPr>
                <w:sz w:val="20"/>
                <w:szCs w:val="20"/>
                <w:color w:val="auto"/>
              </w:rPr>
            </w:pPr>
            <w:r>
              <w:rPr>
                <w:rFonts w:ascii="Arial" w:cs="Arial" w:eastAsia="Arial" w:hAnsi="Arial"/>
                <w:sz w:val="13"/>
                <w:szCs w:val="13"/>
                <w:color w:val="auto"/>
              </w:rPr>
              <w:t>usufructuaries  of  its  registered  shares.  Natural  and  legal  persons  as  well  as  legal</w:t>
            </w:r>
          </w:p>
        </w:tc>
        <w:tc>
          <w:tcPr>
            <w:tcW w:w="240" w:type="dxa"/>
            <w:vAlign w:val="bottom"/>
            <w:tcBorders>
              <w:right w:val="single" w:sz="8" w:color="auto"/>
            </w:tcBorders>
          </w:tcPr>
          <w:p>
            <w:pPr>
              <w:spacing w:after="0"/>
              <w:rPr>
                <w:sz w:val="12"/>
                <w:szCs w:val="12"/>
                <w:color w:val="auto"/>
              </w:rPr>
            </w:pPr>
          </w:p>
        </w:tc>
        <w:tc>
          <w:tcPr>
            <w:tcW w:w="5520" w:type="dxa"/>
            <w:vAlign w:val="bottom"/>
            <w:tcBorders>
              <w:right w:val="single" w:sz="8" w:color="auto"/>
            </w:tcBorders>
          </w:tcPr>
          <w:p>
            <w:pPr>
              <w:ind w:left="20"/>
              <w:spacing w:after="0" w:line="145" w:lineRule="exact"/>
              <w:rPr>
                <w:sz w:val="20"/>
                <w:szCs w:val="20"/>
                <w:color w:val="auto"/>
              </w:rPr>
            </w:pPr>
            <w:r>
              <w:rPr>
                <w:rFonts w:ascii="Arial" w:cs="Arial" w:eastAsia="Arial" w:hAnsi="Arial"/>
                <w:sz w:val="13"/>
                <w:szCs w:val="13"/>
                <w:color w:val="auto"/>
              </w:rPr>
              <w:t>des actions. Les personnes physiques et morales ainsi que les représentants légaux des</w:t>
            </w:r>
          </w:p>
        </w:tc>
      </w:tr>
      <w:tr>
        <w:trPr>
          <w:trHeight w:val="145"/>
        </w:trPr>
        <w:tc>
          <w:tcPr>
            <w:tcW w:w="5540" w:type="dxa"/>
            <w:vAlign w:val="bottom"/>
            <w:tcBorders>
              <w:left w:val="single" w:sz="8" w:color="auto"/>
              <w:right w:val="single" w:sz="8" w:color="auto"/>
            </w:tcBorders>
          </w:tcPr>
          <w:p>
            <w:pPr>
              <w:ind w:left="40"/>
              <w:spacing w:after="0" w:line="145" w:lineRule="exact"/>
              <w:rPr>
                <w:sz w:val="20"/>
                <w:szCs w:val="20"/>
                <w:color w:val="auto"/>
              </w:rPr>
            </w:pPr>
            <w:r>
              <w:rPr>
                <w:rFonts w:ascii="Arial" w:cs="Arial" w:eastAsia="Arial" w:hAnsi="Arial"/>
                <w:sz w:val="13"/>
                <w:szCs w:val="13"/>
                <w:color w:val="auto"/>
              </w:rPr>
              <w:t>representatives of minors etc. entitled by law to the voting rights of a share which they do not</w:t>
            </w:r>
          </w:p>
        </w:tc>
        <w:tc>
          <w:tcPr>
            <w:tcW w:w="240" w:type="dxa"/>
            <w:vAlign w:val="bottom"/>
            <w:tcBorders>
              <w:right w:val="single" w:sz="8" w:color="auto"/>
            </w:tcBorders>
          </w:tcPr>
          <w:p>
            <w:pPr>
              <w:spacing w:after="0"/>
              <w:rPr>
                <w:sz w:val="12"/>
                <w:szCs w:val="12"/>
                <w:color w:val="auto"/>
              </w:rPr>
            </w:pPr>
          </w:p>
        </w:tc>
        <w:tc>
          <w:tcPr>
            <w:tcW w:w="5520" w:type="dxa"/>
            <w:vAlign w:val="bottom"/>
            <w:tcBorders>
              <w:right w:val="single" w:sz="8" w:color="auto"/>
            </w:tcBorders>
          </w:tcPr>
          <w:p>
            <w:pPr>
              <w:ind w:left="20"/>
              <w:spacing w:after="0" w:line="145" w:lineRule="exact"/>
              <w:rPr>
                <w:sz w:val="20"/>
                <w:szCs w:val="20"/>
                <w:color w:val="auto"/>
              </w:rPr>
            </w:pPr>
            <w:r>
              <w:rPr>
                <w:rFonts w:ascii="Arial" w:cs="Arial" w:eastAsia="Arial" w:hAnsi="Arial"/>
                <w:sz w:val="13"/>
                <w:szCs w:val="13"/>
                <w:color w:val="auto"/>
                <w:w w:val="99"/>
              </w:rPr>
              <w:t>mineurs etc. autorisés par la loi à voter alors qu'ils ne sont pas propriétaires des actions seront,</w:t>
            </w:r>
          </w:p>
        </w:tc>
      </w:tr>
      <w:tr>
        <w:trPr>
          <w:trHeight w:val="168"/>
        </w:trPr>
        <w:tc>
          <w:tcPr>
            <w:tcW w:w="55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3"/>
                <w:szCs w:val="13"/>
                <w:color w:val="auto"/>
              </w:rPr>
              <w:t>own will be noted in the share register upon request.</w:t>
            </w:r>
          </w:p>
        </w:tc>
        <w:tc>
          <w:tcPr>
            <w:tcW w:w="240" w:type="dxa"/>
            <w:vAlign w:val="bottom"/>
            <w:tcBorders>
              <w:right w:val="single" w:sz="8" w:color="auto"/>
            </w:tcBorders>
          </w:tcPr>
          <w:p>
            <w:pPr>
              <w:spacing w:after="0"/>
              <w:rPr>
                <w:sz w:val="14"/>
                <w:szCs w:val="14"/>
                <w:color w:val="auto"/>
              </w:rPr>
            </w:pPr>
          </w:p>
        </w:tc>
        <w:tc>
          <w:tcPr>
            <w:tcW w:w="5520" w:type="dxa"/>
            <w:vAlign w:val="bottom"/>
            <w:tcBorders>
              <w:right w:val="single" w:sz="8" w:color="auto"/>
            </w:tcBorders>
          </w:tcPr>
          <w:p>
            <w:pPr>
              <w:ind w:left="20"/>
              <w:spacing w:after="0"/>
              <w:rPr>
                <w:sz w:val="20"/>
                <w:szCs w:val="20"/>
                <w:color w:val="auto"/>
              </w:rPr>
            </w:pPr>
            <w:r>
              <w:rPr>
                <w:rFonts w:ascii="Arial" w:cs="Arial" w:eastAsia="Arial" w:hAnsi="Arial"/>
                <w:sz w:val="13"/>
                <w:szCs w:val="13"/>
                <w:color w:val="auto"/>
              </w:rPr>
              <w:t>sur demande, inscrits dans le registre des actions.</w:t>
            </w:r>
          </w:p>
        </w:tc>
      </w:tr>
      <w:tr>
        <w:trPr>
          <w:trHeight w:val="153"/>
        </w:trPr>
        <w:tc>
          <w:tcPr>
            <w:tcW w:w="5540" w:type="dxa"/>
            <w:vAlign w:val="bottom"/>
            <w:tcBorders>
              <w:left w:val="single" w:sz="8" w:color="auto"/>
              <w:bottom w:val="single" w:sz="8" w:color="auto"/>
              <w:right w:val="single" w:sz="8" w:color="auto"/>
            </w:tcBorders>
          </w:tcPr>
          <w:p>
            <w:pPr>
              <w:spacing w:after="0"/>
              <w:rPr>
                <w:sz w:val="13"/>
                <w:szCs w:val="13"/>
                <w:color w:val="auto"/>
              </w:rPr>
            </w:pPr>
          </w:p>
        </w:tc>
        <w:tc>
          <w:tcPr>
            <w:tcW w:w="240" w:type="dxa"/>
            <w:vAlign w:val="bottom"/>
            <w:tcBorders>
              <w:bottom w:val="single" w:sz="8" w:color="auto"/>
              <w:right w:val="single" w:sz="8" w:color="auto"/>
            </w:tcBorders>
          </w:tcPr>
          <w:p>
            <w:pPr>
              <w:spacing w:after="0"/>
              <w:rPr>
                <w:sz w:val="13"/>
                <w:szCs w:val="13"/>
                <w:color w:val="auto"/>
              </w:rPr>
            </w:pPr>
          </w:p>
        </w:tc>
        <w:tc>
          <w:tcPr>
            <w:tcW w:w="5520" w:type="dxa"/>
            <w:vAlign w:val="bottom"/>
            <w:tcBorders>
              <w:bottom w:val="single" w:sz="8" w:color="auto"/>
              <w:right w:val="single" w:sz="8" w:color="auto"/>
            </w:tcBorders>
          </w:tcPr>
          <w:p>
            <w:pPr>
              <w:spacing w:after="0"/>
              <w:rPr>
                <w:sz w:val="13"/>
                <w:szCs w:val="13"/>
                <w:color w:val="auto"/>
              </w:rPr>
            </w:pPr>
          </w:p>
        </w:tc>
      </w:tr>
      <w:tr>
        <w:trPr>
          <w:trHeight w:val="141"/>
        </w:trPr>
        <w:tc>
          <w:tcPr>
            <w:tcW w:w="5540" w:type="dxa"/>
            <w:vAlign w:val="bottom"/>
            <w:tcBorders>
              <w:left w:val="single" w:sz="8" w:color="auto"/>
              <w:right w:val="single" w:sz="8" w:color="auto"/>
            </w:tcBorders>
          </w:tcPr>
          <w:p>
            <w:pPr>
              <w:ind w:left="40"/>
              <w:spacing w:after="0" w:line="141" w:lineRule="exact"/>
              <w:rPr>
                <w:sz w:val="20"/>
                <w:szCs w:val="20"/>
                <w:color w:val="auto"/>
              </w:rPr>
            </w:pPr>
            <w:r>
              <w:rPr>
                <w:rFonts w:ascii="Arial" w:cs="Arial" w:eastAsia="Arial" w:hAnsi="Arial"/>
                <w:sz w:val="13"/>
                <w:szCs w:val="13"/>
                <w:color w:val="auto"/>
              </w:rPr>
              <w:t>Upon request, acquirers of shares will be registered in the share register without limitation as</w:t>
            </w:r>
          </w:p>
        </w:tc>
        <w:tc>
          <w:tcPr>
            <w:tcW w:w="240" w:type="dxa"/>
            <w:vAlign w:val="bottom"/>
            <w:tcBorders>
              <w:right w:val="single" w:sz="8" w:color="auto"/>
            </w:tcBorders>
          </w:tcPr>
          <w:p>
            <w:pPr>
              <w:spacing w:after="0"/>
              <w:rPr>
                <w:sz w:val="12"/>
                <w:szCs w:val="12"/>
                <w:color w:val="auto"/>
              </w:rPr>
            </w:pPr>
          </w:p>
        </w:tc>
        <w:tc>
          <w:tcPr>
            <w:tcW w:w="5520" w:type="dxa"/>
            <w:vAlign w:val="bottom"/>
            <w:tcBorders>
              <w:right w:val="single" w:sz="8" w:color="auto"/>
            </w:tcBorders>
          </w:tcPr>
          <w:p>
            <w:pPr>
              <w:ind w:left="20"/>
              <w:spacing w:after="0" w:line="141" w:lineRule="exact"/>
              <w:rPr>
                <w:sz w:val="20"/>
                <w:szCs w:val="20"/>
                <w:color w:val="auto"/>
              </w:rPr>
            </w:pPr>
            <w:r>
              <w:rPr>
                <w:rFonts w:ascii="Arial" w:cs="Arial" w:eastAsia="Arial" w:hAnsi="Arial"/>
                <w:sz w:val="13"/>
                <w:szCs w:val="13"/>
                <w:color w:val="auto"/>
              </w:rPr>
              <w:t>Sur demande, les acquéreurs d'actions seront inscrits dans le registre des actions sans</w:t>
            </w:r>
          </w:p>
        </w:tc>
      </w:tr>
      <w:tr>
        <w:trPr>
          <w:trHeight w:val="145"/>
        </w:trPr>
        <w:tc>
          <w:tcPr>
            <w:tcW w:w="5540" w:type="dxa"/>
            <w:vAlign w:val="bottom"/>
            <w:tcBorders>
              <w:left w:val="single" w:sz="8" w:color="auto"/>
              <w:right w:val="single" w:sz="8" w:color="auto"/>
            </w:tcBorders>
          </w:tcPr>
          <w:p>
            <w:pPr>
              <w:ind w:left="40"/>
              <w:spacing w:after="0" w:line="145" w:lineRule="exact"/>
              <w:rPr>
                <w:sz w:val="20"/>
                <w:szCs w:val="20"/>
                <w:color w:val="auto"/>
              </w:rPr>
            </w:pPr>
            <w:r>
              <w:rPr>
                <w:rFonts w:ascii="Arial" w:cs="Arial" w:eastAsia="Arial" w:hAnsi="Arial"/>
                <w:sz w:val="13"/>
                <w:szCs w:val="13"/>
                <w:color w:val="auto"/>
              </w:rPr>
              <w:t>shareholders if they expressly certify that they acquired the shares in their own name and for</w:t>
            </w:r>
          </w:p>
        </w:tc>
        <w:tc>
          <w:tcPr>
            <w:tcW w:w="240" w:type="dxa"/>
            <w:vAlign w:val="bottom"/>
            <w:tcBorders>
              <w:right w:val="single" w:sz="8" w:color="auto"/>
            </w:tcBorders>
          </w:tcPr>
          <w:p>
            <w:pPr>
              <w:spacing w:after="0"/>
              <w:rPr>
                <w:sz w:val="12"/>
                <w:szCs w:val="12"/>
                <w:color w:val="auto"/>
              </w:rPr>
            </w:pPr>
          </w:p>
        </w:tc>
        <w:tc>
          <w:tcPr>
            <w:tcW w:w="5520" w:type="dxa"/>
            <w:vAlign w:val="bottom"/>
            <w:tcBorders>
              <w:right w:val="single" w:sz="8" w:color="auto"/>
            </w:tcBorders>
          </w:tcPr>
          <w:p>
            <w:pPr>
              <w:ind w:left="20"/>
              <w:spacing w:after="0" w:line="145" w:lineRule="exact"/>
              <w:rPr>
                <w:sz w:val="20"/>
                <w:szCs w:val="20"/>
                <w:color w:val="auto"/>
              </w:rPr>
            </w:pPr>
            <w:r>
              <w:rPr>
                <w:rFonts w:ascii="Arial" w:cs="Arial" w:eastAsia="Arial" w:hAnsi="Arial"/>
                <w:sz w:val="13"/>
                <w:szCs w:val="13"/>
                <w:color w:val="auto"/>
              </w:rPr>
              <w:t>limitation comme actionnaires s'ils attestent expressément qu'ils ont acquis les actions en leur</w:t>
            </w:r>
          </w:p>
        </w:tc>
      </w:tr>
      <w:tr>
        <w:trPr>
          <w:trHeight w:val="173"/>
        </w:trPr>
        <w:tc>
          <w:tcPr>
            <w:tcW w:w="554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3"/>
                <w:szCs w:val="13"/>
                <w:color w:val="auto"/>
              </w:rPr>
              <w:t>their own account.</w:t>
            </w:r>
          </w:p>
        </w:tc>
        <w:tc>
          <w:tcPr>
            <w:tcW w:w="240" w:type="dxa"/>
            <w:vAlign w:val="bottom"/>
            <w:tcBorders>
              <w:bottom w:val="single" w:sz="8" w:color="auto"/>
              <w:right w:val="single" w:sz="8" w:color="auto"/>
            </w:tcBorders>
          </w:tcPr>
          <w:p>
            <w:pPr>
              <w:spacing w:after="0"/>
              <w:rPr>
                <w:sz w:val="15"/>
                <w:szCs w:val="15"/>
                <w:color w:val="auto"/>
              </w:rPr>
            </w:pPr>
          </w:p>
        </w:tc>
        <w:tc>
          <w:tcPr>
            <w:tcW w:w="55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3"/>
                <w:szCs w:val="13"/>
                <w:color w:val="auto"/>
              </w:rPr>
              <w:t>propre nom et pour leur propre compte.</w:t>
            </w:r>
          </w:p>
        </w:tc>
      </w:tr>
      <w:tr>
        <w:trPr>
          <w:trHeight w:val="173"/>
        </w:trPr>
        <w:tc>
          <w:tcPr>
            <w:tcW w:w="554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3"/>
                <w:szCs w:val="13"/>
                <w:color w:val="auto"/>
              </w:rPr>
              <w:t>Persons who do not expressly declare in the</w:t>
            </w:r>
          </w:p>
        </w:tc>
        <w:tc>
          <w:tcPr>
            <w:tcW w:w="240" w:type="dxa"/>
            <w:vAlign w:val="bottom"/>
            <w:tcBorders>
              <w:bottom w:val="single" w:sz="8" w:color="auto"/>
              <w:right w:val="single" w:sz="8" w:color="auto"/>
            </w:tcBorders>
          </w:tcPr>
          <w:p>
            <w:pPr>
              <w:spacing w:after="0"/>
              <w:rPr>
                <w:sz w:val="15"/>
                <w:szCs w:val="15"/>
                <w:color w:val="auto"/>
              </w:rPr>
            </w:pPr>
          </w:p>
        </w:tc>
        <w:tc>
          <w:tcPr>
            <w:tcW w:w="55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3"/>
                <w:szCs w:val="13"/>
                <w:color w:val="auto"/>
              </w:rPr>
              <w:t>Les personnes qui ne déclarent pas</w:t>
            </w:r>
          </w:p>
        </w:tc>
      </w:tr>
    </w:tbl>
    <w:p>
      <w:pPr>
        <w:spacing w:after="0" w:line="59"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5"/>
          <w:szCs w:val="15"/>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12700</wp:posOffset>
            </wp:positionV>
            <wp:extent cx="7171690" cy="635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71690" cy="6350"/>
                    </a:xfrm>
                    <a:prstGeom prst="rect">
                      <a:avLst/>
                    </a:prstGeom>
                    <a:noFill/>
                  </pic:spPr>
                </pic:pic>
              </a:graphicData>
            </a:graphic>
          </wp:anchor>
        </w:drawing>
      </w:r>
    </w:p>
    <w:p>
      <w:pPr>
        <w:sectPr>
          <w:pgSz w:w="11900" w:h="16838" w:orient="portrait"/>
          <w:cols w:equalWidth="0" w:num="1">
            <w:col w:w="11300"/>
          </w:cols>
          <w:pgMar w:left="300" w:top="448" w:right="299" w:bottom="1440" w:gutter="0" w:footer="0" w:header="0"/>
        </w:sectPr>
      </w:pPr>
    </w:p>
    <w:bookmarkStart w:id="62" w:name="page63"/>
    <w:bookmarkEnd w:id="62"/>
    <w:tbl>
      <w:tblPr>
        <w:tblLayout w:type="fixed"/>
        <w:tblInd w:w="10" w:type="dxa"/>
        <w:tblCellMar>
          <w:top w:w="0" w:type="dxa"/>
          <w:left w:w="0" w:type="dxa"/>
          <w:bottom w:w="0" w:type="dxa"/>
          <w:right w:w="0" w:type="dxa"/>
        </w:tblCellMar>
      </w:tblPr>
      <w:tr>
        <w:trPr>
          <w:trHeight w:val="161"/>
        </w:trPr>
        <w:tc>
          <w:tcPr>
            <w:tcW w:w="5540" w:type="dxa"/>
            <w:vAlign w:val="bottom"/>
            <w:tcBorders>
              <w:top w:val="single" w:sz="8" w:color="auto"/>
              <w:left w:val="single" w:sz="8" w:color="auto"/>
              <w:right w:val="single" w:sz="8" w:color="auto"/>
            </w:tcBorders>
          </w:tcPr>
          <w:p>
            <w:pPr>
              <w:ind w:left="40"/>
              <w:spacing w:after="0"/>
              <w:rPr>
                <w:sz w:val="20"/>
                <w:szCs w:val="20"/>
                <w:color w:val="auto"/>
              </w:rPr>
            </w:pPr>
            <w:r>
              <w:rPr>
                <w:rFonts w:ascii="Arial" w:cs="Arial" w:eastAsia="Arial" w:hAnsi="Arial"/>
                <w:sz w:val="13"/>
                <w:szCs w:val="13"/>
                <w:color w:val="auto"/>
              </w:rPr>
              <w:t>registration application that they are holding the shares on their own account (thereafter:</w:t>
            </w:r>
          </w:p>
        </w:tc>
        <w:tc>
          <w:tcPr>
            <w:tcW w:w="240" w:type="dxa"/>
            <w:vAlign w:val="bottom"/>
            <w:tcBorders>
              <w:top w:val="single" w:sz="8" w:color="auto"/>
              <w:right w:val="single" w:sz="8" w:color="auto"/>
            </w:tcBorders>
          </w:tcPr>
          <w:p>
            <w:pPr>
              <w:spacing w:after="0"/>
              <w:rPr>
                <w:sz w:val="14"/>
                <w:szCs w:val="14"/>
                <w:color w:val="auto"/>
              </w:rPr>
            </w:pPr>
          </w:p>
        </w:tc>
        <w:tc>
          <w:tcPr>
            <w:tcW w:w="5520" w:type="dxa"/>
            <w:vAlign w:val="bottom"/>
            <w:tcBorders>
              <w:top w:val="single" w:sz="8" w:color="auto"/>
              <w:right w:val="single" w:sz="8" w:color="auto"/>
            </w:tcBorders>
          </w:tcPr>
          <w:p>
            <w:pPr>
              <w:ind w:left="20"/>
              <w:spacing w:after="0"/>
              <w:rPr>
                <w:sz w:val="20"/>
                <w:szCs w:val="20"/>
                <w:color w:val="auto"/>
              </w:rPr>
            </w:pPr>
            <w:r>
              <w:rPr>
                <w:rFonts w:ascii="Arial" w:cs="Arial" w:eastAsia="Arial" w:hAnsi="Arial"/>
                <w:sz w:val="13"/>
                <w:szCs w:val="13"/>
                <w:color w:val="auto"/>
              </w:rPr>
              <w:t>expressément dans la demande d'inscription qu'ils détiennent les actions pour leur propre</w:t>
            </w:r>
          </w:p>
        </w:tc>
      </w:tr>
      <w:tr>
        <w:trPr>
          <w:trHeight w:val="145"/>
        </w:trPr>
        <w:tc>
          <w:tcPr>
            <w:tcW w:w="5540" w:type="dxa"/>
            <w:vAlign w:val="bottom"/>
            <w:tcBorders>
              <w:left w:val="single" w:sz="8" w:color="auto"/>
              <w:right w:val="single" w:sz="8" w:color="auto"/>
            </w:tcBorders>
          </w:tcPr>
          <w:p>
            <w:pPr>
              <w:ind w:left="40"/>
              <w:spacing w:after="0" w:line="145" w:lineRule="exact"/>
              <w:rPr>
                <w:sz w:val="20"/>
                <w:szCs w:val="20"/>
                <w:color w:val="auto"/>
              </w:rPr>
            </w:pPr>
            <w:r>
              <w:rPr>
                <w:rFonts w:ascii="Arial" w:cs="Arial" w:eastAsia="Arial" w:hAnsi="Arial"/>
                <w:sz w:val="13"/>
                <w:szCs w:val="13"/>
                <w:color w:val="auto"/>
                <w:w w:val="99"/>
              </w:rPr>
              <w:t>nominees) shall forthwith be entered on the share register as shareholders with voting rights up</w:t>
            </w:r>
          </w:p>
        </w:tc>
        <w:tc>
          <w:tcPr>
            <w:tcW w:w="240" w:type="dxa"/>
            <w:vAlign w:val="bottom"/>
            <w:tcBorders>
              <w:right w:val="single" w:sz="8" w:color="auto"/>
            </w:tcBorders>
          </w:tcPr>
          <w:p>
            <w:pPr>
              <w:spacing w:after="0"/>
              <w:rPr>
                <w:sz w:val="12"/>
                <w:szCs w:val="12"/>
                <w:color w:val="auto"/>
              </w:rPr>
            </w:pPr>
          </w:p>
        </w:tc>
        <w:tc>
          <w:tcPr>
            <w:tcW w:w="5520" w:type="dxa"/>
            <w:vAlign w:val="bottom"/>
            <w:tcBorders>
              <w:right w:val="single" w:sz="8" w:color="auto"/>
            </w:tcBorders>
          </w:tcPr>
          <w:p>
            <w:pPr>
              <w:ind w:left="20"/>
              <w:spacing w:after="0" w:line="145" w:lineRule="exact"/>
              <w:rPr>
                <w:sz w:val="20"/>
                <w:szCs w:val="20"/>
                <w:color w:val="auto"/>
              </w:rPr>
            </w:pPr>
            <w:r>
              <w:rPr>
                <w:rFonts w:ascii="Arial" w:cs="Arial" w:eastAsia="Arial" w:hAnsi="Arial"/>
                <w:sz w:val="13"/>
                <w:szCs w:val="13"/>
                <w:color w:val="auto"/>
              </w:rPr>
              <w:t>compte (par la suite: les candidats) doivent immédiatement être inscrits dans le registre des</w:t>
            </w:r>
          </w:p>
        </w:tc>
      </w:tr>
      <w:tr>
        <w:trPr>
          <w:trHeight w:val="145"/>
        </w:trPr>
        <w:tc>
          <w:tcPr>
            <w:tcW w:w="5540" w:type="dxa"/>
            <w:vAlign w:val="bottom"/>
            <w:tcBorders>
              <w:left w:val="single" w:sz="8" w:color="auto"/>
              <w:right w:val="single" w:sz="8" w:color="auto"/>
            </w:tcBorders>
          </w:tcPr>
          <w:p>
            <w:pPr>
              <w:ind w:left="40"/>
              <w:spacing w:after="0" w:line="145" w:lineRule="exact"/>
              <w:rPr>
                <w:sz w:val="20"/>
                <w:szCs w:val="20"/>
                <w:color w:val="auto"/>
              </w:rPr>
            </w:pPr>
            <w:r>
              <w:rPr>
                <w:rFonts w:ascii="Arial" w:cs="Arial" w:eastAsia="Arial" w:hAnsi="Arial"/>
                <w:sz w:val="13"/>
                <w:szCs w:val="13"/>
                <w:color w:val="auto"/>
              </w:rPr>
              <w:t>to a maximum of 3 percent of the share capital. Beyond that limit, registered shares of</w:t>
            </w:r>
          </w:p>
        </w:tc>
        <w:tc>
          <w:tcPr>
            <w:tcW w:w="240" w:type="dxa"/>
            <w:vAlign w:val="bottom"/>
            <w:tcBorders>
              <w:right w:val="single" w:sz="8" w:color="auto"/>
            </w:tcBorders>
          </w:tcPr>
          <w:p>
            <w:pPr>
              <w:spacing w:after="0"/>
              <w:rPr>
                <w:sz w:val="12"/>
                <w:szCs w:val="12"/>
                <w:color w:val="auto"/>
              </w:rPr>
            </w:pPr>
          </w:p>
        </w:tc>
        <w:tc>
          <w:tcPr>
            <w:tcW w:w="5520" w:type="dxa"/>
            <w:vAlign w:val="bottom"/>
            <w:tcBorders>
              <w:right w:val="single" w:sz="8" w:color="auto"/>
            </w:tcBorders>
          </w:tcPr>
          <w:p>
            <w:pPr>
              <w:ind w:left="20"/>
              <w:spacing w:after="0" w:line="145" w:lineRule="exact"/>
              <w:rPr>
                <w:sz w:val="20"/>
                <w:szCs w:val="20"/>
                <w:color w:val="auto"/>
              </w:rPr>
            </w:pPr>
            <w:r>
              <w:rPr>
                <w:rFonts w:ascii="Arial" w:cs="Arial" w:eastAsia="Arial" w:hAnsi="Arial"/>
                <w:sz w:val="13"/>
                <w:szCs w:val="13"/>
                <w:color w:val="auto"/>
              </w:rPr>
              <w:t>actions comme actionnaires avec droit de vote pour un maximum de 3 pour cent du capital-</w:t>
            </w:r>
          </w:p>
        </w:tc>
      </w:tr>
      <w:tr>
        <w:trPr>
          <w:trHeight w:val="145"/>
        </w:trPr>
        <w:tc>
          <w:tcPr>
            <w:tcW w:w="5540" w:type="dxa"/>
            <w:vAlign w:val="bottom"/>
            <w:tcBorders>
              <w:left w:val="single" w:sz="8" w:color="auto"/>
              <w:right w:val="single" w:sz="8" w:color="auto"/>
            </w:tcBorders>
          </w:tcPr>
          <w:p>
            <w:pPr>
              <w:ind w:left="40"/>
              <w:spacing w:after="0" w:line="145" w:lineRule="exact"/>
              <w:rPr>
                <w:sz w:val="20"/>
                <w:szCs w:val="20"/>
                <w:color w:val="auto"/>
              </w:rPr>
            </w:pPr>
            <w:r>
              <w:rPr>
                <w:rFonts w:ascii="Arial" w:cs="Arial" w:eastAsia="Arial" w:hAnsi="Arial"/>
                <w:sz w:val="13"/>
                <w:szCs w:val="13"/>
                <w:color w:val="auto"/>
                <w:w w:val="99"/>
              </w:rPr>
              <w:t>nominees shall only be entered as voting if the nominees in question confirm in writing that they</w:t>
            </w:r>
          </w:p>
        </w:tc>
        <w:tc>
          <w:tcPr>
            <w:tcW w:w="240" w:type="dxa"/>
            <w:vAlign w:val="bottom"/>
            <w:tcBorders>
              <w:right w:val="single" w:sz="8" w:color="auto"/>
            </w:tcBorders>
          </w:tcPr>
          <w:p>
            <w:pPr>
              <w:spacing w:after="0"/>
              <w:rPr>
                <w:sz w:val="12"/>
                <w:szCs w:val="12"/>
                <w:color w:val="auto"/>
              </w:rPr>
            </w:pPr>
          </w:p>
        </w:tc>
        <w:tc>
          <w:tcPr>
            <w:tcW w:w="5520" w:type="dxa"/>
            <w:vAlign w:val="bottom"/>
            <w:tcBorders>
              <w:right w:val="single" w:sz="8" w:color="auto"/>
            </w:tcBorders>
          </w:tcPr>
          <w:p>
            <w:pPr>
              <w:ind w:left="20"/>
              <w:spacing w:after="0" w:line="145" w:lineRule="exact"/>
              <w:rPr>
                <w:sz w:val="20"/>
                <w:szCs w:val="20"/>
                <w:color w:val="auto"/>
              </w:rPr>
            </w:pPr>
            <w:r>
              <w:rPr>
                <w:rFonts w:ascii="Arial" w:cs="Arial" w:eastAsia="Arial" w:hAnsi="Arial"/>
                <w:sz w:val="13"/>
                <w:szCs w:val="13"/>
                <w:color w:val="auto"/>
              </w:rPr>
              <w:t>actions. Au-delà de cette limite, les actions nominatives des candidats ne sont inscrites avec</w:t>
            </w:r>
          </w:p>
        </w:tc>
      </w:tr>
      <w:tr>
        <w:trPr>
          <w:trHeight w:val="145"/>
        </w:trPr>
        <w:tc>
          <w:tcPr>
            <w:tcW w:w="5540" w:type="dxa"/>
            <w:vAlign w:val="bottom"/>
            <w:tcBorders>
              <w:left w:val="single" w:sz="8" w:color="auto"/>
              <w:right w:val="single" w:sz="8" w:color="auto"/>
            </w:tcBorders>
          </w:tcPr>
          <w:p>
            <w:pPr>
              <w:ind w:left="40"/>
              <w:spacing w:after="0" w:line="145" w:lineRule="exact"/>
              <w:rPr>
                <w:sz w:val="20"/>
                <w:szCs w:val="20"/>
                <w:color w:val="auto"/>
              </w:rPr>
            </w:pPr>
            <w:r>
              <w:rPr>
                <w:rFonts w:ascii="Arial" w:cs="Arial" w:eastAsia="Arial" w:hAnsi="Arial"/>
                <w:sz w:val="13"/>
                <w:szCs w:val="13"/>
                <w:color w:val="auto"/>
              </w:rPr>
              <w:t>are willing to disclose the names, addresses and shareholdings of the persons on whose</w:t>
            </w:r>
          </w:p>
        </w:tc>
        <w:tc>
          <w:tcPr>
            <w:tcW w:w="240" w:type="dxa"/>
            <w:vAlign w:val="bottom"/>
            <w:tcBorders>
              <w:right w:val="single" w:sz="8" w:color="auto"/>
            </w:tcBorders>
          </w:tcPr>
          <w:p>
            <w:pPr>
              <w:spacing w:after="0"/>
              <w:rPr>
                <w:sz w:val="12"/>
                <w:szCs w:val="12"/>
                <w:color w:val="auto"/>
              </w:rPr>
            </w:pPr>
          </w:p>
        </w:tc>
        <w:tc>
          <w:tcPr>
            <w:tcW w:w="5520" w:type="dxa"/>
            <w:vAlign w:val="bottom"/>
            <w:tcBorders>
              <w:right w:val="single" w:sz="8" w:color="auto"/>
            </w:tcBorders>
          </w:tcPr>
          <w:p>
            <w:pPr>
              <w:ind w:left="20"/>
              <w:spacing w:after="0" w:line="145" w:lineRule="exact"/>
              <w:rPr>
                <w:sz w:val="20"/>
                <w:szCs w:val="20"/>
                <w:color w:val="auto"/>
              </w:rPr>
            </w:pPr>
            <w:r>
              <w:rPr>
                <w:rFonts w:ascii="Arial" w:cs="Arial" w:eastAsia="Arial" w:hAnsi="Arial"/>
                <w:sz w:val="13"/>
                <w:szCs w:val="13"/>
                <w:color w:val="auto"/>
              </w:rPr>
              <w:t>droit de vote que si les candidats en question confirment par écrit qu'ils sont prêts à divulguer</w:t>
            </w:r>
          </w:p>
        </w:tc>
      </w:tr>
      <w:tr>
        <w:trPr>
          <w:trHeight w:val="145"/>
        </w:trPr>
        <w:tc>
          <w:tcPr>
            <w:tcW w:w="5540" w:type="dxa"/>
            <w:vAlign w:val="bottom"/>
            <w:tcBorders>
              <w:left w:val="single" w:sz="8" w:color="auto"/>
              <w:right w:val="single" w:sz="8" w:color="auto"/>
            </w:tcBorders>
          </w:tcPr>
          <w:p>
            <w:pPr>
              <w:ind w:left="40"/>
              <w:spacing w:after="0" w:line="145" w:lineRule="exact"/>
              <w:rPr>
                <w:sz w:val="20"/>
                <w:szCs w:val="20"/>
                <w:color w:val="auto"/>
              </w:rPr>
            </w:pPr>
            <w:r>
              <w:rPr>
                <w:rFonts w:ascii="Arial" w:cs="Arial" w:eastAsia="Arial" w:hAnsi="Arial"/>
                <w:sz w:val="13"/>
                <w:szCs w:val="13"/>
                <w:color w:val="auto"/>
              </w:rPr>
              <w:t>account they hold 0.5 percent or more of the share capital. The Board of Directors concludes</w:t>
            </w:r>
          </w:p>
        </w:tc>
        <w:tc>
          <w:tcPr>
            <w:tcW w:w="240" w:type="dxa"/>
            <w:vAlign w:val="bottom"/>
            <w:tcBorders>
              <w:right w:val="single" w:sz="8" w:color="auto"/>
            </w:tcBorders>
          </w:tcPr>
          <w:p>
            <w:pPr>
              <w:spacing w:after="0"/>
              <w:rPr>
                <w:sz w:val="12"/>
                <w:szCs w:val="12"/>
                <w:color w:val="auto"/>
              </w:rPr>
            </w:pPr>
          </w:p>
        </w:tc>
        <w:tc>
          <w:tcPr>
            <w:tcW w:w="5520" w:type="dxa"/>
            <w:vAlign w:val="bottom"/>
            <w:tcBorders>
              <w:right w:val="single" w:sz="8" w:color="auto"/>
            </w:tcBorders>
          </w:tcPr>
          <w:p>
            <w:pPr>
              <w:ind w:left="20"/>
              <w:spacing w:after="0" w:line="145" w:lineRule="exact"/>
              <w:rPr>
                <w:sz w:val="20"/>
                <w:szCs w:val="20"/>
                <w:color w:val="auto"/>
              </w:rPr>
            </w:pPr>
            <w:r>
              <w:rPr>
                <w:rFonts w:ascii="Arial" w:cs="Arial" w:eastAsia="Arial" w:hAnsi="Arial"/>
                <w:sz w:val="13"/>
                <w:szCs w:val="13"/>
                <w:color w:val="auto"/>
              </w:rPr>
              <w:t>les noms, adresses et participations des personnes pour le compte desquelles ils détiennent</w:t>
            </w:r>
          </w:p>
        </w:tc>
      </w:tr>
      <w:tr>
        <w:trPr>
          <w:trHeight w:val="145"/>
        </w:trPr>
        <w:tc>
          <w:tcPr>
            <w:tcW w:w="5540" w:type="dxa"/>
            <w:vAlign w:val="bottom"/>
            <w:tcBorders>
              <w:left w:val="single" w:sz="8" w:color="auto"/>
              <w:right w:val="single" w:sz="8" w:color="auto"/>
            </w:tcBorders>
          </w:tcPr>
          <w:p>
            <w:pPr>
              <w:ind w:left="40"/>
              <w:spacing w:after="0" w:line="145" w:lineRule="exact"/>
              <w:rPr>
                <w:sz w:val="20"/>
                <w:szCs w:val="20"/>
                <w:color w:val="auto"/>
              </w:rPr>
            </w:pPr>
            <w:r>
              <w:rPr>
                <w:rFonts w:ascii="Arial" w:cs="Arial" w:eastAsia="Arial" w:hAnsi="Arial"/>
                <w:sz w:val="13"/>
                <w:szCs w:val="13"/>
                <w:color w:val="auto"/>
              </w:rPr>
              <w:t>agreements with nominees that among other things govern the representation of shareholders</w:t>
            </w:r>
          </w:p>
        </w:tc>
        <w:tc>
          <w:tcPr>
            <w:tcW w:w="240" w:type="dxa"/>
            <w:vAlign w:val="bottom"/>
            <w:tcBorders>
              <w:right w:val="single" w:sz="8" w:color="auto"/>
            </w:tcBorders>
          </w:tcPr>
          <w:p>
            <w:pPr>
              <w:spacing w:after="0"/>
              <w:rPr>
                <w:sz w:val="12"/>
                <w:szCs w:val="12"/>
                <w:color w:val="auto"/>
              </w:rPr>
            </w:pPr>
          </w:p>
        </w:tc>
        <w:tc>
          <w:tcPr>
            <w:tcW w:w="5520" w:type="dxa"/>
            <w:vAlign w:val="bottom"/>
            <w:tcBorders>
              <w:right w:val="single" w:sz="8" w:color="auto"/>
            </w:tcBorders>
          </w:tcPr>
          <w:p>
            <w:pPr>
              <w:ind w:left="20"/>
              <w:spacing w:after="0" w:line="145" w:lineRule="exact"/>
              <w:rPr>
                <w:sz w:val="20"/>
                <w:szCs w:val="20"/>
                <w:color w:val="auto"/>
              </w:rPr>
            </w:pPr>
            <w:r>
              <w:rPr>
                <w:rFonts w:ascii="Arial" w:cs="Arial" w:eastAsia="Arial" w:hAnsi="Arial"/>
                <w:sz w:val="13"/>
                <w:szCs w:val="13"/>
                <w:color w:val="auto"/>
              </w:rPr>
              <w:t>0,5 pour cent ou plus du capital-actions. Le conseil d'administration conclut des accords avec</w:t>
            </w:r>
          </w:p>
        </w:tc>
      </w:tr>
      <w:tr>
        <w:trPr>
          <w:trHeight w:val="145"/>
        </w:trPr>
        <w:tc>
          <w:tcPr>
            <w:tcW w:w="5540" w:type="dxa"/>
            <w:vAlign w:val="bottom"/>
            <w:tcBorders>
              <w:left w:val="single" w:sz="8" w:color="auto"/>
              <w:right w:val="single" w:sz="8" w:color="auto"/>
            </w:tcBorders>
          </w:tcPr>
          <w:p>
            <w:pPr>
              <w:ind w:left="40"/>
              <w:spacing w:after="0" w:line="145" w:lineRule="exact"/>
              <w:rPr>
                <w:sz w:val="20"/>
                <w:szCs w:val="20"/>
                <w:color w:val="auto"/>
              </w:rPr>
            </w:pPr>
            <w:r>
              <w:rPr>
                <w:rFonts w:ascii="Arial" w:cs="Arial" w:eastAsia="Arial" w:hAnsi="Arial"/>
                <w:sz w:val="13"/>
                <w:szCs w:val="13"/>
                <w:color w:val="auto"/>
              </w:rPr>
              <w:t>and the voting rights.</w:t>
            </w:r>
          </w:p>
        </w:tc>
        <w:tc>
          <w:tcPr>
            <w:tcW w:w="240" w:type="dxa"/>
            <w:vAlign w:val="bottom"/>
            <w:tcBorders>
              <w:right w:val="single" w:sz="8" w:color="auto"/>
            </w:tcBorders>
          </w:tcPr>
          <w:p>
            <w:pPr>
              <w:spacing w:after="0"/>
              <w:rPr>
                <w:sz w:val="12"/>
                <w:szCs w:val="12"/>
                <w:color w:val="auto"/>
              </w:rPr>
            </w:pPr>
          </w:p>
        </w:tc>
        <w:tc>
          <w:tcPr>
            <w:tcW w:w="5520" w:type="dxa"/>
            <w:vAlign w:val="bottom"/>
            <w:tcBorders>
              <w:right w:val="single" w:sz="8" w:color="auto"/>
            </w:tcBorders>
          </w:tcPr>
          <w:p>
            <w:pPr>
              <w:ind w:left="20"/>
              <w:spacing w:after="0" w:line="145" w:lineRule="exact"/>
              <w:rPr>
                <w:sz w:val="20"/>
                <w:szCs w:val="20"/>
                <w:color w:val="auto"/>
              </w:rPr>
            </w:pPr>
            <w:r>
              <w:rPr>
                <w:rFonts w:ascii="Arial" w:cs="Arial" w:eastAsia="Arial" w:hAnsi="Arial"/>
                <w:sz w:val="13"/>
                <w:szCs w:val="13"/>
                <w:color w:val="auto"/>
                <w:w w:val="99"/>
              </w:rPr>
              <w:t>les candidats qui, entre autres choses, régissent la représentation des actionnaires et des droits</w:t>
            </w:r>
          </w:p>
        </w:tc>
      </w:tr>
      <w:tr>
        <w:trPr>
          <w:trHeight w:val="173"/>
        </w:trPr>
        <w:tc>
          <w:tcPr>
            <w:tcW w:w="5540" w:type="dxa"/>
            <w:vAlign w:val="bottom"/>
            <w:tcBorders>
              <w:left w:val="single" w:sz="8" w:color="auto"/>
              <w:bottom w:val="single" w:sz="8" w:color="auto"/>
              <w:right w:val="single" w:sz="8" w:color="auto"/>
            </w:tcBorders>
          </w:tcPr>
          <w:p>
            <w:pPr>
              <w:spacing w:after="0"/>
              <w:rPr>
                <w:sz w:val="15"/>
                <w:szCs w:val="15"/>
                <w:color w:val="auto"/>
              </w:rPr>
            </w:pPr>
          </w:p>
        </w:tc>
        <w:tc>
          <w:tcPr>
            <w:tcW w:w="240" w:type="dxa"/>
            <w:vAlign w:val="bottom"/>
            <w:tcBorders>
              <w:bottom w:val="single" w:sz="8" w:color="auto"/>
              <w:right w:val="single" w:sz="8" w:color="auto"/>
            </w:tcBorders>
          </w:tcPr>
          <w:p>
            <w:pPr>
              <w:spacing w:after="0"/>
              <w:rPr>
                <w:sz w:val="15"/>
                <w:szCs w:val="15"/>
                <w:color w:val="auto"/>
              </w:rPr>
            </w:pPr>
          </w:p>
        </w:tc>
        <w:tc>
          <w:tcPr>
            <w:tcW w:w="55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3"/>
                <w:szCs w:val="13"/>
                <w:color w:val="auto"/>
              </w:rPr>
              <w:t>de vote.</w:t>
            </w:r>
          </w:p>
        </w:tc>
      </w:tr>
      <w:tr>
        <w:trPr>
          <w:trHeight w:val="145"/>
        </w:trPr>
        <w:tc>
          <w:tcPr>
            <w:tcW w:w="5540" w:type="dxa"/>
            <w:vAlign w:val="bottom"/>
            <w:tcBorders>
              <w:left w:val="single" w:sz="8" w:color="auto"/>
              <w:right w:val="single" w:sz="8" w:color="auto"/>
            </w:tcBorders>
          </w:tcPr>
          <w:p>
            <w:pPr>
              <w:ind w:left="40"/>
              <w:spacing w:after="0" w:line="146" w:lineRule="exact"/>
              <w:rPr>
                <w:sz w:val="20"/>
                <w:szCs w:val="20"/>
                <w:color w:val="auto"/>
              </w:rPr>
            </w:pPr>
            <w:r>
              <w:rPr>
                <w:rFonts w:ascii="Arial" w:cs="Arial" w:eastAsia="Arial" w:hAnsi="Arial"/>
                <w:sz w:val="13"/>
                <w:szCs w:val="13"/>
                <w:color w:val="auto"/>
                <w:w w:val="99"/>
              </w:rPr>
              <w:t>After hearing the registered shareholder or nominee, the Board of Directors may remove entries</w:t>
            </w:r>
          </w:p>
        </w:tc>
        <w:tc>
          <w:tcPr>
            <w:tcW w:w="240" w:type="dxa"/>
            <w:vAlign w:val="bottom"/>
            <w:tcBorders>
              <w:right w:val="single" w:sz="8" w:color="auto"/>
            </w:tcBorders>
          </w:tcPr>
          <w:p>
            <w:pPr>
              <w:spacing w:after="0"/>
              <w:rPr>
                <w:sz w:val="12"/>
                <w:szCs w:val="12"/>
                <w:color w:val="auto"/>
              </w:rPr>
            </w:pPr>
          </w:p>
        </w:tc>
        <w:tc>
          <w:tcPr>
            <w:tcW w:w="5520" w:type="dxa"/>
            <w:vAlign w:val="bottom"/>
            <w:tcBorders>
              <w:right w:val="single" w:sz="8" w:color="auto"/>
            </w:tcBorders>
          </w:tcPr>
          <w:p>
            <w:pPr>
              <w:ind w:left="20"/>
              <w:spacing w:after="0" w:line="146" w:lineRule="exact"/>
              <w:rPr>
                <w:sz w:val="20"/>
                <w:szCs w:val="20"/>
                <w:color w:val="auto"/>
              </w:rPr>
            </w:pPr>
            <w:r>
              <w:rPr>
                <w:rFonts w:ascii="Arial" w:cs="Arial" w:eastAsia="Arial" w:hAnsi="Arial"/>
                <w:sz w:val="13"/>
                <w:szCs w:val="13"/>
                <w:color w:val="auto"/>
              </w:rPr>
              <w:t>Après avoir entendu l'actionnaire enregistré ou le candidat, le conseil d'administration peut</w:t>
            </w:r>
          </w:p>
        </w:tc>
      </w:tr>
      <w:tr>
        <w:trPr>
          <w:trHeight w:val="145"/>
        </w:trPr>
        <w:tc>
          <w:tcPr>
            <w:tcW w:w="5540" w:type="dxa"/>
            <w:vAlign w:val="bottom"/>
            <w:tcBorders>
              <w:left w:val="single" w:sz="8" w:color="auto"/>
              <w:right w:val="single" w:sz="8" w:color="auto"/>
            </w:tcBorders>
          </w:tcPr>
          <w:p>
            <w:pPr>
              <w:ind w:left="40"/>
              <w:spacing w:after="0" w:line="145" w:lineRule="exact"/>
              <w:rPr>
                <w:sz w:val="20"/>
                <w:szCs w:val="20"/>
                <w:color w:val="auto"/>
              </w:rPr>
            </w:pPr>
            <w:r>
              <w:rPr>
                <w:rFonts w:ascii="Arial" w:cs="Arial" w:eastAsia="Arial" w:hAnsi="Arial"/>
                <w:sz w:val="13"/>
                <w:szCs w:val="13"/>
                <w:color w:val="auto"/>
              </w:rPr>
              <w:t>in the share register with retroactive effect as per the date of entry, if such entry was based on</w:t>
            </w:r>
          </w:p>
        </w:tc>
        <w:tc>
          <w:tcPr>
            <w:tcW w:w="240" w:type="dxa"/>
            <w:vAlign w:val="bottom"/>
            <w:tcBorders>
              <w:right w:val="single" w:sz="8" w:color="auto"/>
            </w:tcBorders>
          </w:tcPr>
          <w:p>
            <w:pPr>
              <w:spacing w:after="0"/>
              <w:rPr>
                <w:sz w:val="12"/>
                <w:szCs w:val="12"/>
                <w:color w:val="auto"/>
              </w:rPr>
            </w:pPr>
          </w:p>
        </w:tc>
        <w:tc>
          <w:tcPr>
            <w:tcW w:w="5520" w:type="dxa"/>
            <w:vAlign w:val="bottom"/>
            <w:tcBorders>
              <w:right w:val="single" w:sz="8" w:color="auto"/>
            </w:tcBorders>
          </w:tcPr>
          <w:p>
            <w:pPr>
              <w:ind w:left="20"/>
              <w:spacing w:after="0" w:line="145" w:lineRule="exact"/>
              <w:rPr>
                <w:sz w:val="20"/>
                <w:szCs w:val="20"/>
                <w:color w:val="auto"/>
              </w:rPr>
            </w:pPr>
            <w:r>
              <w:rPr>
                <w:rFonts w:ascii="Arial" w:cs="Arial" w:eastAsia="Arial" w:hAnsi="Arial"/>
                <w:sz w:val="13"/>
                <w:szCs w:val="13"/>
                <w:color w:val="auto"/>
              </w:rPr>
              <w:t>supprimer  des  inscriptions  dans  le  registre  des  actions  avec  effet  rétroactif  à  la  date</w:t>
            </w:r>
          </w:p>
        </w:tc>
      </w:tr>
      <w:tr>
        <w:trPr>
          <w:trHeight w:val="145"/>
        </w:trPr>
        <w:tc>
          <w:tcPr>
            <w:tcW w:w="5540" w:type="dxa"/>
            <w:vAlign w:val="bottom"/>
            <w:tcBorders>
              <w:left w:val="single" w:sz="8" w:color="auto"/>
              <w:right w:val="single" w:sz="8" w:color="auto"/>
            </w:tcBorders>
          </w:tcPr>
          <w:p>
            <w:pPr>
              <w:ind w:left="40"/>
              <w:spacing w:after="0" w:line="145" w:lineRule="exact"/>
              <w:rPr>
                <w:sz w:val="20"/>
                <w:szCs w:val="20"/>
                <w:color w:val="auto"/>
              </w:rPr>
            </w:pPr>
            <w:r>
              <w:rPr>
                <w:rFonts w:ascii="Arial" w:cs="Arial" w:eastAsia="Arial" w:hAnsi="Arial"/>
                <w:sz w:val="13"/>
                <w:szCs w:val="13"/>
                <w:color w:val="auto"/>
              </w:rPr>
              <w:t>false information. The party affected must be informed of such removal immediately.</w:t>
            </w:r>
          </w:p>
        </w:tc>
        <w:tc>
          <w:tcPr>
            <w:tcW w:w="240" w:type="dxa"/>
            <w:vAlign w:val="bottom"/>
            <w:tcBorders>
              <w:right w:val="single" w:sz="8" w:color="auto"/>
            </w:tcBorders>
          </w:tcPr>
          <w:p>
            <w:pPr>
              <w:spacing w:after="0"/>
              <w:rPr>
                <w:sz w:val="12"/>
                <w:szCs w:val="12"/>
                <w:color w:val="auto"/>
              </w:rPr>
            </w:pPr>
          </w:p>
        </w:tc>
        <w:tc>
          <w:tcPr>
            <w:tcW w:w="5520" w:type="dxa"/>
            <w:vAlign w:val="bottom"/>
            <w:tcBorders>
              <w:right w:val="single" w:sz="8" w:color="auto"/>
            </w:tcBorders>
          </w:tcPr>
          <w:p>
            <w:pPr>
              <w:ind w:left="20"/>
              <w:spacing w:after="0" w:line="145" w:lineRule="exact"/>
              <w:rPr>
                <w:sz w:val="20"/>
                <w:szCs w:val="20"/>
                <w:color w:val="auto"/>
              </w:rPr>
            </w:pPr>
            <w:r>
              <w:rPr>
                <w:rFonts w:ascii="Arial" w:cs="Arial" w:eastAsia="Arial" w:hAnsi="Arial"/>
                <w:sz w:val="13"/>
                <w:szCs w:val="13"/>
                <w:color w:val="auto"/>
              </w:rPr>
              <w:t>d'inscription, si cette inscription était basée sur de fausses informations. La partie touchée doit</w:t>
            </w:r>
          </w:p>
        </w:tc>
      </w:tr>
      <w:tr>
        <w:trPr>
          <w:trHeight w:val="173"/>
        </w:trPr>
        <w:tc>
          <w:tcPr>
            <w:tcW w:w="5540" w:type="dxa"/>
            <w:vAlign w:val="bottom"/>
            <w:tcBorders>
              <w:left w:val="single" w:sz="8" w:color="auto"/>
              <w:bottom w:val="single" w:sz="8" w:color="auto"/>
              <w:right w:val="single" w:sz="8" w:color="auto"/>
            </w:tcBorders>
          </w:tcPr>
          <w:p>
            <w:pPr>
              <w:spacing w:after="0"/>
              <w:rPr>
                <w:sz w:val="15"/>
                <w:szCs w:val="15"/>
                <w:color w:val="auto"/>
              </w:rPr>
            </w:pPr>
          </w:p>
        </w:tc>
        <w:tc>
          <w:tcPr>
            <w:tcW w:w="240" w:type="dxa"/>
            <w:vAlign w:val="bottom"/>
            <w:tcBorders>
              <w:bottom w:val="single" w:sz="8" w:color="auto"/>
              <w:right w:val="single" w:sz="8" w:color="auto"/>
            </w:tcBorders>
          </w:tcPr>
          <w:p>
            <w:pPr>
              <w:spacing w:after="0"/>
              <w:rPr>
                <w:sz w:val="15"/>
                <w:szCs w:val="15"/>
                <w:color w:val="auto"/>
              </w:rPr>
            </w:pPr>
          </w:p>
        </w:tc>
        <w:tc>
          <w:tcPr>
            <w:tcW w:w="55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3"/>
                <w:szCs w:val="13"/>
                <w:color w:val="auto"/>
              </w:rPr>
              <w:t>être immédiatement informée de cette suppression.</w:t>
            </w:r>
          </w:p>
        </w:tc>
      </w:tr>
      <w:tr>
        <w:trPr>
          <w:trHeight w:val="145"/>
        </w:trPr>
        <w:tc>
          <w:tcPr>
            <w:tcW w:w="5540" w:type="dxa"/>
            <w:vAlign w:val="bottom"/>
            <w:tcBorders>
              <w:left w:val="single" w:sz="8" w:color="auto"/>
              <w:right w:val="single" w:sz="8" w:color="auto"/>
            </w:tcBorders>
          </w:tcPr>
          <w:p>
            <w:pPr>
              <w:ind w:left="40"/>
              <w:spacing w:after="0" w:line="146" w:lineRule="exact"/>
              <w:rPr>
                <w:sz w:val="20"/>
                <w:szCs w:val="20"/>
                <w:color w:val="auto"/>
              </w:rPr>
            </w:pPr>
            <w:r>
              <w:rPr>
                <w:rFonts w:ascii="Arial" w:cs="Arial" w:eastAsia="Arial" w:hAnsi="Arial"/>
                <w:sz w:val="13"/>
                <w:szCs w:val="13"/>
                <w:color w:val="auto"/>
                <w:w w:val="99"/>
              </w:rPr>
              <w:t>No individual or legal entity may, directly or indirectly, formally, constructively or beneficially own</w:t>
            </w:r>
          </w:p>
        </w:tc>
        <w:tc>
          <w:tcPr>
            <w:tcW w:w="240" w:type="dxa"/>
            <w:vAlign w:val="bottom"/>
            <w:tcBorders>
              <w:right w:val="single" w:sz="8" w:color="auto"/>
            </w:tcBorders>
          </w:tcPr>
          <w:p>
            <w:pPr>
              <w:spacing w:after="0"/>
              <w:rPr>
                <w:sz w:val="12"/>
                <w:szCs w:val="12"/>
                <w:color w:val="auto"/>
              </w:rPr>
            </w:pPr>
          </w:p>
        </w:tc>
        <w:tc>
          <w:tcPr>
            <w:tcW w:w="5520" w:type="dxa"/>
            <w:vAlign w:val="bottom"/>
            <w:tcBorders>
              <w:right w:val="single" w:sz="8" w:color="auto"/>
            </w:tcBorders>
          </w:tcPr>
          <w:p>
            <w:pPr>
              <w:ind w:left="20"/>
              <w:spacing w:after="0" w:line="146" w:lineRule="exact"/>
              <w:rPr>
                <w:sz w:val="20"/>
                <w:szCs w:val="20"/>
                <w:color w:val="auto"/>
              </w:rPr>
            </w:pPr>
            <w:r>
              <w:rPr>
                <w:rFonts w:ascii="Arial" w:cs="Arial" w:eastAsia="Arial" w:hAnsi="Arial"/>
                <w:sz w:val="13"/>
                <w:szCs w:val="13"/>
                <w:color w:val="auto"/>
              </w:rPr>
              <w:t>Aucune personne physique ou morale ne peut, directement ou indirectement, formellement ou</w:t>
            </w:r>
          </w:p>
        </w:tc>
      </w:tr>
      <w:tr>
        <w:trPr>
          <w:trHeight w:val="147"/>
        </w:trPr>
        <w:tc>
          <w:tcPr>
            <w:tcW w:w="5540" w:type="dxa"/>
            <w:vAlign w:val="bottom"/>
            <w:tcBorders>
              <w:left w:val="single" w:sz="8" w:color="auto"/>
              <w:right w:val="single" w:sz="8" w:color="auto"/>
            </w:tcBorders>
          </w:tcPr>
          <w:p>
            <w:pPr>
              <w:ind w:left="40"/>
              <w:spacing w:after="0" w:line="147" w:lineRule="exact"/>
              <w:rPr>
                <w:sz w:val="20"/>
                <w:szCs w:val="20"/>
                <w:color w:val="auto"/>
              </w:rPr>
            </w:pPr>
            <w:r>
              <w:rPr>
                <w:rFonts w:ascii="Arial" w:cs="Arial" w:eastAsia="Arial" w:hAnsi="Arial"/>
                <w:sz w:val="13"/>
                <w:szCs w:val="13"/>
                <w:color w:val="auto"/>
                <w:w w:val="99"/>
              </w:rPr>
              <w:t>(as defined in the next paragraph below) or otherwise control voting rights ("Controlled Shares")</w:t>
            </w:r>
          </w:p>
        </w:tc>
        <w:tc>
          <w:tcPr>
            <w:tcW w:w="240" w:type="dxa"/>
            <w:vAlign w:val="bottom"/>
            <w:tcBorders>
              <w:right w:val="single" w:sz="8" w:color="auto"/>
            </w:tcBorders>
          </w:tcPr>
          <w:p>
            <w:pPr>
              <w:spacing w:after="0"/>
              <w:rPr>
                <w:sz w:val="12"/>
                <w:szCs w:val="12"/>
                <w:color w:val="auto"/>
              </w:rPr>
            </w:pPr>
          </w:p>
        </w:tc>
        <w:tc>
          <w:tcPr>
            <w:tcW w:w="5520" w:type="dxa"/>
            <w:vAlign w:val="bottom"/>
            <w:tcBorders>
              <w:right w:val="single" w:sz="8" w:color="auto"/>
            </w:tcBorders>
          </w:tcPr>
          <w:p>
            <w:pPr>
              <w:ind w:left="20"/>
              <w:spacing w:after="0" w:line="147" w:lineRule="exact"/>
              <w:rPr>
                <w:sz w:val="20"/>
                <w:szCs w:val="20"/>
                <w:color w:val="auto"/>
              </w:rPr>
            </w:pPr>
            <w:r>
              <w:rPr>
                <w:rFonts w:ascii="Arial" w:cs="Arial" w:eastAsia="Arial" w:hAnsi="Arial"/>
                <w:sz w:val="13"/>
                <w:szCs w:val="13"/>
                <w:color w:val="auto"/>
                <w:w w:val="99"/>
              </w:rPr>
              <w:t>implicitement détenir à son profit (comme défini dans le paragraphe ci-dessous) ou, d'une autre</w:t>
            </w:r>
          </w:p>
        </w:tc>
      </w:tr>
      <w:tr>
        <w:trPr>
          <w:trHeight w:val="155"/>
        </w:trPr>
        <w:tc>
          <w:tcPr>
            <w:tcW w:w="5540" w:type="dxa"/>
            <w:vAlign w:val="bottom"/>
            <w:tcBorders>
              <w:left w:val="single" w:sz="8" w:color="auto"/>
              <w:right w:val="single" w:sz="8" w:color="auto"/>
            </w:tcBorders>
          </w:tcPr>
          <w:p>
            <w:pPr>
              <w:ind w:left="40"/>
              <w:spacing w:after="0" w:line="156" w:lineRule="exact"/>
              <w:rPr>
                <w:sz w:val="20"/>
                <w:szCs w:val="20"/>
                <w:color w:val="auto"/>
              </w:rPr>
            </w:pPr>
            <w:r>
              <w:rPr>
                <w:rFonts w:ascii="Arial" w:cs="Arial" w:eastAsia="Arial" w:hAnsi="Arial"/>
                <w:sz w:val="11"/>
                <w:szCs w:val="11"/>
                <w:color w:val="auto"/>
              </w:rPr>
              <w:t xml:space="preserve">with respect to 33 </w:t>
            </w:r>
            <w:r>
              <w:rPr>
                <w:rFonts w:ascii="Arial" w:cs="Arial" w:eastAsia="Arial" w:hAnsi="Arial"/>
                <w:sz w:val="18"/>
                <w:szCs w:val="18"/>
                <w:color w:val="auto"/>
                <w:vertAlign w:val="superscript"/>
              </w:rPr>
              <w:t>1</w:t>
            </w:r>
            <w:r>
              <w:rPr>
                <w:rFonts w:ascii="Arial" w:cs="Arial" w:eastAsia="Arial" w:hAnsi="Arial"/>
                <w:sz w:val="11"/>
                <w:szCs w:val="11"/>
                <w:color w:val="auto"/>
              </w:rPr>
              <w:t>/  % or more of the registered share capital recorded in the Commercial</w:t>
            </w:r>
          </w:p>
        </w:tc>
        <w:tc>
          <w:tcPr>
            <w:tcW w:w="240" w:type="dxa"/>
            <w:vAlign w:val="bottom"/>
            <w:tcBorders>
              <w:right w:val="single" w:sz="8" w:color="auto"/>
            </w:tcBorders>
          </w:tcPr>
          <w:p>
            <w:pPr>
              <w:spacing w:after="0"/>
              <w:rPr>
                <w:sz w:val="13"/>
                <w:szCs w:val="13"/>
                <w:color w:val="auto"/>
              </w:rPr>
            </w:pPr>
          </w:p>
        </w:tc>
        <w:tc>
          <w:tcPr>
            <w:tcW w:w="5520" w:type="dxa"/>
            <w:vAlign w:val="bottom"/>
            <w:tcBorders>
              <w:right w:val="single" w:sz="8" w:color="auto"/>
            </w:tcBorders>
          </w:tcPr>
          <w:p>
            <w:pPr>
              <w:ind w:left="20"/>
              <w:spacing w:after="0" w:line="156" w:lineRule="exact"/>
              <w:rPr>
                <w:sz w:val="20"/>
                <w:szCs w:val="20"/>
                <w:color w:val="auto"/>
              </w:rPr>
            </w:pPr>
            <w:r>
              <w:rPr>
                <w:rFonts w:ascii="Arial" w:cs="Arial" w:eastAsia="Arial" w:hAnsi="Arial"/>
                <w:sz w:val="11"/>
                <w:szCs w:val="11"/>
                <w:color w:val="auto"/>
              </w:rPr>
              <w:t xml:space="preserve">manière, contrôler le droit de vote (les "Actions Contrôlées") de 33 </w:t>
            </w:r>
            <w:r>
              <w:rPr>
                <w:rFonts w:ascii="Arial" w:cs="Arial" w:eastAsia="Arial" w:hAnsi="Arial"/>
                <w:sz w:val="18"/>
                <w:szCs w:val="18"/>
                <w:color w:val="auto"/>
                <w:vertAlign w:val="superscript"/>
              </w:rPr>
              <w:t>1</w:t>
            </w:r>
            <w:r>
              <w:rPr>
                <w:rFonts w:ascii="Arial" w:cs="Arial" w:eastAsia="Arial" w:hAnsi="Arial"/>
                <w:sz w:val="11"/>
                <w:szCs w:val="11"/>
                <w:color w:val="auto"/>
              </w:rPr>
              <w:t>/  % ou plus du capital-</w:t>
            </w:r>
          </w:p>
        </w:tc>
      </w:tr>
      <w:tr>
        <w:trPr>
          <w:trHeight w:val="36"/>
        </w:trPr>
        <w:tc>
          <w:tcPr>
            <w:tcW w:w="5540" w:type="dxa"/>
            <w:vAlign w:val="bottom"/>
            <w:tcBorders>
              <w:left w:val="single" w:sz="8" w:color="auto"/>
              <w:right w:val="single" w:sz="8" w:color="auto"/>
            </w:tcBorders>
          </w:tcPr>
          <w:p>
            <w:pPr>
              <w:ind w:left="1240"/>
              <w:spacing w:after="0" w:line="36" w:lineRule="exact"/>
              <w:rPr>
                <w:sz w:val="20"/>
                <w:szCs w:val="20"/>
                <w:color w:val="auto"/>
              </w:rPr>
            </w:pPr>
            <w:r>
              <w:rPr>
                <w:rFonts w:ascii="Arial" w:cs="Arial" w:eastAsia="Arial" w:hAnsi="Arial"/>
                <w:sz w:val="4"/>
                <w:szCs w:val="4"/>
                <w:color w:val="auto"/>
              </w:rPr>
              <w:t>3</w:t>
            </w:r>
          </w:p>
        </w:tc>
        <w:tc>
          <w:tcPr>
            <w:tcW w:w="240" w:type="dxa"/>
            <w:vAlign w:val="bottom"/>
            <w:tcBorders>
              <w:right w:val="single" w:sz="8" w:color="auto"/>
            </w:tcBorders>
          </w:tcPr>
          <w:p>
            <w:pPr>
              <w:spacing w:after="0"/>
              <w:rPr>
                <w:sz w:val="3"/>
                <w:szCs w:val="3"/>
                <w:color w:val="auto"/>
              </w:rPr>
            </w:pPr>
          </w:p>
        </w:tc>
        <w:tc>
          <w:tcPr>
            <w:tcW w:w="5520" w:type="dxa"/>
            <w:vAlign w:val="bottom"/>
            <w:tcBorders>
              <w:right w:val="single" w:sz="8" w:color="auto"/>
            </w:tcBorders>
          </w:tcPr>
          <w:p>
            <w:pPr>
              <w:ind w:left="4100"/>
              <w:spacing w:after="0" w:line="36" w:lineRule="exact"/>
              <w:rPr>
                <w:sz w:val="20"/>
                <w:szCs w:val="20"/>
                <w:color w:val="auto"/>
              </w:rPr>
            </w:pPr>
            <w:r>
              <w:rPr>
                <w:rFonts w:ascii="Arial" w:cs="Arial" w:eastAsia="Arial" w:hAnsi="Arial"/>
                <w:sz w:val="4"/>
                <w:szCs w:val="4"/>
                <w:color w:val="auto"/>
              </w:rPr>
              <w:t>3</w:t>
            </w:r>
          </w:p>
        </w:tc>
      </w:tr>
      <w:tr>
        <w:trPr>
          <w:trHeight w:val="145"/>
        </w:trPr>
        <w:tc>
          <w:tcPr>
            <w:tcW w:w="5540" w:type="dxa"/>
            <w:vAlign w:val="bottom"/>
            <w:tcBorders>
              <w:left w:val="single" w:sz="8" w:color="auto"/>
              <w:right w:val="single" w:sz="8" w:color="auto"/>
            </w:tcBorders>
          </w:tcPr>
          <w:p>
            <w:pPr>
              <w:ind w:left="40"/>
              <w:spacing w:after="0" w:line="145" w:lineRule="exact"/>
              <w:rPr>
                <w:sz w:val="20"/>
                <w:szCs w:val="20"/>
                <w:color w:val="auto"/>
              </w:rPr>
            </w:pPr>
            <w:r>
              <w:rPr>
                <w:rFonts w:ascii="Arial" w:cs="Arial" w:eastAsia="Arial" w:hAnsi="Arial"/>
                <w:sz w:val="13"/>
                <w:szCs w:val="13"/>
                <w:color w:val="auto"/>
              </w:rPr>
              <w:t>Register except if such individual or legal entity has submitted prior to the acquisition of such</w:t>
            </w:r>
          </w:p>
        </w:tc>
        <w:tc>
          <w:tcPr>
            <w:tcW w:w="240" w:type="dxa"/>
            <w:vAlign w:val="bottom"/>
            <w:tcBorders>
              <w:right w:val="single" w:sz="8" w:color="auto"/>
            </w:tcBorders>
          </w:tcPr>
          <w:p>
            <w:pPr>
              <w:spacing w:after="0"/>
              <w:rPr>
                <w:sz w:val="12"/>
                <w:szCs w:val="12"/>
                <w:color w:val="auto"/>
              </w:rPr>
            </w:pPr>
          </w:p>
        </w:tc>
        <w:tc>
          <w:tcPr>
            <w:tcW w:w="5520" w:type="dxa"/>
            <w:vAlign w:val="bottom"/>
            <w:tcBorders>
              <w:right w:val="single" w:sz="8" w:color="auto"/>
            </w:tcBorders>
          </w:tcPr>
          <w:p>
            <w:pPr>
              <w:ind w:left="20"/>
              <w:spacing w:after="0" w:line="145" w:lineRule="exact"/>
              <w:rPr>
                <w:sz w:val="20"/>
                <w:szCs w:val="20"/>
                <w:color w:val="auto"/>
              </w:rPr>
            </w:pPr>
            <w:r>
              <w:rPr>
                <w:rFonts w:ascii="Arial" w:cs="Arial" w:eastAsia="Arial" w:hAnsi="Arial"/>
                <w:sz w:val="13"/>
                <w:szCs w:val="13"/>
                <w:color w:val="auto"/>
              </w:rPr>
              <w:t>actions nominatif tel qu'inscrit au registre du commerce sauf si cette personne physique ou</w:t>
            </w:r>
          </w:p>
        </w:tc>
      </w:tr>
      <w:tr>
        <w:trPr>
          <w:trHeight w:val="145"/>
        </w:trPr>
        <w:tc>
          <w:tcPr>
            <w:tcW w:w="5540" w:type="dxa"/>
            <w:vAlign w:val="bottom"/>
            <w:tcBorders>
              <w:left w:val="single" w:sz="8" w:color="auto"/>
              <w:right w:val="single" w:sz="8" w:color="auto"/>
            </w:tcBorders>
          </w:tcPr>
          <w:p>
            <w:pPr>
              <w:ind w:left="40"/>
              <w:spacing w:after="0" w:line="145" w:lineRule="exact"/>
              <w:rPr>
                <w:sz w:val="20"/>
                <w:szCs w:val="20"/>
                <w:color w:val="auto"/>
              </w:rPr>
            </w:pPr>
            <w:r>
              <w:rPr>
                <w:rFonts w:ascii="Arial" w:cs="Arial" w:eastAsia="Arial" w:hAnsi="Arial"/>
                <w:sz w:val="13"/>
                <w:szCs w:val="13"/>
                <w:color w:val="auto"/>
                <w:w w:val="99"/>
              </w:rPr>
              <w:t>Controlled Shares an orderly tender offer to all shareholders with a minimum price of the higher</w:t>
            </w:r>
          </w:p>
        </w:tc>
        <w:tc>
          <w:tcPr>
            <w:tcW w:w="240" w:type="dxa"/>
            <w:vAlign w:val="bottom"/>
            <w:tcBorders>
              <w:right w:val="single" w:sz="8" w:color="auto"/>
            </w:tcBorders>
          </w:tcPr>
          <w:p>
            <w:pPr>
              <w:spacing w:after="0"/>
              <w:rPr>
                <w:sz w:val="12"/>
                <w:szCs w:val="12"/>
                <w:color w:val="auto"/>
              </w:rPr>
            </w:pPr>
          </w:p>
        </w:tc>
        <w:tc>
          <w:tcPr>
            <w:tcW w:w="5520" w:type="dxa"/>
            <w:vAlign w:val="bottom"/>
            <w:tcBorders>
              <w:right w:val="single" w:sz="8" w:color="auto"/>
            </w:tcBorders>
          </w:tcPr>
          <w:p>
            <w:pPr>
              <w:ind w:left="20"/>
              <w:spacing w:after="0" w:line="145" w:lineRule="exact"/>
              <w:rPr>
                <w:sz w:val="20"/>
                <w:szCs w:val="20"/>
                <w:color w:val="auto"/>
              </w:rPr>
            </w:pPr>
            <w:r>
              <w:rPr>
                <w:rFonts w:ascii="Arial" w:cs="Arial" w:eastAsia="Arial" w:hAnsi="Arial"/>
                <w:sz w:val="13"/>
                <w:szCs w:val="13"/>
                <w:color w:val="auto"/>
              </w:rPr>
              <w:t>morale a présenté avant l'acquisition de ces Actions Contrôlée une offre publique d'achat en</w:t>
            </w:r>
          </w:p>
        </w:tc>
      </w:tr>
      <w:tr>
        <w:trPr>
          <w:trHeight w:val="145"/>
        </w:trPr>
        <w:tc>
          <w:tcPr>
            <w:tcW w:w="5540" w:type="dxa"/>
            <w:vAlign w:val="bottom"/>
            <w:tcBorders>
              <w:left w:val="single" w:sz="8" w:color="auto"/>
              <w:right w:val="single" w:sz="8" w:color="auto"/>
            </w:tcBorders>
          </w:tcPr>
          <w:p>
            <w:pPr>
              <w:ind w:left="40"/>
              <w:spacing w:after="0" w:line="145" w:lineRule="exact"/>
              <w:rPr>
                <w:sz w:val="20"/>
                <w:szCs w:val="20"/>
                <w:color w:val="auto"/>
              </w:rPr>
            </w:pPr>
            <w:r>
              <w:rPr>
                <w:rFonts w:ascii="Arial" w:cs="Arial" w:eastAsia="Arial" w:hAnsi="Arial"/>
                <w:sz w:val="13"/>
                <w:szCs w:val="13"/>
                <w:color w:val="auto"/>
                <w:w w:val="99"/>
              </w:rPr>
              <w:t>of (i) the volume weighted average price of the last 60 trading days prior to the publication of the</w:t>
            </w:r>
          </w:p>
        </w:tc>
        <w:tc>
          <w:tcPr>
            <w:tcW w:w="240" w:type="dxa"/>
            <w:vAlign w:val="bottom"/>
            <w:tcBorders>
              <w:right w:val="single" w:sz="8" w:color="auto"/>
            </w:tcBorders>
          </w:tcPr>
          <w:p>
            <w:pPr>
              <w:spacing w:after="0"/>
              <w:rPr>
                <w:sz w:val="12"/>
                <w:szCs w:val="12"/>
                <w:color w:val="auto"/>
              </w:rPr>
            </w:pPr>
          </w:p>
        </w:tc>
        <w:tc>
          <w:tcPr>
            <w:tcW w:w="5520" w:type="dxa"/>
            <w:vAlign w:val="bottom"/>
            <w:tcBorders>
              <w:right w:val="single" w:sz="8" w:color="auto"/>
            </w:tcBorders>
          </w:tcPr>
          <w:p>
            <w:pPr>
              <w:ind w:left="20"/>
              <w:spacing w:after="0" w:line="145" w:lineRule="exact"/>
              <w:rPr>
                <w:sz w:val="20"/>
                <w:szCs w:val="20"/>
                <w:color w:val="auto"/>
              </w:rPr>
            </w:pPr>
            <w:r>
              <w:rPr>
                <w:rFonts w:ascii="Arial" w:cs="Arial" w:eastAsia="Arial" w:hAnsi="Arial"/>
                <w:sz w:val="13"/>
                <w:szCs w:val="13"/>
                <w:color w:val="auto"/>
              </w:rPr>
              <w:t>bonne et due forme à tous les actionnaires à un prix minimum équivalent au montant le plus</w:t>
            </w:r>
          </w:p>
        </w:tc>
      </w:tr>
      <w:tr>
        <w:trPr>
          <w:trHeight w:val="145"/>
        </w:trPr>
        <w:tc>
          <w:tcPr>
            <w:tcW w:w="5540" w:type="dxa"/>
            <w:vAlign w:val="bottom"/>
            <w:tcBorders>
              <w:left w:val="single" w:sz="8" w:color="auto"/>
              <w:right w:val="single" w:sz="8" w:color="auto"/>
            </w:tcBorders>
          </w:tcPr>
          <w:p>
            <w:pPr>
              <w:ind w:left="40"/>
              <w:spacing w:after="0" w:line="145" w:lineRule="exact"/>
              <w:rPr>
                <w:sz w:val="20"/>
                <w:szCs w:val="20"/>
                <w:color w:val="auto"/>
              </w:rPr>
            </w:pPr>
            <w:r>
              <w:rPr>
                <w:rFonts w:ascii="Arial" w:cs="Arial" w:eastAsia="Arial" w:hAnsi="Arial"/>
                <w:sz w:val="13"/>
                <w:szCs w:val="13"/>
                <w:color w:val="auto"/>
              </w:rPr>
              <w:t>tender offer or (ii) the highest price paid by such individual or legal entity in the 12 months</w:t>
            </w:r>
          </w:p>
        </w:tc>
        <w:tc>
          <w:tcPr>
            <w:tcW w:w="240" w:type="dxa"/>
            <w:vAlign w:val="bottom"/>
            <w:tcBorders>
              <w:right w:val="single" w:sz="8" w:color="auto"/>
            </w:tcBorders>
          </w:tcPr>
          <w:p>
            <w:pPr>
              <w:spacing w:after="0"/>
              <w:rPr>
                <w:sz w:val="12"/>
                <w:szCs w:val="12"/>
                <w:color w:val="auto"/>
              </w:rPr>
            </w:pPr>
          </w:p>
        </w:tc>
        <w:tc>
          <w:tcPr>
            <w:tcW w:w="5520" w:type="dxa"/>
            <w:vAlign w:val="bottom"/>
            <w:tcBorders>
              <w:right w:val="single" w:sz="8" w:color="auto"/>
            </w:tcBorders>
          </w:tcPr>
          <w:p>
            <w:pPr>
              <w:ind w:left="20"/>
              <w:spacing w:after="0" w:line="145" w:lineRule="exact"/>
              <w:rPr>
                <w:sz w:val="20"/>
                <w:szCs w:val="20"/>
                <w:color w:val="auto"/>
              </w:rPr>
            </w:pPr>
            <w:r>
              <w:rPr>
                <w:rFonts w:ascii="Arial" w:cs="Arial" w:eastAsia="Arial" w:hAnsi="Arial"/>
                <w:sz w:val="13"/>
                <w:szCs w:val="13"/>
                <w:color w:val="auto"/>
              </w:rPr>
              <w:t>élevé entre (i) le cours moyen pondéré en fonction du volume des 60 derniers jours de bourse</w:t>
            </w:r>
          </w:p>
        </w:tc>
      </w:tr>
      <w:tr>
        <w:trPr>
          <w:trHeight w:val="145"/>
        </w:trPr>
        <w:tc>
          <w:tcPr>
            <w:tcW w:w="5540" w:type="dxa"/>
            <w:vAlign w:val="bottom"/>
            <w:tcBorders>
              <w:left w:val="single" w:sz="8" w:color="auto"/>
              <w:right w:val="single" w:sz="8" w:color="auto"/>
            </w:tcBorders>
          </w:tcPr>
          <w:p>
            <w:pPr>
              <w:ind w:left="40"/>
              <w:spacing w:after="0" w:line="145" w:lineRule="exact"/>
              <w:rPr>
                <w:sz w:val="20"/>
                <w:szCs w:val="20"/>
                <w:color w:val="auto"/>
              </w:rPr>
            </w:pPr>
            <w:r>
              <w:rPr>
                <w:rFonts w:ascii="Arial" w:cs="Arial" w:eastAsia="Arial" w:hAnsi="Arial"/>
                <w:sz w:val="13"/>
                <w:szCs w:val="13"/>
                <w:color w:val="auto"/>
                <w:w w:val="99"/>
              </w:rPr>
              <w:t>preceding to the publication of the tender offer. Those associated through capital, voting power,</w:t>
            </w:r>
          </w:p>
        </w:tc>
        <w:tc>
          <w:tcPr>
            <w:tcW w:w="240" w:type="dxa"/>
            <w:vAlign w:val="bottom"/>
            <w:tcBorders>
              <w:right w:val="single" w:sz="8" w:color="auto"/>
            </w:tcBorders>
          </w:tcPr>
          <w:p>
            <w:pPr>
              <w:spacing w:after="0"/>
              <w:rPr>
                <w:sz w:val="12"/>
                <w:szCs w:val="12"/>
                <w:color w:val="auto"/>
              </w:rPr>
            </w:pPr>
          </w:p>
        </w:tc>
        <w:tc>
          <w:tcPr>
            <w:tcW w:w="5520" w:type="dxa"/>
            <w:vAlign w:val="bottom"/>
            <w:tcBorders>
              <w:right w:val="single" w:sz="8" w:color="auto"/>
            </w:tcBorders>
          </w:tcPr>
          <w:p>
            <w:pPr>
              <w:ind w:left="20"/>
              <w:spacing w:after="0" w:line="145" w:lineRule="exact"/>
              <w:rPr>
                <w:sz w:val="20"/>
                <w:szCs w:val="20"/>
                <w:color w:val="auto"/>
              </w:rPr>
            </w:pPr>
            <w:r>
              <w:rPr>
                <w:rFonts w:ascii="Arial" w:cs="Arial" w:eastAsia="Arial" w:hAnsi="Arial"/>
                <w:sz w:val="13"/>
                <w:szCs w:val="13"/>
                <w:color w:val="auto"/>
              </w:rPr>
              <w:t>précédant la publication de l'offre publique d'achat et (ii) le plus haut prix payé par cette</w:t>
            </w:r>
          </w:p>
        </w:tc>
      </w:tr>
      <w:tr>
        <w:trPr>
          <w:trHeight w:val="145"/>
        </w:trPr>
        <w:tc>
          <w:tcPr>
            <w:tcW w:w="5540" w:type="dxa"/>
            <w:vAlign w:val="bottom"/>
            <w:tcBorders>
              <w:left w:val="single" w:sz="8" w:color="auto"/>
              <w:right w:val="single" w:sz="8" w:color="auto"/>
            </w:tcBorders>
          </w:tcPr>
          <w:p>
            <w:pPr>
              <w:ind w:left="40"/>
              <w:spacing w:after="0" w:line="145" w:lineRule="exact"/>
              <w:rPr>
                <w:sz w:val="20"/>
                <w:szCs w:val="20"/>
                <w:color w:val="auto"/>
              </w:rPr>
            </w:pPr>
            <w:r>
              <w:rPr>
                <w:rFonts w:ascii="Arial" w:cs="Arial" w:eastAsia="Arial" w:hAnsi="Arial"/>
                <w:sz w:val="13"/>
                <w:szCs w:val="13"/>
                <w:color w:val="auto"/>
                <w:w w:val="99"/>
              </w:rPr>
              <w:t>joint management or in any other way, or joining for the acquisition of shares, shall be regarded</w:t>
            </w:r>
          </w:p>
        </w:tc>
        <w:tc>
          <w:tcPr>
            <w:tcW w:w="240" w:type="dxa"/>
            <w:vAlign w:val="bottom"/>
            <w:tcBorders>
              <w:right w:val="single" w:sz="8" w:color="auto"/>
            </w:tcBorders>
          </w:tcPr>
          <w:p>
            <w:pPr>
              <w:spacing w:after="0"/>
              <w:rPr>
                <w:sz w:val="12"/>
                <w:szCs w:val="12"/>
                <w:color w:val="auto"/>
              </w:rPr>
            </w:pPr>
          </w:p>
        </w:tc>
        <w:tc>
          <w:tcPr>
            <w:tcW w:w="5520" w:type="dxa"/>
            <w:vAlign w:val="bottom"/>
            <w:tcBorders>
              <w:right w:val="single" w:sz="8" w:color="auto"/>
            </w:tcBorders>
          </w:tcPr>
          <w:p>
            <w:pPr>
              <w:ind w:left="20"/>
              <w:spacing w:after="0" w:line="145" w:lineRule="exact"/>
              <w:rPr>
                <w:sz w:val="20"/>
                <w:szCs w:val="20"/>
                <w:color w:val="auto"/>
              </w:rPr>
            </w:pPr>
            <w:r>
              <w:rPr>
                <w:rFonts w:ascii="Arial" w:cs="Arial" w:eastAsia="Arial" w:hAnsi="Arial"/>
                <w:sz w:val="13"/>
                <w:szCs w:val="13"/>
                <w:color w:val="auto"/>
              </w:rPr>
              <w:t>personne physique ou morale dans les 12 mois précédant la publication de l'offre publique</w:t>
            </w:r>
          </w:p>
        </w:tc>
      </w:tr>
      <w:tr>
        <w:trPr>
          <w:trHeight w:val="157"/>
        </w:trPr>
        <w:tc>
          <w:tcPr>
            <w:tcW w:w="5540" w:type="dxa"/>
            <w:vAlign w:val="bottom"/>
            <w:tcBorders>
              <w:left w:val="single" w:sz="8" w:color="auto"/>
              <w:right w:val="single" w:sz="8" w:color="auto"/>
            </w:tcBorders>
          </w:tcPr>
          <w:p>
            <w:pPr>
              <w:ind w:left="40"/>
              <w:spacing w:after="0" w:line="157" w:lineRule="exact"/>
              <w:rPr>
                <w:sz w:val="20"/>
                <w:szCs w:val="20"/>
                <w:color w:val="auto"/>
              </w:rPr>
            </w:pPr>
            <w:r>
              <w:rPr>
                <w:rFonts w:ascii="Arial" w:cs="Arial" w:eastAsia="Arial" w:hAnsi="Arial"/>
                <w:sz w:val="11"/>
                <w:szCs w:val="11"/>
                <w:color w:val="auto"/>
              </w:rPr>
              <w:t xml:space="preserve">as one person. The registered shares exceeding the limit of 33 </w:t>
            </w:r>
            <w:r>
              <w:rPr>
                <w:rFonts w:ascii="Arial" w:cs="Arial" w:eastAsia="Arial" w:hAnsi="Arial"/>
                <w:sz w:val="18"/>
                <w:szCs w:val="18"/>
                <w:color w:val="auto"/>
                <w:vertAlign w:val="superscript"/>
              </w:rPr>
              <w:t>1</w:t>
            </w:r>
            <w:r>
              <w:rPr>
                <w:rFonts w:ascii="Arial" w:cs="Arial" w:eastAsia="Arial" w:hAnsi="Arial"/>
                <w:sz w:val="11"/>
                <w:szCs w:val="11"/>
                <w:color w:val="auto"/>
              </w:rPr>
              <w:t>/</w:t>
            </w:r>
            <w:r>
              <w:rPr>
                <w:rFonts w:ascii="Arial" w:cs="Arial" w:eastAsia="Arial" w:hAnsi="Arial"/>
                <w:sz w:val="18"/>
                <w:szCs w:val="18"/>
                <w:color w:val="auto"/>
                <w:vertAlign w:val="subscript"/>
              </w:rPr>
              <w:t>3</w:t>
            </w:r>
            <w:r>
              <w:rPr>
                <w:rFonts w:ascii="Arial" w:cs="Arial" w:eastAsia="Arial" w:hAnsi="Arial"/>
                <w:sz w:val="11"/>
                <w:szCs w:val="11"/>
                <w:color w:val="auto"/>
              </w:rPr>
              <w:t xml:space="preserve"> % and not</w:t>
            </w:r>
          </w:p>
        </w:tc>
        <w:tc>
          <w:tcPr>
            <w:tcW w:w="240" w:type="dxa"/>
            <w:vAlign w:val="bottom"/>
            <w:tcBorders>
              <w:right w:val="single" w:sz="8" w:color="auto"/>
            </w:tcBorders>
          </w:tcPr>
          <w:p>
            <w:pPr>
              <w:spacing w:after="0"/>
              <w:rPr>
                <w:sz w:val="13"/>
                <w:szCs w:val="13"/>
                <w:color w:val="auto"/>
              </w:rPr>
            </w:pPr>
          </w:p>
        </w:tc>
        <w:tc>
          <w:tcPr>
            <w:tcW w:w="5520" w:type="dxa"/>
            <w:vAlign w:val="bottom"/>
            <w:tcBorders>
              <w:right w:val="single" w:sz="8" w:color="auto"/>
            </w:tcBorders>
          </w:tcPr>
          <w:p>
            <w:pPr>
              <w:ind w:left="20"/>
              <w:spacing w:after="0"/>
              <w:rPr>
                <w:sz w:val="20"/>
                <w:szCs w:val="20"/>
                <w:color w:val="auto"/>
              </w:rPr>
            </w:pPr>
            <w:r>
              <w:rPr>
                <w:rFonts w:ascii="Arial" w:cs="Arial" w:eastAsia="Arial" w:hAnsi="Arial"/>
                <w:sz w:val="13"/>
                <w:szCs w:val="13"/>
                <w:color w:val="auto"/>
                <w:w w:val="99"/>
              </w:rPr>
              <w:t>d'achat. Les personnes associées par le capital, les droits de vote, une gestion commune ou de</w:t>
            </w:r>
          </w:p>
        </w:tc>
      </w:tr>
      <w:tr>
        <w:trPr>
          <w:trHeight w:val="168"/>
        </w:trPr>
        <w:tc>
          <w:tcPr>
            <w:tcW w:w="5540" w:type="dxa"/>
            <w:vAlign w:val="bottom"/>
            <w:tcBorders>
              <w:left w:val="single" w:sz="8" w:color="auto"/>
              <w:right w:val="single" w:sz="8" w:color="auto"/>
            </w:tcBorders>
          </w:tcPr>
          <w:p>
            <w:pPr>
              <w:spacing w:after="0"/>
              <w:rPr>
                <w:sz w:val="14"/>
                <w:szCs w:val="14"/>
                <w:color w:val="auto"/>
              </w:rPr>
            </w:pPr>
          </w:p>
        </w:tc>
        <w:tc>
          <w:tcPr>
            <w:tcW w:w="240" w:type="dxa"/>
            <w:vAlign w:val="bottom"/>
            <w:tcBorders>
              <w:right w:val="single" w:sz="8" w:color="auto"/>
            </w:tcBorders>
          </w:tcPr>
          <w:p>
            <w:pPr>
              <w:spacing w:after="0"/>
              <w:rPr>
                <w:sz w:val="14"/>
                <w:szCs w:val="14"/>
                <w:color w:val="auto"/>
              </w:rPr>
            </w:pPr>
          </w:p>
        </w:tc>
        <w:tc>
          <w:tcPr>
            <w:tcW w:w="5520" w:type="dxa"/>
            <w:vAlign w:val="bottom"/>
            <w:tcBorders>
              <w:right w:val="single" w:sz="8" w:color="auto"/>
            </w:tcBorders>
          </w:tcPr>
          <w:p>
            <w:pPr>
              <w:ind w:left="20"/>
              <w:spacing w:after="0"/>
              <w:rPr>
                <w:sz w:val="20"/>
                <w:szCs w:val="20"/>
                <w:color w:val="auto"/>
              </w:rPr>
            </w:pPr>
            <w:r>
              <w:rPr>
                <w:rFonts w:ascii="Arial" w:cs="Arial" w:eastAsia="Arial" w:hAnsi="Arial"/>
                <w:sz w:val="13"/>
                <w:szCs w:val="13"/>
                <w:color w:val="auto"/>
              </w:rPr>
              <w:t>toute autre manière, ou qui</w:t>
            </w:r>
          </w:p>
        </w:tc>
      </w:tr>
      <w:tr>
        <w:trPr>
          <w:trHeight w:val="44"/>
        </w:trPr>
        <w:tc>
          <w:tcPr>
            <w:tcW w:w="5540" w:type="dxa"/>
            <w:vAlign w:val="bottom"/>
            <w:tcBorders>
              <w:left w:val="single" w:sz="8" w:color="auto"/>
              <w:bottom w:val="single" w:sz="8" w:color="auto"/>
              <w:right w:val="single" w:sz="8" w:color="auto"/>
            </w:tcBorders>
          </w:tcPr>
          <w:p>
            <w:pPr>
              <w:spacing w:after="0"/>
              <w:rPr>
                <w:sz w:val="3"/>
                <w:szCs w:val="3"/>
                <w:color w:val="auto"/>
              </w:rPr>
            </w:pPr>
          </w:p>
        </w:tc>
        <w:tc>
          <w:tcPr>
            <w:tcW w:w="240" w:type="dxa"/>
            <w:vAlign w:val="bottom"/>
            <w:tcBorders>
              <w:bottom w:val="single" w:sz="8" w:color="auto"/>
              <w:right w:val="single" w:sz="8" w:color="auto"/>
            </w:tcBorders>
          </w:tcPr>
          <w:p>
            <w:pPr>
              <w:spacing w:after="0"/>
              <w:rPr>
                <w:sz w:val="3"/>
                <w:szCs w:val="3"/>
                <w:color w:val="auto"/>
              </w:rPr>
            </w:pPr>
          </w:p>
        </w:tc>
        <w:tc>
          <w:tcPr>
            <w:tcW w:w="5520" w:type="dxa"/>
            <w:vAlign w:val="bottom"/>
            <w:tcBorders>
              <w:bottom w:val="single" w:sz="8" w:color="auto"/>
              <w:right w:val="single" w:sz="8" w:color="auto"/>
            </w:tcBorders>
          </w:tcPr>
          <w:p>
            <w:pPr>
              <w:spacing w:after="0"/>
              <w:rPr>
                <w:sz w:val="3"/>
                <w:szCs w:val="3"/>
                <w:color w:val="auto"/>
              </w:rPr>
            </w:pPr>
          </w:p>
        </w:tc>
      </w:tr>
    </w:tbl>
    <w:p>
      <w:pPr>
        <w:spacing w:after="0" w:line="59"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5"/>
          <w:szCs w:val="15"/>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12700</wp:posOffset>
            </wp:positionV>
            <wp:extent cx="7171690" cy="635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71690" cy="6350"/>
                    </a:xfrm>
                    <a:prstGeom prst="rect">
                      <a:avLst/>
                    </a:prstGeom>
                    <a:noFill/>
                  </pic:spPr>
                </pic:pic>
              </a:graphicData>
            </a:graphic>
          </wp:anchor>
        </w:drawing>
      </w:r>
    </w:p>
    <w:p>
      <w:pPr>
        <w:sectPr>
          <w:pgSz w:w="11900" w:h="16838" w:orient="portrait"/>
          <w:cols w:equalWidth="0" w:num="1">
            <w:col w:w="11300"/>
          </w:cols>
          <w:pgMar w:left="300" w:top="448" w:right="299" w:bottom="1440" w:gutter="0" w:footer="0" w:header="0"/>
        </w:sectPr>
      </w:pPr>
    </w:p>
    <w:bookmarkStart w:id="63" w:name="page64"/>
    <w:bookmarkEnd w:id="63"/>
    <w:p>
      <w:pPr>
        <w:spacing w:after="0" w:line="262" w:lineRule="auto"/>
        <w:rPr>
          <w:sz w:val="20"/>
          <w:szCs w:val="20"/>
          <w:color w:val="auto"/>
        </w:rPr>
      </w:pPr>
      <w:r>
        <w:rPr>
          <w:rFonts w:ascii="Arial" w:cs="Arial" w:eastAsia="Arial" w:hAnsi="Arial"/>
          <w:sz w:val="13"/>
          <w:szCs w:val="13"/>
          <w:color w:val="auto"/>
        </w:rPr>
        <w:drawing>
          <wp:anchor simplePos="0" relativeHeight="251657728" behindDoc="1" locked="0" layoutInCell="0" allowOverlap="1">
            <wp:simplePos x="0" y="0"/>
            <wp:positionH relativeFrom="page">
              <wp:posOffset>188595</wp:posOffset>
            </wp:positionH>
            <wp:positionV relativeFrom="page">
              <wp:posOffset>297180</wp:posOffset>
            </wp:positionV>
            <wp:extent cx="7171690" cy="43497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71690" cy="434975"/>
                    </a:xfrm>
                    <a:prstGeom prst="rect">
                      <a:avLst/>
                    </a:prstGeom>
                    <a:noFill/>
                  </pic:spPr>
                </pic:pic>
              </a:graphicData>
            </a:graphic>
          </wp:anchor>
        </w:drawing>
        <w:t>benefiting from the exemption regarding a tender offer shall be entered in the share register as shares without voting rights.</w:t>
      </w:r>
    </w:p>
    <w:p>
      <w:pPr>
        <w:spacing w:after="0" w:line="20" w:lineRule="exact"/>
        <w:rPr>
          <w:sz w:val="20"/>
          <w:szCs w:val="20"/>
          <w:color w:val="auto"/>
        </w:rPr>
      </w:pPr>
      <w:r>
        <w:rPr>
          <w:sz w:val="20"/>
          <w:szCs w:val="20"/>
          <w:color w:val="auto"/>
        </w:rPr>
        <w:br w:type="column"/>
      </w:r>
    </w:p>
    <w:p>
      <w:pPr>
        <w:spacing w:after="0" w:line="228" w:lineRule="auto"/>
        <w:rPr>
          <w:sz w:val="20"/>
          <w:szCs w:val="20"/>
          <w:color w:val="auto"/>
        </w:rPr>
      </w:pPr>
      <w:r>
        <w:rPr>
          <w:rFonts w:ascii="Arial" w:cs="Arial" w:eastAsia="Arial" w:hAnsi="Arial"/>
          <w:sz w:val="12"/>
          <w:szCs w:val="12"/>
          <w:color w:val="auto"/>
        </w:rPr>
        <w:t xml:space="preserve">se joignent pour une acquisition d'actions, sont considérées comme une personne. Les actions nominatives dépassant la limite de 33 </w:t>
      </w:r>
      <w:r>
        <w:rPr>
          <w:rFonts w:ascii="Arial" w:cs="Arial" w:eastAsia="Arial" w:hAnsi="Arial"/>
          <w:sz w:val="20"/>
          <w:szCs w:val="20"/>
          <w:color w:val="auto"/>
          <w:vertAlign w:val="superscript"/>
        </w:rPr>
        <w:t>1</w:t>
      </w:r>
      <w:r>
        <w:rPr>
          <w:rFonts w:ascii="Arial" w:cs="Arial" w:eastAsia="Arial" w:hAnsi="Arial"/>
          <w:sz w:val="12"/>
          <w:szCs w:val="12"/>
          <w:color w:val="auto"/>
        </w:rPr>
        <w:t>/</w:t>
      </w:r>
      <w:r>
        <w:rPr>
          <w:rFonts w:ascii="Arial" w:cs="Arial" w:eastAsia="Arial" w:hAnsi="Arial"/>
          <w:sz w:val="20"/>
          <w:szCs w:val="20"/>
          <w:color w:val="auto"/>
          <w:vertAlign w:val="subscript"/>
        </w:rPr>
        <w:t>3</w:t>
      </w:r>
      <w:r>
        <w:rPr>
          <w:rFonts w:ascii="Arial" w:cs="Arial" w:eastAsia="Arial" w:hAnsi="Arial"/>
          <w:sz w:val="12"/>
          <w:szCs w:val="12"/>
          <w:color w:val="auto"/>
        </w:rPr>
        <w:t xml:space="preserve"> % et ne bénéficiant pas de l'exemption relative à une</w:t>
      </w:r>
    </w:p>
    <w:p>
      <w:pPr>
        <w:spacing w:after="0" w:line="243" w:lineRule="auto"/>
        <w:rPr>
          <w:sz w:val="20"/>
          <w:szCs w:val="20"/>
          <w:color w:val="auto"/>
        </w:rPr>
      </w:pPr>
      <w:r>
        <w:rPr>
          <w:rFonts w:ascii="Arial" w:cs="Arial" w:eastAsia="Arial" w:hAnsi="Arial"/>
          <w:sz w:val="13"/>
          <w:szCs w:val="13"/>
          <w:color w:val="auto"/>
        </w:rPr>
        <w:t>offre publique d'achat sont inscrites dans le registre des actions comme des actions sans droit de vote.</w:t>
      </w:r>
    </w:p>
    <w:p>
      <w:pPr>
        <w:spacing w:after="0" w:line="75" w:lineRule="exact"/>
        <w:rPr>
          <w:sz w:val="20"/>
          <w:szCs w:val="20"/>
          <w:color w:val="auto"/>
        </w:rPr>
      </w:pPr>
    </w:p>
    <w:p>
      <w:pPr>
        <w:sectPr>
          <w:pgSz w:w="11900" w:h="16838" w:orient="portrait"/>
          <w:cols w:equalWidth="0" w:num="2">
            <w:col w:w="5460" w:space="300"/>
            <w:col w:w="5460"/>
          </w:cols>
          <w:pgMar w:left="340" w:top="484" w:right="339" w:bottom="1440" w:gutter="0" w:footer="0" w:header="0"/>
        </w:sectPr>
      </w:pPr>
    </w:p>
    <w:p>
      <w:pPr>
        <w:jc w:val="center"/>
        <w:ind w:right="60"/>
        <w:spacing w:after="0"/>
        <w:rPr>
          <w:sz w:val="20"/>
          <w:szCs w:val="20"/>
          <w:color w:val="auto"/>
        </w:rPr>
      </w:pPr>
      <w:r>
        <w:rPr>
          <w:rFonts w:ascii="Times New Roman" w:cs="Times New Roman" w:eastAsia="Times New Roman" w:hAnsi="Times New Roman"/>
          <w:sz w:val="15"/>
          <w:szCs w:val="15"/>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-26670</wp:posOffset>
            </wp:positionH>
            <wp:positionV relativeFrom="paragraph">
              <wp:posOffset>12700</wp:posOffset>
            </wp:positionV>
            <wp:extent cx="7171690" cy="635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71690" cy="6350"/>
                    </a:xfrm>
                    <a:prstGeom prst="rect">
                      <a:avLst/>
                    </a:prstGeom>
                    <a:noFill/>
                  </pic:spPr>
                </pic:pic>
              </a:graphicData>
            </a:graphic>
          </wp:anchor>
        </w:drawing>
      </w:r>
    </w:p>
    <w:p>
      <w:pPr>
        <w:sectPr>
          <w:pgSz w:w="11900" w:h="16838" w:orient="portrait"/>
          <w:cols w:equalWidth="0" w:num="1">
            <w:col w:w="11220"/>
          </w:cols>
          <w:pgMar w:left="340" w:top="484" w:right="339" w:bottom="1440" w:gutter="0" w:footer="0" w:header="0"/>
          <w:type w:val="continuous"/>
        </w:sectPr>
      </w:pPr>
    </w:p>
    <w:bookmarkStart w:id="64" w:name="page65"/>
    <w:bookmarkEnd w:id="64"/>
    <w:p>
      <w:pPr>
        <w:ind w:left="7"/>
        <w:spacing w:after="0" w:line="262" w:lineRule="auto"/>
        <w:rPr>
          <w:sz w:val="20"/>
          <w:szCs w:val="20"/>
          <w:color w:val="auto"/>
        </w:rPr>
      </w:pPr>
      <w:r>
        <w:rPr>
          <w:rFonts w:ascii="Arial" w:cs="Arial" w:eastAsia="Arial" w:hAnsi="Arial"/>
          <w:sz w:val="13"/>
          <w:szCs w:val="13"/>
          <w:color w:val="auto"/>
        </w:rPr>
        <w:drawing>
          <wp:anchor simplePos="0" relativeHeight="251657728" behindDoc="1" locked="0" layoutInCell="0" allowOverlap="1">
            <wp:simplePos x="0" y="0"/>
            <wp:positionH relativeFrom="page">
              <wp:posOffset>188595</wp:posOffset>
            </wp:positionH>
            <wp:positionV relativeFrom="page">
              <wp:posOffset>297180</wp:posOffset>
            </wp:positionV>
            <wp:extent cx="7171690" cy="307086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71690" cy="3070860"/>
                    </a:xfrm>
                    <a:prstGeom prst="rect">
                      <a:avLst/>
                    </a:prstGeom>
                    <a:noFill/>
                  </pic:spPr>
                </pic:pic>
              </a:graphicData>
            </a:graphic>
          </wp:anchor>
        </w:drawing>
        <w:t>For the purposes of this Article 4, "Controlled Shares" in reference to any individual or entity means:</w:t>
      </w:r>
    </w:p>
    <w:p>
      <w:pPr>
        <w:spacing w:after="0" w:line="108" w:lineRule="exact"/>
        <w:rPr>
          <w:sz w:val="20"/>
          <w:szCs w:val="20"/>
          <w:color w:val="auto"/>
        </w:rPr>
      </w:pPr>
    </w:p>
    <w:p>
      <w:pPr>
        <w:ind w:left="267" w:hanging="267"/>
        <w:spacing w:after="0" w:line="262" w:lineRule="auto"/>
        <w:tabs>
          <w:tab w:leader="none" w:pos="280" w:val="left"/>
        </w:tabs>
        <w:numPr>
          <w:ilvl w:val="0"/>
          <w:numId w:val="2"/>
        </w:numPr>
        <w:rPr>
          <w:rFonts w:ascii="Arial" w:cs="Arial" w:eastAsia="Arial" w:hAnsi="Arial"/>
          <w:sz w:val="13"/>
          <w:szCs w:val="13"/>
          <w:color w:val="auto"/>
        </w:rPr>
      </w:pPr>
      <w:r>
        <w:rPr>
          <w:rFonts w:ascii="Arial" w:cs="Arial" w:eastAsia="Arial" w:hAnsi="Arial"/>
          <w:sz w:val="13"/>
          <w:szCs w:val="13"/>
          <w:color w:val="auto"/>
        </w:rPr>
        <w:t>all shares of the Company directly, indirectly or constructively owned by such individual or entity; provided that</w:t>
      </w:r>
    </w:p>
    <w:p>
      <w:pPr>
        <w:spacing w:after="0" w:line="107" w:lineRule="exact"/>
        <w:rPr>
          <w:rFonts w:ascii="Arial" w:cs="Arial" w:eastAsia="Arial" w:hAnsi="Arial"/>
          <w:sz w:val="13"/>
          <w:szCs w:val="13"/>
          <w:color w:val="auto"/>
        </w:rPr>
      </w:pPr>
    </w:p>
    <w:p>
      <w:pPr>
        <w:ind w:left="547" w:hanging="1"/>
        <w:spacing w:after="0" w:line="262" w:lineRule="auto"/>
        <w:tabs>
          <w:tab w:leader="none" w:pos="836" w:val="left"/>
        </w:tabs>
        <w:numPr>
          <w:ilvl w:val="2"/>
          <w:numId w:val="2"/>
        </w:numPr>
        <w:rPr>
          <w:rFonts w:ascii="Arial" w:cs="Arial" w:eastAsia="Arial" w:hAnsi="Arial"/>
          <w:sz w:val="13"/>
          <w:szCs w:val="13"/>
          <w:color w:val="auto"/>
        </w:rPr>
      </w:pPr>
      <w:r>
        <w:rPr>
          <w:rFonts w:ascii="Arial" w:cs="Arial" w:eastAsia="Arial" w:hAnsi="Arial"/>
          <w:sz w:val="13"/>
          <w:szCs w:val="13"/>
          <w:color w:val="auto"/>
        </w:rPr>
        <w:t>shares owned, directly or indirectly, by or for a partnership, or trust or estate will be considered as being owned proportionately by its partners, or beneficiaries; and</w:t>
      </w:r>
    </w:p>
    <w:p>
      <w:pPr>
        <w:spacing w:after="0" w:line="107" w:lineRule="exact"/>
        <w:rPr>
          <w:rFonts w:ascii="Arial" w:cs="Arial" w:eastAsia="Arial" w:hAnsi="Arial"/>
          <w:sz w:val="13"/>
          <w:szCs w:val="13"/>
          <w:color w:val="auto"/>
        </w:rPr>
      </w:pPr>
    </w:p>
    <w:p>
      <w:pPr>
        <w:jc w:val="both"/>
        <w:ind w:left="547" w:hanging="1"/>
        <w:spacing w:after="0" w:line="247" w:lineRule="auto"/>
        <w:tabs>
          <w:tab w:leader="none" w:pos="856" w:val="left"/>
        </w:tabs>
        <w:numPr>
          <w:ilvl w:val="2"/>
          <w:numId w:val="2"/>
        </w:numPr>
        <w:rPr>
          <w:rFonts w:ascii="Arial" w:cs="Arial" w:eastAsia="Arial" w:hAnsi="Arial"/>
          <w:sz w:val="13"/>
          <w:szCs w:val="13"/>
          <w:color w:val="auto"/>
        </w:rPr>
      </w:pPr>
      <w:r>
        <w:rPr>
          <w:rFonts w:ascii="Arial" w:cs="Arial" w:eastAsia="Arial" w:hAnsi="Arial"/>
          <w:sz w:val="13"/>
          <w:szCs w:val="13"/>
          <w:color w:val="auto"/>
        </w:rPr>
        <w:t>shares owned, directly or indirectly, by or for a corporation will be considered as being owned proportionately by any shareholder owning 50% or more of the outstanding voting shares of such corporation; and</w:t>
      </w:r>
    </w:p>
    <w:p>
      <w:pPr>
        <w:spacing w:after="0" w:line="117" w:lineRule="exact"/>
        <w:rPr>
          <w:rFonts w:ascii="Arial" w:cs="Arial" w:eastAsia="Arial" w:hAnsi="Arial"/>
          <w:sz w:val="13"/>
          <w:szCs w:val="13"/>
          <w:color w:val="auto"/>
        </w:rPr>
      </w:pPr>
    </w:p>
    <w:p>
      <w:pPr>
        <w:ind w:left="547" w:hanging="1"/>
        <w:spacing w:after="0" w:line="262" w:lineRule="auto"/>
        <w:tabs>
          <w:tab w:leader="none" w:pos="877" w:val="left"/>
        </w:tabs>
        <w:numPr>
          <w:ilvl w:val="2"/>
          <w:numId w:val="2"/>
        </w:numPr>
        <w:rPr>
          <w:rFonts w:ascii="Arial" w:cs="Arial" w:eastAsia="Arial" w:hAnsi="Arial"/>
          <w:sz w:val="13"/>
          <w:szCs w:val="13"/>
          <w:color w:val="auto"/>
        </w:rPr>
      </w:pPr>
      <w:r>
        <w:rPr>
          <w:rFonts w:ascii="Arial" w:cs="Arial" w:eastAsia="Arial" w:hAnsi="Arial"/>
          <w:sz w:val="13"/>
          <w:szCs w:val="13"/>
          <w:color w:val="auto"/>
        </w:rPr>
        <w:t>shares subject to options, warrants or other similar rights shall be deemed to be owned; and</w:t>
      </w:r>
    </w:p>
    <w:p>
      <w:pPr>
        <w:spacing w:after="0" w:line="107" w:lineRule="exact"/>
        <w:rPr>
          <w:rFonts w:ascii="Arial" w:cs="Arial" w:eastAsia="Arial" w:hAnsi="Arial"/>
          <w:sz w:val="13"/>
          <w:szCs w:val="13"/>
          <w:color w:val="auto"/>
        </w:rPr>
      </w:pPr>
    </w:p>
    <w:p>
      <w:pPr>
        <w:ind w:left="267" w:hanging="267"/>
        <w:spacing w:after="0" w:line="262" w:lineRule="auto"/>
        <w:tabs>
          <w:tab w:leader="none" w:pos="258" w:val="left"/>
        </w:tabs>
        <w:numPr>
          <w:ilvl w:val="0"/>
          <w:numId w:val="2"/>
        </w:numPr>
        <w:rPr>
          <w:rFonts w:ascii="Arial" w:cs="Arial" w:eastAsia="Arial" w:hAnsi="Arial"/>
          <w:sz w:val="13"/>
          <w:szCs w:val="13"/>
          <w:color w:val="auto"/>
        </w:rPr>
      </w:pPr>
      <w:r>
        <w:rPr>
          <w:rFonts w:ascii="Arial" w:cs="Arial" w:eastAsia="Arial" w:hAnsi="Arial"/>
          <w:sz w:val="13"/>
          <w:szCs w:val="13"/>
          <w:color w:val="auto"/>
        </w:rPr>
        <w:t>all shares of the Company directly, indirectly beneficially owned by such individual or entity; provided that</w:t>
      </w:r>
    </w:p>
    <w:p>
      <w:pPr>
        <w:spacing w:after="0" w:line="107" w:lineRule="exact"/>
        <w:rPr>
          <w:rFonts w:ascii="Arial" w:cs="Arial" w:eastAsia="Arial" w:hAnsi="Arial"/>
          <w:sz w:val="13"/>
          <w:szCs w:val="13"/>
          <w:color w:val="auto"/>
        </w:rPr>
      </w:pPr>
    </w:p>
    <w:p>
      <w:pPr>
        <w:jc w:val="both"/>
        <w:ind w:left="547" w:hanging="1"/>
        <w:spacing w:after="0" w:line="247" w:lineRule="auto"/>
        <w:tabs>
          <w:tab w:leader="none" w:pos="866" w:val="left"/>
        </w:tabs>
        <w:numPr>
          <w:ilvl w:val="2"/>
          <w:numId w:val="2"/>
        </w:numPr>
        <w:rPr>
          <w:rFonts w:ascii="Arial" w:cs="Arial" w:eastAsia="Arial" w:hAnsi="Arial"/>
          <w:sz w:val="13"/>
          <w:szCs w:val="13"/>
          <w:color w:val="auto"/>
        </w:rPr>
      </w:pPr>
      <w:r>
        <w:rPr>
          <w:rFonts w:ascii="Arial" w:cs="Arial" w:eastAsia="Arial" w:hAnsi="Arial"/>
          <w:sz w:val="13"/>
          <w:szCs w:val="13"/>
          <w:color w:val="auto"/>
        </w:rPr>
        <w:t>a beneficial owner of a security includes any person who, directly or indirectly, through any contract, arrangement, understanding, relationship, or otherwise alone or together with other such persons has or shares:</w:t>
      </w:r>
    </w:p>
    <w:p>
      <w:pPr>
        <w:spacing w:after="0" w:line="117" w:lineRule="exact"/>
        <w:rPr>
          <w:rFonts w:ascii="Arial" w:cs="Arial" w:eastAsia="Arial" w:hAnsi="Arial"/>
          <w:sz w:val="13"/>
          <w:szCs w:val="13"/>
          <w:color w:val="auto"/>
        </w:rPr>
      </w:pPr>
    </w:p>
    <w:p>
      <w:pPr>
        <w:ind w:left="807" w:hanging="269"/>
        <w:spacing w:after="0" w:line="262" w:lineRule="auto"/>
        <w:tabs>
          <w:tab w:leader="none" w:pos="888" w:val="left"/>
        </w:tabs>
        <w:numPr>
          <w:ilvl w:val="1"/>
          <w:numId w:val="2"/>
        </w:numPr>
        <w:rPr>
          <w:rFonts w:ascii="Arial" w:cs="Arial" w:eastAsia="Arial" w:hAnsi="Arial"/>
          <w:sz w:val="13"/>
          <w:szCs w:val="13"/>
          <w:color w:val="auto"/>
        </w:rPr>
      </w:pPr>
      <w:r>
        <w:rPr>
          <w:rFonts w:ascii="Arial" w:cs="Arial" w:eastAsia="Arial" w:hAnsi="Arial"/>
          <w:sz w:val="13"/>
          <w:szCs w:val="13"/>
          <w:color w:val="auto"/>
        </w:rPr>
        <w:t>voting power which includes the power to vote, or to direct the voting of, such security; and/or</w:t>
      </w:r>
    </w:p>
    <w:p>
      <w:pPr>
        <w:spacing w:after="0" w:line="107" w:lineRule="exact"/>
        <w:rPr>
          <w:rFonts w:ascii="Arial" w:cs="Arial" w:eastAsia="Arial" w:hAnsi="Arial"/>
          <w:sz w:val="13"/>
          <w:szCs w:val="13"/>
          <w:color w:val="auto"/>
        </w:rPr>
      </w:pPr>
    </w:p>
    <w:p>
      <w:pPr>
        <w:ind w:left="807" w:hanging="269"/>
        <w:spacing w:after="0" w:line="262" w:lineRule="auto"/>
        <w:tabs>
          <w:tab w:leader="none" w:pos="996" w:val="left"/>
        </w:tabs>
        <w:numPr>
          <w:ilvl w:val="1"/>
          <w:numId w:val="2"/>
        </w:numPr>
        <w:rPr>
          <w:rFonts w:ascii="Arial" w:cs="Arial" w:eastAsia="Arial" w:hAnsi="Arial"/>
          <w:sz w:val="13"/>
          <w:szCs w:val="13"/>
          <w:color w:val="auto"/>
        </w:rPr>
      </w:pPr>
      <w:r>
        <w:rPr>
          <w:rFonts w:ascii="Arial" w:cs="Arial" w:eastAsia="Arial" w:hAnsi="Arial"/>
          <w:sz w:val="13"/>
          <w:szCs w:val="13"/>
          <w:color w:val="auto"/>
        </w:rPr>
        <w:t>investment power which includes the power to dispose, or to direct the disposition of, such security.</w:t>
      </w:r>
    </w:p>
    <w:p>
      <w:pPr>
        <w:spacing w:after="0" w:line="107" w:lineRule="exact"/>
        <w:rPr>
          <w:rFonts w:ascii="Arial" w:cs="Arial" w:eastAsia="Arial" w:hAnsi="Arial"/>
          <w:sz w:val="13"/>
          <w:szCs w:val="13"/>
          <w:color w:val="auto"/>
        </w:rPr>
      </w:pPr>
    </w:p>
    <w:p>
      <w:pPr>
        <w:ind w:left="547" w:hanging="1"/>
        <w:spacing w:after="0" w:line="262" w:lineRule="auto"/>
        <w:tabs>
          <w:tab w:leader="none" w:pos="888" w:val="left"/>
        </w:tabs>
        <w:numPr>
          <w:ilvl w:val="2"/>
          <w:numId w:val="3"/>
        </w:numPr>
        <w:rPr>
          <w:rFonts w:ascii="Arial" w:cs="Arial" w:eastAsia="Arial" w:hAnsi="Arial"/>
          <w:sz w:val="13"/>
          <w:szCs w:val="13"/>
          <w:color w:val="auto"/>
        </w:rPr>
      </w:pPr>
      <w:r>
        <w:rPr>
          <w:rFonts w:ascii="Arial" w:cs="Arial" w:eastAsia="Arial" w:hAnsi="Arial"/>
          <w:sz w:val="13"/>
          <w:szCs w:val="13"/>
          <w:color w:val="auto"/>
        </w:rPr>
        <w:t>Any person who, directly or indirectly, creates or uses a trust, proxy, power of attorney, pooling</w:t>
      </w:r>
    </w:p>
    <w:p>
      <w:pPr>
        <w:spacing w:after="0" w:line="20" w:lineRule="exact"/>
        <w:rPr>
          <w:sz w:val="20"/>
          <w:szCs w:val="20"/>
          <w:color w:val="auto"/>
        </w:rPr>
      </w:pPr>
      <w:r>
        <w:rPr>
          <w:sz w:val="20"/>
          <w:szCs w:val="20"/>
          <w:color w:val="auto"/>
        </w:rPr>
        <w:br w:type="column"/>
      </w:r>
    </w:p>
    <w:p>
      <w:pPr>
        <w:ind w:left="5"/>
        <w:spacing w:after="0" w:line="262" w:lineRule="auto"/>
        <w:rPr>
          <w:sz w:val="20"/>
          <w:szCs w:val="20"/>
          <w:color w:val="auto"/>
        </w:rPr>
      </w:pPr>
      <w:r>
        <w:rPr>
          <w:rFonts w:ascii="Arial" w:cs="Arial" w:eastAsia="Arial" w:hAnsi="Arial"/>
          <w:sz w:val="13"/>
          <w:szCs w:val="13"/>
          <w:color w:val="auto"/>
        </w:rPr>
        <w:t>Aux fins du présent article 4, Actions Contrôlées signifie en référence à toute personne physique ou morale:</w:t>
      </w:r>
    </w:p>
    <w:p>
      <w:pPr>
        <w:spacing w:after="0" w:line="108" w:lineRule="exact"/>
        <w:rPr>
          <w:sz w:val="20"/>
          <w:szCs w:val="20"/>
          <w:color w:val="auto"/>
        </w:rPr>
      </w:pPr>
    </w:p>
    <w:p>
      <w:pPr>
        <w:ind w:left="265" w:hanging="265"/>
        <w:spacing w:after="0" w:line="262" w:lineRule="auto"/>
        <w:tabs>
          <w:tab w:leader="none" w:pos="346" w:val="left"/>
        </w:tabs>
        <w:numPr>
          <w:ilvl w:val="0"/>
          <w:numId w:val="4"/>
        </w:numPr>
        <w:rPr>
          <w:rFonts w:ascii="Arial" w:cs="Arial" w:eastAsia="Arial" w:hAnsi="Arial"/>
          <w:sz w:val="13"/>
          <w:szCs w:val="13"/>
          <w:color w:val="auto"/>
        </w:rPr>
      </w:pPr>
      <w:r>
        <w:rPr>
          <w:rFonts w:ascii="Arial" w:cs="Arial" w:eastAsia="Arial" w:hAnsi="Arial"/>
          <w:sz w:val="13"/>
          <w:szCs w:val="13"/>
          <w:color w:val="auto"/>
        </w:rPr>
        <w:t>toutes actions directement, indirectement ou implicitement détenues par cette personne physique ou morale, à condition que</w:t>
      </w:r>
    </w:p>
    <w:p>
      <w:pPr>
        <w:spacing w:after="0" w:line="107" w:lineRule="exact"/>
        <w:rPr>
          <w:rFonts w:ascii="Arial" w:cs="Arial" w:eastAsia="Arial" w:hAnsi="Arial"/>
          <w:sz w:val="13"/>
          <w:szCs w:val="13"/>
          <w:color w:val="auto"/>
        </w:rPr>
      </w:pPr>
    </w:p>
    <w:p>
      <w:pPr>
        <w:jc w:val="both"/>
        <w:ind w:left="545" w:firstLine="2"/>
        <w:spacing w:after="0" w:line="247" w:lineRule="auto"/>
        <w:tabs>
          <w:tab w:leader="none" w:pos="841" w:val="left"/>
        </w:tabs>
        <w:numPr>
          <w:ilvl w:val="2"/>
          <w:numId w:val="4"/>
        </w:numPr>
        <w:rPr>
          <w:rFonts w:ascii="Arial" w:cs="Arial" w:eastAsia="Arial" w:hAnsi="Arial"/>
          <w:sz w:val="13"/>
          <w:szCs w:val="13"/>
          <w:color w:val="auto"/>
        </w:rPr>
      </w:pPr>
      <w:r>
        <w:rPr>
          <w:rFonts w:ascii="Arial" w:cs="Arial" w:eastAsia="Arial" w:hAnsi="Arial"/>
          <w:sz w:val="13"/>
          <w:szCs w:val="13"/>
          <w:color w:val="auto"/>
        </w:rPr>
        <w:t>les actions détenues, directement ou indirectement, par ou pour un partenariat, une fiducie ou une communauté d'héritiers sont considérées comme étant détenues proportionnellement par leurs partenaires ou bénéficiaires; et</w:t>
      </w:r>
    </w:p>
    <w:p>
      <w:pPr>
        <w:spacing w:after="0" w:line="117" w:lineRule="exact"/>
        <w:rPr>
          <w:rFonts w:ascii="Arial" w:cs="Arial" w:eastAsia="Arial" w:hAnsi="Arial"/>
          <w:sz w:val="13"/>
          <w:szCs w:val="13"/>
          <w:color w:val="auto"/>
        </w:rPr>
      </w:pPr>
    </w:p>
    <w:p>
      <w:pPr>
        <w:jc w:val="both"/>
        <w:ind w:left="545" w:firstLine="2"/>
        <w:spacing w:after="0" w:line="278" w:lineRule="auto"/>
        <w:tabs>
          <w:tab w:leader="none" w:pos="916" w:val="left"/>
        </w:tabs>
        <w:numPr>
          <w:ilvl w:val="2"/>
          <w:numId w:val="4"/>
        </w:numPr>
        <w:rPr>
          <w:rFonts w:ascii="Arial" w:cs="Arial" w:eastAsia="Arial" w:hAnsi="Arial"/>
          <w:sz w:val="12"/>
          <w:szCs w:val="12"/>
          <w:color w:val="auto"/>
        </w:rPr>
      </w:pPr>
      <w:r>
        <w:rPr>
          <w:rFonts w:ascii="Arial" w:cs="Arial" w:eastAsia="Arial" w:hAnsi="Arial"/>
          <w:sz w:val="12"/>
          <w:szCs w:val="12"/>
          <w:color w:val="auto"/>
        </w:rPr>
        <w:t>les actions détenues, directement ou indirectement, par ou pour une société seront considérées comme étant détenues proportionnellement par tout actionnaire détenant 50% ou plus des actions avec droit de vote en circulation de cette société; et</w:t>
      </w:r>
    </w:p>
    <w:p>
      <w:pPr>
        <w:spacing w:after="0" w:line="99" w:lineRule="exact"/>
        <w:rPr>
          <w:rFonts w:ascii="Arial" w:cs="Arial" w:eastAsia="Arial" w:hAnsi="Arial"/>
          <w:sz w:val="12"/>
          <w:szCs w:val="12"/>
          <w:color w:val="auto"/>
        </w:rPr>
      </w:pPr>
    </w:p>
    <w:p>
      <w:pPr>
        <w:ind w:left="545" w:firstLine="2"/>
        <w:spacing w:after="0" w:line="262" w:lineRule="auto"/>
        <w:tabs>
          <w:tab w:leader="none" w:pos="889" w:val="left"/>
        </w:tabs>
        <w:numPr>
          <w:ilvl w:val="2"/>
          <w:numId w:val="4"/>
        </w:numPr>
        <w:rPr>
          <w:rFonts w:ascii="Arial" w:cs="Arial" w:eastAsia="Arial" w:hAnsi="Arial"/>
          <w:sz w:val="13"/>
          <w:szCs w:val="13"/>
          <w:color w:val="auto"/>
        </w:rPr>
      </w:pPr>
      <w:r>
        <w:rPr>
          <w:rFonts w:ascii="Arial" w:cs="Arial" w:eastAsia="Arial" w:hAnsi="Arial"/>
          <w:sz w:val="13"/>
          <w:szCs w:val="13"/>
          <w:color w:val="auto"/>
        </w:rPr>
        <w:t>les actions sujettes à des options, des bons de souscription ou autres droits semblables sont réputées être détenues; et</w:t>
      </w:r>
    </w:p>
    <w:p>
      <w:pPr>
        <w:spacing w:after="0" w:line="107" w:lineRule="exact"/>
        <w:rPr>
          <w:rFonts w:ascii="Arial" w:cs="Arial" w:eastAsia="Arial" w:hAnsi="Arial"/>
          <w:sz w:val="13"/>
          <w:szCs w:val="13"/>
          <w:color w:val="auto"/>
        </w:rPr>
      </w:pPr>
    </w:p>
    <w:p>
      <w:pPr>
        <w:ind w:left="265" w:right="20" w:hanging="265"/>
        <w:spacing w:after="0" w:line="262" w:lineRule="auto"/>
        <w:tabs>
          <w:tab w:leader="none" w:pos="315" w:val="left"/>
        </w:tabs>
        <w:numPr>
          <w:ilvl w:val="0"/>
          <w:numId w:val="4"/>
        </w:numPr>
        <w:rPr>
          <w:rFonts w:ascii="Arial" w:cs="Arial" w:eastAsia="Arial" w:hAnsi="Arial"/>
          <w:sz w:val="13"/>
          <w:szCs w:val="13"/>
          <w:color w:val="auto"/>
        </w:rPr>
      </w:pPr>
      <w:r>
        <w:rPr>
          <w:rFonts w:ascii="Arial" w:cs="Arial" w:eastAsia="Arial" w:hAnsi="Arial"/>
          <w:sz w:val="13"/>
          <w:szCs w:val="13"/>
          <w:color w:val="auto"/>
        </w:rPr>
        <w:t>toutes actions de la société détenues directement, indirectement ou à son profit par cette personne physique ou morale, à condition que</w:t>
      </w:r>
    </w:p>
    <w:p>
      <w:pPr>
        <w:spacing w:after="0" w:line="107" w:lineRule="exact"/>
        <w:rPr>
          <w:rFonts w:ascii="Arial" w:cs="Arial" w:eastAsia="Arial" w:hAnsi="Arial"/>
          <w:sz w:val="13"/>
          <w:szCs w:val="13"/>
          <w:color w:val="auto"/>
        </w:rPr>
      </w:pPr>
    </w:p>
    <w:p>
      <w:pPr>
        <w:jc w:val="both"/>
        <w:ind w:left="545" w:firstLine="2"/>
        <w:spacing w:after="0" w:line="247" w:lineRule="auto"/>
        <w:tabs>
          <w:tab w:leader="none" w:pos="872" w:val="left"/>
        </w:tabs>
        <w:numPr>
          <w:ilvl w:val="2"/>
          <w:numId w:val="4"/>
        </w:numPr>
        <w:rPr>
          <w:rFonts w:ascii="Arial" w:cs="Arial" w:eastAsia="Arial" w:hAnsi="Arial"/>
          <w:sz w:val="13"/>
          <w:szCs w:val="13"/>
          <w:color w:val="auto"/>
        </w:rPr>
      </w:pPr>
      <w:r>
        <w:rPr>
          <w:rFonts w:ascii="Arial" w:cs="Arial" w:eastAsia="Arial" w:hAnsi="Arial"/>
          <w:sz w:val="13"/>
          <w:szCs w:val="13"/>
          <w:color w:val="auto"/>
        </w:rPr>
        <w:t>un bénéficiaire effectif d'un titre comprend toute personne qui, directement ou indirectement, par le biais d'un contrat, d'un accord, d'une entente, d'une relation, ou autrement, seul ou avec d'autres personnes a ou partage:</w:t>
      </w:r>
    </w:p>
    <w:p>
      <w:pPr>
        <w:spacing w:after="0" w:line="117" w:lineRule="exact"/>
        <w:rPr>
          <w:rFonts w:ascii="Arial" w:cs="Arial" w:eastAsia="Arial" w:hAnsi="Arial"/>
          <w:sz w:val="13"/>
          <w:szCs w:val="13"/>
          <w:color w:val="auto"/>
        </w:rPr>
      </w:pPr>
    </w:p>
    <w:p>
      <w:pPr>
        <w:ind w:left="805" w:hanging="266"/>
        <w:spacing w:after="0" w:line="262" w:lineRule="auto"/>
        <w:tabs>
          <w:tab w:leader="none" w:pos="878" w:val="left"/>
        </w:tabs>
        <w:numPr>
          <w:ilvl w:val="1"/>
          <w:numId w:val="4"/>
        </w:numPr>
        <w:rPr>
          <w:rFonts w:ascii="Arial" w:cs="Arial" w:eastAsia="Arial" w:hAnsi="Arial"/>
          <w:sz w:val="13"/>
          <w:szCs w:val="13"/>
          <w:color w:val="auto"/>
        </w:rPr>
      </w:pPr>
      <w:r>
        <w:rPr>
          <w:rFonts w:ascii="Arial" w:cs="Arial" w:eastAsia="Arial" w:hAnsi="Arial"/>
          <w:sz w:val="13"/>
          <w:szCs w:val="13"/>
          <w:color w:val="auto"/>
        </w:rPr>
        <w:t>le pouvoir de voter, y compris le pouvoir de voter ou de diriger le vote d'un tel titre; et/ou</w:t>
      </w:r>
    </w:p>
    <w:p>
      <w:pPr>
        <w:spacing w:after="0" w:line="107" w:lineRule="exact"/>
        <w:rPr>
          <w:rFonts w:ascii="Arial" w:cs="Arial" w:eastAsia="Arial" w:hAnsi="Arial"/>
          <w:sz w:val="13"/>
          <w:szCs w:val="13"/>
          <w:color w:val="auto"/>
        </w:rPr>
      </w:pPr>
    </w:p>
    <w:p>
      <w:pPr>
        <w:ind w:left="805" w:right="20" w:hanging="266"/>
        <w:spacing w:after="0" w:line="262" w:lineRule="auto"/>
        <w:tabs>
          <w:tab w:leader="none" w:pos="847" w:val="left"/>
        </w:tabs>
        <w:numPr>
          <w:ilvl w:val="1"/>
          <w:numId w:val="4"/>
        </w:numPr>
        <w:rPr>
          <w:rFonts w:ascii="Arial" w:cs="Arial" w:eastAsia="Arial" w:hAnsi="Arial"/>
          <w:sz w:val="13"/>
          <w:szCs w:val="13"/>
          <w:color w:val="auto"/>
        </w:rPr>
      </w:pPr>
      <w:r>
        <w:rPr>
          <w:rFonts w:ascii="Arial" w:cs="Arial" w:eastAsia="Arial" w:hAnsi="Arial"/>
          <w:sz w:val="13"/>
          <w:szCs w:val="13"/>
          <w:color w:val="auto"/>
        </w:rPr>
        <w:t>le pouvoir d'investir, y compris le pouvoir de disposer ou de diriger la disposition d'un tel titre.</w:t>
      </w:r>
    </w:p>
    <w:p>
      <w:pPr>
        <w:spacing w:after="0" w:line="107" w:lineRule="exact"/>
        <w:rPr>
          <w:rFonts w:ascii="Arial" w:cs="Arial" w:eastAsia="Arial" w:hAnsi="Arial"/>
          <w:sz w:val="13"/>
          <w:szCs w:val="13"/>
          <w:color w:val="auto"/>
        </w:rPr>
      </w:pPr>
    </w:p>
    <w:p>
      <w:pPr>
        <w:ind w:left="545" w:firstLine="2"/>
        <w:spacing w:after="0" w:line="262" w:lineRule="auto"/>
        <w:tabs>
          <w:tab w:leader="none" w:pos="793" w:val="left"/>
        </w:tabs>
        <w:numPr>
          <w:ilvl w:val="2"/>
          <w:numId w:val="5"/>
        </w:numPr>
        <w:rPr>
          <w:rFonts w:ascii="Arial" w:cs="Arial" w:eastAsia="Arial" w:hAnsi="Arial"/>
          <w:sz w:val="13"/>
          <w:szCs w:val="13"/>
          <w:color w:val="auto"/>
        </w:rPr>
      </w:pPr>
      <w:r>
        <w:rPr>
          <w:rFonts w:ascii="Arial" w:cs="Arial" w:eastAsia="Arial" w:hAnsi="Arial"/>
          <w:sz w:val="13"/>
          <w:szCs w:val="13"/>
          <w:color w:val="auto"/>
        </w:rPr>
        <w:t>Toute personne qui, directement ou indirectement, crée ou utilise une fiducie, une procuration, un pooling</w:t>
      </w:r>
    </w:p>
    <w:p>
      <w:pPr>
        <w:spacing w:after="0" w:line="200" w:lineRule="exact"/>
        <w:rPr>
          <w:sz w:val="20"/>
          <w:szCs w:val="20"/>
          <w:color w:val="auto"/>
        </w:rPr>
      </w:pPr>
    </w:p>
    <w:p>
      <w:pPr>
        <w:sectPr>
          <w:pgSz w:w="11900" w:h="16838" w:orient="portrait"/>
          <w:cols w:equalWidth="0" w:num="2">
            <w:col w:w="5467" w:space="295"/>
            <w:col w:w="5465"/>
          </w:cols>
          <w:pgMar w:left="333" w:top="484" w:right="339" w:bottom="1440" w:gutter="0" w:footer="0" w:header="0"/>
        </w:sectPr>
      </w:pPr>
    </w:p>
    <w:p>
      <w:pPr>
        <w:spacing w:after="0" w:line="8" w:lineRule="exact"/>
        <w:rPr>
          <w:sz w:val="20"/>
          <w:szCs w:val="20"/>
          <w:color w:val="auto"/>
        </w:rPr>
      </w:pPr>
    </w:p>
    <w:p>
      <w:pPr>
        <w:jc w:val="center"/>
        <w:ind w:right="53"/>
        <w:spacing w:after="0"/>
        <w:rPr>
          <w:sz w:val="20"/>
          <w:szCs w:val="20"/>
          <w:color w:val="auto"/>
        </w:rPr>
      </w:pPr>
      <w:r>
        <w:rPr>
          <w:rFonts w:ascii="Times New Roman" w:cs="Times New Roman" w:eastAsia="Times New Roman" w:hAnsi="Times New Roman"/>
          <w:sz w:val="15"/>
          <w:szCs w:val="15"/>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wp:posOffset>
            </wp:positionH>
            <wp:positionV relativeFrom="paragraph">
              <wp:posOffset>12700</wp:posOffset>
            </wp:positionV>
            <wp:extent cx="7171690" cy="635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71690" cy="6350"/>
                    </a:xfrm>
                    <a:prstGeom prst="rect">
                      <a:avLst/>
                    </a:prstGeom>
                    <a:noFill/>
                  </pic:spPr>
                </pic:pic>
              </a:graphicData>
            </a:graphic>
          </wp:anchor>
        </w:drawing>
      </w:r>
    </w:p>
    <w:p>
      <w:pPr>
        <w:sectPr>
          <w:pgSz w:w="11900" w:h="16838" w:orient="portrait"/>
          <w:cols w:equalWidth="0" w:num="1">
            <w:col w:w="11227"/>
          </w:cols>
          <w:pgMar w:left="333" w:top="484" w:right="339" w:bottom="1440" w:gutter="0" w:footer="0" w:header="0"/>
          <w:type w:val="continuous"/>
        </w:sectPr>
      </w:pPr>
    </w:p>
    <w:bookmarkStart w:id="65" w:name="page66"/>
    <w:bookmarkEnd w:id="65"/>
    <w:p>
      <w:pPr>
        <w:jc w:val="both"/>
        <w:ind w:left="540"/>
        <w:spacing w:after="0"/>
        <w:rPr>
          <w:sz w:val="20"/>
          <w:szCs w:val="20"/>
          <w:color w:val="auto"/>
        </w:rPr>
      </w:pPr>
      <w:r>
        <w:rPr>
          <w:rFonts w:ascii="Arial" w:cs="Arial" w:eastAsia="Arial" w:hAnsi="Arial"/>
          <w:sz w:val="13"/>
          <w:szCs w:val="13"/>
          <w:color w:val="auto"/>
        </w:rPr>
        <w:drawing>
          <wp:anchor simplePos="0" relativeHeight="251657728" behindDoc="1" locked="0" layoutInCell="0" allowOverlap="1">
            <wp:simplePos x="0" y="0"/>
            <wp:positionH relativeFrom="page">
              <wp:posOffset>188595</wp:posOffset>
            </wp:positionH>
            <wp:positionV relativeFrom="page">
              <wp:posOffset>297180</wp:posOffset>
            </wp:positionV>
            <wp:extent cx="7171690" cy="23964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71690" cy="2396490"/>
                    </a:xfrm>
                    <a:prstGeom prst="rect">
                      <a:avLst/>
                    </a:prstGeom>
                    <a:noFill/>
                  </pic:spPr>
                </pic:pic>
              </a:graphicData>
            </a:graphic>
          </wp:anchor>
        </w:drawing>
        <w:t>arrangement or any other contract, arrangement, or device with the purpose or effect of divesting such person of beneficial ownership of shares of the Company or preventing the vesting of such beneficial ownership as part of a plan or scheme to evade the provisions of these articles of association shall be deemed to be the beneficial owner of such shares.</w:t>
      </w:r>
    </w:p>
    <w:p>
      <w:pPr>
        <w:spacing w:after="0" w:line="121" w:lineRule="exact"/>
        <w:rPr>
          <w:sz w:val="20"/>
          <w:szCs w:val="20"/>
          <w:color w:val="auto"/>
        </w:rPr>
      </w:pPr>
    </w:p>
    <w:p>
      <w:pPr>
        <w:jc w:val="both"/>
        <w:ind w:left="540" w:hanging="1"/>
        <w:spacing w:after="0" w:line="238" w:lineRule="auto"/>
        <w:tabs>
          <w:tab w:leader="none" w:pos="847" w:val="left"/>
        </w:tabs>
        <w:numPr>
          <w:ilvl w:val="0"/>
          <w:numId w:val="6"/>
        </w:numPr>
        <w:rPr>
          <w:rFonts w:ascii="Arial" w:cs="Arial" w:eastAsia="Arial" w:hAnsi="Arial"/>
          <w:sz w:val="13"/>
          <w:szCs w:val="13"/>
          <w:color w:val="auto"/>
        </w:rPr>
      </w:pPr>
      <w:r>
        <w:rPr>
          <w:rFonts w:ascii="Arial" w:cs="Arial" w:eastAsia="Arial" w:hAnsi="Arial"/>
          <w:sz w:val="13"/>
          <w:szCs w:val="13"/>
          <w:color w:val="auto"/>
        </w:rPr>
        <w:t>A person shall be deemed to be the beneficial owner of shares if that person has the right to acquire beneficial ownership of such shares within 60 days, including but not limited to any right acquired: (A) through the exercise of any option, warrant or right; (B) through the conversion of a security; (C) pursuant to the power to revoke a trust, discretionary account, or similar arrangement; or (D) pursuant to the automatic termination of a trust, discretionary account or similar arrangement.</w:t>
      </w:r>
    </w:p>
    <w:p>
      <w:pPr>
        <w:spacing w:after="0" w:line="58"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The limit of 33 </w:t>
      </w:r>
      <w:r>
        <w:rPr>
          <w:rFonts w:ascii="Arial" w:cs="Arial" w:eastAsia="Arial" w:hAnsi="Arial"/>
          <w:sz w:val="21"/>
          <w:szCs w:val="21"/>
          <w:color w:val="auto"/>
          <w:vertAlign w:val="superscript"/>
        </w:rPr>
        <w:t>1</w:t>
      </w:r>
      <w:r>
        <w:rPr>
          <w:rFonts w:ascii="Arial" w:cs="Arial" w:eastAsia="Arial" w:hAnsi="Arial"/>
          <w:sz w:val="13"/>
          <w:szCs w:val="13"/>
          <w:color w:val="auto"/>
        </w:rPr>
        <w:t>/</w:t>
      </w:r>
      <w:r>
        <w:rPr>
          <w:rFonts w:ascii="Arial" w:cs="Arial" w:eastAsia="Arial" w:hAnsi="Arial"/>
          <w:sz w:val="21"/>
          <w:szCs w:val="21"/>
          <w:color w:val="auto"/>
          <w:vertAlign w:val="subscript"/>
        </w:rPr>
        <w:t>3</w:t>
      </w:r>
      <w:r>
        <w:rPr>
          <w:rFonts w:ascii="Arial" w:cs="Arial" w:eastAsia="Arial" w:hAnsi="Arial"/>
          <w:sz w:val="13"/>
          <w:szCs w:val="13"/>
          <w:color w:val="auto"/>
        </w:rPr>
        <w:t xml:space="preserve"> % of the registered share capital also applies to the subscription for, or</w:t>
      </w:r>
    </w:p>
    <w:p>
      <w:pPr>
        <w:spacing w:after="0" w:line="30" w:lineRule="exact"/>
        <w:rPr>
          <w:sz w:val="20"/>
          <w:szCs w:val="20"/>
          <w:color w:val="auto"/>
        </w:rPr>
      </w:pPr>
    </w:p>
    <w:p>
      <w:pPr>
        <w:jc w:val="both"/>
        <w:spacing w:after="0" w:line="251" w:lineRule="auto"/>
        <w:rPr>
          <w:sz w:val="20"/>
          <w:szCs w:val="20"/>
          <w:color w:val="auto"/>
        </w:rPr>
      </w:pPr>
      <w:r>
        <w:rPr>
          <w:rFonts w:ascii="Arial" w:cs="Arial" w:eastAsia="Arial" w:hAnsi="Arial"/>
          <w:sz w:val="12"/>
          <w:szCs w:val="12"/>
          <w:color w:val="auto"/>
        </w:rPr>
        <w:t>acquisition of, registered shares by exercising option or convertible rights arising from registered or bearer securities or any other securities issued by the Company or third parties, as well as by means of exercising purchased preemptive rights arising from either registered or bearer</w:t>
      </w:r>
    </w:p>
    <w:p>
      <w:pPr>
        <w:spacing w:after="0" w:line="2" w:lineRule="exact"/>
        <w:rPr>
          <w:sz w:val="20"/>
          <w:szCs w:val="20"/>
          <w:color w:val="auto"/>
        </w:rPr>
      </w:pPr>
    </w:p>
    <w:p>
      <w:pPr>
        <w:jc w:val="both"/>
        <w:spacing w:after="0" w:line="214" w:lineRule="auto"/>
        <w:rPr>
          <w:sz w:val="20"/>
          <w:szCs w:val="20"/>
          <w:color w:val="auto"/>
        </w:rPr>
      </w:pPr>
      <w:r>
        <w:rPr>
          <w:rFonts w:ascii="Arial" w:cs="Arial" w:eastAsia="Arial" w:hAnsi="Arial"/>
          <w:sz w:val="13"/>
          <w:szCs w:val="13"/>
          <w:color w:val="auto"/>
        </w:rPr>
        <w:t xml:space="preserve">shares. The registered shares exceeding the limit of 33 </w:t>
      </w:r>
      <w:r>
        <w:rPr>
          <w:rFonts w:ascii="Arial" w:cs="Arial" w:eastAsia="Arial" w:hAnsi="Arial"/>
          <w:sz w:val="21"/>
          <w:szCs w:val="21"/>
          <w:color w:val="auto"/>
          <w:vertAlign w:val="superscript"/>
        </w:rPr>
        <w:t>1</w:t>
      </w:r>
      <w:r>
        <w:rPr>
          <w:rFonts w:ascii="Arial" w:cs="Arial" w:eastAsia="Arial" w:hAnsi="Arial"/>
          <w:sz w:val="13"/>
          <w:szCs w:val="13"/>
          <w:color w:val="auto"/>
        </w:rPr>
        <w:t>/</w:t>
      </w:r>
      <w:r>
        <w:rPr>
          <w:rFonts w:ascii="Arial" w:cs="Arial" w:eastAsia="Arial" w:hAnsi="Arial"/>
          <w:sz w:val="21"/>
          <w:szCs w:val="21"/>
          <w:color w:val="auto"/>
          <w:vertAlign w:val="subscript"/>
        </w:rPr>
        <w:t>3</w:t>
      </w:r>
      <w:r>
        <w:rPr>
          <w:rFonts w:ascii="Arial" w:cs="Arial" w:eastAsia="Arial" w:hAnsi="Arial"/>
          <w:sz w:val="13"/>
          <w:szCs w:val="13"/>
          <w:color w:val="auto"/>
        </w:rPr>
        <w:t xml:space="preserve"> % shall be entered in the share register as shares without voting rights.</w:t>
      </w:r>
    </w:p>
    <w:p>
      <w:pPr>
        <w:spacing w:after="0" w:line="122" w:lineRule="exact"/>
        <w:rPr>
          <w:sz w:val="20"/>
          <w:szCs w:val="20"/>
          <w:color w:val="auto"/>
        </w:rPr>
      </w:pPr>
    </w:p>
    <w:p>
      <w:pPr>
        <w:jc w:val="both"/>
        <w:spacing w:after="0" w:line="242" w:lineRule="auto"/>
        <w:rPr>
          <w:sz w:val="20"/>
          <w:szCs w:val="20"/>
          <w:color w:val="auto"/>
        </w:rPr>
      </w:pPr>
      <w:r>
        <w:rPr>
          <w:rFonts w:ascii="Arial" w:cs="Arial" w:eastAsia="Arial" w:hAnsi="Arial"/>
          <w:sz w:val="13"/>
          <w:szCs w:val="13"/>
          <w:color w:val="auto"/>
        </w:rPr>
        <w:t>The Board of Directors may in special cases approve exceptions to the above regulations. The Board of Directors is in addition authorized, after due consultation with the person concerned, to delete with retroactive effect entries in the share register which were effected on the basis of false information.</w:t>
      </w:r>
    </w:p>
    <w:p>
      <w:pPr>
        <w:spacing w:after="0" w:line="20" w:lineRule="exact"/>
        <w:rPr>
          <w:sz w:val="20"/>
          <w:szCs w:val="20"/>
          <w:color w:val="auto"/>
        </w:rPr>
      </w:pPr>
      <w:r>
        <w:rPr>
          <w:sz w:val="20"/>
          <w:szCs w:val="20"/>
          <w:color w:val="auto"/>
        </w:rPr>
        <w:br w:type="column"/>
      </w:r>
    </w:p>
    <w:p>
      <w:pPr>
        <w:jc w:val="both"/>
        <w:ind w:left="540"/>
        <w:spacing w:after="0" w:line="242" w:lineRule="auto"/>
        <w:rPr>
          <w:sz w:val="20"/>
          <w:szCs w:val="20"/>
          <w:color w:val="auto"/>
        </w:rPr>
      </w:pPr>
      <w:r>
        <w:rPr>
          <w:rFonts w:ascii="Arial" w:cs="Arial" w:eastAsia="Arial" w:hAnsi="Arial"/>
          <w:sz w:val="13"/>
          <w:szCs w:val="13"/>
          <w:color w:val="auto"/>
        </w:rPr>
        <w:t>ou tout autre contrat, accord, ou un dispositif ayant pour objet ou pour effet de priver cette personne de la propriété effective des actions de la société ou d'en empêcher l'acquisition effective au moyen d'un plan ou programme visant à se soustraire aux dispositions de ces statuts est réputée être le propriétaire effectif de ces actions.</w:t>
      </w:r>
    </w:p>
    <w:p>
      <w:pPr>
        <w:spacing w:after="0" w:line="121" w:lineRule="exact"/>
        <w:rPr>
          <w:sz w:val="20"/>
          <w:szCs w:val="20"/>
          <w:color w:val="auto"/>
        </w:rPr>
      </w:pPr>
    </w:p>
    <w:p>
      <w:pPr>
        <w:jc w:val="both"/>
        <w:ind w:left="540" w:firstLine="2"/>
        <w:spacing w:after="0" w:line="237" w:lineRule="auto"/>
        <w:tabs>
          <w:tab w:leader="none" w:pos="878" w:val="left"/>
        </w:tabs>
        <w:numPr>
          <w:ilvl w:val="0"/>
          <w:numId w:val="7"/>
        </w:numPr>
        <w:rPr>
          <w:rFonts w:ascii="Arial" w:cs="Arial" w:eastAsia="Arial" w:hAnsi="Arial"/>
          <w:sz w:val="13"/>
          <w:szCs w:val="13"/>
          <w:color w:val="auto"/>
        </w:rPr>
      </w:pPr>
      <w:r>
        <w:rPr>
          <w:rFonts w:ascii="Arial" w:cs="Arial" w:eastAsia="Arial" w:hAnsi="Arial"/>
          <w:sz w:val="13"/>
          <w:szCs w:val="13"/>
          <w:color w:val="auto"/>
        </w:rPr>
        <w:t>Une personne est réputée être propriétaire effective d'actions si cette personne a le droit d'acquérir la propriété effective de ces actions dans les 60 jours, y compris, mais pas limité à un droit acquis: (A) au moyen de l'exercice d'une option, d'un bon ou d'un droit de souscription; (B) par la conversion d'un titre; (C) en vertu du pouvoir de révoquer une fiducie, compte discrétionnaire ou accord semblable; ou (D) conformément à la résiliation automatique d'une fiducie, compte discrétionnaire ou accord semblable.</w:t>
      </w:r>
    </w:p>
    <w:p>
      <w:pPr>
        <w:spacing w:after="0" w:line="59"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La limite de 33 </w:t>
      </w:r>
      <w:r>
        <w:rPr>
          <w:rFonts w:ascii="Arial" w:cs="Arial" w:eastAsia="Arial" w:hAnsi="Arial"/>
          <w:sz w:val="21"/>
          <w:szCs w:val="21"/>
          <w:color w:val="auto"/>
          <w:vertAlign w:val="superscript"/>
        </w:rPr>
        <w:t>1</w:t>
      </w:r>
      <w:r>
        <w:rPr>
          <w:rFonts w:ascii="Arial" w:cs="Arial" w:eastAsia="Arial" w:hAnsi="Arial"/>
          <w:sz w:val="13"/>
          <w:szCs w:val="13"/>
          <w:color w:val="auto"/>
        </w:rPr>
        <w:t>/</w:t>
      </w:r>
      <w:r>
        <w:rPr>
          <w:rFonts w:ascii="Arial" w:cs="Arial" w:eastAsia="Arial" w:hAnsi="Arial"/>
          <w:sz w:val="21"/>
          <w:szCs w:val="21"/>
          <w:color w:val="auto"/>
          <w:vertAlign w:val="subscript"/>
        </w:rPr>
        <w:t>3</w:t>
      </w:r>
      <w:r>
        <w:rPr>
          <w:rFonts w:ascii="Arial" w:cs="Arial" w:eastAsia="Arial" w:hAnsi="Arial"/>
          <w:sz w:val="13"/>
          <w:szCs w:val="13"/>
          <w:color w:val="auto"/>
        </w:rPr>
        <w:t xml:space="preserve"> % du capital-actions nominatif s'applique également à la souscription ou</w:t>
      </w:r>
    </w:p>
    <w:p>
      <w:pPr>
        <w:spacing w:after="0" w:line="30" w:lineRule="exact"/>
        <w:rPr>
          <w:sz w:val="20"/>
          <w:szCs w:val="20"/>
          <w:color w:val="auto"/>
        </w:rPr>
      </w:pPr>
    </w:p>
    <w:p>
      <w:pPr>
        <w:jc w:val="both"/>
        <w:spacing w:after="0" w:line="251" w:lineRule="auto"/>
        <w:rPr>
          <w:sz w:val="20"/>
          <w:szCs w:val="20"/>
          <w:color w:val="auto"/>
        </w:rPr>
      </w:pPr>
      <w:r>
        <w:rPr>
          <w:rFonts w:ascii="Arial" w:cs="Arial" w:eastAsia="Arial" w:hAnsi="Arial"/>
          <w:sz w:val="12"/>
          <w:szCs w:val="12"/>
          <w:color w:val="auto"/>
        </w:rPr>
        <w:t>l'acquisition d'actions nominatives par l'exercice d'options ou de droits convertibles découlant de titres nominatifs ou au porteur ou d'autres titres émis par la société ou par des tiers, ainsi que par le biais de l'exercice de droits de souscription préférentiels achetés découlant d'actions</w:t>
      </w:r>
    </w:p>
    <w:p>
      <w:pPr>
        <w:spacing w:after="0" w:line="2" w:lineRule="exact"/>
        <w:rPr>
          <w:sz w:val="20"/>
          <w:szCs w:val="20"/>
          <w:color w:val="auto"/>
        </w:rPr>
      </w:pPr>
    </w:p>
    <w:p>
      <w:pPr>
        <w:jc w:val="both"/>
        <w:spacing w:after="0" w:line="214" w:lineRule="auto"/>
        <w:rPr>
          <w:sz w:val="20"/>
          <w:szCs w:val="20"/>
          <w:color w:val="auto"/>
        </w:rPr>
      </w:pPr>
      <w:r>
        <w:rPr>
          <w:rFonts w:ascii="Arial" w:cs="Arial" w:eastAsia="Arial" w:hAnsi="Arial"/>
          <w:sz w:val="13"/>
          <w:szCs w:val="13"/>
          <w:color w:val="auto"/>
        </w:rPr>
        <w:t xml:space="preserve">nominatives ou au porteur. Les actions nominatives dépassant la limite de 33 </w:t>
      </w:r>
      <w:r>
        <w:rPr>
          <w:rFonts w:ascii="Arial" w:cs="Arial" w:eastAsia="Arial" w:hAnsi="Arial"/>
          <w:sz w:val="21"/>
          <w:szCs w:val="21"/>
          <w:color w:val="auto"/>
          <w:vertAlign w:val="superscript"/>
        </w:rPr>
        <w:t>1</w:t>
      </w:r>
      <w:r>
        <w:rPr>
          <w:rFonts w:ascii="Arial" w:cs="Arial" w:eastAsia="Arial" w:hAnsi="Arial"/>
          <w:sz w:val="13"/>
          <w:szCs w:val="13"/>
          <w:color w:val="auto"/>
        </w:rPr>
        <w:t>/</w:t>
      </w:r>
      <w:r>
        <w:rPr>
          <w:rFonts w:ascii="Arial" w:cs="Arial" w:eastAsia="Arial" w:hAnsi="Arial"/>
          <w:sz w:val="21"/>
          <w:szCs w:val="21"/>
          <w:color w:val="auto"/>
          <w:vertAlign w:val="subscript"/>
        </w:rPr>
        <w:t>3</w:t>
      </w:r>
      <w:r>
        <w:rPr>
          <w:rFonts w:ascii="Arial" w:cs="Arial" w:eastAsia="Arial" w:hAnsi="Arial"/>
          <w:sz w:val="13"/>
          <w:szCs w:val="13"/>
          <w:color w:val="auto"/>
        </w:rPr>
        <w:t xml:space="preserve"> % sont inscrites dans le registre des actions comme des actions sans droit de vote.</w:t>
      </w:r>
    </w:p>
    <w:p>
      <w:pPr>
        <w:spacing w:after="0" w:line="122" w:lineRule="exact"/>
        <w:rPr>
          <w:sz w:val="20"/>
          <w:szCs w:val="20"/>
          <w:color w:val="auto"/>
        </w:rPr>
      </w:pPr>
    </w:p>
    <w:p>
      <w:pPr>
        <w:jc w:val="both"/>
        <w:spacing w:after="0" w:line="242" w:lineRule="auto"/>
        <w:rPr>
          <w:sz w:val="20"/>
          <w:szCs w:val="20"/>
          <w:color w:val="auto"/>
        </w:rPr>
      </w:pPr>
      <w:r>
        <w:rPr>
          <w:rFonts w:ascii="Arial" w:cs="Arial" w:eastAsia="Arial" w:hAnsi="Arial"/>
          <w:sz w:val="13"/>
          <w:szCs w:val="13"/>
          <w:color w:val="auto"/>
        </w:rPr>
        <w:t>Le conseil d'administration peut dans des cas particuliers approuver des exceptions aux règles précitées. Il est en outre autorisé, après consultation avec la personne concernée, de supprimer avec effet rétroactif des inscriptions du registre des actions qui ont été effectuées sur la base de fausses informations.</w:t>
      </w:r>
    </w:p>
    <w:p>
      <w:pPr>
        <w:spacing w:after="0" w:line="200" w:lineRule="exact"/>
        <w:rPr>
          <w:sz w:val="20"/>
          <w:szCs w:val="20"/>
          <w:color w:val="auto"/>
        </w:rPr>
      </w:pPr>
    </w:p>
    <w:p>
      <w:pPr>
        <w:sectPr>
          <w:pgSz w:w="11900" w:h="16838" w:orient="portrait"/>
          <w:cols w:equalWidth="0" w:num="2">
            <w:col w:w="5460" w:space="300"/>
            <w:col w:w="5460"/>
          </w:cols>
          <w:pgMar w:left="340" w:top="484" w:right="339" w:bottom="1440" w:gutter="0" w:footer="0" w:header="0"/>
        </w:sectPr>
      </w:pPr>
    </w:p>
    <w:p>
      <w:pPr>
        <w:spacing w:after="0" w:line="21"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5"/>
          <w:szCs w:val="15"/>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-26670</wp:posOffset>
            </wp:positionH>
            <wp:positionV relativeFrom="paragraph">
              <wp:posOffset>12700</wp:posOffset>
            </wp:positionV>
            <wp:extent cx="7171690" cy="635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71690" cy="6350"/>
                    </a:xfrm>
                    <a:prstGeom prst="rect">
                      <a:avLst/>
                    </a:prstGeom>
                    <a:noFill/>
                  </pic:spPr>
                </pic:pic>
              </a:graphicData>
            </a:graphic>
          </wp:anchor>
        </w:drawing>
      </w:r>
    </w:p>
    <w:p>
      <w:pPr>
        <w:sectPr>
          <w:pgSz w:w="11900" w:h="16838" w:orient="portrait"/>
          <w:cols w:equalWidth="0" w:num="1">
            <w:col w:w="11220"/>
          </w:cols>
          <w:pgMar w:left="340" w:top="484" w:right="339" w:bottom="1440" w:gutter="0" w:footer="0" w:header="0"/>
          <w:type w:val="continuous"/>
        </w:sectPr>
      </w:pPr>
    </w:p>
    <w:bookmarkStart w:id="66" w:name="page67"/>
    <w:bookmarkEnd w:id="66"/>
    <w:tbl>
      <w:tblPr>
        <w:tblLayout w:type="fixed"/>
        <w:tblInd w:w="10" w:type="dxa"/>
        <w:tblCellMar>
          <w:top w:w="0" w:type="dxa"/>
          <w:left w:w="0" w:type="dxa"/>
          <w:bottom w:w="0" w:type="dxa"/>
          <w:right w:w="0" w:type="dxa"/>
        </w:tblCellMar>
      </w:tblPr>
      <w:tr>
        <w:trPr>
          <w:trHeight w:val="193"/>
        </w:trPr>
        <w:tc>
          <w:tcPr>
            <w:tcW w:w="5540" w:type="dxa"/>
            <w:vAlign w:val="bottom"/>
            <w:tcBorders>
              <w:top w:val="single" w:sz="8" w:color="auto"/>
              <w:left w:val="single" w:sz="8" w:color="auto"/>
              <w:right w:val="single" w:sz="8" w:color="auto"/>
            </w:tcBorders>
            <w:gridSpan w:val="2"/>
          </w:tcPr>
          <w:p>
            <w:pPr>
              <w:ind w:left="40"/>
              <w:spacing w:after="0"/>
              <w:rPr>
                <w:sz w:val="20"/>
                <w:szCs w:val="20"/>
                <w:color w:val="auto"/>
              </w:rPr>
            </w:pPr>
            <w:r>
              <w:rPr>
                <w:rFonts w:ascii="Arial" w:cs="Arial" w:eastAsia="Arial" w:hAnsi="Arial"/>
                <w:sz w:val="13"/>
                <w:szCs w:val="13"/>
                <w:b w:val="1"/>
                <w:bCs w:val="1"/>
                <w:color w:val="auto"/>
              </w:rPr>
              <w:t>Art. 5  Share Certificates and Intermediated Securities</w:t>
            </w:r>
          </w:p>
        </w:tc>
        <w:tc>
          <w:tcPr>
            <w:tcW w:w="240" w:type="dxa"/>
            <w:vAlign w:val="bottom"/>
            <w:tcBorders>
              <w:top w:val="single" w:sz="8" w:color="auto"/>
              <w:right w:val="single" w:sz="8" w:color="auto"/>
            </w:tcBorders>
          </w:tcPr>
          <w:p>
            <w:pPr>
              <w:spacing w:after="0"/>
              <w:rPr>
                <w:sz w:val="16"/>
                <w:szCs w:val="16"/>
                <w:color w:val="auto"/>
              </w:rPr>
            </w:pPr>
          </w:p>
        </w:tc>
        <w:tc>
          <w:tcPr>
            <w:tcW w:w="420" w:type="dxa"/>
            <w:vAlign w:val="bottom"/>
            <w:tcBorders>
              <w:top w:val="single" w:sz="8" w:color="auto"/>
            </w:tcBorders>
            <w:gridSpan w:val="2"/>
          </w:tcPr>
          <w:p>
            <w:pPr>
              <w:ind w:left="20"/>
              <w:spacing w:after="0"/>
              <w:rPr>
                <w:sz w:val="20"/>
                <w:szCs w:val="20"/>
                <w:color w:val="auto"/>
              </w:rPr>
            </w:pPr>
            <w:r>
              <w:rPr>
                <w:rFonts w:ascii="Arial" w:cs="Arial" w:eastAsia="Arial" w:hAnsi="Arial"/>
                <w:sz w:val="13"/>
                <w:szCs w:val="13"/>
                <w:b w:val="1"/>
                <w:bCs w:val="1"/>
                <w:color w:val="auto"/>
              </w:rPr>
              <w:t>Art. 5</w:t>
            </w:r>
          </w:p>
        </w:tc>
        <w:tc>
          <w:tcPr>
            <w:tcW w:w="5100" w:type="dxa"/>
            <w:vAlign w:val="bottom"/>
            <w:tcBorders>
              <w:top w:val="single" w:sz="8" w:color="auto"/>
              <w:right w:val="single" w:sz="8" w:color="auto"/>
            </w:tcBorders>
          </w:tcPr>
          <w:p>
            <w:pPr>
              <w:ind w:left="180"/>
              <w:spacing w:after="0"/>
              <w:rPr>
                <w:sz w:val="20"/>
                <w:szCs w:val="20"/>
                <w:color w:val="auto"/>
              </w:rPr>
            </w:pPr>
            <w:r>
              <w:rPr>
                <w:rFonts w:ascii="Arial" w:cs="Arial" w:eastAsia="Arial" w:hAnsi="Arial"/>
                <w:sz w:val="13"/>
                <w:szCs w:val="13"/>
                <w:b w:val="1"/>
                <w:bCs w:val="1"/>
                <w:color w:val="auto"/>
              </w:rPr>
              <w:t>Certificats d'actions et titres intermédiés</w:t>
            </w:r>
          </w:p>
        </w:tc>
      </w:tr>
      <w:tr>
        <w:trPr>
          <w:trHeight w:val="258"/>
        </w:trPr>
        <w:tc>
          <w:tcPr>
            <w:tcW w:w="5540" w:type="dxa"/>
            <w:vAlign w:val="bottom"/>
            <w:tcBorders>
              <w:left w:val="single" w:sz="8" w:color="auto"/>
              <w:right w:val="single" w:sz="8" w:color="auto"/>
            </w:tcBorders>
            <w:gridSpan w:val="2"/>
          </w:tcPr>
          <w:p>
            <w:pPr>
              <w:ind w:left="40"/>
              <w:spacing w:after="0"/>
              <w:rPr>
                <w:sz w:val="20"/>
                <w:szCs w:val="20"/>
                <w:color w:val="auto"/>
              </w:rPr>
            </w:pPr>
            <w:r>
              <w:rPr>
                <w:rFonts w:ascii="Arial" w:cs="Arial" w:eastAsia="Arial" w:hAnsi="Arial"/>
                <w:sz w:val="13"/>
                <w:szCs w:val="13"/>
                <w:color w:val="auto"/>
              </w:rPr>
              <w:t>The Company may issue registered shares in the form of single certificates, global certificates</w:t>
            </w:r>
          </w:p>
        </w:tc>
        <w:tc>
          <w:tcPr>
            <w:tcW w:w="240" w:type="dxa"/>
            <w:vAlign w:val="bottom"/>
            <w:tcBorders>
              <w:right w:val="single" w:sz="8" w:color="auto"/>
            </w:tcBorders>
          </w:tcPr>
          <w:p>
            <w:pPr>
              <w:spacing w:after="0"/>
              <w:rPr>
                <w:sz w:val="22"/>
                <w:szCs w:val="22"/>
                <w:color w:val="auto"/>
              </w:rPr>
            </w:pPr>
          </w:p>
        </w:tc>
        <w:tc>
          <w:tcPr>
            <w:tcW w:w="5520" w:type="dxa"/>
            <w:vAlign w:val="bottom"/>
            <w:tcBorders>
              <w:right w:val="single" w:sz="8" w:color="auto"/>
            </w:tcBorders>
            <w:gridSpan w:val="3"/>
          </w:tcPr>
          <w:p>
            <w:pPr>
              <w:ind w:left="20"/>
              <w:spacing w:after="0"/>
              <w:rPr>
                <w:sz w:val="20"/>
                <w:szCs w:val="20"/>
                <w:color w:val="auto"/>
              </w:rPr>
            </w:pPr>
            <w:r>
              <w:rPr>
                <w:rFonts w:ascii="Arial" w:cs="Arial" w:eastAsia="Arial" w:hAnsi="Arial"/>
                <w:sz w:val="13"/>
                <w:szCs w:val="13"/>
                <w:color w:val="auto"/>
              </w:rPr>
              <w:t>La société peut émettre des actions nominatives sous forme de certificats individuels, de</w:t>
            </w:r>
          </w:p>
        </w:tc>
      </w:tr>
      <w:tr>
        <w:trPr>
          <w:trHeight w:val="145"/>
        </w:trPr>
        <w:tc>
          <w:tcPr>
            <w:tcW w:w="5540" w:type="dxa"/>
            <w:vAlign w:val="bottom"/>
            <w:tcBorders>
              <w:left w:val="single" w:sz="8" w:color="auto"/>
              <w:right w:val="single" w:sz="8" w:color="auto"/>
            </w:tcBorders>
            <w:gridSpan w:val="2"/>
          </w:tcPr>
          <w:p>
            <w:pPr>
              <w:ind w:left="40"/>
              <w:spacing w:after="0" w:line="145" w:lineRule="exact"/>
              <w:rPr>
                <w:sz w:val="20"/>
                <w:szCs w:val="20"/>
                <w:color w:val="auto"/>
              </w:rPr>
            </w:pPr>
            <w:r>
              <w:rPr>
                <w:rFonts w:ascii="Arial" w:cs="Arial" w:eastAsia="Arial" w:hAnsi="Arial"/>
                <w:sz w:val="13"/>
                <w:szCs w:val="13"/>
                <w:color w:val="auto"/>
              </w:rPr>
              <w:t>and uncertificated securities. Under the conditions set forth by statutory law, the Company may</w:t>
            </w:r>
          </w:p>
        </w:tc>
        <w:tc>
          <w:tcPr>
            <w:tcW w:w="240" w:type="dxa"/>
            <w:vAlign w:val="bottom"/>
            <w:tcBorders>
              <w:right w:val="single" w:sz="8" w:color="auto"/>
            </w:tcBorders>
          </w:tcPr>
          <w:p>
            <w:pPr>
              <w:spacing w:after="0"/>
              <w:rPr>
                <w:sz w:val="12"/>
                <w:szCs w:val="12"/>
                <w:color w:val="auto"/>
              </w:rPr>
            </w:pPr>
          </w:p>
        </w:tc>
        <w:tc>
          <w:tcPr>
            <w:tcW w:w="5520" w:type="dxa"/>
            <w:vAlign w:val="bottom"/>
            <w:tcBorders>
              <w:right w:val="single" w:sz="8" w:color="auto"/>
            </w:tcBorders>
            <w:gridSpan w:val="3"/>
          </w:tcPr>
          <w:p>
            <w:pPr>
              <w:ind w:left="20"/>
              <w:spacing w:after="0" w:line="145" w:lineRule="exact"/>
              <w:rPr>
                <w:sz w:val="20"/>
                <w:szCs w:val="20"/>
                <w:color w:val="auto"/>
              </w:rPr>
            </w:pPr>
            <w:r>
              <w:rPr>
                <w:rFonts w:ascii="Arial" w:cs="Arial" w:eastAsia="Arial" w:hAnsi="Arial"/>
                <w:sz w:val="13"/>
                <w:szCs w:val="13"/>
                <w:color w:val="auto"/>
              </w:rPr>
              <w:t>certificats globaux et de titres dématérialisés. Dans les conditions prévues par la loi, la société</w:t>
            </w:r>
          </w:p>
        </w:tc>
      </w:tr>
      <w:tr>
        <w:trPr>
          <w:trHeight w:val="145"/>
        </w:trPr>
        <w:tc>
          <w:tcPr>
            <w:tcW w:w="5540" w:type="dxa"/>
            <w:vAlign w:val="bottom"/>
            <w:tcBorders>
              <w:left w:val="single" w:sz="8" w:color="auto"/>
              <w:right w:val="single" w:sz="8" w:color="auto"/>
            </w:tcBorders>
            <w:gridSpan w:val="2"/>
          </w:tcPr>
          <w:p>
            <w:pPr>
              <w:ind w:left="40"/>
              <w:spacing w:after="0" w:line="145" w:lineRule="exact"/>
              <w:rPr>
                <w:sz w:val="20"/>
                <w:szCs w:val="20"/>
                <w:color w:val="auto"/>
              </w:rPr>
            </w:pPr>
            <w:r>
              <w:rPr>
                <w:rFonts w:ascii="Arial" w:cs="Arial" w:eastAsia="Arial" w:hAnsi="Arial"/>
                <w:sz w:val="13"/>
                <w:szCs w:val="13"/>
                <w:color w:val="auto"/>
              </w:rPr>
              <w:t>convert its registered shares from one form into another form at any time and without the</w:t>
            </w:r>
          </w:p>
        </w:tc>
        <w:tc>
          <w:tcPr>
            <w:tcW w:w="240" w:type="dxa"/>
            <w:vAlign w:val="bottom"/>
            <w:tcBorders>
              <w:right w:val="single" w:sz="8" w:color="auto"/>
            </w:tcBorders>
          </w:tcPr>
          <w:p>
            <w:pPr>
              <w:spacing w:after="0"/>
              <w:rPr>
                <w:sz w:val="12"/>
                <w:szCs w:val="12"/>
                <w:color w:val="auto"/>
              </w:rPr>
            </w:pPr>
          </w:p>
        </w:tc>
        <w:tc>
          <w:tcPr>
            <w:tcW w:w="5520" w:type="dxa"/>
            <w:vAlign w:val="bottom"/>
            <w:tcBorders>
              <w:right w:val="single" w:sz="8" w:color="auto"/>
            </w:tcBorders>
            <w:gridSpan w:val="3"/>
          </w:tcPr>
          <w:p>
            <w:pPr>
              <w:ind w:left="20"/>
              <w:spacing w:after="0" w:line="145" w:lineRule="exact"/>
              <w:rPr>
                <w:sz w:val="20"/>
                <w:szCs w:val="20"/>
                <w:color w:val="auto"/>
              </w:rPr>
            </w:pPr>
            <w:r>
              <w:rPr>
                <w:rFonts w:ascii="Arial" w:cs="Arial" w:eastAsia="Arial" w:hAnsi="Arial"/>
                <w:sz w:val="13"/>
                <w:szCs w:val="13"/>
                <w:color w:val="auto"/>
              </w:rPr>
              <w:t>peut convertir ses actions nominatives d'une forme en une autre forme, à tout moment et sans</w:t>
            </w:r>
          </w:p>
        </w:tc>
      </w:tr>
      <w:tr>
        <w:trPr>
          <w:trHeight w:val="168"/>
        </w:trPr>
        <w:tc>
          <w:tcPr>
            <w:tcW w:w="5540" w:type="dxa"/>
            <w:vAlign w:val="bottom"/>
            <w:tcBorders>
              <w:left w:val="single" w:sz="8" w:color="auto"/>
              <w:right w:val="single" w:sz="8" w:color="auto"/>
            </w:tcBorders>
            <w:gridSpan w:val="2"/>
          </w:tcPr>
          <w:p>
            <w:pPr>
              <w:ind w:left="40"/>
              <w:spacing w:after="0"/>
              <w:rPr>
                <w:sz w:val="20"/>
                <w:szCs w:val="20"/>
                <w:color w:val="auto"/>
              </w:rPr>
            </w:pPr>
            <w:r>
              <w:rPr>
                <w:rFonts w:ascii="Arial" w:cs="Arial" w:eastAsia="Arial" w:hAnsi="Arial"/>
                <w:sz w:val="13"/>
                <w:szCs w:val="13"/>
                <w:color w:val="auto"/>
              </w:rPr>
              <w:t>approval of the shareholders.</w:t>
            </w:r>
          </w:p>
        </w:tc>
        <w:tc>
          <w:tcPr>
            <w:tcW w:w="240" w:type="dxa"/>
            <w:vAlign w:val="bottom"/>
            <w:tcBorders>
              <w:right w:val="single" w:sz="8" w:color="auto"/>
            </w:tcBorders>
          </w:tcPr>
          <w:p>
            <w:pPr>
              <w:spacing w:after="0"/>
              <w:rPr>
                <w:sz w:val="14"/>
                <w:szCs w:val="14"/>
                <w:color w:val="auto"/>
              </w:rPr>
            </w:pPr>
          </w:p>
        </w:tc>
        <w:tc>
          <w:tcPr>
            <w:tcW w:w="5520" w:type="dxa"/>
            <w:vAlign w:val="bottom"/>
            <w:tcBorders>
              <w:right w:val="single" w:sz="8" w:color="auto"/>
            </w:tcBorders>
            <w:gridSpan w:val="3"/>
          </w:tcPr>
          <w:p>
            <w:pPr>
              <w:ind w:left="20"/>
              <w:spacing w:after="0"/>
              <w:rPr>
                <w:sz w:val="20"/>
                <w:szCs w:val="20"/>
                <w:color w:val="auto"/>
              </w:rPr>
            </w:pPr>
            <w:r>
              <w:rPr>
                <w:rFonts w:ascii="Arial" w:cs="Arial" w:eastAsia="Arial" w:hAnsi="Arial"/>
                <w:sz w:val="13"/>
                <w:szCs w:val="13"/>
                <w:color w:val="auto"/>
              </w:rPr>
              <w:t>l'approbation des actionnaires.</w:t>
            </w:r>
          </w:p>
        </w:tc>
      </w:tr>
      <w:tr>
        <w:trPr>
          <w:trHeight w:val="153"/>
        </w:trPr>
        <w:tc>
          <w:tcPr>
            <w:tcW w:w="5540" w:type="dxa"/>
            <w:vAlign w:val="bottom"/>
            <w:tcBorders>
              <w:left w:val="single" w:sz="8" w:color="auto"/>
              <w:bottom w:val="single" w:sz="8" w:color="auto"/>
              <w:right w:val="single" w:sz="8" w:color="auto"/>
            </w:tcBorders>
            <w:gridSpan w:val="2"/>
          </w:tcPr>
          <w:p>
            <w:pPr>
              <w:spacing w:after="0"/>
              <w:rPr>
                <w:sz w:val="13"/>
                <w:szCs w:val="13"/>
                <w:color w:val="auto"/>
              </w:rPr>
            </w:pPr>
          </w:p>
        </w:tc>
        <w:tc>
          <w:tcPr>
            <w:tcW w:w="240" w:type="dxa"/>
            <w:vAlign w:val="bottom"/>
            <w:tcBorders>
              <w:bottom w:val="single" w:sz="8" w:color="auto"/>
              <w:right w:val="single" w:sz="8" w:color="auto"/>
            </w:tcBorders>
          </w:tcPr>
          <w:p>
            <w:pPr>
              <w:spacing w:after="0"/>
              <w:rPr>
                <w:sz w:val="13"/>
                <w:szCs w:val="13"/>
                <w:color w:val="auto"/>
              </w:rPr>
            </w:pPr>
          </w:p>
        </w:tc>
        <w:tc>
          <w:tcPr>
            <w:tcW w:w="5520" w:type="dxa"/>
            <w:vAlign w:val="bottom"/>
            <w:tcBorders>
              <w:bottom w:val="single" w:sz="8" w:color="auto"/>
              <w:right w:val="single" w:sz="8" w:color="auto"/>
            </w:tcBorders>
            <w:gridSpan w:val="3"/>
          </w:tcPr>
          <w:p>
            <w:pPr>
              <w:spacing w:after="0"/>
              <w:rPr>
                <w:sz w:val="13"/>
                <w:szCs w:val="13"/>
                <w:color w:val="auto"/>
              </w:rPr>
            </w:pPr>
          </w:p>
        </w:tc>
      </w:tr>
      <w:tr>
        <w:trPr>
          <w:trHeight w:val="141"/>
        </w:trPr>
        <w:tc>
          <w:tcPr>
            <w:tcW w:w="5540" w:type="dxa"/>
            <w:vAlign w:val="bottom"/>
            <w:tcBorders>
              <w:left w:val="single" w:sz="8" w:color="auto"/>
              <w:right w:val="single" w:sz="8" w:color="auto"/>
            </w:tcBorders>
            <w:gridSpan w:val="2"/>
          </w:tcPr>
          <w:p>
            <w:pPr>
              <w:ind w:left="40"/>
              <w:spacing w:after="0" w:line="141" w:lineRule="exact"/>
              <w:rPr>
                <w:sz w:val="20"/>
                <w:szCs w:val="20"/>
                <w:color w:val="auto"/>
              </w:rPr>
            </w:pPr>
            <w:r>
              <w:rPr>
                <w:rFonts w:ascii="Arial" w:cs="Arial" w:eastAsia="Arial" w:hAnsi="Arial"/>
                <w:sz w:val="13"/>
                <w:szCs w:val="13"/>
                <w:color w:val="auto"/>
              </w:rPr>
              <w:t>The shareholder has no right to demand a conversion of the registered shares. Each</w:t>
            </w:r>
          </w:p>
        </w:tc>
        <w:tc>
          <w:tcPr>
            <w:tcW w:w="240" w:type="dxa"/>
            <w:vAlign w:val="bottom"/>
            <w:tcBorders>
              <w:right w:val="single" w:sz="8" w:color="auto"/>
            </w:tcBorders>
          </w:tcPr>
          <w:p>
            <w:pPr>
              <w:spacing w:after="0"/>
              <w:rPr>
                <w:sz w:val="12"/>
                <w:szCs w:val="12"/>
                <w:color w:val="auto"/>
              </w:rPr>
            </w:pPr>
          </w:p>
        </w:tc>
        <w:tc>
          <w:tcPr>
            <w:tcW w:w="5520" w:type="dxa"/>
            <w:vAlign w:val="bottom"/>
            <w:tcBorders>
              <w:right w:val="single" w:sz="8" w:color="auto"/>
            </w:tcBorders>
            <w:gridSpan w:val="3"/>
          </w:tcPr>
          <w:p>
            <w:pPr>
              <w:ind w:left="20"/>
              <w:spacing w:after="0" w:line="141" w:lineRule="exact"/>
              <w:rPr>
                <w:sz w:val="20"/>
                <w:szCs w:val="20"/>
                <w:color w:val="auto"/>
              </w:rPr>
            </w:pPr>
            <w:r>
              <w:rPr>
                <w:rFonts w:ascii="Arial" w:cs="Arial" w:eastAsia="Arial" w:hAnsi="Arial"/>
                <w:sz w:val="13"/>
                <w:szCs w:val="13"/>
                <w:color w:val="auto"/>
                <w:w w:val="99"/>
              </w:rPr>
              <w:t>L'actionnaire n'a pas le droit d'exiger une conversion d'actions nominatives. Chaque actionnaire</w:t>
            </w:r>
          </w:p>
        </w:tc>
      </w:tr>
      <w:tr>
        <w:trPr>
          <w:trHeight w:val="145"/>
        </w:trPr>
        <w:tc>
          <w:tcPr>
            <w:tcW w:w="5540" w:type="dxa"/>
            <w:vAlign w:val="bottom"/>
            <w:tcBorders>
              <w:left w:val="single" w:sz="8" w:color="auto"/>
              <w:right w:val="single" w:sz="8" w:color="auto"/>
            </w:tcBorders>
            <w:gridSpan w:val="2"/>
          </w:tcPr>
          <w:p>
            <w:pPr>
              <w:ind w:left="40"/>
              <w:spacing w:after="0" w:line="145" w:lineRule="exact"/>
              <w:rPr>
                <w:sz w:val="20"/>
                <w:szCs w:val="20"/>
                <w:color w:val="auto"/>
              </w:rPr>
            </w:pPr>
            <w:r>
              <w:rPr>
                <w:rFonts w:ascii="Arial" w:cs="Arial" w:eastAsia="Arial" w:hAnsi="Arial"/>
                <w:sz w:val="13"/>
                <w:szCs w:val="13"/>
                <w:color w:val="auto"/>
              </w:rPr>
              <w:t>shareholder may, however, at any time request a written confirmation from the Company of the</w:t>
            </w:r>
          </w:p>
        </w:tc>
        <w:tc>
          <w:tcPr>
            <w:tcW w:w="240" w:type="dxa"/>
            <w:vAlign w:val="bottom"/>
            <w:tcBorders>
              <w:right w:val="single" w:sz="8" w:color="auto"/>
            </w:tcBorders>
          </w:tcPr>
          <w:p>
            <w:pPr>
              <w:spacing w:after="0"/>
              <w:rPr>
                <w:sz w:val="12"/>
                <w:szCs w:val="12"/>
                <w:color w:val="auto"/>
              </w:rPr>
            </w:pPr>
          </w:p>
        </w:tc>
        <w:tc>
          <w:tcPr>
            <w:tcW w:w="5520" w:type="dxa"/>
            <w:vAlign w:val="bottom"/>
            <w:tcBorders>
              <w:right w:val="single" w:sz="8" w:color="auto"/>
            </w:tcBorders>
            <w:gridSpan w:val="3"/>
          </w:tcPr>
          <w:p>
            <w:pPr>
              <w:ind w:left="20"/>
              <w:spacing w:after="0" w:line="145" w:lineRule="exact"/>
              <w:rPr>
                <w:sz w:val="20"/>
                <w:szCs w:val="20"/>
                <w:color w:val="auto"/>
              </w:rPr>
            </w:pPr>
            <w:r>
              <w:rPr>
                <w:rFonts w:ascii="Arial" w:cs="Arial" w:eastAsia="Arial" w:hAnsi="Arial"/>
                <w:sz w:val="13"/>
                <w:szCs w:val="13"/>
                <w:color w:val="auto"/>
              </w:rPr>
              <w:t>peut toutefois, à tout moment, demander une confirmation écrite de la société du nombres</w:t>
            </w:r>
          </w:p>
        </w:tc>
      </w:tr>
      <w:tr>
        <w:trPr>
          <w:trHeight w:val="173"/>
        </w:trPr>
        <w:tc>
          <w:tcPr>
            <w:tcW w:w="5540" w:type="dxa"/>
            <w:vAlign w:val="bottom"/>
            <w:tcBorders>
              <w:left w:val="single" w:sz="8" w:color="auto"/>
              <w:bottom w:val="single" w:sz="8" w:color="auto"/>
              <w:right w:val="single" w:sz="8" w:color="auto"/>
            </w:tcBorders>
            <w:gridSpan w:val="2"/>
          </w:tcPr>
          <w:p>
            <w:pPr>
              <w:ind w:left="40"/>
              <w:spacing w:after="0"/>
              <w:rPr>
                <w:sz w:val="20"/>
                <w:szCs w:val="20"/>
                <w:color w:val="auto"/>
              </w:rPr>
            </w:pPr>
            <w:r>
              <w:rPr>
                <w:rFonts w:ascii="Arial" w:cs="Arial" w:eastAsia="Arial" w:hAnsi="Arial"/>
                <w:sz w:val="13"/>
                <w:szCs w:val="13"/>
                <w:color w:val="auto"/>
              </w:rPr>
              <w:t>registered shares held by such shareholder, as reflected in the share register.</w:t>
            </w:r>
          </w:p>
        </w:tc>
        <w:tc>
          <w:tcPr>
            <w:tcW w:w="240" w:type="dxa"/>
            <w:vAlign w:val="bottom"/>
            <w:tcBorders>
              <w:bottom w:val="single" w:sz="8" w:color="auto"/>
              <w:right w:val="single" w:sz="8" w:color="auto"/>
            </w:tcBorders>
          </w:tcPr>
          <w:p>
            <w:pPr>
              <w:spacing w:after="0"/>
              <w:rPr>
                <w:sz w:val="15"/>
                <w:szCs w:val="15"/>
                <w:color w:val="auto"/>
              </w:rPr>
            </w:pPr>
          </w:p>
        </w:tc>
        <w:tc>
          <w:tcPr>
            <w:tcW w:w="5520" w:type="dxa"/>
            <w:vAlign w:val="bottom"/>
            <w:tcBorders>
              <w:bottom w:val="single" w:sz="8" w:color="auto"/>
              <w:right w:val="single" w:sz="8" w:color="auto"/>
            </w:tcBorders>
            <w:gridSpan w:val="3"/>
          </w:tcPr>
          <w:p>
            <w:pPr>
              <w:ind w:left="20"/>
              <w:spacing w:after="0"/>
              <w:rPr>
                <w:sz w:val="20"/>
                <w:szCs w:val="20"/>
                <w:color w:val="auto"/>
              </w:rPr>
            </w:pPr>
            <w:r>
              <w:rPr>
                <w:rFonts w:ascii="Arial" w:cs="Arial" w:eastAsia="Arial" w:hAnsi="Arial"/>
                <w:sz w:val="13"/>
                <w:szCs w:val="13"/>
                <w:color w:val="auto"/>
              </w:rPr>
              <w:t>d'actions nominatives détenues par cet actionnaire telles qu'inscrites au registre du commerce.</w:t>
            </w:r>
          </w:p>
        </w:tc>
      </w:tr>
      <w:tr>
        <w:trPr>
          <w:trHeight w:val="145"/>
        </w:trPr>
        <w:tc>
          <w:tcPr>
            <w:tcW w:w="5540" w:type="dxa"/>
            <w:vAlign w:val="bottom"/>
            <w:tcBorders>
              <w:left w:val="single" w:sz="8" w:color="auto"/>
              <w:right w:val="single" w:sz="8" w:color="auto"/>
            </w:tcBorders>
            <w:gridSpan w:val="2"/>
          </w:tcPr>
          <w:p>
            <w:pPr>
              <w:ind w:left="40"/>
              <w:spacing w:after="0" w:line="146" w:lineRule="exact"/>
              <w:rPr>
                <w:sz w:val="20"/>
                <w:szCs w:val="20"/>
                <w:color w:val="auto"/>
              </w:rPr>
            </w:pPr>
            <w:r>
              <w:rPr>
                <w:rFonts w:ascii="Arial" w:cs="Arial" w:eastAsia="Arial" w:hAnsi="Arial"/>
                <w:sz w:val="13"/>
                <w:szCs w:val="13"/>
                <w:color w:val="auto"/>
                <w:w w:val="99"/>
              </w:rPr>
              <w:t>The transfer of intermediated securities and the pledging of these intermediated securities shall</w:t>
            </w:r>
          </w:p>
        </w:tc>
        <w:tc>
          <w:tcPr>
            <w:tcW w:w="240" w:type="dxa"/>
            <w:vAlign w:val="bottom"/>
            <w:tcBorders>
              <w:right w:val="single" w:sz="8" w:color="auto"/>
            </w:tcBorders>
          </w:tcPr>
          <w:p>
            <w:pPr>
              <w:spacing w:after="0"/>
              <w:rPr>
                <w:sz w:val="12"/>
                <w:szCs w:val="12"/>
                <w:color w:val="auto"/>
              </w:rPr>
            </w:pPr>
          </w:p>
        </w:tc>
        <w:tc>
          <w:tcPr>
            <w:tcW w:w="5520" w:type="dxa"/>
            <w:vAlign w:val="bottom"/>
            <w:tcBorders>
              <w:right w:val="single" w:sz="8" w:color="auto"/>
            </w:tcBorders>
            <w:gridSpan w:val="3"/>
          </w:tcPr>
          <w:p>
            <w:pPr>
              <w:ind w:left="20"/>
              <w:spacing w:after="0" w:line="146" w:lineRule="exact"/>
              <w:rPr>
                <w:sz w:val="20"/>
                <w:szCs w:val="20"/>
                <w:color w:val="auto"/>
              </w:rPr>
            </w:pPr>
            <w:r>
              <w:rPr>
                <w:rFonts w:ascii="Arial" w:cs="Arial" w:eastAsia="Arial" w:hAnsi="Arial"/>
                <w:sz w:val="13"/>
                <w:szCs w:val="13"/>
                <w:color w:val="auto"/>
              </w:rPr>
              <w:t>Le transfert des titres intermédiés et la mise en gage de ces titres intermédiés suivent les</w:t>
            </w:r>
          </w:p>
        </w:tc>
      </w:tr>
      <w:tr>
        <w:trPr>
          <w:trHeight w:val="145"/>
        </w:trPr>
        <w:tc>
          <w:tcPr>
            <w:tcW w:w="5540" w:type="dxa"/>
            <w:vAlign w:val="bottom"/>
            <w:tcBorders>
              <w:left w:val="single" w:sz="8" w:color="auto"/>
              <w:right w:val="single" w:sz="8" w:color="auto"/>
            </w:tcBorders>
            <w:gridSpan w:val="2"/>
          </w:tcPr>
          <w:p>
            <w:pPr>
              <w:ind w:left="40"/>
              <w:spacing w:after="0" w:line="145" w:lineRule="exact"/>
              <w:rPr>
                <w:sz w:val="20"/>
                <w:szCs w:val="20"/>
                <w:color w:val="auto"/>
              </w:rPr>
            </w:pPr>
            <w:r>
              <w:rPr>
                <w:rFonts w:ascii="Arial" w:cs="Arial" w:eastAsia="Arial" w:hAnsi="Arial"/>
                <w:sz w:val="13"/>
                <w:szCs w:val="13"/>
                <w:color w:val="auto"/>
              </w:rPr>
              <w:t>be based on the provisions of the Swiss Federal Intermediated Securities Act. Transfer of</w:t>
            </w:r>
          </w:p>
        </w:tc>
        <w:tc>
          <w:tcPr>
            <w:tcW w:w="240" w:type="dxa"/>
            <w:vAlign w:val="bottom"/>
            <w:tcBorders>
              <w:right w:val="single" w:sz="8" w:color="auto"/>
            </w:tcBorders>
          </w:tcPr>
          <w:p>
            <w:pPr>
              <w:spacing w:after="0"/>
              <w:rPr>
                <w:sz w:val="12"/>
                <w:szCs w:val="12"/>
                <w:color w:val="auto"/>
              </w:rPr>
            </w:pPr>
          </w:p>
        </w:tc>
        <w:tc>
          <w:tcPr>
            <w:tcW w:w="5520" w:type="dxa"/>
            <w:vAlign w:val="bottom"/>
            <w:tcBorders>
              <w:right w:val="single" w:sz="8" w:color="auto"/>
            </w:tcBorders>
            <w:gridSpan w:val="3"/>
          </w:tcPr>
          <w:p>
            <w:pPr>
              <w:ind w:left="20"/>
              <w:spacing w:after="0" w:line="145" w:lineRule="exact"/>
              <w:rPr>
                <w:sz w:val="20"/>
                <w:szCs w:val="20"/>
                <w:color w:val="auto"/>
              </w:rPr>
            </w:pPr>
            <w:r>
              <w:rPr>
                <w:rFonts w:ascii="Arial" w:cs="Arial" w:eastAsia="Arial" w:hAnsi="Arial"/>
                <w:sz w:val="13"/>
                <w:szCs w:val="13"/>
                <w:color w:val="auto"/>
              </w:rPr>
              <w:t>dispositions de la Loi fédérale sur les titres intermédiés. Le transfert de propriété à titre de</w:t>
            </w:r>
          </w:p>
        </w:tc>
      </w:tr>
      <w:tr>
        <w:trPr>
          <w:trHeight w:val="173"/>
        </w:trPr>
        <w:tc>
          <w:tcPr>
            <w:tcW w:w="5540" w:type="dxa"/>
            <w:vAlign w:val="bottom"/>
            <w:tcBorders>
              <w:left w:val="single" w:sz="8" w:color="auto"/>
              <w:bottom w:val="single" w:sz="8" w:color="auto"/>
              <w:right w:val="single" w:sz="8" w:color="auto"/>
            </w:tcBorders>
            <w:gridSpan w:val="2"/>
          </w:tcPr>
          <w:p>
            <w:pPr>
              <w:ind w:left="40"/>
              <w:spacing w:after="0"/>
              <w:rPr>
                <w:sz w:val="20"/>
                <w:szCs w:val="20"/>
                <w:color w:val="auto"/>
              </w:rPr>
            </w:pPr>
            <w:r>
              <w:rPr>
                <w:rFonts w:ascii="Arial" w:cs="Arial" w:eastAsia="Arial" w:hAnsi="Arial"/>
                <w:sz w:val="13"/>
                <w:szCs w:val="13"/>
                <w:color w:val="auto"/>
              </w:rPr>
              <w:t>propriety as collateral by means of written assignment are not permitted.</w:t>
            </w:r>
          </w:p>
        </w:tc>
        <w:tc>
          <w:tcPr>
            <w:tcW w:w="240" w:type="dxa"/>
            <w:vAlign w:val="bottom"/>
            <w:tcBorders>
              <w:bottom w:val="single" w:sz="8" w:color="auto"/>
              <w:right w:val="single" w:sz="8" w:color="auto"/>
            </w:tcBorders>
          </w:tcPr>
          <w:p>
            <w:pPr>
              <w:spacing w:after="0"/>
              <w:rPr>
                <w:sz w:val="15"/>
                <w:szCs w:val="15"/>
                <w:color w:val="auto"/>
              </w:rPr>
            </w:pPr>
          </w:p>
        </w:tc>
        <w:tc>
          <w:tcPr>
            <w:tcW w:w="5520" w:type="dxa"/>
            <w:vAlign w:val="bottom"/>
            <w:tcBorders>
              <w:bottom w:val="single" w:sz="8" w:color="auto"/>
              <w:right w:val="single" w:sz="8" w:color="auto"/>
            </w:tcBorders>
            <w:gridSpan w:val="3"/>
          </w:tcPr>
          <w:p>
            <w:pPr>
              <w:ind w:left="20"/>
              <w:spacing w:after="0"/>
              <w:rPr>
                <w:sz w:val="20"/>
                <w:szCs w:val="20"/>
                <w:color w:val="auto"/>
              </w:rPr>
            </w:pPr>
            <w:r>
              <w:rPr>
                <w:rFonts w:ascii="Arial" w:cs="Arial" w:eastAsia="Arial" w:hAnsi="Arial"/>
                <w:sz w:val="13"/>
                <w:szCs w:val="13"/>
                <w:color w:val="auto"/>
              </w:rPr>
              <w:t>sûreté par cession écrite n'est pas autorisé.</w:t>
            </w:r>
          </w:p>
        </w:tc>
      </w:tr>
      <w:tr>
        <w:trPr>
          <w:trHeight w:val="177"/>
        </w:trPr>
        <w:tc>
          <w:tcPr>
            <w:tcW w:w="5540" w:type="dxa"/>
            <w:vAlign w:val="bottom"/>
            <w:tcBorders>
              <w:left w:val="single" w:sz="8" w:color="auto"/>
              <w:right w:val="single" w:sz="8" w:color="auto"/>
            </w:tcBorders>
            <w:gridSpan w:val="2"/>
          </w:tcPr>
          <w:p>
            <w:pPr>
              <w:ind w:left="40"/>
              <w:spacing w:after="0"/>
              <w:rPr>
                <w:sz w:val="20"/>
                <w:szCs w:val="20"/>
                <w:color w:val="auto"/>
              </w:rPr>
            </w:pPr>
            <w:r>
              <w:rPr>
                <w:rFonts w:ascii="Arial" w:cs="Arial" w:eastAsia="Arial" w:hAnsi="Arial"/>
                <w:sz w:val="13"/>
                <w:szCs w:val="13"/>
                <w:b w:val="1"/>
                <w:bCs w:val="1"/>
                <w:color w:val="auto"/>
              </w:rPr>
              <w:t>Art. 6  Exercise of Shareholders Rights</w:t>
            </w:r>
          </w:p>
        </w:tc>
        <w:tc>
          <w:tcPr>
            <w:tcW w:w="240" w:type="dxa"/>
            <w:vAlign w:val="bottom"/>
            <w:tcBorders>
              <w:right w:val="single" w:sz="8" w:color="auto"/>
            </w:tcBorders>
          </w:tcPr>
          <w:p>
            <w:pPr>
              <w:spacing w:after="0"/>
              <w:rPr>
                <w:sz w:val="15"/>
                <w:szCs w:val="15"/>
                <w:color w:val="auto"/>
              </w:rPr>
            </w:pPr>
          </w:p>
        </w:tc>
        <w:tc>
          <w:tcPr>
            <w:tcW w:w="5520" w:type="dxa"/>
            <w:vAlign w:val="bottom"/>
            <w:tcBorders>
              <w:right w:val="single" w:sz="8" w:color="auto"/>
            </w:tcBorders>
            <w:gridSpan w:val="3"/>
          </w:tcPr>
          <w:p>
            <w:pPr>
              <w:ind w:left="20"/>
              <w:spacing w:after="0"/>
              <w:rPr>
                <w:sz w:val="20"/>
                <w:szCs w:val="20"/>
                <w:color w:val="auto"/>
              </w:rPr>
            </w:pPr>
            <w:r>
              <w:rPr>
                <w:rFonts w:ascii="Arial" w:cs="Arial" w:eastAsia="Arial" w:hAnsi="Arial"/>
                <w:sz w:val="13"/>
                <w:szCs w:val="13"/>
                <w:b w:val="1"/>
                <w:bCs w:val="1"/>
                <w:color w:val="auto"/>
              </w:rPr>
              <w:t>Art. 6  Exercice des droits des actionnaires</w:t>
            </w:r>
          </w:p>
        </w:tc>
      </w:tr>
      <w:tr>
        <w:trPr>
          <w:trHeight w:val="258"/>
        </w:trPr>
        <w:tc>
          <w:tcPr>
            <w:tcW w:w="5540" w:type="dxa"/>
            <w:vAlign w:val="bottom"/>
            <w:tcBorders>
              <w:left w:val="single" w:sz="8" w:color="auto"/>
              <w:right w:val="single" w:sz="8" w:color="auto"/>
            </w:tcBorders>
            <w:gridSpan w:val="2"/>
          </w:tcPr>
          <w:p>
            <w:pPr>
              <w:ind w:left="40"/>
              <w:spacing w:after="0"/>
              <w:rPr>
                <w:sz w:val="20"/>
                <w:szCs w:val="20"/>
                <w:color w:val="auto"/>
              </w:rPr>
            </w:pPr>
            <w:r>
              <w:rPr>
                <w:rFonts w:ascii="Arial" w:cs="Arial" w:eastAsia="Arial" w:hAnsi="Arial"/>
                <w:sz w:val="13"/>
                <w:szCs w:val="13"/>
                <w:color w:val="auto"/>
              </w:rPr>
              <w:t>The shares are indivisible and the Company recognizes only one single representative per</w:t>
            </w:r>
          </w:p>
        </w:tc>
        <w:tc>
          <w:tcPr>
            <w:tcW w:w="240" w:type="dxa"/>
            <w:vAlign w:val="bottom"/>
            <w:tcBorders>
              <w:right w:val="single" w:sz="8" w:color="auto"/>
            </w:tcBorders>
          </w:tcPr>
          <w:p>
            <w:pPr>
              <w:spacing w:after="0"/>
              <w:rPr>
                <w:sz w:val="22"/>
                <w:szCs w:val="22"/>
                <w:color w:val="auto"/>
              </w:rPr>
            </w:pPr>
          </w:p>
        </w:tc>
        <w:tc>
          <w:tcPr>
            <w:tcW w:w="5520" w:type="dxa"/>
            <w:vAlign w:val="bottom"/>
            <w:tcBorders>
              <w:right w:val="single" w:sz="8" w:color="auto"/>
            </w:tcBorders>
            <w:gridSpan w:val="3"/>
          </w:tcPr>
          <w:p>
            <w:pPr>
              <w:ind w:left="20"/>
              <w:spacing w:after="0"/>
              <w:rPr>
                <w:sz w:val="20"/>
                <w:szCs w:val="20"/>
                <w:color w:val="auto"/>
              </w:rPr>
            </w:pPr>
            <w:r>
              <w:rPr>
                <w:rFonts w:ascii="Arial" w:cs="Arial" w:eastAsia="Arial" w:hAnsi="Arial"/>
                <w:sz w:val="13"/>
                <w:szCs w:val="13"/>
                <w:color w:val="auto"/>
              </w:rPr>
              <w:t>Les actions sont indivisibles et la société ne reconnaît qu'un seul représentant par action.</w:t>
            </w:r>
          </w:p>
        </w:tc>
      </w:tr>
      <w:tr>
        <w:trPr>
          <w:trHeight w:val="168"/>
        </w:trPr>
        <w:tc>
          <w:tcPr>
            <w:tcW w:w="5540" w:type="dxa"/>
            <w:vAlign w:val="bottom"/>
            <w:tcBorders>
              <w:left w:val="single" w:sz="8" w:color="auto"/>
              <w:right w:val="single" w:sz="8" w:color="auto"/>
            </w:tcBorders>
            <w:gridSpan w:val="2"/>
          </w:tcPr>
          <w:p>
            <w:pPr>
              <w:ind w:left="40"/>
              <w:spacing w:after="0"/>
              <w:rPr>
                <w:sz w:val="20"/>
                <w:szCs w:val="20"/>
                <w:color w:val="auto"/>
              </w:rPr>
            </w:pPr>
            <w:r>
              <w:rPr>
                <w:rFonts w:ascii="Arial" w:cs="Arial" w:eastAsia="Arial" w:hAnsi="Arial"/>
                <w:sz w:val="13"/>
                <w:szCs w:val="13"/>
                <w:color w:val="auto"/>
              </w:rPr>
              <w:t>share.</w:t>
            </w:r>
          </w:p>
        </w:tc>
        <w:tc>
          <w:tcPr>
            <w:tcW w:w="240" w:type="dxa"/>
            <w:vAlign w:val="bottom"/>
            <w:tcBorders>
              <w:right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100" w:type="dxa"/>
            <w:vAlign w:val="bottom"/>
            <w:tcBorders>
              <w:right w:val="single" w:sz="8" w:color="auto"/>
            </w:tcBorders>
          </w:tcPr>
          <w:p>
            <w:pPr>
              <w:spacing w:after="0"/>
              <w:rPr>
                <w:sz w:val="14"/>
                <w:szCs w:val="14"/>
                <w:color w:val="auto"/>
              </w:rPr>
            </w:pPr>
          </w:p>
        </w:tc>
      </w:tr>
      <w:tr>
        <w:trPr>
          <w:trHeight w:val="153"/>
        </w:trPr>
        <w:tc>
          <w:tcPr>
            <w:tcW w:w="5540" w:type="dxa"/>
            <w:vAlign w:val="bottom"/>
            <w:tcBorders>
              <w:left w:val="single" w:sz="8" w:color="auto"/>
              <w:bottom w:val="single" w:sz="8" w:color="auto"/>
              <w:right w:val="single" w:sz="8" w:color="auto"/>
            </w:tcBorders>
            <w:gridSpan w:val="2"/>
          </w:tcPr>
          <w:p>
            <w:pPr>
              <w:spacing w:after="0"/>
              <w:rPr>
                <w:sz w:val="13"/>
                <w:szCs w:val="13"/>
                <w:color w:val="auto"/>
              </w:rPr>
            </w:pPr>
          </w:p>
        </w:tc>
        <w:tc>
          <w:tcPr>
            <w:tcW w:w="240" w:type="dxa"/>
            <w:vAlign w:val="bottom"/>
            <w:tcBorders>
              <w:bottom w:val="single" w:sz="8" w:color="auto"/>
              <w:right w:val="single" w:sz="8" w:color="auto"/>
            </w:tcBorders>
          </w:tcPr>
          <w:p>
            <w:pPr>
              <w:spacing w:after="0"/>
              <w:rPr>
                <w:sz w:val="13"/>
                <w:szCs w:val="13"/>
                <w:color w:val="auto"/>
              </w:rPr>
            </w:pPr>
          </w:p>
        </w:tc>
        <w:tc>
          <w:tcPr>
            <w:tcW w:w="5520" w:type="dxa"/>
            <w:vAlign w:val="bottom"/>
            <w:tcBorders>
              <w:bottom w:val="single" w:sz="8" w:color="auto"/>
              <w:right w:val="single" w:sz="8" w:color="auto"/>
            </w:tcBorders>
            <w:gridSpan w:val="3"/>
          </w:tcPr>
          <w:p>
            <w:pPr>
              <w:spacing w:after="0"/>
              <w:rPr>
                <w:sz w:val="13"/>
                <w:szCs w:val="13"/>
                <w:color w:val="auto"/>
              </w:rPr>
            </w:pPr>
          </w:p>
        </w:tc>
      </w:tr>
      <w:tr>
        <w:trPr>
          <w:trHeight w:val="141"/>
        </w:trPr>
        <w:tc>
          <w:tcPr>
            <w:tcW w:w="5540" w:type="dxa"/>
            <w:vAlign w:val="bottom"/>
            <w:tcBorders>
              <w:left w:val="single" w:sz="8" w:color="auto"/>
              <w:right w:val="single" w:sz="8" w:color="auto"/>
            </w:tcBorders>
            <w:gridSpan w:val="2"/>
          </w:tcPr>
          <w:p>
            <w:pPr>
              <w:ind w:left="40"/>
              <w:spacing w:after="0" w:line="141" w:lineRule="exact"/>
              <w:rPr>
                <w:sz w:val="20"/>
                <w:szCs w:val="20"/>
                <w:color w:val="auto"/>
              </w:rPr>
            </w:pPr>
            <w:r>
              <w:rPr>
                <w:rFonts w:ascii="Arial" w:cs="Arial" w:eastAsia="Arial" w:hAnsi="Arial"/>
                <w:sz w:val="13"/>
                <w:szCs w:val="13"/>
                <w:color w:val="auto"/>
              </w:rPr>
              <w:t>The right to vote and the other rights pertaining to a registered share may only be exercised by</w:t>
            </w:r>
          </w:p>
        </w:tc>
        <w:tc>
          <w:tcPr>
            <w:tcW w:w="240" w:type="dxa"/>
            <w:vAlign w:val="bottom"/>
            <w:tcBorders>
              <w:right w:val="single" w:sz="8" w:color="auto"/>
            </w:tcBorders>
          </w:tcPr>
          <w:p>
            <w:pPr>
              <w:spacing w:after="0"/>
              <w:rPr>
                <w:sz w:val="12"/>
                <w:szCs w:val="12"/>
                <w:color w:val="auto"/>
              </w:rPr>
            </w:pPr>
          </w:p>
        </w:tc>
        <w:tc>
          <w:tcPr>
            <w:tcW w:w="5520" w:type="dxa"/>
            <w:vAlign w:val="bottom"/>
            <w:tcBorders>
              <w:right w:val="single" w:sz="8" w:color="auto"/>
            </w:tcBorders>
            <w:gridSpan w:val="3"/>
          </w:tcPr>
          <w:p>
            <w:pPr>
              <w:ind w:left="20"/>
              <w:spacing w:after="0" w:line="141" w:lineRule="exact"/>
              <w:rPr>
                <w:sz w:val="20"/>
                <w:szCs w:val="20"/>
                <w:color w:val="auto"/>
              </w:rPr>
            </w:pPr>
            <w:r>
              <w:rPr>
                <w:rFonts w:ascii="Arial" w:cs="Arial" w:eastAsia="Arial" w:hAnsi="Arial"/>
                <w:sz w:val="13"/>
                <w:szCs w:val="13"/>
                <w:color w:val="auto"/>
              </w:rPr>
              <w:t>Le droit de vote et les autres droits relatifs à une action nominative ne peut être exercé que par</w:t>
            </w:r>
          </w:p>
        </w:tc>
      </w:tr>
      <w:tr>
        <w:trPr>
          <w:trHeight w:val="145"/>
        </w:trPr>
        <w:tc>
          <w:tcPr>
            <w:tcW w:w="5540" w:type="dxa"/>
            <w:vAlign w:val="bottom"/>
            <w:tcBorders>
              <w:left w:val="single" w:sz="8" w:color="auto"/>
              <w:right w:val="single" w:sz="8" w:color="auto"/>
            </w:tcBorders>
            <w:gridSpan w:val="2"/>
          </w:tcPr>
          <w:p>
            <w:pPr>
              <w:ind w:left="40"/>
              <w:spacing w:after="0" w:line="145" w:lineRule="exact"/>
              <w:rPr>
                <w:sz w:val="20"/>
                <w:szCs w:val="20"/>
                <w:color w:val="auto"/>
              </w:rPr>
            </w:pPr>
            <w:r>
              <w:rPr>
                <w:rFonts w:ascii="Arial" w:cs="Arial" w:eastAsia="Arial" w:hAnsi="Arial"/>
                <w:sz w:val="13"/>
                <w:szCs w:val="13"/>
                <w:color w:val="auto"/>
              </w:rPr>
              <w:t>a shareholder, a usufructuary or a nominee who is registered with the right to vote in the share</w:t>
            </w:r>
          </w:p>
        </w:tc>
        <w:tc>
          <w:tcPr>
            <w:tcW w:w="240" w:type="dxa"/>
            <w:vAlign w:val="bottom"/>
            <w:tcBorders>
              <w:right w:val="single" w:sz="8" w:color="auto"/>
            </w:tcBorders>
          </w:tcPr>
          <w:p>
            <w:pPr>
              <w:spacing w:after="0"/>
              <w:rPr>
                <w:sz w:val="12"/>
                <w:szCs w:val="12"/>
                <w:color w:val="auto"/>
              </w:rPr>
            </w:pPr>
          </w:p>
        </w:tc>
        <w:tc>
          <w:tcPr>
            <w:tcW w:w="5520" w:type="dxa"/>
            <w:vAlign w:val="bottom"/>
            <w:tcBorders>
              <w:right w:val="single" w:sz="8" w:color="auto"/>
            </w:tcBorders>
            <w:gridSpan w:val="3"/>
          </w:tcPr>
          <w:p>
            <w:pPr>
              <w:ind w:left="20"/>
              <w:spacing w:after="0" w:line="145" w:lineRule="exact"/>
              <w:rPr>
                <w:sz w:val="20"/>
                <w:szCs w:val="20"/>
                <w:color w:val="auto"/>
              </w:rPr>
            </w:pPr>
            <w:r>
              <w:rPr>
                <w:rFonts w:ascii="Arial" w:cs="Arial" w:eastAsia="Arial" w:hAnsi="Arial"/>
                <w:sz w:val="13"/>
                <w:szCs w:val="13"/>
                <w:color w:val="auto"/>
              </w:rPr>
              <w:t>un actionnaire, un usufruitier ou un candidat qui est inscrit avec le droit de vote dans le registre</w:t>
            </w:r>
          </w:p>
        </w:tc>
      </w:tr>
      <w:tr>
        <w:trPr>
          <w:trHeight w:val="168"/>
        </w:trPr>
        <w:tc>
          <w:tcPr>
            <w:tcW w:w="5540" w:type="dxa"/>
            <w:vAlign w:val="bottom"/>
            <w:tcBorders>
              <w:left w:val="single" w:sz="8" w:color="auto"/>
              <w:right w:val="single" w:sz="8" w:color="auto"/>
            </w:tcBorders>
            <w:gridSpan w:val="2"/>
          </w:tcPr>
          <w:p>
            <w:pPr>
              <w:ind w:left="40"/>
              <w:spacing w:after="0"/>
              <w:rPr>
                <w:sz w:val="20"/>
                <w:szCs w:val="20"/>
                <w:color w:val="auto"/>
              </w:rPr>
            </w:pPr>
            <w:r>
              <w:rPr>
                <w:rFonts w:ascii="Arial" w:cs="Arial" w:eastAsia="Arial" w:hAnsi="Arial"/>
                <w:sz w:val="13"/>
                <w:szCs w:val="13"/>
                <w:color w:val="auto"/>
              </w:rPr>
              <w:t>register and by persons who are entitled by law to the voting rights of a share.</w:t>
            </w:r>
          </w:p>
        </w:tc>
        <w:tc>
          <w:tcPr>
            <w:tcW w:w="240" w:type="dxa"/>
            <w:vAlign w:val="bottom"/>
            <w:tcBorders>
              <w:right w:val="single" w:sz="8" w:color="auto"/>
            </w:tcBorders>
          </w:tcPr>
          <w:p>
            <w:pPr>
              <w:spacing w:after="0"/>
              <w:rPr>
                <w:sz w:val="14"/>
                <w:szCs w:val="14"/>
                <w:color w:val="auto"/>
              </w:rPr>
            </w:pPr>
          </w:p>
        </w:tc>
        <w:tc>
          <w:tcPr>
            <w:tcW w:w="5520" w:type="dxa"/>
            <w:vAlign w:val="bottom"/>
            <w:tcBorders>
              <w:right w:val="single" w:sz="8" w:color="auto"/>
            </w:tcBorders>
            <w:gridSpan w:val="3"/>
          </w:tcPr>
          <w:p>
            <w:pPr>
              <w:ind w:left="20"/>
              <w:spacing w:after="0"/>
              <w:rPr>
                <w:sz w:val="20"/>
                <w:szCs w:val="20"/>
                <w:color w:val="auto"/>
              </w:rPr>
            </w:pPr>
            <w:r>
              <w:rPr>
                <w:rFonts w:ascii="Arial" w:cs="Arial" w:eastAsia="Arial" w:hAnsi="Arial"/>
                <w:sz w:val="13"/>
                <w:szCs w:val="13"/>
                <w:color w:val="auto"/>
              </w:rPr>
              <w:t>des actions et par des personnes autorisées par la loi à exercer les droits de vote d'une action.</w:t>
            </w:r>
          </w:p>
        </w:tc>
      </w:tr>
      <w:tr>
        <w:trPr>
          <w:trHeight w:val="153"/>
        </w:trPr>
        <w:tc>
          <w:tcPr>
            <w:tcW w:w="240" w:type="dxa"/>
            <w:vAlign w:val="bottom"/>
            <w:tcBorders>
              <w:left w:val="single" w:sz="8" w:color="auto"/>
              <w:bottom w:val="single" w:sz="8" w:color="auto"/>
            </w:tcBorders>
          </w:tcPr>
          <w:p>
            <w:pPr>
              <w:spacing w:after="0"/>
              <w:rPr>
                <w:sz w:val="13"/>
                <w:szCs w:val="13"/>
                <w:color w:val="auto"/>
              </w:rPr>
            </w:pPr>
          </w:p>
        </w:tc>
        <w:tc>
          <w:tcPr>
            <w:tcW w:w="5300" w:type="dxa"/>
            <w:vAlign w:val="bottom"/>
            <w:tcBorders>
              <w:bottom w:val="single" w:sz="8" w:color="auto"/>
              <w:right w:val="single" w:sz="8" w:color="auto"/>
            </w:tcBorders>
          </w:tcPr>
          <w:p>
            <w:pPr>
              <w:spacing w:after="0"/>
              <w:rPr>
                <w:sz w:val="13"/>
                <w:szCs w:val="13"/>
                <w:color w:val="auto"/>
              </w:rPr>
            </w:pPr>
          </w:p>
        </w:tc>
        <w:tc>
          <w:tcPr>
            <w:tcW w:w="240" w:type="dxa"/>
            <w:vAlign w:val="bottom"/>
            <w:tcBorders>
              <w:bottom w:val="single" w:sz="8" w:color="auto"/>
              <w:right w:val="single" w:sz="8" w:color="auto"/>
            </w:tcBorders>
          </w:tcPr>
          <w:p>
            <w:pPr>
              <w:spacing w:after="0"/>
              <w:rPr>
                <w:sz w:val="13"/>
                <w:szCs w:val="13"/>
                <w:color w:val="auto"/>
              </w:rPr>
            </w:pPr>
          </w:p>
        </w:tc>
        <w:tc>
          <w:tcPr>
            <w:tcW w:w="5520" w:type="dxa"/>
            <w:vAlign w:val="bottom"/>
            <w:tcBorders>
              <w:bottom w:val="single" w:sz="8" w:color="auto"/>
              <w:right w:val="single" w:sz="8" w:color="auto"/>
            </w:tcBorders>
            <w:gridSpan w:val="3"/>
          </w:tcPr>
          <w:p>
            <w:pPr>
              <w:spacing w:after="0"/>
              <w:rPr>
                <w:sz w:val="13"/>
                <w:szCs w:val="13"/>
                <w:color w:val="auto"/>
              </w:rPr>
            </w:pPr>
          </w:p>
        </w:tc>
      </w:tr>
      <w:tr>
        <w:trPr>
          <w:trHeight w:val="173"/>
        </w:trPr>
        <w:tc>
          <w:tcPr>
            <w:tcW w:w="240" w:type="dxa"/>
            <w:vAlign w:val="bottom"/>
            <w:tcBorders>
              <w:left w:val="single" w:sz="8" w:color="auto"/>
              <w:bottom w:val="single" w:sz="8" w:color="auto"/>
            </w:tcBorders>
          </w:tcPr>
          <w:p>
            <w:pPr>
              <w:ind w:left="40"/>
              <w:spacing w:after="0"/>
              <w:rPr>
                <w:sz w:val="20"/>
                <w:szCs w:val="20"/>
                <w:color w:val="auto"/>
              </w:rPr>
            </w:pPr>
            <w:r>
              <w:rPr>
                <w:rFonts w:ascii="Arial" w:cs="Arial" w:eastAsia="Arial" w:hAnsi="Arial"/>
                <w:sz w:val="13"/>
                <w:szCs w:val="13"/>
                <w:b w:val="1"/>
                <w:bCs w:val="1"/>
                <w:color w:val="auto"/>
              </w:rPr>
              <w:t>III.</w:t>
            </w:r>
          </w:p>
        </w:tc>
        <w:tc>
          <w:tcPr>
            <w:tcW w:w="530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3"/>
                <w:szCs w:val="13"/>
                <w:b w:val="1"/>
                <w:bCs w:val="1"/>
                <w:color w:val="auto"/>
              </w:rPr>
              <w:t>CORPORATE STRUCTURE</w:t>
            </w:r>
          </w:p>
        </w:tc>
        <w:tc>
          <w:tcPr>
            <w:tcW w:w="240" w:type="dxa"/>
            <w:vAlign w:val="bottom"/>
            <w:tcBorders>
              <w:bottom w:val="single" w:sz="8" w:color="auto"/>
              <w:right w:val="single" w:sz="8" w:color="auto"/>
            </w:tcBorders>
          </w:tcPr>
          <w:p>
            <w:pPr>
              <w:spacing w:after="0"/>
              <w:rPr>
                <w:sz w:val="15"/>
                <w:szCs w:val="15"/>
                <w:color w:val="auto"/>
              </w:rPr>
            </w:pPr>
          </w:p>
        </w:tc>
        <w:tc>
          <w:tcPr>
            <w:tcW w:w="5520" w:type="dxa"/>
            <w:vAlign w:val="bottom"/>
            <w:tcBorders>
              <w:bottom w:val="single" w:sz="8" w:color="auto"/>
              <w:right w:val="single" w:sz="8" w:color="auto"/>
            </w:tcBorders>
            <w:gridSpan w:val="3"/>
          </w:tcPr>
          <w:p>
            <w:pPr>
              <w:ind w:left="20"/>
              <w:spacing w:after="0"/>
              <w:rPr>
                <w:sz w:val="20"/>
                <w:szCs w:val="20"/>
                <w:color w:val="auto"/>
              </w:rPr>
            </w:pPr>
            <w:r>
              <w:rPr>
                <w:rFonts w:ascii="Arial" w:cs="Arial" w:eastAsia="Arial" w:hAnsi="Arial"/>
                <w:sz w:val="13"/>
                <w:szCs w:val="13"/>
                <w:b w:val="1"/>
                <w:bCs w:val="1"/>
                <w:color w:val="auto"/>
              </w:rPr>
              <w:t>III.  STRUCTURE DE LA SOCIÉTÉ</w:t>
            </w:r>
          </w:p>
        </w:tc>
      </w:tr>
      <w:tr>
        <w:trPr>
          <w:trHeight w:val="173"/>
        </w:trPr>
        <w:tc>
          <w:tcPr>
            <w:tcW w:w="5540" w:type="dxa"/>
            <w:vAlign w:val="bottom"/>
            <w:tcBorders>
              <w:left w:val="single" w:sz="8" w:color="auto"/>
              <w:right w:val="single" w:sz="8" w:color="auto"/>
            </w:tcBorders>
            <w:gridSpan w:val="2"/>
          </w:tcPr>
          <w:p>
            <w:pPr>
              <w:ind w:left="40"/>
              <w:spacing w:after="0"/>
              <w:rPr>
                <w:sz w:val="20"/>
                <w:szCs w:val="20"/>
                <w:color w:val="auto"/>
              </w:rPr>
            </w:pPr>
            <w:r>
              <w:rPr>
                <w:rFonts w:ascii="Arial" w:cs="Arial" w:eastAsia="Arial" w:hAnsi="Arial"/>
                <w:sz w:val="13"/>
                <w:szCs w:val="13"/>
                <w:b w:val="1"/>
                <w:bCs w:val="1"/>
                <w:color w:val="auto"/>
              </w:rPr>
              <w:t>Art. 7  Organization</w:t>
            </w:r>
          </w:p>
        </w:tc>
        <w:tc>
          <w:tcPr>
            <w:tcW w:w="240" w:type="dxa"/>
            <w:vAlign w:val="bottom"/>
            <w:tcBorders>
              <w:right w:val="single" w:sz="8" w:color="auto"/>
            </w:tcBorders>
          </w:tcPr>
          <w:p>
            <w:pPr>
              <w:spacing w:after="0"/>
              <w:rPr>
                <w:sz w:val="15"/>
                <w:szCs w:val="15"/>
                <w:color w:val="auto"/>
              </w:rPr>
            </w:pPr>
          </w:p>
        </w:tc>
        <w:tc>
          <w:tcPr>
            <w:tcW w:w="420" w:type="dxa"/>
            <w:vAlign w:val="bottom"/>
            <w:gridSpan w:val="2"/>
          </w:tcPr>
          <w:p>
            <w:pPr>
              <w:ind w:left="20"/>
              <w:spacing w:after="0"/>
              <w:rPr>
                <w:sz w:val="20"/>
                <w:szCs w:val="20"/>
                <w:color w:val="auto"/>
              </w:rPr>
            </w:pPr>
            <w:r>
              <w:rPr>
                <w:rFonts w:ascii="Arial" w:cs="Arial" w:eastAsia="Arial" w:hAnsi="Arial"/>
                <w:sz w:val="13"/>
                <w:szCs w:val="13"/>
                <w:b w:val="1"/>
                <w:bCs w:val="1"/>
                <w:color w:val="auto"/>
              </w:rPr>
              <w:t>Art. 7</w:t>
            </w:r>
          </w:p>
        </w:tc>
        <w:tc>
          <w:tcPr>
            <w:tcW w:w="5100" w:type="dxa"/>
            <w:vAlign w:val="bottom"/>
            <w:tcBorders>
              <w:right w:val="single" w:sz="8" w:color="auto"/>
            </w:tcBorders>
          </w:tcPr>
          <w:p>
            <w:pPr>
              <w:ind w:left="60"/>
              <w:spacing w:after="0"/>
              <w:rPr>
                <w:sz w:val="20"/>
                <w:szCs w:val="20"/>
                <w:color w:val="auto"/>
              </w:rPr>
            </w:pPr>
            <w:r>
              <w:rPr>
                <w:rFonts w:ascii="Arial" w:cs="Arial" w:eastAsia="Arial" w:hAnsi="Arial"/>
                <w:sz w:val="13"/>
                <w:szCs w:val="13"/>
                <w:b w:val="1"/>
                <w:bCs w:val="1"/>
                <w:color w:val="auto"/>
              </w:rPr>
              <w:t>Organisation</w:t>
            </w:r>
          </w:p>
        </w:tc>
      </w:tr>
      <w:tr>
        <w:trPr>
          <w:trHeight w:val="282"/>
        </w:trPr>
        <w:tc>
          <w:tcPr>
            <w:tcW w:w="5540" w:type="dxa"/>
            <w:vAlign w:val="bottom"/>
            <w:tcBorders>
              <w:left w:val="single" w:sz="8" w:color="auto"/>
              <w:right w:val="single" w:sz="8" w:color="auto"/>
            </w:tcBorders>
            <w:gridSpan w:val="2"/>
          </w:tcPr>
          <w:p>
            <w:pPr>
              <w:ind w:left="40"/>
              <w:spacing w:after="0"/>
              <w:rPr>
                <w:sz w:val="20"/>
                <w:szCs w:val="20"/>
                <w:color w:val="auto"/>
              </w:rPr>
            </w:pPr>
            <w:r>
              <w:rPr>
                <w:rFonts w:ascii="Arial" w:cs="Arial" w:eastAsia="Arial" w:hAnsi="Arial"/>
                <w:sz w:val="13"/>
                <w:szCs w:val="13"/>
                <w:color w:val="auto"/>
              </w:rPr>
              <w:t>The corporate bodies are:</w:t>
            </w:r>
          </w:p>
        </w:tc>
        <w:tc>
          <w:tcPr>
            <w:tcW w:w="240" w:type="dxa"/>
            <w:vAlign w:val="bottom"/>
            <w:tcBorders>
              <w:right w:val="single" w:sz="8" w:color="auto"/>
            </w:tcBorders>
          </w:tcPr>
          <w:p>
            <w:pPr>
              <w:spacing w:after="0"/>
              <w:rPr>
                <w:sz w:val="24"/>
                <w:szCs w:val="24"/>
                <w:color w:val="auto"/>
              </w:rPr>
            </w:pPr>
          </w:p>
        </w:tc>
        <w:tc>
          <w:tcPr>
            <w:tcW w:w="5520" w:type="dxa"/>
            <w:vAlign w:val="bottom"/>
            <w:tcBorders>
              <w:right w:val="single" w:sz="8" w:color="auto"/>
            </w:tcBorders>
            <w:gridSpan w:val="3"/>
          </w:tcPr>
          <w:p>
            <w:pPr>
              <w:ind w:left="20"/>
              <w:spacing w:after="0"/>
              <w:rPr>
                <w:sz w:val="20"/>
                <w:szCs w:val="20"/>
                <w:color w:val="auto"/>
              </w:rPr>
            </w:pPr>
            <w:r>
              <w:rPr>
                <w:rFonts w:ascii="Arial" w:cs="Arial" w:eastAsia="Arial" w:hAnsi="Arial"/>
                <w:sz w:val="13"/>
                <w:szCs w:val="13"/>
                <w:color w:val="auto"/>
              </w:rPr>
              <w:t>Les organes de la société sont:</w:t>
            </w:r>
          </w:p>
        </w:tc>
      </w:tr>
      <w:tr>
        <w:trPr>
          <w:trHeight w:val="290"/>
        </w:trPr>
        <w:tc>
          <w:tcPr>
            <w:tcW w:w="240" w:type="dxa"/>
            <w:vAlign w:val="bottom"/>
            <w:tcBorders>
              <w:left w:val="single" w:sz="8" w:color="auto"/>
            </w:tcBorders>
          </w:tcPr>
          <w:p>
            <w:pPr>
              <w:ind w:left="40"/>
              <w:spacing w:after="0"/>
              <w:rPr>
                <w:sz w:val="20"/>
                <w:szCs w:val="20"/>
                <w:color w:val="auto"/>
              </w:rPr>
            </w:pPr>
            <w:r>
              <w:rPr>
                <w:rFonts w:ascii="Arial" w:cs="Arial" w:eastAsia="Arial" w:hAnsi="Arial"/>
                <w:sz w:val="13"/>
                <w:szCs w:val="13"/>
                <w:color w:val="auto"/>
              </w:rPr>
              <w:t>A.</w:t>
            </w:r>
          </w:p>
        </w:tc>
        <w:tc>
          <w:tcPr>
            <w:tcW w:w="5300" w:type="dxa"/>
            <w:vAlign w:val="bottom"/>
            <w:tcBorders>
              <w:right w:val="single" w:sz="8" w:color="auto"/>
            </w:tcBorders>
          </w:tcPr>
          <w:p>
            <w:pPr>
              <w:ind w:left="60"/>
              <w:spacing w:after="0"/>
              <w:rPr>
                <w:sz w:val="20"/>
                <w:szCs w:val="20"/>
                <w:color w:val="auto"/>
              </w:rPr>
            </w:pPr>
            <w:r>
              <w:rPr>
                <w:rFonts w:ascii="Arial" w:cs="Arial" w:eastAsia="Arial" w:hAnsi="Arial"/>
                <w:sz w:val="13"/>
                <w:szCs w:val="13"/>
                <w:color w:val="auto"/>
              </w:rPr>
              <w:t>the General Meeting;</w:t>
            </w:r>
          </w:p>
        </w:tc>
        <w:tc>
          <w:tcPr>
            <w:tcW w:w="240" w:type="dxa"/>
            <w:vAlign w:val="bottom"/>
            <w:tcBorders>
              <w:right w:val="single" w:sz="8" w:color="auto"/>
            </w:tcBorders>
          </w:tcPr>
          <w:p>
            <w:pPr>
              <w:spacing w:after="0"/>
              <w:rPr>
                <w:sz w:val="24"/>
                <w:szCs w:val="24"/>
                <w:color w:val="auto"/>
              </w:rPr>
            </w:pPr>
          </w:p>
        </w:tc>
        <w:tc>
          <w:tcPr>
            <w:tcW w:w="220" w:type="dxa"/>
            <w:vAlign w:val="bottom"/>
          </w:tcPr>
          <w:p>
            <w:pPr>
              <w:ind w:left="20"/>
              <w:spacing w:after="0"/>
              <w:rPr>
                <w:sz w:val="20"/>
                <w:szCs w:val="20"/>
                <w:color w:val="auto"/>
              </w:rPr>
            </w:pPr>
            <w:r>
              <w:rPr>
                <w:rFonts w:ascii="Arial" w:cs="Arial" w:eastAsia="Arial" w:hAnsi="Arial"/>
                <w:sz w:val="13"/>
                <w:szCs w:val="13"/>
                <w:color w:val="auto"/>
              </w:rPr>
              <w:t>A.</w:t>
            </w:r>
          </w:p>
        </w:tc>
        <w:tc>
          <w:tcPr>
            <w:tcW w:w="5300" w:type="dxa"/>
            <w:vAlign w:val="bottom"/>
            <w:tcBorders>
              <w:right w:val="single" w:sz="8" w:color="auto"/>
            </w:tcBorders>
            <w:gridSpan w:val="2"/>
          </w:tcPr>
          <w:p>
            <w:pPr>
              <w:ind w:left="60"/>
              <w:spacing w:after="0"/>
              <w:rPr>
                <w:sz w:val="20"/>
                <w:szCs w:val="20"/>
                <w:color w:val="auto"/>
              </w:rPr>
            </w:pPr>
            <w:r>
              <w:rPr>
                <w:rFonts w:ascii="Arial" w:cs="Arial" w:eastAsia="Arial" w:hAnsi="Arial"/>
                <w:sz w:val="13"/>
                <w:szCs w:val="13"/>
                <w:color w:val="auto"/>
              </w:rPr>
              <w:t>L'assemblé générale;</w:t>
            </w:r>
          </w:p>
        </w:tc>
      </w:tr>
      <w:tr>
        <w:trPr>
          <w:trHeight w:val="290"/>
        </w:trPr>
        <w:tc>
          <w:tcPr>
            <w:tcW w:w="5540" w:type="dxa"/>
            <w:vAlign w:val="bottom"/>
            <w:tcBorders>
              <w:left w:val="single" w:sz="8" w:color="auto"/>
              <w:right w:val="single" w:sz="8" w:color="auto"/>
            </w:tcBorders>
            <w:gridSpan w:val="2"/>
          </w:tcPr>
          <w:p>
            <w:pPr>
              <w:ind w:left="40"/>
              <w:spacing w:after="0"/>
              <w:rPr>
                <w:sz w:val="20"/>
                <w:szCs w:val="20"/>
                <w:color w:val="auto"/>
              </w:rPr>
            </w:pPr>
            <w:r>
              <w:rPr>
                <w:rFonts w:ascii="Arial" w:cs="Arial" w:eastAsia="Arial" w:hAnsi="Arial"/>
                <w:sz w:val="13"/>
                <w:szCs w:val="13"/>
                <w:color w:val="auto"/>
              </w:rPr>
              <w:t>B.  the Board of Directors;</w:t>
            </w:r>
          </w:p>
        </w:tc>
        <w:tc>
          <w:tcPr>
            <w:tcW w:w="240" w:type="dxa"/>
            <w:vAlign w:val="bottom"/>
            <w:tcBorders>
              <w:right w:val="single" w:sz="8" w:color="auto"/>
            </w:tcBorders>
          </w:tcPr>
          <w:p>
            <w:pPr>
              <w:spacing w:after="0"/>
              <w:rPr>
                <w:sz w:val="24"/>
                <w:szCs w:val="24"/>
                <w:color w:val="auto"/>
              </w:rPr>
            </w:pPr>
          </w:p>
        </w:tc>
        <w:tc>
          <w:tcPr>
            <w:tcW w:w="220" w:type="dxa"/>
            <w:vAlign w:val="bottom"/>
          </w:tcPr>
          <w:p>
            <w:pPr>
              <w:ind w:left="20"/>
              <w:spacing w:after="0"/>
              <w:rPr>
                <w:sz w:val="20"/>
                <w:szCs w:val="20"/>
                <w:color w:val="auto"/>
              </w:rPr>
            </w:pPr>
            <w:r>
              <w:rPr>
                <w:rFonts w:ascii="Arial" w:cs="Arial" w:eastAsia="Arial" w:hAnsi="Arial"/>
                <w:sz w:val="13"/>
                <w:szCs w:val="13"/>
                <w:color w:val="auto"/>
              </w:rPr>
              <w:t>B.</w:t>
            </w:r>
          </w:p>
        </w:tc>
        <w:tc>
          <w:tcPr>
            <w:tcW w:w="5300" w:type="dxa"/>
            <w:vAlign w:val="bottom"/>
            <w:tcBorders>
              <w:right w:val="single" w:sz="8" w:color="auto"/>
            </w:tcBorders>
            <w:gridSpan w:val="2"/>
          </w:tcPr>
          <w:p>
            <w:pPr>
              <w:ind w:left="60"/>
              <w:spacing w:after="0"/>
              <w:rPr>
                <w:sz w:val="20"/>
                <w:szCs w:val="20"/>
                <w:color w:val="auto"/>
              </w:rPr>
            </w:pPr>
            <w:r>
              <w:rPr>
                <w:rFonts w:ascii="Arial" w:cs="Arial" w:eastAsia="Arial" w:hAnsi="Arial"/>
                <w:sz w:val="13"/>
                <w:szCs w:val="13"/>
                <w:color w:val="auto"/>
              </w:rPr>
              <w:t>Le conseil d'administration;</w:t>
            </w:r>
          </w:p>
        </w:tc>
      </w:tr>
      <w:tr>
        <w:trPr>
          <w:trHeight w:val="290"/>
        </w:trPr>
        <w:tc>
          <w:tcPr>
            <w:tcW w:w="240" w:type="dxa"/>
            <w:vAlign w:val="bottom"/>
            <w:tcBorders>
              <w:left w:val="single" w:sz="8" w:color="auto"/>
            </w:tcBorders>
          </w:tcPr>
          <w:p>
            <w:pPr>
              <w:ind w:left="40"/>
              <w:spacing w:after="0"/>
              <w:rPr>
                <w:sz w:val="20"/>
                <w:szCs w:val="20"/>
                <w:color w:val="auto"/>
              </w:rPr>
            </w:pPr>
            <w:r>
              <w:rPr>
                <w:rFonts w:ascii="Arial" w:cs="Arial" w:eastAsia="Arial" w:hAnsi="Arial"/>
                <w:sz w:val="13"/>
                <w:szCs w:val="13"/>
                <w:color w:val="auto"/>
              </w:rPr>
              <w:t>C.</w:t>
            </w:r>
          </w:p>
        </w:tc>
        <w:tc>
          <w:tcPr>
            <w:tcW w:w="5300" w:type="dxa"/>
            <w:vAlign w:val="bottom"/>
            <w:tcBorders>
              <w:right w:val="single" w:sz="8" w:color="auto"/>
            </w:tcBorders>
          </w:tcPr>
          <w:p>
            <w:pPr>
              <w:ind w:left="60"/>
              <w:spacing w:after="0"/>
              <w:rPr>
                <w:sz w:val="20"/>
                <w:szCs w:val="20"/>
                <w:color w:val="auto"/>
              </w:rPr>
            </w:pPr>
            <w:r>
              <w:rPr>
                <w:rFonts w:ascii="Arial" w:cs="Arial" w:eastAsia="Arial" w:hAnsi="Arial"/>
                <w:sz w:val="13"/>
                <w:szCs w:val="13"/>
                <w:color w:val="auto"/>
              </w:rPr>
              <w:t>the Auditors.</w:t>
            </w:r>
          </w:p>
        </w:tc>
        <w:tc>
          <w:tcPr>
            <w:tcW w:w="240" w:type="dxa"/>
            <w:vAlign w:val="bottom"/>
            <w:tcBorders>
              <w:right w:val="single" w:sz="8" w:color="auto"/>
            </w:tcBorders>
          </w:tcPr>
          <w:p>
            <w:pPr>
              <w:spacing w:after="0"/>
              <w:rPr>
                <w:sz w:val="24"/>
                <w:szCs w:val="24"/>
                <w:color w:val="auto"/>
              </w:rPr>
            </w:pPr>
          </w:p>
        </w:tc>
        <w:tc>
          <w:tcPr>
            <w:tcW w:w="220" w:type="dxa"/>
            <w:vAlign w:val="bottom"/>
          </w:tcPr>
          <w:p>
            <w:pPr>
              <w:ind w:left="20"/>
              <w:spacing w:after="0"/>
              <w:rPr>
                <w:sz w:val="20"/>
                <w:szCs w:val="20"/>
                <w:color w:val="auto"/>
              </w:rPr>
            </w:pPr>
            <w:r>
              <w:rPr>
                <w:rFonts w:ascii="Arial" w:cs="Arial" w:eastAsia="Arial" w:hAnsi="Arial"/>
                <w:sz w:val="13"/>
                <w:szCs w:val="13"/>
                <w:color w:val="auto"/>
              </w:rPr>
              <w:t>C.</w:t>
            </w:r>
          </w:p>
        </w:tc>
        <w:tc>
          <w:tcPr>
            <w:tcW w:w="5300" w:type="dxa"/>
            <w:vAlign w:val="bottom"/>
            <w:tcBorders>
              <w:right w:val="single" w:sz="8" w:color="auto"/>
            </w:tcBorders>
            <w:gridSpan w:val="2"/>
          </w:tcPr>
          <w:p>
            <w:pPr>
              <w:ind w:left="60"/>
              <w:spacing w:after="0"/>
              <w:rPr>
                <w:sz w:val="20"/>
                <w:szCs w:val="20"/>
                <w:color w:val="auto"/>
              </w:rPr>
            </w:pPr>
            <w:r>
              <w:rPr>
                <w:rFonts w:ascii="Arial" w:cs="Arial" w:eastAsia="Arial" w:hAnsi="Arial"/>
                <w:sz w:val="13"/>
                <w:szCs w:val="13"/>
                <w:color w:val="auto"/>
              </w:rPr>
              <w:t>l'organe de révision.</w:t>
            </w:r>
          </w:p>
        </w:tc>
      </w:tr>
      <w:tr>
        <w:trPr>
          <w:trHeight w:val="153"/>
        </w:trPr>
        <w:tc>
          <w:tcPr>
            <w:tcW w:w="240" w:type="dxa"/>
            <w:vAlign w:val="bottom"/>
            <w:tcBorders>
              <w:left w:val="single" w:sz="8" w:color="auto"/>
              <w:bottom w:val="single" w:sz="8" w:color="auto"/>
            </w:tcBorders>
          </w:tcPr>
          <w:p>
            <w:pPr>
              <w:spacing w:after="0"/>
              <w:rPr>
                <w:sz w:val="13"/>
                <w:szCs w:val="13"/>
                <w:color w:val="auto"/>
              </w:rPr>
            </w:pPr>
          </w:p>
        </w:tc>
        <w:tc>
          <w:tcPr>
            <w:tcW w:w="5300" w:type="dxa"/>
            <w:vAlign w:val="bottom"/>
            <w:tcBorders>
              <w:bottom w:val="single" w:sz="8" w:color="auto"/>
              <w:right w:val="single" w:sz="8" w:color="auto"/>
            </w:tcBorders>
          </w:tcPr>
          <w:p>
            <w:pPr>
              <w:spacing w:after="0"/>
              <w:rPr>
                <w:sz w:val="13"/>
                <w:szCs w:val="13"/>
                <w:color w:val="auto"/>
              </w:rPr>
            </w:pPr>
          </w:p>
        </w:tc>
        <w:tc>
          <w:tcPr>
            <w:tcW w:w="240" w:type="dxa"/>
            <w:vAlign w:val="bottom"/>
            <w:tcBorders>
              <w:bottom w:val="single" w:sz="8" w:color="auto"/>
              <w:right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5100" w:type="dxa"/>
            <w:vAlign w:val="bottom"/>
            <w:tcBorders>
              <w:bottom w:val="single" w:sz="8" w:color="auto"/>
              <w:right w:val="single" w:sz="8" w:color="auto"/>
            </w:tcBorders>
          </w:tcPr>
          <w:p>
            <w:pPr>
              <w:spacing w:after="0"/>
              <w:rPr>
                <w:sz w:val="13"/>
                <w:szCs w:val="13"/>
                <w:color w:val="auto"/>
              </w:rPr>
            </w:pPr>
          </w:p>
        </w:tc>
      </w:tr>
    </w:tbl>
    <w:p>
      <w:pPr>
        <w:spacing w:after="0" w:line="59"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5"/>
          <w:szCs w:val="15"/>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12700</wp:posOffset>
            </wp:positionV>
            <wp:extent cx="7171690" cy="635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71690" cy="6350"/>
                    </a:xfrm>
                    <a:prstGeom prst="rect">
                      <a:avLst/>
                    </a:prstGeom>
                    <a:noFill/>
                  </pic:spPr>
                </pic:pic>
              </a:graphicData>
            </a:graphic>
          </wp:anchor>
        </w:drawing>
      </w:r>
    </w:p>
    <w:p>
      <w:pPr>
        <w:sectPr>
          <w:pgSz w:w="11900" w:h="16838" w:orient="portrait"/>
          <w:cols w:equalWidth="0" w:num="1">
            <w:col w:w="11300"/>
          </w:cols>
          <w:pgMar w:left="300" w:top="448" w:right="299" w:bottom="1440" w:gutter="0" w:footer="0" w:header="0"/>
        </w:sectPr>
      </w:pPr>
    </w:p>
    <w:bookmarkStart w:id="67" w:name="page68"/>
    <w:bookmarkEnd w:id="67"/>
    <w:tbl>
      <w:tblPr>
        <w:tblLayout w:type="fixed"/>
        <w:tblInd w:w="10" w:type="dxa"/>
        <w:tblCellMar>
          <w:top w:w="0" w:type="dxa"/>
          <w:left w:w="0" w:type="dxa"/>
          <w:bottom w:w="0" w:type="dxa"/>
          <w:right w:w="0" w:type="dxa"/>
        </w:tblCellMar>
      </w:tblPr>
      <w:tr>
        <w:trPr>
          <w:trHeight w:val="193"/>
        </w:trPr>
        <w:tc>
          <w:tcPr>
            <w:tcW w:w="5540" w:type="dxa"/>
            <w:vAlign w:val="bottom"/>
            <w:tcBorders>
              <w:top w:val="single" w:sz="8" w:color="auto"/>
              <w:left w:val="single" w:sz="8" w:color="auto"/>
              <w:bottom w:val="single" w:sz="8" w:color="auto"/>
              <w:right w:val="single" w:sz="8" w:color="auto"/>
            </w:tcBorders>
            <w:gridSpan w:val="2"/>
          </w:tcPr>
          <w:p>
            <w:pPr>
              <w:ind w:left="40"/>
              <w:spacing w:after="0"/>
              <w:rPr>
                <w:sz w:val="20"/>
                <w:szCs w:val="20"/>
                <w:color w:val="auto"/>
              </w:rPr>
            </w:pPr>
            <w:r>
              <w:rPr>
                <w:rFonts w:ascii="Arial" w:cs="Arial" w:eastAsia="Arial" w:hAnsi="Arial"/>
                <w:sz w:val="13"/>
                <w:szCs w:val="13"/>
                <w:b w:val="1"/>
                <w:bCs w:val="1"/>
                <w:color w:val="auto"/>
              </w:rPr>
              <w:t>IV.  THE GENERAL MEETING</w:t>
            </w:r>
          </w:p>
        </w:tc>
        <w:tc>
          <w:tcPr>
            <w:tcW w:w="240" w:type="dxa"/>
            <w:vAlign w:val="bottom"/>
            <w:tcBorders>
              <w:top w:val="single" w:sz="8" w:color="auto"/>
              <w:bottom w:val="single" w:sz="8" w:color="auto"/>
              <w:right w:val="single" w:sz="8" w:color="auto"/>
            </w:tcBorders>
          </w:tcPr>
          <w:p>
            <w:pPr>
              <w:spacing w:after="0"/>
              <w:rPr>
                <w:sz w:val="16"/>
                <w:szCs w:val="16"/>
                <w:color w:val="auto"/>
              </w:rPr>
            </w:pPr>
          </w:p>
        </w:tc>
        <w:tc>
          <w:tcPr>
            <w:tcW w:w="5520" w:type="dxa"/>
            <w:vAlign w:val="bottom"/>
            <w:tcBorders>
              <w:top w:val="single" w:sz="8" w:color="auto"/>
              <w:bottom w:val="single" w:sz="8" w:color="auto"/>
              <w:right w:val="single" w:sz="8" w:color="auto"/>
            </w:tcBorders>
            <w:gridSpan w:val="2"/>
          </w:tcPr>
          <w:p>
            <w:pPr>
              <w:ind w:left="20"/>
              <w:spacing w:after="0"/>
              <w:rPr>
                <w:sz w:val="20"/>
                <w:szCs w:val="20"/>
                <w:color w:val="auto"/>
              </w:rPr>
            </w:pPr>
            <w:r>
              <w:rPr>
                <w:rFonts w:ascii="Arial" w:cs="Arial" w:eastAsia="Arial" w:hAnsi="Arial"/>
                <w:sz w:val="13"/>
                <w:szCs w:val="13"/>
                <w:b w:val="1"/>
                <w:bCs w:val="1"/>
                <w:color w:val="auto"/>
              </w:rPr>
              <w:t>IV.  L'ASSEMBLÉE GÉNÉRALE</w:t>
            </w:r>
          </w:p>
        </w:tc>
      </w:tr>
      <w:tr>
        <w:trPr>
          <w:trHeight w:val="173"/>
        </w:trPr>
        <w:tc>
          <w:tcPr>
            <w:tcW w:w="400" w:type="dxa"/>
            <w:vAlign w:val="bottom"/>
            <w:tcBorders>
              <w:left w:val="single" w:sz="8" w:color="auto"/>
            </w:tcBorders>
          </w:tcPr>
          <w:p>
            <w:pPr>
              <w:ind w:left="40"/>
              <w:spacing w:after="0"/>
              <w:rPr>
                <w:sz w:val="20"/>
                <w:szCs w:val="20"/>
                <w:color w:val="auto"/>
              </w:rPr>
            </w:pPr>
            <w:r>
              <w:rPr>
                <w:rFonts w:ascii="Arial" w:cs="Arial" w:eastAsia="Arial" w:hAnsi="Arial"/>
                <w:sz w:val="13"/>
                <w:szCs w:val="13"/>
                <w:b w:val="1"/>
                <w:bCs w:val="1"/>
                <w:color w:val="auto"/>
              </w:rPr>
              <w:t>Art. 8</w:t>
            </w:r>
          </w:p>
        </w:tc>
        <w:tc>
          <w:tcPr>
            <w:tcW w:w="5140" w:type="dxa"/>
            <w:vAlign w:val="bottom"/>
            <w:tcBorders>
              <w:right w:val="single" w:sz="8" w:color="auto"/>
            </w:tcBorders>
          </w:tcPr>
          <w:p>
            <w:pPr>
              <w:ind w:left="100"/>
              <w:spacing w:after="0"/>
              <w:rPr>
                <w:sz w:val="20"/>
                <w:szCs w:val="20"/>
                <w:color w:val="auto"/>
              </w:rPr>
            </w:pPr>
            <w:r>
              <w:rPr>
                <w:rFonts w:ascii="Arial" w:cs="Arial" w:eastAsia="Arial" w:hAnsi="Arial"/>
                <w:sz w:val="13"/>
                <w:szCs w:val="13"/>
                <w:b w:val="1"/>
                <w:bCs w:val="1"/>
                <w:color w:val="auto"/>
              </w:rPr>
              <w:t>Powers</w:t>
            </w:r>
          </w:p>
        </w:tc>
        <w:tc>
          <w:tcPr>
            <w:tcW w:w="240" w:type="dxa"/>
            <w:vAlign w:val="bottom"/>
            <w:tcBorders>
              <w:right w:val="single" w:sz="8" w:color="auto"/>
            </w:tcBorders>
          </w:tcPr>
          <w:p>
            <w:pPr>
              <w:spacing w:after="0"/>
              <w:rPr>
                <w:sz w:val="15"/>
                <w:szCs w:val="15"/>
                <w:color w:val="auto"/>
              </w:rPr>
            </w:pPr>
          </w:p>
        </w:tc>
        <w:tc>
          <w:tcPr>
            <w:tcW w:w="380" w:type="dxa"/>
            <w:vAlign w:val="bottom"/>
          </w:tcPr>
          <w:p>
            <w:pPr>
              <w:ind w:left="20"/>
              <w:spacing w:after="0"/>
              <w:rPr>
                <w:sz w:val="20"/>
                <w:szCs w:val="20"/>
                <w:color w:val="auto"/>
              </w:rPr>
            </w:pPr>
            <w:r>
              <w:rPr>
                <w:rFonts w:ascii="Arial" w:cs="Arial" w:eastAsia="Arial" w:hAnsi="Arial"/>
                <w:sz w:val="13"/>
                <w:szCs w:val="13"/>
                <w:b w:val="1"/>
                <w:bCs w:val="1"/>
                <w:color w:val="auto"/>
              </w:rPr>
              <w:t>Art. 8</w:t>
            </w:r>
          </w:p>
        </w:tc>
        <w:tc>
          <w:tcPr>
            <w:tcW w:w="5140" w:type="dxa"/>
            <w:vAlign w:val="bottom"/>
            <w:tcBorders>
              <w:right w:val="single" w:sz="8" w:color="auto"/>
            </w:tcBorders>
          </w:tcPr>
          <w:p>
            <w:pPr>
              <w:jc w:val="right"/>
              <w:ind w:right="4416"/>
              <w:spacing w:after="0"/>
              <w:rPr>
                <w:sz w:val="20"/>
                <w:szCs w:val="20"/>
                <w:color w:val="auto"/>
              </w:rPr>
            </w:pPr>
            <w:r>
              <w:rPr>
                <w:rFonts w:ascii="Arial" w:cs="Arial" w:eastAsia="Arial" w:hAnsi="Arial"/>
                <w:sz w:val="13"/>
                <w:szCs w:val="13"/>
                <w:b w:val="1"/>
                <w:bCs w:val="1"/>
                <w:color w:val="auto"/>
              </w:rPr>
              <w:t>Pouvoirs</w:t>
            </w:r>
          </w:p>
        </w:tc>
      </w:tr>
      <w:tr>
        <w:trPr>
          <w:trHeight w:val="258"/>
        </w:trPr>
        <w:tc>
          <w:tcPr>
            <w:tcW w:w="5540" w:type="dxa"/>
            <w:vAlign w:val="bottom"/>
            <w:tcBorders>
              <w:left w:val="single" w:sz="8" w:color="auto"/>
              <w:right w:val="single" w:sz="8" w:color="auto"/>
            </w:tcBorders>
            <w:gridSpan w:val="2"/>
          </w:tcPr>
          <w:p>
            <w:pPr>
              <w:ind w:left="40"/>
              <w:spacing w:after="0"/>
              <w:rPr>
                <w:sz w:val="20"/>
                <w:szCs w:val="20"/>
                <w:color w:val="auto"/>
              </w:rPr>
            </w:pPr>
            <w:r>
              <w:rPr>
                <w:rFonts w:ascii="Arial" w:cs="Arial" w:eastAsia="Arial" w:hAnsi="Arial"/>
                <w:sz w:val="13"/>
                <w:szCs w:val="13"/>
                <w:color w:val="auto"/>
              </w:rPr>
              <w:t>The General Meeting is the supreme body of the Company. It has the following non delegable</w:t>
            </w:r>
          </w:p>
        </w:tc>
        <w:tc>
          <w:tcPr>
            <w:tcW w:w="240" w:type="dxa"/>
            <w:vAlign w:val="bottom"/>
            <w:tcBorders>
              <w:right w:val="single" w:sz="8" w:color="auto"/>
            </w:tcBorders>
          </w:tcPr>
          <w:p>
            <w:pPr>
              <w:spacing w:after="0"/>
              <w:rPr>
                <w:sz w:val="22"/>
                <w:szCs w:val="22"/>
                <w:color w:val="auto"/>
              </w:rPr>
            </w:pPr>
          </w:p>
        </w:tc>
        <w:tc>
          <w:tcPr>
            <w:tcW w:w="5520" w:type="dxa"/>
            <w:vAlign w:val="bottom"/>
            <w:tcBorders>
              <w:right w:val="single" w:sz="8" w:color="auto"/>
            </w:tcBorders>
            <w:gridSpan w:val="2"/>
          </w:tcPr>
          <w:p>
            <w:pPr>
              <w:ind w:left="20"/>
              <w:spacing w:after="0"/>
              <w:rPr>
                <w:sz w:val="20"/>
                <w:szCs w:val="20"/>
                <w:color w:val="auto"/>
              </w:rPr>
            </w:pPr>
            <w:r>
              <w:rPr>
                <w:rFonts w:ascii="Arial" w:cs="Arial" w:eastAsia="Arial" w:hAnsi="Arial"/>
                <w:sz w:val="13"/>
                <w:szCs w:val="13"/>
                <w:color w:val="auto"/>
              </w:rPr>
              <w:t>L'assemblée générale des actionnaires est le pouvoir suprême de la société. Elle a les droits</w:t>
            </w:r>
          </w:p>
        </w:tc>
      </w:tr>
      <w:tr>
        <w:trPr>
          <w:trHeight w:val="168"/>
        </w:trPr>
        <w:tc>
          <w:tcPr>
            <w:tcW w:w="5540" w:type="dxa"/>
            <w:vAlign w:val="bottom"/>
            <w:tcBorders>
              <w:left w:val="single" w:sz="8" w:color="auto"/>
              <w:right w:val="single" w:sz="8" w:color="auto"/>
            </w:tcBorders>
            <w:gridSpan w:val="2"/>
          </w:tcPr>
          <w:p>
            <w:pPr>
              <w:ind w:left="40"/>
              <w:spacing w:after="0"/>
              <w:rPr>
                <w:sz w:val="20"/>
                <w:szCs w:val="20"/>
                <w:color w:val="auto"/>
              </w:rPr>
            </w:pPr>
            <w:r>
              <w:rPr>
                <w:rFonts w:ascii="Arial" w:cs="Arial" w:eastAsia="Arial" w:hAnsi="Arial"/>
                <w:sz w:val="13"/>
                <w:szCs w:val="13"/>
                <w:color w:val="auto"/>
              </w:rPr>
              <w:t>powers:</w:t>
            </w:r>
          </w:p>
        </w:tc>
        <w:tc>
          <w:tcPr>
            <w:tcW w:w="240" w:type="dxa"/>
            <w:vAlign w:val="bottom"/>
            <w:tcBorders>
              <w:right w:val="single" w:sz="8" w:color="auto"/>
            </w:tcBorders>
          </w:tcPr>
          <w:p>
            <w:pPr>
              <w:spacing w:after="0"/>
              <w:rPr>
                <w:sz w:val="14"/>
                <w:szCs w:val="14"/>
                <w:color w:val="auto"/>
              </w:rPr>
            </w:pPr>
          </w:p>
        </w:tc>
        <w:tc>
          <w:tcPr>
            <w:tcW w:w="5520" w:type="dxa"/>
            <w:vAlign w:val="bottom"/>
            <w:tcBorders>
              <w:right w:val="single" w:sz="8" w:color="auto"/>
            </w:tcBorders>
            <w:gridSpan w:val="2"/>
          </w:tcPr>
          <w:p>
            <w:pPr>
              <w:ind w:left="20"/>
              <w:spacing w:after="0"/>
              <w:rPr>
                <w:sz w:val="20"/>
                <w:szCs w:val="20"/>
                <w:color w:val="auto"/>
              </w:rPr>
            </w:pPr>
            <w:r>
              <w:rPr>
                <w:rFonts w:ascii="Arial" w:cs="Arial" w:eastAsia="Arial" w:hAnsi="Arial"/>
                <w:sz w:val="13"/>
                <w:szCs w:val="13"/>
                <w:color w:val="auto"/>
              </w:rPr>
              <w:t>intransmissibles suivants:</w:t>
            </w:r>
          </w:p>
        </w:tc>
      </w:tr>
      <w:tr>
        <w:trPr>
          <w:trHeight w:val="153"/>
        </w:trPr>
        <w:tc>
          <w:tcPr>
            <w:tcW w:w="5540" w:type="dxa"/>
            <w:vAlign w:val="bottom"/>
            <w:tcBorders>
              <w:left w:val="single" w:sz="8" w:color="auto"/>
              <w:bottom w:val="single" w:sz="8" w:color="auto"/>
              <w:right w:val="single" w:sz="8" w:color="auto"/>
            </w:tcBorders>
            <w:gridSpan w:val="2"/>
          </w:tcPr>
          <w:p>
            <w:pPr>
              <w:spacing w:after="0"/>
              <w:rPr>
                <w:sz w:val="13"/>
                <w:szCs w:val="13"/>
                <w:color w:val="auto"/>
              </w:rPr>
            </w:pPr>
          </w:p>
        </w:tc>
        <w:tc>
          <w:tcPr>
            <w:tcW w:w="240" w:type="dxa"/>
            <w:vAlign w:val="bottom"/>
            <w:tcBorders>
              <w:bottom w:val="single" w:sz="8" w:color="auto"/>
              <w:right w:val="single" w:sz="8" w:color="auto"/>
            </w:tcBorders>
          </w:tcPr>
          <w:p>
            <w:pPr>
              <w:spacing w:after="0"/>
              <w:rPr>
                <w:sz w:val="13"/>
                <w:szCs w:val="13"/>
                <w:color w:val="auto"/>
              </w:rPr>
            </w:pPr>
          </w:p>
        </w:tc>
        <w:tc>
          <w:tcPr>
            <w:tcW w:w="5520" w:type="dxa"/>
            <w:vAlign w:val="bottom"/>
            <w:tcBorders>
              <w:bottom w:val="single" w:sz="8" w:color="auto"/>
              <w:right w:val="single" w:sz="8" w:color="auto"/>
            </w:tcBorders>
            <w:gridSpan w:val="2"/>
          </w:tcPr>
          <w:p>
            <w:pPr>
              <w:spacing w:after="0"/>
              <w:rPr>
                <w:sz w:val="13"/>
                <w:szCs w:val="13"/>
                <w:color w:val="auto"/>
              </w:rPr>
            </w:pPr>
          </w:p>
        </w:tc>
      </w:tr>
      <w:tr>
        <w:trPr>
          <w:trHeight w:val="141"/>
        </w:trPr>
        <w:tc>
          <w:tcPr>
            <w:tcW w:w="5540" w:type="dxa"/>
            <w:vAlign w:val="bottom"/>
            <w:tcBorders>
              <w:left w:val="single" w:sz="8" w:color="auto"/>
              <w:right w:val="single" w:sz="8" w:color="auto"/>
            </w:tcBorders>
            <w:gridSpan w:val="2"/>
          </w:tcPr>
          <w:p>
            <w:pPr>
              <w:ind w:left="40"/>
              <w:spacing w:after="0" w:line="141" w:lineRule="exact"/>
              <w:rPr>
                <w:sz w:val="20"/>
                <w:szCs w:val="20"/>
                <w:color w:val="auto"/>
              </w:rPr>
            </w:pPr>
            <w:r>
              <w:rPr>
                <w:rFonts w:ascii="Arial" w:cs="Arial" w:eastAsia="Arial" w:hAnsi="Arial"/>
                <w:sz w:val="13"/>
                <w:szCs w:val="13"/>
                <w:color w:val="auto"/>
              </w:rPr>
              <w:t>a)   to adopt and amend the Articles of Association (Articles 651a, 652g, 653g und 653i CO</w:t>
            </w:r>
          </w:p>
        </w:tc>
        <w:tc>
          <w:tcPr>
            <w:tcW w:w="240" w:type="dxa"/>
            <w:vAlign w:val="bottom"/>
            <w:tcBorders>
              <w:right w:val="single" w:sz="8" w:color="auto"/>
            </w:tcBorders>
          </w:tcPr>
          <w:p>
            <w:pPr>
              <w:spacing w:after="0"/>
              <w:rPr>
                <w:sz w:val="12"/>
                <w:szCs w:val="12"/>
                <w:color w:val="auto"/>
              </w:rPr>
            </w:pPr>
          </w:p>
        </w:tc>
        <w:tc>
          <w:tcPr>
            <w:tcW w:w="5520" w:type="dxa"/>
            <w:vAlign w:val="bottom"/>
            <w:tcBorders>
              <w:right w:val="single" w:sz="8" w:color="auto"/>
            </w:tcBorders>
            <w:gridSpan w:val="2"/>
          </w:tcPr>
          <w:p>
            <w:pPr>
              <w:ind w:left="20"/>
              <w:spacing w:after="0" w:line="141" w:lineRule="exact"/>
              <w:rPr>
                <w:sz w:val="20"/>
                <w:szCs w:val="20"/>
                <w:color w:val="auto"/>
              </w:rPr>
            </w:pPr>
            <w:r>
              <w:rPr>
                <w:rFonts w:ascii="Arial" w:cs="Arial" w:eastAsia="Arial" w:hAnsi="Arial"/>
                <w:sz w:val="13"/>
                <w:szCs w:val="13"/>
                <w:color w:val="auto"/>
              </w:rPr>
              <w:t>a)   adapter et modifier les statuts (articles 651a, 652g, 653g et 653i CO sont réservés);</w:t>
            </w:r>
          </w:p>
        </w:tc>
      </w:tr>
      <w:tr>
        <w:trPr>
          <w:trHeight w:val="173"/>
        </w:trPr>
        <w:tc>
          <w:tcPr>
            <w:tcW w:w="5540" w:type="dxa"/>
            <w:vAlign w:val="bottom"/>
            <w:tcBorders>
              <w:left w:val="single" w:sz="8" w:color="auto"/>
              <w:bottom w:val="single" w:sz="8" w:color="auto"/>
              <w:right w:val="single" w:sz="8" w:color="auto"/>
            </w:tcBorders>
            <w:gridSpan w:val="2"/>
          </w:tcPr>
          <w:p>
            <w:pPr>
              <w:ind w:left="40"/>
              <w:spacing w:after="0"/>
              <w:rPr>
                <w:sz w:val="20"/>
                <w:szCs w:val="20"/>
                <w:color w:val="auto"/>
              </w:rPr>
            </w:pPr>
            <w:r>
              <w:rPr>
                <w:rFonts w:ascii="Arial" w:cs="Arial" w:eastAsia="Arial" w:hAnsi="Arial"/>
                <w:sz w:val="13"/>
                <w:szCs w:val="13"/>
                <w:color w:val="auto"/>
              </w:rPr>
              <w:t>remain reserved);</w:t>
            </w:r>
          </w:p>
        </w:tc>
        <w:tc>
          <w:tcPr>
            <w:tcW w:w="240" w:type="dxa"/>
            <w:vAlign w:val="bottom"/>
            <w:tcBorders>
              <w:bottom w:val="single" w:sz="8" w:color="auto"/>
              <w:right w:val="single" w:sz="8" w:color="auto"/>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5140" w:type="dxa"/>
            <w:vAlign w:val="bottom"/>
            <w:tcBorders>
              <w:bottom w:val="single" w:sz="8" w:color="auto"/>
              <w:right w:val="single" w:sz="8" w:color="auto"/>
            </w:tcBorders>
          </w:tcPr>
          <w:p>
            <w:pPr>
              <w:spacing w:after="0"/>
              <w:rPr>
                <w:sz w:val="15"/>
                <w:szCs w:val="15"/>
                <w:color w:val="auto"/>
              </w:rPr>
            </w:pPr>
          </w:p>
        </w:tc>
      </w:tr>
      <w:tr>
        <w:trPr>
          <w:trHeight w:val="145"/>
        </w:trPr>
        <w:tc>
          <w:tcPr>
            <w:tcW w:w="5540" w:type="dxa"/>
            <w:vAlign w:val="bottom"/>
            <w:tcBorders>
              <w:left w:val="single" w:sz="8" w:color="auto"/>
              <w:right w:val="single" w:sz="8" w:color="auto"/>
            </w:tcBorders>
            <w:gridSpan w:val="2"/>
          </w:tcPr>
          <w:p>
            <w:pPr>
              <w:ind w:left="40"/>
              <w:spacing w:after="0" w:line="146" w:lineRule="exact"/>
              <w:rPr>
                <w:sz w:val="20"/>
                <w:szCs w:val="20"/>
                <w:color w:val="auto"/>
              </w:rPr>
            </w:pPr>
            <w:r>
              <w:rPr>
                <w:rFonts w:ascii="Arial" w:cs="Arial" w:eastAsia="Arial" w:hAnsi="Arial"/>
                <w:sz w:val="13"/>
                <w:szCs w:val="13"/>
                <w:color w:val="auto"/>
              </w:rPr>
              <w:t>b)   to elect and remove the members of the Board of Directors, the Chairman of the Board of</w:t>
            </w:r>
          </w:p>
        </w:tc>
        <w:tc>
          <w:tcPr>
            <w:tcW w:w="240" w:type="dxa"/>
            <w:vAlign w:val="bottom"/>
            <w:tcBorders>
              <w:right w:val="single" w:sz="8" w:color="auto"/>
            </w:tcBorders>
          </w:tcPr>
          <w:p>
            <w:pPr>
              <w:spacing w:after="0"/>
              <w:rPr>
                <w:sz w:val="12"/>
                <w:szCs w:val="12"/>
                <w:color w:val="auto"/>
              </w:rPr>
            </w:pPr>
          </w:p>
        </w:tc>
        <w:tc>
          <w:tcPr>
            <w:tcW w:w="380" w:type="dxa"/>
            <w:vAlign w:val="bottom"/>
          </w:tcPr>
          <w:p>
            <w:pPr>
              <w:ind w:left="20"/>
              <w:spacing w:after="0" w:line="146" w:lineRule="exact"/>
              <w:rPr>
                <w:sz w:val="20"/>
                <w:szCs w:val="20"/>
                <w:color w:val="auto"/>
              </w:rPr>
            </w:pPr>
            <w:r>
              <w:rPr>
                <w:rFonts w:ascii="Arial" w:cs="Arial" w:eastAsia="Arial" w:hAnsi="Arial"/>
                <w:sz w:val="13"/>
                <w:szCs w:val="13"/>
                <w:color w:val="auto"/>
              </w:rPr>
              <w:t>b)</w:t>
            </w:r>
          </w:p>
        </w:tc>
        <w:tc>
          <w:tcPr>
            <w:tcW w:w="5140" w:type="dxa"/>
            <w:vAlign w:val="bottom"/>
            <w:tcBorders>
              <w:right w:val="single" w:sz="8" w:color="auto"/>
            </w:tcBorders>
          </w:tcPr>
          <w:p>
            <w:pPr>
              <w:jc w:val="right"/>
              <w:spacing w:after="0" w:line="146" w:lineRule="exact"/>
              <w:rPr>
                <w:sz w:val="20"/>
                <w:szCs w:val="20"/>
                <w:color w:val="auto"/>
              </w:rPr>
            </w:pPr>
            <w:r>
              <w:rPr>
                <w:rFonts w:ascii="Arial" w:cs="Arial" w:eastAsia="Arial" w:hAnsi="Arial"/>
                <w:sz w:val="13"/>
                <w:szCs w:val="13"/>
                <w:color w:val="auto"/>
              </w:rPr>
              <w:t>nommer et révoquer les membres du conseil d'administration, le président du conseil</w:t>
            </w:r>
          </w:p>
        </w:tc>
      </w:tr>
      <w:tr>
        <w:trPr>
          <w:trHeight w:val="145"/>
        </w:trPr>
        <w:tc>
          <w:tcPr>
            <w:tcW w:w="5540" w:type="dxa"/>
            <w:vAlign w:val="bottom"/>
            <w:tcBorders>
              <w:left w:val="single" w:sz="8" w:color="auto"/>
              <w:right w:val="single" w:sz="8" w:color="auto"/>
            </w:tcBorders>
            <w:gridSpan w:val="2"/>
          </w:tcPr>
          <w:p>
            <w:pPr>
              <w:ind w:left="40"/>
              <w:spacing w:after="0" w:line="145" w:lineRule="exact"/>
              <w:rPr>
                <w:sz w:val="20"/>
                <w:szCs w:val="20"/>
                <w:color w:val="auto"/>
              </w:rPr>
            </w:pPr>
            <w:r>
              <w:rPr>
                <w:rFonts w:ascii="Arial" w:cs="Arial" w:eastAsia="Arial" w:hAnsi="Arial"/>
                <w:sz w:val="13"/>
                <w:szCs w:val="13"/>
                <w:color w:val="auto"/>
              </w:rPr>
              <w:t>Directors, the members of the Compensation Committee, the Auditors and the Independent</w:t>
            </w:r>
          </w:p>
        </w:tc>
        <w:tc>
          <w:tcPr>
            <w:tcW w:w="240" w:type="dxa"/>
            <w:vAlign w:val="bottom"/>
            <w:tcBorders>
              <w:right w:val="single" w:sz="8" w:color="auto"/>
            </w:tcBorders>
          </w:tcPr>
          <w:p>
            <w:pPr>
              <w:spacing w:after="0"/>
              <w:rPr>
                <w:sz w:val="12"/>
                <w:szCs w:val="12"/>
                <w:color w:val="auto"/>
              </w:rPr>
            </w:pPr>
          </w:p>
        </w:tc>
        <w:tc>
          <w:tcPr>
            <w:tcW w:w="5520" w:type="dxa"/>
            <w:vAlign w:val="bottom"/>
            <w:tcBorders>
              <w:right w:val="single" w:sz="8" w:color="auto"/>
            </w:tcBorders>
            <w:gridSpan w:val="2"/>
          </w:tcPr>
          <w:p>
            <w:pPr>
              <w:ind w:left="20"/>
              <w:spacing w:after="0" w:line="145" w:lineRule="exact"/>
              <w:rPr>
                <w:sz w:val="20"/>
                <w:szCs w:val="20"/>
                <w:color w:val="auto"/>
              </w:rPr>
            </w:pPr>
            <w:r>
              <w:rPr>
                <w:rFonts w:ascii="Arial" w:cs="Arial" w:eastAsia="Arial" w:hAnsi="Arial"/>
                <w:sz w:val="13"/>
                <w:szCs w:val="13"/>
                <w:color w:val="auto"/>
                <w:w w:val="99"/>
              </w:rPr>
              <w:t>d'administration, les membres du comité de rémunération, l'organe de révision et le mandataire</w:t>
            </w:r>
          </w:p>
        </w:tc>
      </w:tr>
      <w:tr>
        <w:trPr>
          <w:trHeight w:val="173"/>
        </w:trPr>
        <w:tc>
          <w:tcPr>
            <w:tcW w:w="400" w:type="dxa"/>
            <w:vAlign w:val="bottom"/>
            <w:tcBorders>
              <w:left w:val="single" w:sz="8" w:color="auto"/>
              <w:bottom w:val="single" w:sz="8" w:color="auto"/>
            </w:tcBorders>
          </w:tcPr>
          <w:p>
            <w:pPr>
              <w:ind w:left="40"/>
              <w:spacing w:after="0"/>
              <w:rPr>
                <w:sz w:val="20"/>
                <w:szCs w:val="20"/>
                <w:color w:val="auto"/>
              </w:rPr>
            </w:pPr>
            <w:r>
              <w:rPr>
                <w:rFonts w:ascii="Arial" w:cs="Arial" w:eastAsia="Arial" w:hAnsi="Arial"/>
                <w:sz w:val="13"/>
                <w:szCs w:val="13"/>
                <w:color w:val="auto"/>
                <w:w w:val="92"/>
              </w:rPr>
              <w:t>Proxy;</w:t>
            </w:r>
          </w:p>
        </w:tc>
        <w:tc>
          <w:tcPr>
            <w:tcW w:w="5140" w:type="dxa"/>
            <w:vAlign w:val="bottom"/>
            <w:tcBorders>
              <w:bottom w:val="single" w:sz="8" w:color="auto"/>
              <w:right w:val="single" w:sz="8" w:color="auto"/>
            </w:tcBorders>
          </w:tcPr>
          <w:p>
            <w:pPr>
              <w:spacing w:after="0"/>
              <w:rPr>
                <w:sz w:val="15"/>
                <w:szCs w:val="15"/>
                <w:color w:val="auto"/>
              </w:rPr>
            </w:pPr>
          </w:p>
        </w:tc>
        <w:tc>
          <w:tcPr>
            <w:tcW w:w="240" w:type="dxa"/>
            <w:vAlign w:val="bottom"/>
            <w:tcBorders>
              <w:bottom w:val="single" w:sz="8" w:color="auto"/>
              <w:right w:val="single" w:sz="8" w:color="auto"/>
            </w:tcBorders>
          </w:tcPr>
          <w:p>
            <w:pPr>
              <w:spacing w:after="0"/>
              <w:rPr>
                <w:sz w:val="15"/>
                <w:szCs w:val="15"/>
                <w:color w:val="auto"/>
              </w:rPr>
            </w:pPr>
          </w:p>
        </w:tc>
        <w:tc>
          <w:tcPr>
            <w:tcW w:w="5520" w:type="dxa"/>
            <w:vAlign w:val="bottom"/>
            <w:tcBorders>
              <w:bottom w:val="single" w:sz="8" w:color="auto"/>
              <w:right w:val="single" w:sz="8" w:color="auto"/>
            </w:tcBorders>
            <w:gridSpan w:val="2"/>
          </w:tcPr>
          <w:p>
            <w:pPr>
              <w:ind w:left="20"/>
              <w:spacing w:after="0"/>
              <w:rPr>
                <w:sz w:val="20"/>
                <w:szCs w:val="20"/>
                <w:color w:val="auto"/>
              </w:rPr>
            </w:pPr>
            <w:r>
              <w:rPr>
                <w:rFonts w:ascii="Arial" w:cs="Arial" w:eastAsia="Arial" w:hAnsi="Arial"/>
                <w:sz w:val="13"/>
                <w:szCs w:val="13"/>
                <w:color w:val="auto"/>
              </w:rPr>
              <w:t>indépendant;</w:t>
            </w:r>
          </w:p>
        </w:tc>
      </w:tr>
      <w:tr>
        <w:trPr>
          <w:trHeight w:val="145"/>
        </w:trPr>
        <w:tc>
          <w:tcPr>
            <w:tcW w:w="5540" w:type="dxa"/>
            <w:vAlign w:val="bottom"/>
            <w:tcBorders>
              <w:left w:val="single" w:sz="8" w:color="auto"/>
              <w:right w:val="single" w:sz="8" w:color="auto"/>
            </w:tcBorders>
            <w:gridSpan w:val="2"/>
          </w:tcPr>
          <w:p>
            <w:pPr>
              <w:ind w:left="40"/>
              <w:spacing w:after="0" w:line="146" w:lineRule="exact"/>
              <w:rPr>
                <w:sz w:val="20"/>
                <w:szCs w:val="20"/>
                <w:color w:val="auto"/>
              </w:rPr>
            </w:pPr>
            <w:r>
              <w:rPr>
                <w:rFonts w:ascii="Arial" w:cs="Arial" w:eastAsia="Arial" w:hAnsi="Arial"/>
                <w:sz w:val="13"/>
                <w:szCs w:val="13"/>
                <w:color w:val="auto"/>
              </w:rPr>
              <w:t>c)  to approve the management report and the annual accounts and to determine the allocation</w:t>
            </w:r>
          </w:p>
        </w:tc>
        <w:tc>
          <w:tcPr>
            <w:tcW w:w="240" w:type="dxa"/>
            <w:vAlign w:val="bottom"/>
            <w:tcBorders>
              <w:right w:val="single" w:sz="8" w:color="auto"/>
            </w:tcBorders>
          </w:tcPr>
          <w:p>
            <w:pPr>
              <w:spacing w:after="0"/>
              <w:rPr>
                <w:sz w:val="12"/>
                <w:szCs w:val="12"/>
                <w:color w:val="auto"/>
              </w:rPr>
            </w:pPr>
          </w:p>
        </w:tc>
        <w:tc>
          <w:tcPr>
            <w:tcW w:w="380" w:type="dxa"/>
            <w:vAlign w:val="bottom"/>
          </w:tcPr>
          <w:p>
            <w:pPr>
              <w:ind w:left="20"/>
              <w:spacing w:after="0" w:line="146" w:lineRule="exact"/>
              <w:rPr>
                <w:sz w:val="20"/>
                <w:szCs w:val="20"/>
                <w:color w:val="auto"/>
              </w:rPr>
            </w:pPr>
            <w:r>
              <w:rPr>
                <w:rFonts w:ascii="Arial" w:cs="Arial" w:eastAsia="Arial" w:hAnsi="Arial"/>
                <w:sz w:val="13"/>
                <w:szCs w:val="13"/>
                <w:color w:val="auto"/>
              </w:rPr>
              <w:t>c)</w:t>
            </w:r>
          </w:p>
        </w:tc>
        <w:tc>
          <w:tcPr>
            <w:tcW w:w="5140" w:type="dxa"/>
            <w:vAlign w:val="bottom"/>
            <w:tcBorders>
              <w:right w:val="single" w:sz="8" w:color="auto"/>
            </w:tcBorders>
          </w:tcPr>
          <w:p>
            <w:pPr>
              <w:jc w:val="right"/>
              <w:spacing w:after="0" w:line="146" w:lineRule="exact"/>
              <w:rPr>
                <w:sz w:val="20"/>
                <w:szCs w:val="20"/>
                <w:color w:val="auto"/>
              </w:rPr>
            </w:pPr>
            <w:r>
              <w:rPr>
                <w:rFonts w:ascii="Arial" w:cs="Arial" w:eastAsia="Arial" w:hAnsi="Arial"/>
                <w:sz w:val="13"/>
                <w:szCs w:val="13"/>
                <w:color w:val="auto"/>
              </w:rPr>
              <w:t>approuver le rapport de gestion et les comptes annuels et déterminer la répartition des</w:t>
            </w:r>
          </w:p>
        </w:tc>
      </w:tr>
      <w:tr>
        <w:trPr>
          <w:trHeight w:val="173"/>
        </w:trPr>
        <w:tc>
          <w:tcPr>
            <w:tcW w:w="5540" w:type="dxa"/>
            <w:vAlign w:val="bottom"/>
            <w:tcBorders>
              <w:left w:val="single" w:sz="8" w:color="auto"/>
              <w:bottom w:val="single" w:sz="8" w:color="auto"/>
              <w:right w:val="single" w:sz="8" w:color="auto"/>
            </w:tcBorders>
            <w:gridSpan w:val="2"/>
          </w:tcPr>
          <w:p>
            <w:pPr>
              <w:ind w:left="40"/>
              <w:spacing w:after="0"/>
              <w:rPr>
                <w:sz w:val="20"/>
                <w:szCs w:val="20"/>
                <w:color w:val="auto"/>
              </w:rPr>
            </w:pPr>
            <w:r>
              <w:rPr>
                <w:rFonts w:ascii="Arial" w:cs="Arial" w:eastAsia="Arial" w:hAnsi="Arial"/>
                <w:sz w:val="13"/>
                <w:szCs w:val="13"/>
                <w:color w:val="auto"/>
              </w:rPr>
              <w:t>of profits, in particular with regard to dividends and bonus payments;</w:t>
            </w:r>
          </w:p>
        </w:tc>
        <w:tc>
          <w:tcPr>
            <w:tcW w:w="240" w:type="dxa"/>
            <w:vAlign w:val="bottom"/>
            <w:tcBorders>
              <w:bottom w:val="single" w:sz="8" w:color="auto"/>
              <w:right w:val="single" w:sz="8" w:color="auto"/>
            </w:tcBorders>
          </w:tcPr>
          <w:p>
            <w:pPr>
              <w:spacing w:after="0"/>
              <w:rPr>
                <w:sz w:val="15"/>
                <w:szCs w:val="15"/>
                <w:color w:val="auto"/>
              </w:rPr>
            </w:pPr>
          </w:p>
        </w:tc>
        <w:tc>
          <w:tcPr>
            <w:tcW w:w="5520" w:type="dxa"/>
            <w:vAlign w:val="bottom"/>
            <w:tcBorders>
              <w:bottom w:val="single" w:sz="8" w:color="auto"/>
              <w:right w:val="single" w:sz="8" w:color="auto"/>
            </w:tcBorders>
            <w:gridSpan w:val="2"/>
          </w:tcPr>
          <w:p>
            <w:pPr>
              <w:ind w:left="20"/>
              <w:spacing w:after="0"/>
              <w:rPr>
                <w:sz w:val="20"/>
                <w:szCs w:val="20"/>
                <w:color w:val="auto"/>
              </w:rPr>
            </w:pPr>
            <w:r>
              <w:rPr>
                <w:rFonts w:ascii="Arial" w:cs="Arial" w:eastAsia="Arial" w:hAnsi="Arial"/>
                <w:sz w:val="13"/>
                <w:szCs w:val="13"/>
                <w:color w:val="auto"/>
              </w:rPr>
              <w:t>bénéfices, en particulier en ce qui concerne les dividendes et les bonus;</w:t>
            </w:r>
          </w:p>
        </w:tc>
      </w:tr>
      <w:tr>
        <w:trPr>
          <w:trHeight w:val="173"/>
        </w:trPr>
        <w:tc>
          <w:tcPr>
            <w:tcW w:w="5540" w:type="dxa"/>
            <w:vAlign w:val="bottom"/>
            <w:tcBorders>
              <w:left w:val="single" w:sz="8" w:color="auto"/>
              <w:bottom w:val="single" w:sz="8" w:color="auto"/>
              <w:right w:val="single" w:sz="8" w:color="auto"/>
            </w:tcBorders>
            <w:gridSpan w:val="2"/>
          </w:tcPr>
          <w:p>
            <w:pPr>
              <w:ind w:left="40"/>
              <w:spacing w:after="0"/>
              <w:rPr>
                <w:sz w:val="20"/>
                <w:szCs w:val="20"/>
                <w:color w:val="auto"/>
              </w:rPr>
            </w:pPr>
            <w:r>
              <w:rPr>
                <w:rFonts w:ascii="Arial" w:cs="Arial" w:eastAsia="Arial" w:hAnsi="Arial"/>
                <w:sz w:val="13"/>
                <w:szCs w:val="13"/>
                <w:color w:val="auto"/>
              </w:rPr>
              <w:t>d)  to discharge the members of the Board of Directors and of the Executive Committee;</w:t>
            </w:r>
          </w:p>
        </w:tc>
        <w:tc>
          <w:tcPr>
            <w:tcW w:w="240" w:type="dxa"/>
            <w:vAlign w:val="bottom"/>
            <w:tcBorders>
              <w:bottom w:val="single" w:sz="8" w:color="auto"/>
              <w:right w:val="single" w:sz="8" w:color="auto"/>
            </w:tcBorders>
          </w:tcPr>
          <w:p>
            <w:pPr>
              <w:spacing w:after="0"/>
              <w:rPr>
                <w:sz w:val="15"/>
                <w:szCs w:val="15"/>
                <w:color w:val="auto"/>
              </w:rPr>
            </w:pPr>
          </w:p>
        </w:tc>
        <w:tc>
          <w:tcPr>
            <w:tcW w:w="5520" w:type="dxa"/>
            <w:vAlign w:val="bottom"/>
            <w:tcBorders>
              <w:bottom w:val="single" w:sz="8" w:color="auto"/>
              <w:right w:val="single" w:sz="8" w:color="auto"/>
            </w:tcBorders>
            <w:gridSpan w:val="2"/>
          </w:tcPr>
          <w:p>
            <w:pPr>
              <w:ind w:left="20"/>
              <w:spacing w:after="0"/>
              <w:rPr>
                <w:sz w:val="20"/>
                <w:szCs w:val="20"/>
                <w:color w:val="auto"/>
              </w:rPr>
            </w:pPr>
            <w:r>
              <w:rPr>
                <w:rFonts w:ascii="Arial" w:cs="Arial" w:eastAsia="Arial" w:hAnsi="Arial"/>
                <w:sz w:val="13"/>
                <w:szCs w:val="13"/>
                <w:color w:val="auto"/>
              </w:rPr>
              <w:t>d)   donner décharge aux membres du conseil d'administration et au comité exécutif;</w:t>
            </w:r>
          </w:p>
        </w:tc>
      </w:tr>
      <w:tr>
        <w:trPr>
          <w:trHeight w:val="145"/>
        </w:trPr>
        <w:tc>
          <w:tcPr>
            <w:tcW w:w="400" w:type="dxa"/>
            <w:vAlign w:val="bottom"/>
            <w:tcBorders>
              <w:left w:val="single" w:sz="8" w:color="auto"/>
            </w:tcBorders>
          </w:tcPr>
          <w:p>
            <w:pPr>
              <w:ind w:left="40"/>
              <w:spacing w:after="0" w:line="146" w:lineRule="exact"/>
              <w:rPr>
                <w:sz w:val="20"/>
                <w:szCs w:val="20"/>
                <w:color w:val="auto"/>
              </w:rPr>
            </w:pPr>
            <w:r>
              <w:rPr>
                <w:rFonts w:ascii="Arial" w:cs="Arial" w:eastAsia="Arial" w:hAnsi="Arial"/>
                <w:sz w:val="13"/>
                <w:szCs w:val="13"/>
                <w:color w:val="auto"/>
              </w:rPr>
              <w:t>e)</w:t>
            </w:r>
          </w:p>
        </w:tc>
        <w:tc>
          <w:tcPr>
            <w:tcW w:w="5140" w:type="dxa"/>
            <w:vAlign w:val="bottom"/>
            <w:tcBorders>
              <w:right w:val="single" w:sz="8" w:color="auto"/>
            </w:tcBorders>
          </w:tcPr>
          <w:p>
            <w:pPr>
              <w:spacing w:after="0" w:line="146" w:lineRule="exact"/>
              <w:rPr>
                <w:sz w:val="20"/>
                <w:szCs w:val="20"/>
                <w:color w:val="auto"/>
              </w:rPr>
            </w:pPr>
            <w:r>
              <w:rPr>
                <w:rFonts w:ascii="Arial" w:cs="Arial" w:eastAsia="Arial" w:hAnsi="Arial"/>
                <w:sz w:val="13"/>
                <w:szCs w:val="13"/>
                <w:color w:val="auto"/>
              </w:rPr>
              <w:t>to approve the aggregate amounts of  compensation of the Board of Directors and the</w:t>
            </w:r>
          </w:p>
        </w:tc>
        <w:tc>
          <w:tcPr>
            <w:tcW w:w="240" w:type="dxa"/>
            <w:vAlign w:val="bottom"/>
            <w:tcBorders>
              <w:right w:val="single" w:sz="8" w:color="auto"/>
            </w:tcBorders>
          </w:tcPr>
          <w:p>
            <w:pPr>
              <w:spacing w:after="0"/>
              <w:rPr>
                <w:sz w:val="12"/>
                <w:szCs w:val="12"/>
                <w:color w:val="auto"/>
              </w:rPr>
            </w:pPr>
          </w:p>
        </w:tc>
        <w:tc>
          <w:tcPr>
            <w:tcW w:w="380" w:type="dxa"/>
            <w:vAlign w:val="bottom"/>
          </w:tcPr>
          <w:p>
            <w:pPr>
              <w:ind w:left="20"/>
              <w:spacing w:after="0" w:line="146" w:lineRule="exact"/>
              <w:rPr>
                <w:sz w:val="20"/>
                <w:szCs w:val="20"/>
                <w:color w:val="auto"/>
              </w:rPr>
            </w:pPr>
            <w:r>
              <w:rPr>
                <w:rFonts w:ascii="Arial" w:cs="Arial" w:eastAsia="Arial" w:hAnsi="Arial"/>
                <w:sz w:val="13"/>
                <w:szCs w:val="13"/>
                <w:color w:val="auto"/>
              </w:rPr>
              <w:t>e)</w:t>
            </w:r>
          </w:p>
        </w:tc>
        <w:tc>
          <w:tcPr>
            <w:tcW w:w="5140" w:type="dxa"/>
            <w:vAlign w:val="bottom"/>
            <w:tcBorders>
              <w:right w:val="single" w:sz="8" w:color="auto"/>
            </w:tcBorders>
          </w:tcPr>
          <w:p>
            <w:pPr>
              <w:jc w:val="right"/>
              <w:spacing w:after="0" w:line="146" w:lineRule="exact"/>
              <w:rPr>
                <w:sz w:val="20"/>
                <w:szCs w:val="20"/>
                <w:color w:val="auto"/>
              </w:rPr>
            </w:pPr>
            <w:r>
              <w:rPr>
                <w:rFonts w:ascii="Arial" w:cs="Arial" w:eastAsia="Arial" w:hAnsi="Arial"/>
                <w:sz w:val="13"/>
                <w:szCs w:val="13"/>
                <w:color w:val="auto"/>
              </w:rPr>
              <w:t>approuver les montants globaux des rémunérations du conseil d'administration et du</w:t>
            </w:r>
          </w:p>
        </w:tc>
      </w:tr>
      <w:tr>
        <w:trPr>
          <w:trHeight w:val="173"/>
        </w:trPr>
        <w:tc>
          <w:tcPr>
            <w:tcW w:w="5540" w:type="dxa"/>
            <w:vAlign w:val="bottom"/>
            <w:tcBorders>
              <w:left w:val="single" w:sz="8" w:color="auto"/>
              <w:bottom w:val="single" w:sz="8" w:color="auto"/>
              <w:right w:val="single" w:sz="8" w:color="auto"/>
            </w:tcBorders>
            <w:gridSpan w:val="2"/>
          </w:tcPr>
          <w:p>
            <w:pPr>
              <w:ind w:left="40"/>
              <w:spacing w:after="0"/>
              <w:rPr>
                <w:sz w:val="20"/>
                <w:szCs w:val="20"/>
                <w:color w:val="auto"/>
              </w:rPr>
            </w:pPr>
            <w:r>
              <w:rPr>
                <w:rFonts w:ascii="Arial" w:cs="Arial" w:eastAsia="Arial" w:hAnsi="Arial"/>
                <w:sz w:val="13"/>
                <w:szCs w:val="13"/>
                <w:color w:val="auto"/>
              </w:rPr>
              <w:t>Executive Committee in accordance with Article 18 of the Articles of Association;</w:t>
            </w:r>
          </w:p>
        </w:tc>
        <w:tc>
          <w:tcPr>
            <w:tcW w:w="240" w:type="dxa"/>
            <w:vAlign w:val="bottom"/>
            <w:tcBorders>
              <w:bottom w:val="single" w:sz="8" w:color="auto"/>
              <w:right w:val="single" w:sz="8" w:color="auto"/>
            </w:tcBorders>
          </w:tcPr>
          <w:p>
            <w:pPr>
              <w:spacing w:after="0"/>
              <w:rPr>
                <w:sz w:val="15"/>
                <w:szCs w:val="15"/>
                <w:color w:val="auto"/>
              </w:rPr>
            </w:pPr>
          </w:p>
        </w:tc>
        <w:tc>
          <w:tcPr>
            <w:tcW w:w="5520" w:type="dxa"/>
            <w:vAlign w:val="bottom"/>
            <w:tcBorders>
              <w:bottom w:val="single" w:sz="8" w:color="auto"/>
              <w:right w:val="single" w:sz="8" w:color="auto"/>
            </w:tcBorders>
            <w:gridSpan w:val="2"/>
          </w:tcPr>
          <w:p>
            <w:pPr>
              <w:ind w:left="20"/>
              <w:spacing w:after="0"/>
              <w:rPr>
                <w:sz w:val="20"/>
                <w:szCs w:val="20"/>
                <w:color w:val="auto"/>
              </w:rPr>
            </w:pPr>
            <w:r>
              <w:rPr>
                <w:rFonts w:ascii="Arial" w:cs="Arial" w:eastAsia="Arial" w:hAnsi="Arial"/>
                <w:sz w:val="13"/>
                <w:szCs w:val="13"/>
                <w:color w:val="auto"/>
              </w:rPr>
              <w:t>comité exécutif conformément à l'article 18 des statuts;</w:t>
            </w:r>
          </w:p>
        </w:tc>
      </w:tr>
      <w:tr>
        <w:trPr>
          <w:trHeight w:val="145"/>
        </w:trPr>
        <w:tc>
          <w:tcPr>
            <w:tcW w:w="400" w:type="dxa"/>
            <w:vAlign w:val="bottom"/>
            <w:tcBorders>
              <w:left w:val="single" w:sz="8" w:color="auto"/>
            </w:tcBorders>
          </w:tcPr>
          <w:p>
            <w:pPr>
              <w:ind w:left="40"/>
              <w:spacing w:after="0" w:line="146" w:lineRule="exact"/>
              <w:rPr>
                <w:sz w:val="20"/>
                <w:szCs w:val="20"/>
                <w:color w:val="auto"/>
              </w:rPr>
            </w:pPr>
            <w:r>
              <w:rPr>
                <w:rFonts w:ascii="Arial" w:cs="Arial" w:eastAsia="Arial" w:hAnsi="Arial"/>
                <w:sz w:val="13"/>
                <w:szCs w:val="13"/>
                <w:color w:val="auto"/>
              </w:rPr>
              <w:t>f)</w:t>
            </w:r>
          </w:p>
        </w:tc>
        <w:tc>
          <w:tcPr>
            <w:tcW w:w="5140" w:type="dxa"/>
            <w:vAlign w:val="bottom"/>
            <w:tcBorders>
              <w:right w:val="single" w:sz="8" w:color="auto"/>
            </w:tcBorders>
          </w:tcPr>
          <w:p>
            <w:pPr>
              <w:ind w:left="60"/>
              <w:spacing w:after="0" w:line="146" w:lineRule="exact"/>
              <w:rPr>
                <w:sz w:val="20"/>
                <w:szCs w:val="20"/>
                <w:color w:val="auto"/>
              </w:rPr>
            </w:pPr>
            <w:r>
              <w:rPr>
                <w:rFonts w:ascii="Arial" w:cs="Arial" w:eastAsia="Arial" w:hAnsi="Arial"/>
                <w:sz w:val="13"/>
                <w:szCs w:val="13"/>
                <w:color w:val="auto"/>
              </w:rPr>
              <w:t>to pass resolutions concerning all matters which are reserved to the authority of the</w:t>
            </w:r>
          </w:p>
        </w:tc>
        <w:tc>
          <w:tcPr>
            <w:tcW w:w="240" w:type="dxa"/>
            <w:vAlign w:val="bottom"/>
            <w:tcBorders>
              <w:right w:val="single" w:sz="8" w:color="auto"/>
            </w:tcBorders>
          </w:tcPr>
          <w:p>
            <w:pPr>
              <w:spacing w:after="0"/>
              <w:rPr>
                <w:sz w:val="12"/>
                <w:szCs w:val="12"/>
                <w:color w:val="auto"/>
              </w:rPr>
            </w:pPr>
          </w:p>
        </w:tc>
        <w:tc>
          <w:tcPr>
            <w:tcW w:w="380" w:type="dxa"/>
            <w:vAlign w:val="bottom"/>
          </w:tcPr>
          <w:p>
            <w:pPr>
              <w:ind w:left="20"/>
              <w:spacing w:after="0" w:line="146" w:lineRule="exact"/>
              <w:rPr>
                <w:sz w:val="20"/>
                <w:szCs w:val="20"/>
                <w:color w:val="auto"/>
              </w:rPr>
            </w:pPr>
            <w:r>
              <w:rPr>
                <w:rFonts w:ascii="Arial" w:cs="Arial" w:eastAsia="Arial" w:hAnsi="Arial"/>
                <w:sz w:val="13"/>
                <w:szCs w:val="13"/>
                <w:color w:val="auto"/>
              </w:rPr>
              <w:t>f)</w:t>
            </w:r>
          </w:p>
        </w:tc>
        <w:tc>
          <w:tcPr>
            <w:tcW w:w="5140" w:type="dxa"/>
            <w:vAlign w:val="bottom"/>
            <w:tcBorders>
              <w:right w:val="single" w:sz="8" w:color="auto"/>
            </w:tcBorders>
          </w:tcPr>
          <w:p>
            <w:pPr>
              <w:jc w:val="right"/>
              <w:spacing w:after="0" w:line="146" w:lineRule="exact"/>
              <w:rPr>
                <w:sz w:val="20"/>
                <w:szCs w:val="20"/>
                <w:color w:val="auto"/>
              </w:rPr>
            </w:pPr>
            <w:r>
              <w:rPr>
                <w:rFonts w:ascii="Arial" w:cs="Arial" w:eastAsia="Arial" w:hAnsi="Arial"/>
                <w:sz w:val="13"/>
                <w:szCs w:val="13"/>
                <w:color w:val="auto"/>
              </w:rPr>
              <w:t>prendre les décisions sur toutes les affaires qui sont attribuées à l'assemblée générale</w:t>
            </w:r>
          </w:p>
        </w:tc>
      </w:tr>
      <w:tr>
        <w:trPr>
          <w:trHeight w:val="173"/>
        </w:trPr>
        <w:tc>
          <w:tcPr>
            <w:tcW w:w="5540" w:type="dxa"/>
            <w:vAlign w:val="bottom"/>
            <w:tcBorders>
              <w:left w:val="single" w:sz="8" w:color="auto"/>
              <w:bottom w:val="single" w:sz="8" w:color="auto"/>
              <w:right w:val="single" w:sz="8" w:color="auto"/>
            </w:tcBorders>
            <w:gridSpan w:val="2"/>
          </w:tcPr>
          <w:p>
            <w:pPr>
              <w:ind w:left="40"/>
              <w:spacing w:after="0"/>
              <w:rPr>
                <w:sz w:val="20"/>
                <w:szCs w:val="20"/>
                <w:color w:val="auto"/>
              </w:rPr>
            </w:pPr>
            <w:r>
              <w:rPr>
                <w:rFonts w:ascii="Arial" w:cs="Arial" w:eastAsia="Arial" w:hAnsi="Arial"/>
                <w:sz w:val="13"/>
                <w:szCs w:val="13"/>
                <w:color w:val="auto"/>
              </w:rPr>
              <w:t>General Meeting by law or by the Articles of Association.</w:t>
            </w:r>
          </w:p>
        </w:tc>
        <w:tc>
          <w:tcPr>
            <w:tcW w:w="240" w:type="dxa"/>
            <w:vAlign w:val="bottom"/>
            <w:tcBorders>
              <w:bottom w:val="single" w:sz="8" w:color="auto"/>
              <w:right w:val="single" w:sz="8" w:color="auto"/>
            </w:tcBorders>
          </w:tcPr>
          <w:p>
            <w:pPr>
              <w:spacing w:after="0"/>
              <w:rPr>
                <w:sz w:val="15"/>
                <w:szCs w:val="15"/>
                <w:color w:val="auto"/>
              </w:rPr>
            </w:pPr>
          </w:p>
        </w:tc>
        <w:tc>
          <w:tcPr>
            <w:tcW w:w="5520" w:type="dxa"/>
            <w:vAlign w:val="bottom"/>
            <w:tcBorders>
              <w:bottom w:val="single" w:sz="8" w:color="auto"/>
              <w:right w:val="single" w:sz="8" w:color="auto"/>
            </w:tcBorders>
            <w:gridSpan w:val="2"/>
          </w:tcPr>
          <w:p>
            <w:pPr>
              <w:ind w:left="20"/>
              <w:spacing w:after="0"/>
              <w:rPr>
                <w:sz w:val="20"/>
                <w:szCs w:val="20"/>
                <w:color w:val="auto"/>
              </w:rPr>
            </w:pPr>
            <w:r>
              <w:rPr>
                <w:rFonts w:ascii="Arial" w:cs="Arial" w:eastAsia="Arial" w:hAnsi="Arial"/>
                <w:sz w:val="13"/>
                <w:szCs w:val="13"/>
                <w:color w:val="auto"/>
              </w:rPr>
              <w:t>par la loi ou les statuts.</w:t>
            </w:r>
          </w:p>
        </w:tc>
      </w:tr>
      <w:tr>
        <w:trPr>
          <w:trHeight w:val="177"/>
        </w:trPr>
        <w:tc>
          <w:tcPr>
            <w:tcW w:w="5540" w:type="dxa"/>
            <w:vAlign w:val="bottom"/>
            <w:tcBorders>
              <w:left w:val="single" w:sz="8" w:color="auto"/>
              <w:right w:val="single" w:sz="8" w:color="auto"/>
            </w:tcBorders>
            <w:gridSpan w:val="2"/>
          </w:tcPr>
          <w:p>
            <w:pPr>
              <w:ind w:left="40"/>
              <w:spacing w:after="0"/>
              <w:rPr>
                <w:sz w:val="20"/>
                <w:szCs w:val="20"/>
                <w:color w:val="auto"/>
              </w:rPr>
            </w:pPr>
            <w:r>
              <w:rPr>
                <w:rFonts w:ascii="Arial" w:cs="Arial" w:eastAsia="Arial" w:hAnsi="Arial"/>
                <w:sz w:val="13"/>
                <w:szCs w:val="13"/>
                <w:b w:val="1"/>
                <w:bCs w:val="1"/>
                <w:color w:val="auto"/>
              </w:rPr>
              <w:t>Art. 9  Ordinary General Meeting</w:t>
            </w:r>
          </w:p>
        </w:tc>
        <w:tc>
          <w:tcPr>
            <w:tcW w:w="240" w:type="dxa"/>
            <w:vAlign w:val="bottom"/>
            <w:tcBorders>
              <w:right w:val="single" w:sz="8" w:color="auto"/>
            </w:tcBorders>
          </w:tcPr>
          <w:p>
            <w:pPr>
              <w:spacing w:after="0"/>
              <w:rPr>
                <w:sz w:val="15"/>
                <w:szCs w:val="15"/>
                <w:color w:val="auto"/>
              </w:rPr>
            </w:pPr>
          </w:p>
        </w:tc>
        <w:tc>
          <w:tcPr>
            <w:tcW w:w="5520" w:type="dxa"/>
            <w:vAlign w:val="bottom"/>
            <w:tcBorders>
              <w:right w:val="single" w:sz="8" w:color="auto"/>
            </w:tcBorders>
            <w:gridSpan w:val="2"/>
          </w:tcPr>
          <w:p>
            <w:pPr>
              <w:ind w:left="20"/>
              <w:spacing w:after="0"/>
              <w:rPr>
                <w:sz w:val="20"/>
                <w:szCs w:val="20"/>
                <w:color w:val="auto"/>
              </w:rPr>
            </w:pPr>
            <w:r>
              <w:rPr>
                <w:rFonts w:ascii="Arial" w:cs="Arial" w:eastAsia="Arial" w:hAnsi="Arial"/>
                <w:sz w:val="13"/>
                <w:szCs w:val="13"/>
                <w:b w:val="1"/>
                <w:bCs w:val="1"/>
                <w:color w:val="auto"/>
              </w:rPr>
              <w:t>Art. 9  Assemblée générale ordinaire</w:t>
            </w:r>
          </w:p>
        </w:tc>
      </w:tr>
      <w:tr>
        <w:trPr>
          <w:trHeight w:val="258"/>
        </w:trPr>
        <w:tc>
          <w:tcPr>
            <w:tcW w:w="5540" w:type="dxa"/>
            <w:vAlign w:val="bottom"/>
            <w:tcBorders>
              <w:left w:val="single" w:sz="8" w:color="auto"/>
              <w:right w:val="single" w:sz="8" w:color="auto"/>
            </w:tcBorders>
            <w:gridSpan w:val="2"/>
          </w:tcPr>
          <w:p>
            <w:pPr>
              <w:ind w:left="40"/>
              <w:spacing w:after="0"/>
              <w:rPr>
                <w:sz w:val="20"/>
                <w:szCs w:val="20"/>
                <w:color w:val="auto"/>
              </w:rPr>
            </w:pPr>
            <w:r>
              <w:rPr>
                <w:rFonts w:ascii="Arial" w:cs="Arial" w:eastAsia="Arial" w:hAnsi="Arial"/>
                <w:sz w:val="13"/>
                <w:szCs w:val="13"/>
                <w:color w:val="auto"/>
              </w:rPr>
              <w:t>The Ordinary General Meeting shall be held annually within six months after the close of the</w:t>
            </w:r>
          </w:p>
        </w:tc>
        <w:tc>
          <w:tcPr>
            <w:tcW w:w="240" w:type="dxa"/>
            <w:vAlign w:val="bottom"/>
            <w:tcBorders>
              <w:right w:val="single" w:sz="8" w:color="auto"/>
            </w:tcBorders>
          </w:tcPr>
          <w:p>
            <w:pPr>
              <w:spacing w:after="0"/>
              <w:rPr>
                <w:sz w:val="22"/>
                <w:szCs w:val="22"/>
                <w:color w:val="auto"/>
              </w:rPr>
            </w:pPr>
          </w:p>
        </w:tc>
        <w:tc>
          <w:tcPr>
            <w:tcW w:w="5520" w:type="dxa"/>
            <w:vAlign w:val="bottom"/>
            <w:tcBorders>
              <w:right w:val="single" w:sz="8" w:color="auto"/>
            </w:tcBorders>
            <w:gridSpan w:val="2"/>
          </w:tcPr>
          <w:p>
            <w:pPr>
              <w:ind w:left="20"/>
              <w:spacing w:after="0"/>
              <w:rPr>
                <w:sz w:val="20"/>
                <w:szCs w:val="20"/>
                <w:color w:val="auto"/>
              </w:rPr>
            </w:pPr>
            <w:r>
              <w:rPr>
                <w:rFonts w:ascii="Arial" w:cs="Arial" w:eastAsia="Arial" w:hAnsi="Arial"/>
                <w:sz w:val="13"/>
                <w:szCs w:val="13"/>
                <w:color w:val="auto"/>
              </w:rPr>
              <w:t>L'assemblée générale ordinaire aura lieu chaque année dans les six mois qui suivent la clôture</w:t>
            </w:r>
          </w:p>
        </w:tc>
      </w:tr>
      <w:tr>
        <w:trPr>
          <w:trHeight w:val="145"/>
        </w:trPr>
        <w:tc>
          <w:tcPr>
            <w:tcW w:w="5540" w:type="dxa"/>
            <w:vAlign w:val="bottom"/>
            <w:tcBorders>
              <w:left w:val="single" w:sz="8" w:color="auto"/>
              <w:right w:val="single" w:sz="8" w:color="auto"/>
            </w:tcBorders>
            <w:gridSpan w:val="2"/>
          </w:tcPr>
          <w:p>
            <w:pPr>
              <w:ind w:left="40"/>
              <w:spacing w:after="0" w:line="145" w:lineRule="exact"/>
              <w:rPr>
                <w:sz w:val="20"/>
                <w:szCs w:val="20"/>
                <w:color w:val="auto"/>
              </w:rPr>
            </w:pPr>
            <w:r>
              <w:rPr>
                <w:rFonts w:ascii="Arial" w:cs="Arial" w:eastAsia="Arial" w:hAnsi="Arial"/>
                <w:sz w:val="13"/>
                <w:szCs w:val="13"/>
                <w:color w:val="auto"/>
                <w:w w:val="99"/>
              </w:rPr>
              <w:t>business year at such time and at such location, which may be within or outside Switzerland, as</w:t>
            </w:r>
          </w:p>
        </w:tc>
        <w:tc>
          <w:tcPr>
            <w:tcW w:w="240" w:type="dxa"/>
            <w:vAlign w:val="bottom"/>
            <w:tcBorders>
              <w:right w:val="single" w:sz="8" w:color="auto"/>
            </w:tcBorders>
          </w:tcPr>
          <w:p>
            <w:pPr>
              <w:spacing w:after="0"/>
              <w:rPr>
                <w:sz w:val="12"/>
                <w:szCs w:val="12"/>
                <w:color w:val="auto"/>
              </w:rPr>
            </w:pPr>
          </w:p>
        </w:tc>
        <w:tc>
          <w:tcPr>
            <w:tcW w:w="5520" w:type="dxa"/>
            <w:vAlign w:val="bottom"/>
            <w:tcBorders>
              <w:right w:val="single" w:sz="8" w:color="auto"/>
            </w:tcBorders>
            <w:gridSpan w:val="2"/>
          </w:tcPr>
          <w:p>
            <w:pPr>
              <w:ind w:left="20"/>
              <w:spacing w:after="0" w:line="145" w:lineRule="exact"/>
              <w:rPr>
                <w:sz w:val="20"/>
                <w:szCs w:val="20"/>
                <w:color w:val="auto"/>
              </w:rPr>
            </w:pPr>
            <w:r>
              <w:rPr>
                <w:rFonts w:ascii="Arial" w:cs="Arial" w:eastAsia="Arial" w:hAnsi="Arial"/>
                <w:sz w:val="13"/>
                <w:szCs w:val="13"/>
                <w:color w:val="auto"/>
                <w:w w:val="99"/>
              </w:rPr>
              <w:t>de l'exercice à la date et à l'endroit, qui peut être en ou hors de la Suisse, tel que déterminé par</w:t>
            </w:r>
          </w:p>
        </w:tc>
      </w:tr>
      <w:tr>
        <w:trPr>
          <w:trHeight w:val="168"/>
        </w:trPr>
        <w:tc>
          <w:tcPr>
            <w:tcW w:w="5540" w:type="dxa"/>
            <w:vAlign w:val="bottom"/>
            <w:tcBorders>
              <w:left w:val="single" w:sz="8" w:color="auto"/>
              <w:right w:val="single" w:sz="8" w:color="auto"/>
            </w:tcBorders>
            <w:gridSpan w:val="2"/>
          </w:tcPr>
          <w:p>
            <w:pPr>
              <w:ind w:left="40"/>
              <w:spacing w:after="0"/>
              <w:rPr>
                <w:sz w:val="20"/>
                <w:szCs w:val="20"/>
                <w:color w:val="auto"/>
              </w:rPr>
            </w:pPr>
            <w:r>
              <w:rPr>
                <w:rFonts w:ascii="Arial" w:cs="Arial" w:eastAsia="Arial" w:hAnsi="Arial"/>
                <w:sz w:val="13"/>
                <w:szCs w:val="13"/>
                <w:color w:val="auto"/>
              </w:rPr>
              <w:t>determined by the Board of Directors.</w:t>
            </w:r>
          </w:p>
        </w:tc>
        <w:tc>
          <w:tcPr>
            <w:tcW w:w="240" w:type="dxa"/>
            <w:vAlign w:val="bottom"/>
            <w:tcBorders>
              <w:right w:val="single" w:sz="8" w:color="auto"/>
            </w:tcBorders>
          </w:tcPr>
          <w:p>
            <w:pPr>
              <w:spacing w:after="0"/>
              <w:rPr>
                <w:sz w:val="14"/>
                <w:szCs w:val="14"/>
                <w:color w:val="auto"/>
              </w:rPr>
            </w:pPr>
          </w:p>
        </w:tc>
        <w:tc>
          <w:tcPr>
            <w:tcW w:w="5520" w:type="dxa"/>
            <w:vAlign w:val="bottom"/>
            <w:tcBorders>
              <w:right w:val="single" w:sz="8" w:color="auto"/>
            </w:tcBorders>
            <w:gridSpan w:val="2"/>
          </w:tcPr>
          <w:p>
            <w:pPr>
              <w:ind w:left="20"/>
              <w:spacing w:after="0"/>
              <w:rPr>
                <w:sz w:val="20"/>
                <w:szCs w:val="20"/>
                <w:color w:val="auto"/>
              </w:rPr>
            </w:pPr>
            <w:r>
              <w:rPr>
                <w:rFonts w:ascii="Arial" w:cs="Arial" w:eastAsia="Arial" w:hAnsi="Arial"/>
                <w:sz w:val="13"/>
                <w:szCs w:val="13"/>
                <w:color w:val="auto"/>
              </w:rPr>
              <w:t>le conseil d'administration.</w:t>
            </w:r>
          </w:p>
        </w:tc>
      </w:tr>
      <w:tr>
        <w:trPr>
          <w:trHeight w:val="153"/>
        </w:trPr>
        <w:tc>
          <w:tcPr>
            <w:tcW w:w="400" w:type="dxa"/>
            <w:vAlign w:val="bottom"/>
            <w:tcBorders>
              <w:left w:val="single" w:sz="8" w:color="auto"/>
              <w:bottom w:val="single" w:sz="8" w:color="auto"/>
            </w:tcBorders>
          </w:tcPr>
          <w:p>
            <w:pPr>
              <w:spacing w:after="0"/>
              <w:rPr>
                <w:sz w:val="13"/>
                <w:szCs w:val="13"/>
                <w:color w:val="auto"/>
              </w:rPr>
            </w:pPr>
          </w:p>
        </w:tc>
        <w:tc>
          <w:tcPr>
            <w:tcW w:w="5140" w:type="dxa"/>
            <w:vAlign w:val="bottom"/>
            <w:tcBorders>
              <w:bottom w:val="single" w:sz="8" w:color="auto"/>
              <w:right w:val="single" w:sz="8" w:color="auto"/>
            </w:tcBorders>
          </w:tcPr>
          <w:p>
            <w:pPr>
              <w:spacing w:after="0"/>
              <w:rPr>
                <w:sz w:val="13"/>
                <w:szCs w:val="13"/>
                <w:color w:val="auto"/>
              </w:rPr>
            </w:pPr>
          </w:p>
        </w:tc>
        <w:tc>
          <w:tcPr>
            <w:tcW w:w="240" w:type="dxa"/>
            <w:vAlign w:val="bottom"/>
            <w:tcBorders>
              <w:bottom w:val="single" w:sz="8" w:color="auto"/>
              <w:right w:val="single" w:sz="8" w:color="auto"/>
            </w:tcBorders>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5140" w:type="dxa"/>
            <w:vAlign w:val="bottom"/>
            <w:tcBorders>
              <w:bottom w:val="single" w:sz="8" w:color="auto"/>
              <w:right w:val="single" w:sz="8" w:color="auto"/>
            </w:tcBorders>
          </w:tcPr>
          <w:p>
            <w:pPr>
              <w:spacing w:after="0"/>
              <w:rPr>
                <w:sz w:val="13"/>
                <w:szCs w:val="13"/>
                <w:color w:val="auto"/>
              </w:rPr>
            </w:pPr>
          </w:p>
        </w:tc>
      </w:tr>
    </w:tbl>
    <w:p>
      <w:pPr>
        <w:spacing w:after="0" w:line="59"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5"/>
          <w:szCs w:val="15"/>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12700</wp:posOffset>
            </wp:positionV>
            <wp:extent cx="7171690" cy="635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71690" cy="6350"/>
                    </a:xfrm>
                    <a:prstGeom prst="rect">
                      <a:avLst/>
                    </a:prstGeom>
                    <a:noFill/>
                  </pic:spPr>
                </pic:pic>
              </a:graphicData>
            </a:graphic>
          </wp:anchor>
        </w:drawing>
      </w:r>
    </w:p>
    <w:p>
      <w:pPr>
        <w:sectPr>
          <w:pgSz w:w="11900" w:h="16838" w:orient="portrait"/>
          <w:cols w:equalWidth="0" w:num="1">
            <w:col w:w="11300"/>
          </w:cols>
          <w:pgMar w:left="300" w:top="448" w:right="299" w:bottom="1440" w:gutter="0" w:footer="0" w:header="0"/>
        </w:sectPr>
      </w:pPr>
    </w:p>
    <w:bookmarkStart w:id="68" w:name="page69"/>
    <w:bookmarkEnd w:id="68"/>
    <w:tbl>
      <w:tblPr>
        <w:tblLayout w:type="fixed"/>
        <w:tblInd w:w="40" w:type="dxa"/>
        <w:tblCellMar>
          <w:top w:w="0" w:type="dxa"/>
          <w:left w:w="0" w:type="dxa"/>
          <w:bottom w:w="0" w:type="dxa"/>
          <w:right w:w="0" w:type="dxa"/>
        </w:tblCellMar>
      </w:tblPr>
      <w:tr>
        <w:trPr>
          <w:trHeight w:val="176"/>
        </w:trPr>
        <w:tc>
          <w:tcPr>
            <w:tcW w:w="5600" w:type="dxa"/>
            <w:vAlign w:val="bottom"/>
          </w:tcPr>
          <w:p>
            <w:pPr>
              <w:spacing w:after="0"/>
              <w:rPr>
                <w:sz w:val="20"/>
                <w:szCs w:val="20"/>
                <w:color w:val="auto"/>
              </w:rPr>
            </w:pPr>
            <w:r>
              <w:rPr>
                <w:rFonts w:ascii="Arial" w:cs="Arial" w:eastAsia="Arial" w:hAnsi="Arial"/>
                <w:sz w:val="13"/>
                <w:szCs w:val="13"/>
                <w:b w:val="1"/>
                <w:bCs w:val="1"/>
                <w:color w:val="auto"/>
              </w:rPr>
              <w:t>Art. 10  Extraordinary General Meeting</w:t>
            </w:r>
          </w:p>
        </w:tc>
        <w:tc>
          <w:tcPr>
            <w:tcW w:w="5620" w:type="dxa"/>
            <w:vAlign w:val="bottom"/>
          </w:tcPr>
          <w:p>
            <w:pPr>
              <w:ind w:left="160"/>
              <w:spacing w:after="0"/>
              <w:rPr>
                <w:sz w:val="20"/>
                <w:szCs w:val="20"/>
                <w:color w:val="auto"/>
              </w:rPr>
            </w:pPr>
            <w:r>
              <w:rPr>
                <w:rFonts w:ascii="Arial" w:cs="Arial" w:eastAsia="Arial" w:hAnsi="Arial"/>
                <w:sz w:val="13"/>
                <w:szCs w:val="13"/>
                <w:b w:val="1"/>
                <w:bCs w:val="1"/>
                <w:color w:val="auto"/>
              </w:rPr>
              <w:t>Art. 10  Assemblée générale extraordinaire</w:t>
            </w:r>
          </w:p>
        </w:tc>
      </w:tr>
      <w:tr>
        <w:trPr>
          <w:trHeight w:val="258"/>
        </w:trPr>
        <w:tc>
          <w:tcPr>
            <w:tcW w:w="5600" w:type="dxa"/>
            <w:vAlign w:val="bottom"/>
          </w:tcPr>
          <w:p>
            <w:pPr>
              <w:spacing w:after="0"/>
              <w:rPr>
                <w:sz w:val="20"/>
                <w:szCs w:val="20"/>
                <w:color w:val="auto"/>
              </w:rPr>
            </w:pPr>
            <w:r>
              <w:rPr>
                <w:rFonts w:ascii="Arial" w:cs="Arial" w:eastAsia="Arial" w:hAnsi="Arial"/>
                <w:sz w:val="13"/>
                <w:szCs w:val="13"/>
                <w:color w:val="auto"/>
              </w:rPr>
              <w:t>Extraordinary General Meetings may be called by resolution of the General Meeting, the</w:t>
            </w:r>
          </w:p>
        </w:tc>
        <w:tc>
          <w:tcPr>
            <w:tcW w:w="5620" w:type="dxa"/>
            <w:vAlign w:val="bottom"/>
          </w:tcPr>
          <w:p>
            <w:pPr>
              <w:ind w:left="160"/>
              <w:spacing w:after="0"/>
              <w:rPr>
                <w:sz w:val="20"/>
                <w:szCs w:val="20"/>
                <w:color w:val="auto"/>
              </w:rPr>
            </w:pPr>
            <w:r>
              <w:rPr>
                <w:rFonts w:ascii="Arial" w:cs="Arial" w:eastAsia="Arial" w:hAnsi="Arial"/>
                <w:sz w:val="13"/>
                <w:szCs w:val="13"/>
                <w:color w:val="auto"/>
              </w:rPr>
              <w:t>Les  assemblées  générales  extraordinaires  peuvent  être  convoquées  par  décision  de</w:t>
            </w:r>
          </w:p>
        </w:tc>
      </w:tr>
      <w:tr>
        <w:trPr>
          <w:trHeight w:val="145"/>
        </w:trPr>
        <w:tc>
          <w:tcPr>
            <w:tcW w:w="5600" w:type="dxa"/>
            <w:vAlign w:val="bottom"/>
          </w:tcPr>
          <w:p>
            <w:pPr>
              <w:spacing w:after="0" w:line="145" w:lineRule="exact"/>
              <w:rPr>
                <w:sz w:val="20"/>
                <w:szCs w:val="20"/>
                <w:color w:val="auto"/>
              </w:rPr>
            </w:pPr>
            <w:r>
              <w:rPr>
                <w:rFonts w:ascii="Arial" w:cs="Arial" w:eastAsia="Arial" w:hAnsi="Arial"/>
                <w:sz w:val="13"/>
                <w:szCs w:val="13"/>
                <w:color w:val="auto"/>
              </w:rPr>
              <w:t>Auditors or the Board of Directors, or by shareholders with voting powers, provided they</w:t>
            </w:r>
          </w:p>
        </w:tc>
        <w:tc>
          <w:tcPr>
            <w:tcW w:w="5620" w:type="dxa"/>
            <w:vAlign w:val="bottom"/>
          </w:tcPr>
          <w:p>
            <w:pPr>
              <w:ind w:left="160"/>
              <w:spacing w:after="0" w:line="145" w:lineRule="exact"/>
              <w:rPr>
                <w:sz w:val="20"/>
                <w:szCs w:val="20"/>
                <w:color w:val="auto"/>
              </w:rPr>
            </w:pPr>
            <w:r>
              <w:rPr>
                <w:rFonts w:ascii="Arial" w:cs="Arial" w:eastAsia="Arial" w:hAnsi="Arial"/>
                <w:sz w:val="13"/>
                <w:szCs w:val="13"/>
                <w:color w:val="auto"/>
              </w:rPr>
              <w:t>l'assemblée  générale,  l'organe  de  révision  ou  le  conseil  d'administration,  ou  par  des</w:t>
            </w:r>
          </w:p>
        </w:tc>
      </w:tr>
      <w:tr>
        <w:trPr>
          <w:trHeight w:val="145"/>
        </w:trPr>
        <w:tc>
          <w:tcPr>
            <w:tcW w:w="5600" w:type="dxa"/>
            <w:vAlign w:val="bottom"/>
          </w:tcPr>
          <w:p>
            <w:pPr>
              <w:spacing w:after="0" w:line="145" w:lineRule="exact"/>
              <w:rPr>
                <w:sz w:val="20"/>
                <w:szCs w:val="20"/>
                <w:color w:val="auto"/>
              </w:rPr>
            </w:pPr>
            <w:r>
              <w:rPr>
                <w:rFonts w:ascii="Arial" w:cs="Arial" w:eastAsia="Arial" w:hAnsi="Arial"/>
                <w:sz w:val="13"/>
                <w:szCs w:val="13"/>
                <w:color w:val="auto"/>
              </w:rPr>
              <w:t>represent at least 10% of the share capital and who submit (a)(1) a request signed by such</w:t>
            </w:r>
          </w:p>
        </w:tc>
        <w:tc>
          <w:tcPr>
            <w:tcW w:w="5620" w:type="dxa"/>
            <w:vAlign w:val="bottom"/>
          </w:tcPr>
          <w:p>
            <w:pPr>
              <w:ind w:left="160"/>
              <w:spacing w:after="0" w:line="145" w:lineRule="exact"/>
              <w:rPr>
                <w:sz w:val="20"/>
                <w:szCs w:val="20"/>
                <w:color w:val="auto"/>
              </w:rPr>
            </w:pPr>
            <w:r>
              <w:rPr>
                <w:rFonts w:ascii="Arial" w:cs="Arial" w:eastAsia="Arial" w:hAnsi="Arial"/>
                <w:sz w:val="13"/>
                <w:szCs w:val="13"/>
                <w:color w:val="auto"/>
                <w:w w:val="99"/>
              </w:rPr>
              <w:t>actionnaires avec droit de vote, à condition qu'ils représentent au moins 10% du capital-actions</w:t>
            </w:r>
          </w:p>
        </w:tc>
      </w:tr>
      <w:tr>
        <w:trPr>
          <w:trHeight w:val="145"/>
        </w:trPr>
        <w:tc>
          <w:tcPr>
            <w:tcW w:w="5600" w:type="dxa"/>
            <w:vAlign w:val="bottom"/>
          </w:tcPr>
          <w:p>
            <w:pPr>
              <w:spacing w:after="0" w:line="145" w:lineRule="exact"/>
              <w:rPr>
                <w:sz w:val="20"/>
                <w:szCs w:val="20"/>
                <w:color w:val="auto"/>
              </w:rPr>
            </w:pPr>
            <w:r>
              <w:rPr>
                <w:rFonts w:ascii="Arial" w:cs="Arial" w:eastAsia="Arial" w:hAnsi="Arial"/>
                <w:sz w:val="13"/>
                <w:szCs w:val="13"/>
                <w:color w:val="auto"/>
              </w:rPr>
              <w:t>shareholder(s) that specifies the item(s) to be included on the agenda, (2) the respective</w:t>
            </w:r>
          </w:p>
        </w:tc>
        <w:tc>
          <w:tcPr>
            <w:tcW w:w="5620" w:type="dxa"/>
            <w:vAlign w:val="bottom"/>
          </w:tcPr>
          <w:p>
            <w:pPr>
              <w:ind w:left="160"/>
              <w:spacing w:after="0" w:line="145" w:lineRule="exact"/>
              <w:rPr>
                <w:sz w:val="20"/>
                <w:szCs w:val="20"/>
                <w:color w:val="auto"/>
              </w:rPr>
            </w:pPr>
            <w:r>
              <w:rPr>
                <w:rFonts w:ascii="Arial" w:cs="Arial" w:eastAsia="Arial" w:hAnsi="Arial"/>
                <w:sz w:val="13"/>
                <w:szCs w:val="13"/>
                <w:color w:val="auto"/>
              </w:rPr>
              <w:t>et qu'ils soumettent (a) (1) une demande signée par le(s)dit(s) actionnaire(s) qui spécifie les</w:t>
            </w:r>
          </w:p>
        </w:tc>
      </w:tr>
      <w:tr>
        <w:trPr>
          <w:trHeight w:val="145"/>
        </w:trPr>
        <w:tc>
          <w:tcPr>
            <w:tcW w:w="5600" w:type="dxa"/>
            <w:vAlign w:val="bottom"/>
          </w:tcPr>
          <w:p>
            <w:pPr>
              <w:spacing w:after="0" w:line="145" w:lineRule="exact"/>
              <w:rPr>
                <w:sz w:val="20"/>
                <w:szCs w:val="20"/>
                <w:color w:val="auto"/>
              </w:rPr>
            </w:pPr>
            <w:r>
              <w:rPr>
                <w:rFonts w:ascii="Arial" w:cs="Arial" w:eastAsia="Arial" w:hAnsi="Arial"/>
                <w:sz w:val="13"/>
                <w:szCs w:val="13"/>
                <w:color w:val="auto"/>
              </w:rPr>
              <w:t>proposals of the shareholders and (3) evidence of the required shareholdings recorded in the</w:t>
            </w:r>
          </w:p>
        </w:tc>
        <w:tc>
          <w:tcPr>
            <w:tcW w:w="5620" w:type="dxa"/>
            <w:vAlign w:val="bottom"/>
          </w:tcPr>
          <w:p>
            <w:pPr>
              <w:ind w:left="160"/>
              <w:spacing w:after="0" w:line="145" w:lineRule="exact"/>
              <w:rPr>
                <w:sz w:val="20"/>
                <w:szCs w:val="20"/>
                <w:color w:val="auto"/>
              </w:rPr>
            </w:pPr>
            <w:r>
              <w:rPr>
                <w:rFonts w:ascii="Arial" w:cs="Arial" w:eastAsia="Arial" w:hAnsi="Arial"/>
                <w:sz w:val="13"/>
                <w:szCs w:val="13"/>
                <w:color w:val="auto"/>
              </w:rPr>
              <w:t>objets à faire figurer sur l'ordre du jour, (2) les propositions respectives de ces actionnaires et</w:t>
            </w:r>
          </w:p>
        </w:tc>
      </w:tr>
      <w:tr>
        <w:trPr>
          <w:trHeight w:val="145"/>
        </w:trPr>
        <w:tc>
          <w:tcPr>
            <w:tcW w:w="5600" w:type="dxa"/>
            <w:vAlign w:val="bottom"/>
          </w:tcPr>
          <w:p>
            <w:pPr>
              <w:spacing w:after="0" w:line="145" w:lineRule="exact"/>
              <w:rPr>
                <w:sz w:val="20"/>
                <w:szCs w:val="20"/>
                <w:color w:val="auto"/>
              </w:rPr>
            </w:pPr>
            <w:r>
              <w:rPr>
                <w:rFonts w:ascii="Arial" w:cs="Arial" w:eastAsia="Arial" w:hAnsi="Arial"/>
                <w:sz w:val="13"/>
                <w:szCs w:val="13"/>
                <w:color w:val="auto"/>
              </w:rPr>
              <w:t>share register and (b) such other information as would be required to be included in a proxy</w:t>
            </w:r>
          </w:p>
        </w:tc>
        <w:tc>
          <w:tcPr>
            <w:tcW w:w="5620" w:type="dxa"/>
            <w:vAlign w:val="bottom"/>
          </w:tcPr>
          <w:p>
            <w:pPr>
              <w:ind w:left="160"/>
              <w:spacing w:after="0" w:line="145" w:lineRule="exact"/>
              <w:rPr>
                <w:sz w:val="20"/>
                <w:szCs w:val="20"/>
                <w:color w:val="auto"/>
              </w:rPr>
            </w:pPr>
            <w:r>
              <w:rPr>
                <w:rFonts w:ascii="Arial" w:cs="Arial" w:eastAsia="Arial" w:hAnsi="Arial"/>
                <w:sz w:val="13"/>
                <w:szCs w:val="13"/>
                <w:color w:val="auto"/>
              </w:rPr>
              <w:t>(3) la preuve des participations requises inscrites dans le registre des actions et (b) les autres</w:t>
            </w:r>
          </w:p>
        </w:tc>
      </w:tr>
      <w:tr>
        <w:trPr>
          <w:trHeight w:val="145"/>
        </w:trPr>
        <w:tc>
          <w:tcPr>
            <w:tcW w:w="5600" w:type="dxa"/>
            <w:vAlign w:val="bottom"/>
          </w:tcPr>
          <w:p>
            <w:pPr>
              <w:spacing w:after="0" w:line="145" w:lineRule="exact"/>
              <w:rPr>
                <w:sz w:val="20"/>
                <w:szCs w:val="20"/>
                <w:color w:val="auto"/>
              </w:rPr>
            </w:pPr>
            <w:r>
              <w:rPr>
                <w:rFonts w:ascii="Arial" w:cs="Arial" w:eastAsia="Arial" w:hAnsi="Arial"/>
                <w:sz w:val="13"/>
                <w:szCs w:val="13"/>
                <w:color w:val="auto"/>
              </w:rPr>
              <w:t>statement pursuant to the rules of the country where the Company's shares are primarily listed.</w:t>
            </w:r>
          </w:p>
        </w:tc>
        <w:tc>
          <w:tcPr>
            <w:tcW w:w="5620" w:type="dxa"/>
            <w:vAlign w:val="bottom"/>
          </w:tcPr>
          <w:p>
            <w:pPr>
              <w:ind w:left="160"/>
              <w:spacing w:after="0" w:line="145" w:lineRule="exact"/>
              <w:rPr>
                <w:sz w:val="20"/>
                <w:szCs w:val="20"/>
                <w:color w:val="auto"/>
              </w:rPr>
            </w:pPr>
            <w:r>
              <w:rPr>
                <w:rFonts w:ascii="Arial" w:cs="Arial" w:eastAsia="Arial" w:hAnsi="Arial"/>
                <w:sz w:val="13"/>
                <w:szCs w:val="13"/>
                <w:color w:val="auto"/>
              </w:rPr>
              <w:t>informations  qui  doivent  être  mentionnées  dans  une  déclaration  (proxy  statement)</w:t>
            </w:r>
          </w:p>
        </w:tc>
      </w:tr>
      <w:tr>
        <w:trPr>
          <w:trHeight w:val="168"/>
        </w:trPr>
        <w:tc>
          <w:tcPr>
            <w:tcW w:w="5600" w:type="dxa"/>
            <w:vAlign w:val="bottom"/>
          </w:tcPr>
          <w:p>
            <w:pPr>
              <w:spacing w:after="0"/>
              <w:rPr>
                <w:sz w:val="14"/>
                <w:szCs w:val="14"/>
                <w:color w:val="auto"/>
              </w:rPr>
            </w:pPr>
          </w:p>
        </w:tc>
        <w:tc>
          <w:tcPr>
            <w:tcW w:w="5620" w:type="dxa"/>
            <w:vAlign w:val="bottom"/>
          </w:tcPr>
          <w:p>
            <w:pPr>
              <w:ind w:left="160"/>
              <w:spacing w:after="0"/>
              <w:rPr>
                <w:sz w:val="20"/>
                <w:szCs w:val="20"/>
                <w:color w:val="auto"/>
              </w:rPr>
            </w:pPr>
            <w:r>
              <w:rPr>
                <w:rFonts w:ascii="Arial" w:cs="Arial" w:eastAsia="Arial" w:hAnsi="Arial"/>
                <w:sz w:val="13"/>
                <w:szCs w:val="13"/>
                <w:color w:val="auto"/>
              </w:rPr>
              <w:t>conformément aux règles du pays où les actions de la société sont principalement cotées.</w:t>
            </w:r>
          </w:p>
        </w:tc>
      </w:tr>
    </w:tbl>
    <w:p>
      <w:pPr>
        <w:spacing w:after="0" w:line="169"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188595</wp:posOffset>
            </wp:positionH>
            <wp:positionV relativeFrom="page">
              <wp:posOffset>297180</wp:posOffset>
            </wp:positionV>
            <wp:extent cx="7171690" cy="258064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71690" cy="258064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76"/>
        </w:trPr>
        <w:tc>
          <w:tcPr>
            <w:tcW w:w="5520" w:type="dxa"/>
            <w:vAlign w:val="bottom"/>
          </w:tcPr>
          <w:p>
            <w:pPr>
              <w:ind w:left="40"/>
              <w:spacing w:after="0"/>
              <w:rPr>
                <w:sz w:val="20"/>
                <w:szCs w:val="20"/>
                <w:color w:val="auto"/>
              </w:rPr>
            </w:pPr>
            <w:r>
              <w:rPr>
                <w:rFonts w:ascii="Arial" w:cs="Arial" w:eastAsia="Arial" w:hAnsi="Arial"/>
                <w:sz w:val="13"/>
                <w:szCs w:val="13"/>
                <w:b w:val="1"/>
                <w:bCs w:val="1"/>
                <w:color w:val="auto"/>
              </w:rPr>
              <w:t>Art. 11  Notice and Agenda of Shareholders' Meetings</w:t>
            </w:r>
          </w:p>
        </w:tc>
        <w:tc>
          <w:tcPr>
            <w:tcW w:w="5780" w:type="dxa"/>
            <w:vAlign w:val="bottom"/>
          </w:tcPr>
          <w:p>
            <w:pPr>
              <w:ind w:left="280"/>
              <w:spacing w:after="0"/>
              <w:rPr>
                <w:sz w:val="20"/>
                <w:szCs w:val="20"/>
                <w:color w:val="auto"/>
              </w:rPr>
            </w:pPr>
            <w:r>
              <w:rPr>
                <w:rFonts w:ascii="Arial" w:cs="Arial" w:eastAsia="Arial" w:hAnsi="Arial"/>
                <w:sz w:val="13"/>
                <w:szCs w:val="13"/>
                <w:b w:val="1"/>
                <w:bCs w:val="1"/>
                <w:color w:val="auto"/>
              </w:rPr>
              <w:t>Art. 11  Convocations et ordres du jour des assemblées générales</w:t>
            </w:r>
          </w:p>
        </w:tc>
      </w:tr>
      <w:tr>
        <w:trPr>
          <w:trHeight w:val="258"/>
        </w:trPr>
        <w:tc>
          <w:tcPr>
            <w:tcW w:w="5520" w:type="dxa"/>
            <w:vAlign w:val="bottom"/>
          </w:tcPr>
          <w:p>
            <w:pPr>
              <w:ind w:left="40"/>
              <w:spacing w:after="0"/>
              <w:rPr>
                <w:sz w:val="20"/>
                <w:szCs w:val="20"/>
                <w:color w:val="auto"/>
              </w:rPr>
            </w:pPr>
            <w:r>
              <w:rPr>
                <w:rFonts w:ascii="Arial" w:cs="Arial" w:eastAsia="Arial" w:hAnsi="Arial"/>
                <w:sz w:val="13"/>
                <w:szCs w:val="13"/>
                <w:color w:val="auto"/>
              </w:rPr>
              <w:t>Notice of a General Meeting of Shareholders shall be given by the Board of Directors or, if</w:t>
            </w:r>
          </w:p>
        </w:tc>
        <w:tc>
          <w:tcPr>
            <w:tcW w:w="5780" w:type="dxa"/>
            <w:vAlign w:val="bottom"/>
          </w:tcPr>
          <w:p>
            <w:pPr>
              <w:ind w:left="280"/>
              <w:spacing w:after="0"/>
              <w:rPr>
                <w:sz w:val="20"/>
                <w:szCs w:val="20"/>
                <w:color w:val="auto"/>
              </w:rPr>
            </w:pPr>
            <w:r>
              <w:rPr>
                <w:rFonts w:ascii="Arial" w:cs="Arial" w:eastAsia="Arial" w:hAnsi="Arial"/>
                <w:sz w:val="13"/>
                <w:szCs w:val="13"/>
                <w:color w:val="auto"/>
              </w:rPr>
              <w:t>L'assemblée générale est convoquée par le conseil d'administration ou, si nécessaire, par</w:t>
            </w:r>
          </w:p>
        </w:tc>
      </w:tr>
      <w:tr>
        <w:trPr>
          <w:trHeight w:val="145"/>
        </w:trPr>
        <w:tc>
          <w:tcPr>
            <w:tcW w:w="5520" w:type="dxa"/>
            <w:vAlign w:val="bottom"/>
          </w:tcPr>
          <w:p>
            <w:pPr>
              <w:ind w:left="40"/>
              <w:spacing w:after="0" w:line="145" w:lineRule="exact"/>
              <w:rPr>
                <w:sz w:val="20"/>
                <w:szCs w:val="20"/>
                <w:color w:val="auto"/>
              </w:rPr>
            </w:pPr>
            <w:r>
              <w:rPr>
                <w:rFonts w:ascii="Arial" w:cs="Arial" w:eastAsia="Arial" w:hAnsi="Arial"/>
                <w:sz w:val="13"/>
                <w:szCs w:val="13"/>
                <w:color w:val="auto"/>
              </w:rPr>
              <w:t>necessary, by the Auditor, not later than twenty calendar days prior to the date of the General</w:t>
            </w:r>
          </w:p>
        </w:tc>
        <w:tc>
          <w:tcPr>
            <w:tcW w:w="5780" w:type="dxa"/>
            <w:vAlign w:val="bottom"/>
          </w:tcPr>
          <w:p>
            <w:pPr>
              <w:ind w:left="280"/>
              <w:spacing w:after="0" w:line="145" w:lineRule="exact"/>
              <w:rPr>
                <w:sz w:val="20"/>
                <w:szCs w:val="20"/>
                <w:color w:val="auto"/>
              </w:rPr>
            </w:pPr>
            <w:r>
              <w:rPr>
                <w:rFonts w:ascii="Arial" w:cs="Arial" w:eastAsia="Arial" w:hAnsi="Arial"/>
                <w:sz w:val="13"/>
                <w:szCs w:val="13"/>
                <w:color w:val="auto"/>
              </w:rPr>
              <w:t>l'organe de révision, au moins 20 jours avant la tenue de l'assemblée générale des</w:t>
            </w:r>
          </w:p>
        </w:tc>
      </w:tr>
      <w:tr>
        <w:trPr>
          <w:trHeight w:val="145"/>
        </w:trPr>
        <w:tc>
          <w:tcPr>
            <w:tcW w:w="5520" w:type="dxa"/>
            <w:vAlign w:val="bottom"/>
          </w:tcPr>
          <w:p>
            <w:pPr>
              <w:ind w:left="40"/>
              <w:spacing w:after="0" w:line="145" w:lineRule="exact"/>
              <w:rPr>
                <w:sz w:val="20"/>
                <w:szCs w:val="20"/>
                <w:color w:val="auto"/>
              </w:rPr>
            </w:pPr>
            <w:r>
              <w:rPr>
                <w:rFonts w:ascii="Arial" w:cs="Arial" w:eastAsia="Arial" w:hAnsi="Arial"/>
                <w:sz w:val="13"/>
                <w:szCs w:val="13"/>
                <w:color w:val="auto"/>
              </w:rPr>
              <w:t>Meeting of Shareholders. Notice of the General Meeting of Shareholders shall be given by way</w:t>
            </w:r>
          </w:p>
        </w:tc>
        <w:tc>
          <w:tcPr>
            <w:tcW w:w="5780" w:type="dxa"/>
            <w:vAlign w:val="bottom"/>
          </w:tcPr>
          <w:p>
            <w:pPr>
              <w:ind w:left="280"/>
              <w:spacing w:after="0" w:line="145" w:lineRule="exact"/>
              <w:rPr>
                <w:sz w:val="20"/>
                <w:szCs w:val="20"/>
                <w:color w:val="auto"/>
              </w:rPr>
            </w:pPr>
            <w:r>
              <w:rPr>
                <w:rFonts w:ascii="Arial" w:cs="Arial" w:eastAsia="Arial" w:hAnsi="Arial"/>
                <w:sz w:val="13"/>
                <w:szCs w:val="13"/>
                <w:color w:val="auto"/>
              </w:rPr>
              <w:t>actionnaires. La convocation à l'assemblée générale des actionnaires doit être faite au moyen</w:t>
            </w:r>
          </w:p>
        </w:tc>
      </w:tr>
      <w:tr>
        <w:trPr>
          <w:trHeight w:val="145"/>
        </w:trPr>
        <w:tc>
          <w:tcPr>
            <w:tcW w:w="5520" w:type="dxa"/>
            <w:vAlign w:val="bottom"/>
          </w:tcPr>
          <w:p>
            <w:pPr>
              <w:ind w:left="40"/>
              <w:spacing w:after="0" w:line="145" w:lineRule="exact"/>
              <w:rPr>
                <w:sz w:val="20"/>
                <w:szCs w:val="20"/>
                <w:color w:val="auto"/>
              </w:rPr>
            </w:pPr>
            <w:r>
              <w:rPr>
                <w:rFonts w:ascii="Arial" w:cs="Arial" w:eastAsia="Arial" w:hAnsi="Arial"/>
                <w:sz w:val="13"/>
                <w:szCs w:val="13"/>
                <w:color w:val="auto"/>
              </w:rPr>
              <w:t>of a one-time announcement in the official means of publication of the Company pursuant to</w:t>
            </w:r>
          </w:p>
        </w:tc>
        <w:tc>
          <w:tcPr>
            <w:tcW w:w="5780" w:type="dxa"/>
            <w:vAlign w:val="bottom"/>
          </w:tcPr>
          <w:p>
            <w:pPr>
              <w:ind w:left="280"/>
              <w:spacing w:after="0" w:line="145" w:lineRule="exact"/>
              <w:rPr>
                <w:sz w:val="20"/>
                <w:szCs w:val="20"/>
                <w:color w:val="auto"/>
              </w:rPr>
            </w:pPr>
            <w:r>
              <w:rPr>
                <w:rFonts w:ascii="Arial" w:cs="Arial" w:eastAsia="Arial" w:hAnsi="Arial"/>
                <w:sz w:val="13"/>
                <w:szCs w:val="13"/>
                <w:color w:val="auto"/>
              </w:rPr>
              <w:t>d'une seule publication conformément à l'article 46 de ces statuts. La période de préavis sera</w:t>
            </w:r>
          </w:p>
        </w:tc>
      </w:tr>
      <w:tr>
        <w:trPr>
          <w:trHeight w:val="145"/>
        </w:trPr>
        <w:tc>
          <w:tcPr>
            <w:tcW w:w="5520" w:type="dxa"/>
            <w:vAlign w:val="bottom"/>
          </w:tcPr>
          <w:p>
            <w:pPr>
              <w:ind w:left="40"/>
              <w:spacing w:after="0" w:line="145" w:lineRule="exact"/>
              <w:rPr>
                <w:sz w:val="20"/>
                <w:szCs w:val="20"/>
                <w:color w:val="auto"/>
              </w:rPr>
            </w:pPr>
            <w:r>
              <w:rPr>
                <w:rFonts w:ascii="Arial" w:cs="Arial" w:eastAsia="Arial" w:hAnsi="Arial"/>
                <w:sz w:val="13"/>
                <w:szCs w:val="13"/>
                <w:color w:val="auto"/>
              </w:rPr>
              <w:t>Article 46 of these Articles of Association. The notice period shall be deemed to have been</w:t>
            </w:r>
          </w:p>
        </w:tc>
        <w:tc>
          <w:tcPr>
            <w:tcW w:w="5780" w:type="dxa"/>
            <w:vAlign w:val="bottom"/>
          </w:tcPr>
          <w:p>
            <w:pPr>
              <w:ind w:left="280"/>
              <w:spacing w:after="0" w:line="145" w:lineRule="exact"/>
              <w:rPr>
                <w:sz w:val="20"/>
                <w:szCs w:val="20"/>
                <w:color w:val="auto"/>
              </w:rPr>
            </w:pPr>
            <w:r>
              <w:rPr>
                <w:rFonts w:ascii="Arial" w:cs="Arial" w:eastAsia="Arial" w:hAnsi="Arial"/>
                <w:sz w:val="13"/>
                <w:szCs w:val="13"/>
                <w:color w:val="auto"/>
              </w:rPr>
              <w:t>réputée avoir été respectée si la convocation à l'assemblée générale des actionnaires est</w:t>
            </w:r>
          </w:p>
        </w:tc>
      </w:tr>
      <w:tr>
        <w:trPr>
          <w:trHeight w:val="145"/>
        </w:trPr>
        <w:tc>
          <w:tcPr>
            <w:tcW w:w="5520" w:type="dxa"/>
            <w:vAlign w:val="bottom"/>
          </w:tcPr>
          <w:p>
            <w:pPr>
              <w:ind w:left="40"/>
              <w:spacing w:after="0" w:line="145" w:lineRule="exact"/>
              <w:rPr>
                <w:sz w:val="20"/>
                <w:szCs w:val="20"/>
                <w:color w:val="auto"/>
              </w:rPr>
            </w:pPr>
            <w:r>
              <w:rPr>
                <w:rFonts w:ascii="Arial" w:cs="Arial" w:eastAsia="Arial" w:hAnsi="Arial"/>
                <w:sz w:val="13"/>
                <w:szCs w:val="13"/>
                <w:color w:val="auto"/>
                <w:w w:val="99"/>
              </w:rPr>
              <w:t>observed if notice of the General Meeting of Shareholders is published in such official means of</w:t>
            </w:r>
          </w:p>
        </w:tc>
        <w:tc>
          <w:tcPr>
            <w:tcW w:w="5780" w:type="dxa"/>
            <w:vAlign w:val="bottom"/>
          </w:tcPr>
          <w:p>
            <w:pPr>
              <w:ind w:left="280"/>
              <w:spacing w:after="0" w:line="145" w:lineRule="exact"/>
              <w:rPr>
                <w:sz w:val="20"/>
                <w:szCs w:val="20"/>
                <w:color w:val="auto"/>
              </w:rPr>
            </w:pPr>
            <w:r>
              <w:rPr>
                <w:rFonts w:ascii="Arial" w:cs="Arial" w:eastAsia="Arial" w:hAnsi="Arial"/>
                <w:sz w:val="13"/>
                <w:szCs w:val="13"/>
                <w:color w:val="auto"/>
              </w:rPr>
              <w:t>publiée conformément à l'article 46 de ces statuts, étant entendu que la date de publication ne</w:t>
            </w:r>
          </w:p>
        </w:tc>
      </w:tr>
      <w:tr>
        <w:trPr>
          <w:trHeight w:val="145"/>
        </w:trPr>
        <w:tc>
          <w:tcPr>
            <w:tcW w:w="5520" w:type="dxa"/>
            <w:vAlign w:val="bottom"/>
          </w:tcPr>
          <w:p>
            <w:pPr>
              <w:ind w:left="40"/>
              <w:spacing w:after="0" w:line="145" w:lineRule="exact"/>
              <w:rPr>
                <w:sz w:val="20"/>
                <w:szCs w:val="20"/>
                <w:color w:val="auto"/>
              </w:rPr>
            </w:pPr>
            <w:r>
              <w:rPr>
                <w:rFonts w:ascii="Arial" w:cs="Arial" w:eastAsia="Arial" w:hAnsi="Arial"/>
                <w:sz w:val="13"/>
                <w:szCs w:val="13"/>
                <w:color w:val="auto"/>
              </w:rPr>
              <w:t>publication, it being understood that the date of publication shall not be computed in the notice</w:t>
            </w:r>
          </w:p>
        </w:tc>
        <w:tc>
          <w:tcPr>
            <w:tcW w:w="5780" w:type="dxa"/>
            <w:vAlign w:val="bottom"/>
          </w:tcPr>
          <w:p>
            <w:pPr>
              <w:ind w:left="280"/>
              <w:spacing w:after="0" w:line="145" w:lineRule="exact"/>
              <w:rPr>
                <w:sz w:val="20"/>
                <w:szCs w:val="20"/>
                <w:color w:val="auto"/>
              </w:rPr>
            </w:pPr>
            <w:r>
              <w:rPr>
                <w:rFonts w:ascii="Arial" w:cs="Arial" w:eastAsia="Arial" w:hAnsi="Arial"/>
                <w:sz w:val="13"/>
                <w:szCs w:val="13"/>
                <w:color w:val="auto"/>
              </w:rPr>
              <w:t>doit pas être calculée dans la période de préavis. Les actionnaires inscrits peuvent en outre</w:t>
            </w:r>
          </w:p>
        </w:tc>
      </w:tr>
      <w:tr>
        <w:trPr>
          <w:trHeight w:val="145"/>
        </w:trPr>
        <w:tc>
          <w:tcPr>
            <w:tcW w:w="5520" w:type="dxa"/>
            <w:vAlign w:val="bottom"/>
          </w:tcPr>
          <w:p>
            <w:pPr>
              <w:ind w:left="40"/>
              <w:spacing w:after="0" w:line="145" w:lineRule="exact"/>
              <w:rPr>
                <w:sz w:val="20"/>
                <w:szCs w:val="20"/>
                <w:color w:val="auto"/>
              </w:rPr>
            </w:pPr>
            <w:r>
              <w:rPr>
                <w:rFonts w:ascii="Arial" w:cs="Arial" w:eastAsia="Arial" w:hAnsi="Arial"/>
                <w:sz w:val="13"/>
                <w:szCs w:val="13"/>
                <w:color w:val="auto"/>
              </w:rPr>
              <w:t>period. Shareholders of record may in addition be informed of the General Meeting of</w:t>
            </w:r>
          </w:p>
        </w:tc>
        <w:tc>
          <w:tcPr>
            <w:tcW w:w="5780" w:type="dxa"/>
            <w:vAlign w:val="bottom"/>
          </w:tcPr>
          <w:p>
            <w:pPr>
              <w:ind w:left="280"/>
              <w:spacing w:after="0" w:line="145" w:lineRule="exact"/>
              <w:rPr>
                <w:sz w:val="20"/>
                <w:szCs w:val="20"/>
                <w:color w:val="auto"/>
              </w:rPr>
            </w:pPr>
            <w:r>
              <w:rPr>
                <w:rFonts w:ascii="Arial" w:cs="Arial" w:eastAsia="Arial" w:hAnsi="Arial"/>
                <w:sz w:val="13"/>
                <w:szCs w:val="13"/>
                <w:color w:val="auto"/>
              </w:rPr>
              <w:t>être informés de l'assemblée générale des actionnaires par courrier ordinaire ou par e-mail.</w:t>
            </w:r>
          </w:p>
        </w:tc>
      </w:tr>
      <w:tr>
        <w:trPr>
          <w:trHeight w:val="168"/>
        </w:trPr>
        <w:tc>
          <w:tcPr>
            <w:tcW w:w="5520" w:type="dxa"/>
            <w:vAlign w:val="bottom"/>
          </w:tcPr>
          <w:p>
            <w:pPr>
              <w:ind w:left="40"/>
              <w:spacing w:after="0"/>
              <w:rPr>
                <w:sz w:val="20"/>
                <w:szCs w:val="20"/>
                <w:color w:val="auto"/>
              </w:rPr>
            </w:pPr>
            <w:r>
              <w:rPr>
                <w:rFonts w:ascii="Arial" w:cs="Arial" w:eastAsia="Arial" w:hAnsi="Arial"/>
                <w:sz w:val="13"/>
                <w:szCs w:val="13"/>
                <w:color w:val="auto"/>
              </w:rPr>
              <w:t>Shareholders by ordinary mail or e-mail.</w:t>
            </w:r>
          </w:p>
        </w:tc>
        <w:tc>
          <w:tcPr>
            <w:tcW w:w="5780" w:type="dxa"/>
            <w:vAlign w:val="bottom"/>
          </w:tcPr>
          <w:p>
            <w:pPr>
              <w:spacing w:after="0"/>
              <w:rPr>
                <w:sz w:val="14"/>
                <w:szCs w:val="14"/>
                <w:color w:val="auto"/>
              </w:rPr>
            </w:pPr>
          </w:p>
        </w:tc>
      </w:tr>
      <w:tr>
        <w:trPr>
          <w:trHeight w:val="153"/>
        </w:trPr>
        <w:tc>
          <w:tcPr>
            <w:tcW w:w="5520" w:type="dxa"/>
            <w:vAlign w:val="bottom"/>
            <w:tcBorders>
              <w:bottom w:val="single" w:sz="8" w:color="auto"/>
            </w:tcBorders>
          </w:tcPr>
          <w:p>
            <w:pPr>
              <w:spacing w:after="0"/>
              <w:rPr>
                <w:sz w:val="13"/>
                <w:szCs w:val="13"/>
                <w:color w:val="auto"/>
              </w:rPr>
            </w:pPr>
          </w:p>
        </w:tc>
        <w:tc>
          <w:tcPr>
            <w:tcW w:w="5780" w:type="dxa"/>
            <w:vAlign w:val="bottom"/>
            <w:tcBorders>
              <w:bottom w:val="single" w:sz="8" w:color="auto"/>
            </w:tcBorders>
          </w:tcPr>
          <w:p>
            <w:pPr>
              <w:spacing w:after="0"/>
              <w:rPr>
                <w:sz w:val="13"/>
                <w:szCs w:val="13"/>
                <w:color w:val="auto"/>
              </w:rPr>
            </w:pPr>
          </w:p>
        </w:tc>
      </w:tr>
      <w:tr>
        <w:trPr>
          <w:trHeight w:val="141"/>
        </w:trPr>
        <w:tc>
          <w:tcPr>
            <w:tcW w:w="5520" w:type="dxa"/>
            <w:vAlign w:val="bottom"/>
          </w:tcPr>
          <w:p>
            <w:pPr>
              <w:ind w:left="40"/>
              <w:spacing w:after="0" w:line="141" w:lineRule="exact"/>
              <w:rPr>
                <w:sz w:val="20"/>
                <w:szCs w:val="20"/>
                <w:color w:val="auto"/>
              </w:rPr>
            </w:pPr>
            <w:r>
              <w:rPr>
                <w:rFonts w:ascii="Arial" w:cs="Arial" w:eastAsia="Arial" w:hAnsi="Arial"/>
                <w:sz w:val="13"/>
                <w:szCs w:val="13"/>
                <w:color w:val="auto"/>
              </w:rPr>
              <w:t>The notice of a General Meeting of Shareholders shall specify the items on the agenda and the</w:t>
            </w:r>
          </w:p>
        </w:tc>
        <w:tc>
          <w:tcPr>
            <w:tcW w:w="5780" w:type="dxa"/>
            <w:vAlign w:val="bottom"/>
          </w:tcPr>
          <w:p>
            <w:pPr>
              <w:ind w:left="280"/>
              <w:spacing w:after="0" w:line="141" w:lineRule="exact"/>
              <w:rPr>
                <w:sz w:val="20"/>
                <w:szCs w:val="20"/>
                <w:color w:val="auto"/>
              </w:rPr>
            </w:pPr>
            <w:r>
              <w:rPr>
                <w:rFonts w:ascii="Arial" w:cs="Arial" w:eastAsia="Arial" w:hAnsi="Arial"/>
                <w:sz w:val="13"/>
                <w:szCs w:val="13"/>
                <w:color w:val="auto"/>
              </w:rPr>
              <w:t>La convocation à l'assemblée générale des actionnaires doit préciser les objets de l'ordre du</w:t>
            </w:r>
          </w:p>
        </w:tc>
      </w:tr>
      <w:tr>
        <w:trPr>
          <w:trHeight w:val="145"/>
        </w:trPr>
        <w:tc>
          <w:tcPr>
            <w:tcW w:w="5520" w:type="dxa"/>
            <w:vAlign w:val="bottom"/>
          </w:tcPr>
          <w:p>
            <w:pPr>
              <w:ind w:left="40"/>
              <w:spacing w:after="0" w:line="145" w:lineRule="exact"/>
              <w:rPr>
                <w:sz w:val="20"/>
                <w:szCs w:val="20"/>
                <w:color w:val="auto"/>
              </w:rPr>
            </w:pPr>
            <w:r>
              <w:rPr>
                <w:rFonts w:ascii="Arial" w:cs="Arial" w:eastAsia="Arial" w:hAnsi="Arial"/>
                <w:sz w:val="13"/>
                <w:szCs w:val="13"/>
                <w:color w:val="auto"/>
              </w:rPr>
              <w:t>proposals of the Board of Directors and the shareholder(s) who requested that a General</w:t>
            </w:r>
          </w:p>
        </w:tc>
        <w:tc>
          <w:tcPr>
            <w:tcW w:w="5780" w:type="dxa"/>
            <w:vAlign w:val="bottom"/>
          </w:tcPr>
          <w:p>
            <w:pPr>
              <w:ind w:left="280"/>
              <w:spacing w:after="0" w:line="145" w:lineRule="exact"/>
              <w:rPr>
                <w:sz w:val="20"/>
                <w:szCs w:val="20"/>
                <w:color w:val="auto"/>
              </w:rPr>
            </w:pPr>
            <w:r>
              <w:rPr>
                <w:rFonts w:ascii="Arial" w:cs="Arial" w:eastAsia="Arial" w:hAnsi="Arial"/>
                <w:sz w:val="13"/>
                <w:szCs w:val="13"/>
                <w:color w:val="auto"/>
                <w:w w:val="99"/>
              </w:rPr>
              <w:t>jour et les propositions du conseil d'administration et l'/les actionnaire(s) qui a/ont demandé que</w:t>
            </w:r>
          </w:p>
        </w:tc>
      </w:tr>
      <w:tr>
        <w:trPr>
          <w:trHeight w:val="145"/>
        </w:trPr>
        <w:tc>
          <w:tcPr>
            <w:tcW w:w="5520" w:type="dxa"/>
            <w:vAlign w:val="bottom"/>
          </w:tcPr>
          <w:p>
            <w:pPr>
              <w:ind w:left="40"/>
              <w:spacing w:after="0" w:line="145" w:lineRule="exact"/>
              <w:rPr>
                <w:sz w:val="20"/>
                <w:szCs w:val="20"/>
                <w:color w:val="auto"/>
              </w:rPr>
            </w:pPr>
            <w:r>
              <w:rPr>
                <w:rFonts w:ascii="Arial" w:cs="Arial" w:eastAsia="Arial" w:hAnsi="Arial"/>
                <w:sz w:val="13"/>
                <w:szCs w:val="13"/>
                <w:color w:val="auto"/>
              </w:rPr>
              <w:t>Meeting of Shareholders be held or an item be included on the agenda, and, in the event of</w:t>
            </w:r>
          </w:p>
        </w:tc>
        <w:tc>
          <w:tcPr>
            <w:tcW w:w="5780" w:type="dxa"/>
            <w:vAlign w:val="bottom"/>
          </w:tcPr>
          <w:p>
            <w:pPr>
              <w:ind w:left="280"/>
              <w:spacing w:after="0" w:line="145" w:lineRule="exact"/>
              <w:rPr>
                <w:sz w:val="20"/>
                <w:szCs w:val="20"/>
                <w:color w:val="auto"/>
              </w:rPr>
            </w:pPr>
            <w:r>
              <w:rPr>
                <w:rFonts w:ascii="Arial" w:cs="Arial" w:eastAsia="Arial" w:hAnsi="Arial"/>
                <w:sz w:val="13"/>
                <w:szCs w:val="13"/>
                <w:color w:val="auto"/>
              </w:rPr>
              <w:t>l'assemblée générale des actionnaires ait lieu ou qu'un objet soit inscrit à l'ordre du jour, et,</w:t>
            </w:r>
          </w:p>
        </w:tc>
      </w:tr>
      <w:tr>
        <w:trPr>
          <w:trHeight w:val="173"/>
        </w:trPr>
        <w:tc>
          <w:tcPr>
            <w:tcW w:w="5520" w:type="dxa"/>
            <w:vAlign w:val="bottom"/>
            <w:tcBorders>
              <w:bottom w:val="single" w:sz="8" w:color="auto"/>
            </w:tcBorders>
          </w:tcPr>
          <w:p>
            <w:pPr>
              <w:ind w:left="40"/>
              <w:spacing w:after="0"/>
              <w:rPr>
                <w:sz w:val="20"/>
                <w:szCs w:val="20"/>
                <w:color w:val="auto"/>
              </w:rPr>
            </w:pPr>
            <w:r>
              <w:rPr>
                <w:rFonts w:ascii="Arial" w:cs="Arial" w:eastAsia="Arial" w:hAnsi="Arial"/>
                <w:sz w:val="13"/>
                <w:szCs w:val="13"/>
                <w:color w:val="auto"/>
              </w:rPr>
              <w:t>elections,</w:t>
            </w:r>
          </w:p>
        </w:tc>
        <w:tc>
          <w:tcPr>
            <w:tcW w:w="5780" w:type="dxa"/>
            <w:vAlign w:val="bottom"/>
            <w:tcBorders>
              <w:bottom w:val="single" w:sz="8" w:color="auto"/>
            </w:tcBorders>
          </w:tcPr>
          <w:p>
            <w:pPr>
              <w:ind w:left="280"/>
              <w:spacing w:after="0"/>
              <w:rPr>
                <w:sz w:val="20"/>
                <w:szCs w:val="20"/>
                <w:color w:val="auto"/>
              </w:rPr>
            </w:pPr>
            <w:r>
              <w:rPr>
                <w:rFonts w:ascii="Arial" w:cs="Arial" w:eastAsia="Arial" w:hAnsi="Arial"/>
                <w:sz w:val="13"/>
                <w:szCs w:val="13"/>
                <w:color w:val="auto"/>
              </w:rPr>
              <w:t>dans le cas</w:t>
            </w:r>
          </w:p>
        </w:tc>
      </w:tr>
      <w:tr>
        <w:trPr>
          <w:trHeight w:val="245"/>
        </w:trPr>
        <w:tc>
          <w:tcPr>
            <w:tcW w:w="5520" w:type="dxa"/>
            <w:vAlign w:val="bottom"/>
            <w:tcBorders>
              <w:bottom w:val="single" w:sz="8" w:color="auto"/>
            </w:tcBorders>
          </w:tcPr>
          <w:p>
            <w:pPr>
              <w:spacing w:after="0"/>
              <w:rPr>
                <w:sz w:val="21"/>
                <w:szCs w:val="21"/>
                <w:color w:val="auto"/>
              </w:rPr>
            </w:pPr>
          </w:p>
        </w:tc>
        <w:tc>
          <w:tcPr>
            <w:tcW w:w="578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5"/>
                <w:szCs w:val="15"/>
                <w:color w:val="auto"/>
              </w:rPr>
              <w:t>11</w:t>
            </w:r>
          </w:p>
        </w:tc>
      </w:tr>
    </w:tbl>
    <w:p>
      <w:pPr>
        <w:sectPr>
          <w:pgSz w:w="11900" w:h="16838" w:orient="portrait"/>
          <w:cols w:equalWidth="0" w:num="1">
            <w:col w:w="11300"/>
          </w:cols>
          <w:pgMar w:left="300" w:top="484" w:right="299" w:bottom="1440" w:gutter="0" w:footer="0" w:header="0"/>
        </w:sectPr>
      </w:pPr>
    </w:p>
    <w:bookmarkStart w:id="69" w:name="page70"/>
    <w:bookmarkEnd w:id="69"/>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161"/>
        </w:trPr>
        <w:tc>
          <w:tcPr>
            <w:tcW w:w="5540" w:type="dxa"/>
            <w:vAlign w:val="bottom"/>
            <w:tcBorders>
              <w:top w:val="single" w:sz="8" w:color="auto"/>
              <w:left w:val="single" w:sz="8" w:color="auto"/>
              <w:right w:val="single" w:sz="8" w:color="auto"/>
            </w:tcBorders>
          </w:tcPr>
          <w:p>
            <w:pPr>
              <w:ind w:left="40"/>
              <w:spacing w:after="0"/>
              <w:rPr>
                <w:sz w:val="20"/>
                <w:szCs w:val="20"/>
                <w:color w:val="auto"/>
              </w:rPr>
            </w:pPr>
            <w:r>
              <w:rPr>
                <w:rFonts w:ascii="Arial" w:cs="Arial" w:eastAsia="Arial" w:hAnsi="Arial"/>
                <w:sz w:val="13"/>
                <w:szCs w:val="13"/>
                <w:color w:val="auto"/>
              </w:rPr>
              <w:t>the name(s) of the candidate(s) that has or have been put on the ballot for election.</w:t>
            </w:r>
          </w:p>
        </w:tc>
        <w:tc>
          <w:tcPr>
            <w:tcW w:w="240" w:type="dxa"/>
            <w:vAlign w:val="bottom"/>
            <w:tcBorders>
              <w:top w:val="single" w:sz="8" w:color="auto"/>
              <w:right w:val="single" w:sz="8" w:color="auto"/>
            </w:tcBorders>
          </w:tcPr>
          <w:p>
            <w:pPr>
              <w:spacing w:after="0"/>
              <w:rPr>
                <w:sz w:val="14"/>
                <w:szCs w:val="14"/>
                <w:color w:val="auto"/>
              </w:rPr>
            </w:pPr>
          </w:p>
        </w:tc>
        <w:tc>
          <w:tcPr>
            <w:tcW w:w="5520" w:type="dxa"/>
            <w:vAlign w:val="bottom"/>
            <w:tcBorders>
              <w:top w:val="single" w:sz="8" w:color="auto"/>
              <w:right w:val="single" w:sz="8" w:color="auto"/>
            </w:tcBorders>
          </w:tcPr>
          <w:p>
            <w:pPr>
              <w:ind w:left="20"/>
              <w:spacing w:after="0"/>
              <w:rPr>
                <w:sz w:val="20"/>
                <w:szCs w:val="20"/>
                <w:color w:val="auto"/>
              </w:rPr>
            </w:pPr>
            <w:r>
              <w:rPr>
                <w:rFonts w:ascii="Arial" w:cs="Arial" w:eastAsia="Arial" w:hAnsi="Arial"/>
                <w:sz w:val="13"/>
                <w:szCs w:val="13"/>
                <w:color w:val="auto"/>
              </w:rPr>
              <w:t>d'élections, le/les nom(s) du/des candidat(s) qui a ou ont été mis sur le bulletin de vote pour</w:t>
            </w:r>
          </w:p>
        </w:tc>
      </w:tr>
      <w:tr>
        <w:trPr>
          <w:trHeight w:val="173"/>
        </w:trPr>
        <w:tc>
          <w:tcPr>
            <w:tcW w:w="5540" w:type="dxa"/>
            <w:vAlign w:val="bottom"/>
            <w:tcBorders>
              <w:left w:val="single" w:sz="8" w:color="auto"/>
              <w:bottom w:val="single" w:sz="8" w:color="auto"/>
              <w:right w:val="single" w:sz="8" w:color="auto"/>
            </w:tcBorders>
          </w:tcPr>
          <w:p>
            <w:pPr>
              <w:spacing w:after="0"/>
              <w:rPr>
                <w:sz w:val="15"/>
                <w:szCs w:val="15"/>
                <w:color w:val="auto"/>
              </w:rPr>
            </w:pPr>
          </w:p>
        </w:tc>
        <w:tc>
          <w:tcPr>
            <w:tcW w:w="240" w:type="dxa"/>
            <w:vAlign w:val="bottom"/>
            <w:tcBorders>
              <w:bottom w:val="single" w:sz="8" w:color="auto"/>
              <w:right w:val="single" w:sz="8" w:color="auto"/>
            </w:tcBorders>
          </w:tcPr>
          <w:p>
            <w:pPr>
              <w:spacing w:after="0"/>
              <w:rPr>
                <w:sz w:val="15"/>
                <w:szCs w:val="15"/>
                <w:color w:val="auto"/>
              </w:rPr>
            </w:pPr>
          </w:p>
        </w:tc>
        <w:tc>
          <w:tcPr>
            <w:tcW w:w="55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3"/>
                <w:szCs w:val="13"/>
                <w:color w:val="auto"/>
              </w:rPr>
              <w:t>l'élection.</w:t>
            </w:r>
          </w:p>
        </w:tc>
      </w:tr>
      <w:tr>
        <w:trPr>
          <w:trHeight w:val="173"/>
        </w:trPr>
        <w:tc>
          <w:tcPr>
            <w:tcW w:w="554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3"/>
                <w:szCs w:val="13"/>
                <w:color w:val="auto"/>
              </w:rPr>
              <w:t>The Board of Directors shall state the matters on the agenda.</w:t>
            </w:r>
          </w:p>
        </w:tc>
        <w:tc>
          <w:tcPr>
            <w:tcW w:w="240" w:type="dxa"/>
            <w:vAlign w:val="bottom"/>
            <w:tcBorders>
              <w:bottom w:val="single" w:sz="8" w:color="auto"/>
              <w:right w:val="single" w:sz="8" w:color="auto"/>
            </w:tcBorders>
          </w:tcPr>
          <w:p>
            <w:pPr>
              <w:spacing w:after="0"/>
              <w:rPr>
                <w:sz w:val="15"/>
                <w:szCs w:val="15"/>
                <w:color w:val="auto"/>
              </w:rPr>
            </w:pPr>
          </w:p>
        </w:tc>
        <w:tc>
          <w:tcPr>
            <w:tcW w:w="55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3"/>
                <w:szCs w:val="13"/>
                <w:color w:val="auto"/>
              </w:rPr>
              <w:t>Le conseil d'administration doit indiquer les objets de l'ordre du jour.</w:t>
            </w:r>
          </w:p>
        </w:tc>
      </w:tr>
      <w:tr>
        <w:trPr>
          <w:trHeight w:val="145"/>
        </w:trPr>
        <w:tc>
          <w:tcPr>
            <w:tcW w:w="5540" w:type="dxa"/>
            <w:vAlign w:val="bottom"/>
            <w:tcBorders>
              <w:left w:val="single" w:sz="8" w:color="auto"/>
              <w:right w:val="single" w:sz="8" w:color="auto"/>
            </w:tcBorders>
          </w:tcPr>
          <w:p>
            <w:pPr>
              <w:ind w:left="40"/>
              <w:spacing w:after="0" w:line="146" w:lineRule="exact"/>
              <w:rPr>
                <w:sz w:val="20"/>
                <w:szCs w:val="20"/>
                <w:color w:val="auto"/>
              </w:rPr>
            </w:pPr>
            <w:r>
              <w:rPr>
                <w:rFonts w:ascii="Arial" w:cs="Arial" w:eastAsia="Arial" w:hAnsi="Arial"/>
                <w:sz w:val="13"/>
                <w:szCs w:val="13"/>
                <w:color w:val="auto"/>
                <w:w w:val="99"/>
              </w:rPr>
              <w:t>Shareholders who represent an aggregate of at least 10 percent of the share capital or together</w:t>
            </w:r>
          </w:p>
        </w:tc>
        <w:tc>
          <w:tcPr>
            <w:tcW w:w="240" w:type="dxa"/>
            <w:vAlign w:val="bottom"/>
            <w:tcBorders>
              <w:right w:val="single" w:sz="8" w:color="auto"/>
            </w:tcBorders>
          </w:tcPr>
          <w:p>
            <w:pPr>
              <w:spacing w:after="0"/>
              <w:rPr>
                <w:sz w:val="12"/>
                <w:szCs w:val="12"/>
                <w:color w:val="auto"/>
              </w:rPr>
            </w:pPr>
          </w:p>
        </w:tc>
        <w:tc>
          <w:tcPr>
            <w:tcW w:w="5520" w:type="dxa"/>
            <w:vAlign w:val="bottom"/>
            <w:tcBorders>
              <w:right w:val="single" w:sz="8" w:color="auto"/>
            </w:tcBorders>
          </w:tcPr>
          <w:p>
            <w:pPr>
              <w:ind w:left="20"/>
              <w:spacing w:after="0" w:line="146" w:lineRule="exact"/>
              <w:rPr>
                <w:sz w:val="20"/>
                <w:szCs w:val="20"/>
                <w:color w:val="auto"/>
              </w:rPr>
            </w:pPr>
            <w:r>
              <w:rPr>
                <w:rFonts w:ascii="Arial" w:cs="Arial" w:eastAsia="Arial" w:hAnsi="Arial"/>
                <w:sz w:val="13"/>
                <w:szCs w:val="13"/>
                <w:color w:val="auto"/>
              </w:rPr>
              <w:t>Les actionnaires qui représentent un total d'au moins 10 pour cent du capital-actions ou qui</w:t>
            </w:r>
          </w:p>
        </w:tc>
      </w:tr>
      <w:tr>
        <w:trPr>
          <w:trHeight w:val="145"/>
        </w:trPr>
        <w:tc>
          <w:tcPr>
            <w:tcW w:w="5540" w:type="dxa"/>
            <w:vAlign w:val="bottom"/>
            <w:tcBorders>
              <w:left w:val="single" w:sz="8" w:color="auto"/>
              <w:right w:val="single" w:sz="8" w:color="auto"/>
            </w:tcBorders>
          </w:tcPr>
          <w:p>
            <w:pPr>
              <w:ind w:left="40"/>
              <w:spacing w:after="0" w:line="145" w:lineRule="exact"/>
              <w:rPr>
                <w:sz w:val="20"/>
                <w:szCs w:val="20"/>
                <w:color w:val="auto"/>
              </w:rPr>
            </w:pPr>
            <w:r>
              <w:rPr>
                <w:rFonts w:ascii="Arial" w:cs="Arial" w:eastAsia="Arial" w:hAnsi="Arial"/>
                <w:sz w:val="13"/>
                <w:szCs w:val="13"/>
                <w:color w:val="auto"/>
                <w:w w:val="99"/>
              </w:rPr>
              <w:t>representing shares with a nominal value of 1 million Swiss francs may demand that an item be</w:t>
            </w:r>
          </w:p>
        </w:tc>
        <w:tc>
          <w:tcPr>
            <w:tcW w:w="240" w:type="dxa"/>
            <w:vAlign w:val="bottom"/>
            <w:tcBorders>
              <w:right w:val="single" w:sz="8" w:color="auto"/>
            </w:tcBorders>
          </w:tcPr>
          <w:p>
            <w:pPr>
              <w:spacing w:after="0"/>
              <w:rPr>
                <w:sz w:val="12"/>
                <w:szCs w:val="12"/>
                <w:color w:val="auto"/>
              </w:rPr>
            </w:pPr>
          </w:p>
        </w:tc>
        <w:tc>
          <w:tcPr>
            <w:tcW w:w="5520" w:type="dxa"/>
            <w:vAlign w:val="bottom"/>
            <w:tcBorders>
              <w:right w:val="single" w:sz="8" w:color="auto"/>
            </w:tcBorders>
          </w:tcPr>
          <w:p>
            <w:pPr>
              <w:ind w:left="20"/>
              <w:spacing w:after="0" w:line="145" w:lineRule="exact"/>
              <w:rPr>
                <w:sz w:val="20"/>
                <w:szCs w:val="20"/>
                <w:color w:val="auto"/>
              </w:rPr>
            </w:pPr>
            <w:r>
              <w:rPr>
                <w:rFonts w:ascii="Arial" w:cs="Arial" w:eastAsia="Arial" w:hAnsi="Arial"/>
                <w:sz w:val="13"/>
                <w:szCs w:val="13"/>
                <w:color w:val="auto"/>
              </w:rPr>
              <w:t>représentent ensemble une valeur nominale de CHF 1 million d'actions peuvent exiger qu'un</w:t>
            </w:r>
          </w:p>
        </w:tc>
      </w:tr>
      <w:tr>
        <w:trPr>
          <w:trHeight w:val="145"/>
        </w:trPr>
        <w:tc>
          <w:tcPr>
            <w:tcW w:w="5540" w:type="dxa"/>
            <w:vAlign w:val="bottom"/>
            <w:tcBorders>
              <w:left w:val="single" w:sz="8" w:color="auto"/>
              <w:right w:val="single" w:sz="8" w:color="auto"/>
            </w:tcBorders>
          </w:tcPr>
          <w:p>
            <w:pPr>
              <w:ind w:left="40"/>
              <w:spacing w:after="0" w:line="145" w:lineRule="exact"/>
              <w:rPr>
                <w:sz w:val="20"/>
                <w:szCs w:val="20"/>
                <w:color w:val="auto"/>
              </w:rPr>
            </w:pPr>
            <w:r>
              <w:rPr>
                <w:rFonts w:ascii="Arial" w:cs="Arial" w:eastAsia="Arial" w:hAnsi="Arial"/>
                <w:sz w:val="13"/>
                <w:szCs w:val="13"/>
                <w:color w:val="auto"/>
              </w:rPr>
              <w:t>placed on the agenda of a General Meeting of Shareholders. A request for inclusion of an item</w:t>
            </w:r>
          </w:p>
        </w:tc>
        <w:tc>
          <w:tcPr>
            <w:tcW w:w="240" w:type="dxa"/>
            <w:vAlign w:val="bottom"/>
            <w:tcBorders>
              <w:right w:val="single" w:sz="8" w:color="auto"/>
            </w:tcBorders>
          </w:tcPr>
          <w:p>
            <w:pPr>
              <w:spacing w:after="0"/>
              <w:rPr>
                <w:sz w:val="12"/>
                <w:szCs w:val="12"/>
                <w:color w:val="auto"/>
              </w:rPr>
            </w:pPr>
          </w:p>
        </w:tc>
        <w:tc>
          <w:tcPr>
            <w:tcW w:w="5520" w:type="dxa"/>
            <w:vAlign w:val="bottom"/>
            <w:tcBorders>
              <w:right w:val="single" w:sz="8" w:color="auto"/>
            </w:tcBorders>
          </w:tcPr>
          <w:p>
            <w:pPr>
              <w:ind w:left="20"/>
              <w:spacing w:after="0" w:line="145" w:lineRule="exact"/>
              <w:rPr>
                <w:sz w:val="20"/>
                <w:szCs w:val="20"/>
                <w:color w:val="auto"/>
              </w:rPr>
            </w:pPr>
            <w:r>
              <w:rPr>
                <w:rFonts w:ascii="Arial" w:cs="Arial" w:eastAsia="Arial" w:hAnsi="Arial"/>
                <w:sz w:val="13"/>
                <w:szCs w:val="13"/>
                <w:color w:val="auto"/>
              </w:rPr>
              <w:t>objet soit inscrit à l'ordre du jour d'une assemblée générale des actionnaires. Une demande</w:t>
            </w:r>
          </w:p>
        </w:tc>
      </w:tr>
      <w:tr>
        <w:trPr>
          <w:trHeight w:val="145"/>
        </w:trPr>
        <w:tc>
          <w:tcPr>
            <w:tcW w:w="5540" w:type="dxa"/>
            <w:vAlign w:val="bottom"/>
            <w:tcBorders>
              <w:left w:val="single" w:sz="8" w:color="auto"/>
              <w:right w:val="single" w:sz="8" w:color="auto"/>
            </w:tcBorders>
          </w:tcPr>
          <w:p>
            <w:pPr>
              <w:ind w:left="40"/>
              <w:spacing w:after="0" w:line="145" w:lineRule="exact"/>
              <w:rPr>
                <w:sz w:val="20"/>
                <w:szCs w:val="20"/>
                <w:color w:val="auto"/>
              </w:rPr>
            </w:pPr>
            <w:r>
              <w:rPr>
                <w:rFonts w:ascii="Arial" w:cs="Arial" w:eastAsia="Arial" w:hAnsi="Arial"/>
                <w:sz w:val="13"/>
                <w:szCs w:val="13"/>
                <w:color w:val="auto"/>
              </w:rPr>
              <w:t>on the agenda must be requested in writing delivered to or mailed and received at the</w:t>
            </w:r>
          </w:p>
        </w:tc>
        <w:tc>
          <w:tcPr>
            <w:tcW w:w="240" w:type="dxa"/>
            <w:vAlign w:val="bottom"/>
            <w:tcBorders>
              <w:right w:val="single" w:sz="8" w:color="auto"/>
            </w:tcBorders>
          </w:tcPr>
          <w:p>
            <w:pPr>
              <w:spacing w:after="0"/>
              <w:rPr>
                <w:sz w:val="12"/>
                <w:szCs w:val="12"/>
                <w:color w:val="auto"/>
              </w:rPr>
            </w:pPr>
          </w:p>
        </w:tc>
        <w:tc>
          <w:tcPr>
            <w:tcW w:w="5520" w:type="dxa"/>
            <w:vAlign w:val="bottom"/>
            <w:tcBorders>
              <w:right w:val="single" w:sz="8" w:color="auto"/>
            </w:tcBorders>
          </w:tcPr>
          <w:p>
            <w:pPr>
              <w:ind w:left="20"/>
              <w:spacing w:after="0" w:line="145" w:lineRule="exact"/>
              <w:rPr>
                <w:sz w:val="20"/>
                <w:szCs w:val="20"/>
                <w:color w:val="auto"/>
              </w:rPr>
            </w:pPr>
            <w:r>
              <w:rPr>
                <w:rFonts w:ascii="Arial" w:cs="Arial" w:eastAsia="Arial" w:hAnsi="Arial"/>
                <w:sz w:val="13"/>
                <w:szCs w:val="13"/>
                <w:color w:val="auto"/>
                <w:w w:val="99"/>
              </w:rPr>
              <w:t>d'inscription d'un objet à l'ordre du jour doit être faite par écrit et remise ou envoyée et reçue au</w:t>
            </w:r>
          </w:p>
        </w:tc>
      </w:tr>
      <w:tr>
        <w:trPr>
          <w:trHeight w:val="145"/>
        </w:trPr>
        <w:tc>
          <w:tcPr>
            <w:tcW w:w="5540" w:type="dxa"/>
            <w:vAlign w:val="bottom"/>
            <w:tcBorders>
              <w:left w:val="single" w:sz="8" w:color="auto"/>
              <w:right w:val="single" w:sz="8" w:color="auto"/>
            </w:tcBorders>
          </w:tcPr>
          <w:p>
            <w:pPr>
              <w:ind w:left="40"/>
              <w:spacing w:after="0" w:line="145" w:lineRule="exact"/>
              <w:rPr>
                <w:sz w:val="20"/>
                <w:szCs w:val="20"/>
                <w:color w:val="auto"/>
              </w:rPr>
            </w:pPr>
            <w:r>
              <w:rPr>
                <w:rFonts w:ascii="Arial" w:cs="Arial" w:eastAsia="Arial" w:hAnsi="Arial"/>
                <w:sz w:val="13"/>
                <w:szCs w:val="13"/>
                <w:color w:val="auto"/>
              </w:rPr>
              <w:t>registered office of the Company at least 120 calendar days before the first anniversary of the</w:t>
            </w:r>
          </w:p>
        </w:tc>
        <w:tc>
          <w:tcPr>
            <w:tcW w:w="240" w:type="dxa"/>
            <w:vAlign w:val="bottom"/>
            <w:tcBorders>
              <w:right w:val="single" w:sz="8" w:color="auto"/>
            </w:tcBorders>
          </w:tcPr>
          <w:p>
            <w:pPr>
              <w:spacing w:after="0"/>
              <w:rPr>
                <w:sz w:val="12"/>
                <w:szCs w:val="12"/>
                <w:color w:val="auto"/>
              </w:rPr>
            </w:pPr>
          </w:p>
        </w:tc>
        <w:tc>
          <w:tcPr>
            <w:tcW w:w="5520" w:type="dxa"/>
            <w:vAlign w:val="bottom"/>
            <w:tcBorders>
              <w:right w:val="single" w:sz="8" w:color="auto"/>
            </w:tcBorders>
          </w:tcPr>
          <w:p>
            <w:pPr>
              <w:ind w:left="20"/>
              <w:spacing w:after="0" w:line="145" w:lineRule="exact"/>
              <w:rPr>
                <w:sz w:val="20"/>
                <w:szCs w:val="20"/>
                <w:color w:val="auto"/>
              </w:rPr>
            </w:pPr>
            <w:r>
              <w:rPr>
                <w:rFonts w:ascii="Arial" w:cs="Arial" w:eastAsia="Arial" w:hAnsi="Arial"/>
                <w:sz w:val="13"/>
                <w:szCs w:val="13"/>
                <w:color w:val="auto"/>
              </w:rPr>
              <w:t>siège de la société au moins 120 jours avant le premier anniversaire de la date à laquelle la</w:t>
            </w:r>
          </w:p>
        </w:tc>
      </w:tr>
      <w:tr>
        <w:trPr>
          <w:trHeight w:val="145"/>
        </w:trPr>
        <w:tc>
          <w:tcPr>
            <w:tcW w:w="5540" w:type="dxa"/>
            <w:vAlign w:val="bottom"/>
            <w:tcBorders>
              <w:left w:val="single" w:sz="8" w:color="auto"/>
              <w:right w:val="single" w:sz="8" w:color="auto"/>
            </w:tcBorders>
          </w:tcPr>
          <w:p>
            <w:pPr>
              <w:ind w:left="40"/>
              <w:spacing w:after="0" w:line="145" w:lineRule="exact"/>
              <w:rPr>
                <w:sz w:val="20"/>
                <w:szCs w:val="20"/>
                <w:color w:val="auto"/>
              </w:rPr>
            </w:pPr>
            <w:r>
              <w:rPr>
                <w:rFonts w:ascii="Arial" w:cs="Arial" w:eastAsia="Arial" w:hAnsi="Arial"/>
                <w:sz w:val="13"/>
                <w:szCs w:val="13"/>
                <w:color w:val="auto"/>
              </w:rPr>
              <w:t>date that the Company's proxy statement was released to shareholders in connection with the</w:t>
            </w:r>
          </w:p>
        </w:tc>
        <w:tc>
          <w:tcPr>
            <w:tcW w:w="240" w:type="dxa"/>
            <w:vAlign w:val="bottom"/>
            <w:tcBorders>
              <w:right w:val="single" w:sz="8" w:color="auto"/>
            </w:tcBorders>
          </w:tcPr>
          <w:p>
            <w:pPr>
              <w:spacing w:after="0"/>
              <w:rPr>
                <w:sz w:val="12"/>
                <w:szCs w:val="12"/>
                <w:color w:val="auto"/>
              </w:rPr>
            </w:pPr>
          </w:p>
        </w:tc>
        <w:tc>
          <w:tcPr>
            <w:tcW w:w="5520" w:type="dxa"/>
            <w:vAlign w:val="bottom"/>
            <w:tcBorders>
              <w:right w:val="single" w:sz="8" w:color="auto"/>
            </w:tcBorders>
          </w:tcPr>
          <w:p>
            <w:pPr>
              <w:ind w:left="20"/>
              <w:spacing w:after="0" w:line="145" w:lineRule="exact"/>
              <w:rPr>
                <w:sz w:val="20"/>
                <w:szCs w:val="20"/>
                <w:color w:val="auto"/>
              </w:rPr>
            </w:pPr>
            <w:r>
              <w:rPr>
                <w:rFonts w:ascii="Arial" w:cs="Arial" w:eastAsia="Arial" w:hAnsi="Arial"/>
                <w:sz w:val="13"/>
                <w:szCs w:val="13"/>
                <w:color w:val="auto"/>
              </w:rPr>
              <w:t>déclaration (proxy statement) de la Société a été communiquée aux actionnaires lors de</w:t>
            </w:r>
          </w:p>
        </w:tc>
      </w:tr>
      <w:tr>
        <w:trPr>
          <w:trHeight w:val="145"/>
        </w:trPr>
        <w:tc>
          <w:tcPr>
            <w:tcW w:w="5540" w:type="dxa"/>
            <w:vAlign w:val="bottom"/>
            <w:tcBorders>
              <w:left w:val="single" w:sz="8" w:color="auto"/>
              <w:right w:val="single" w:sz="8" w:color="auto"/>
            </w:tcBorders>
          </w:tcPr>
          <w:p>
            <w:pPr>
              <w:ind w:left="40"/>
              <w:spacing w:after="0" w:line="145" w:lineRule="exact"/>
              <w:rPr>
                <w:sz w:val="20"/>
                <w:szCs w:val="20"/>
                <w:color w:val="auto"/>
              </w:rPr>
            </w:pPr>
            <w:r>
              <w:rPr>
                <w:rFonts w:ascii="Arial" w:cs="Arial" w:eastAsia="Arial" w:hAnsi="Arial"/>
                <w:sz w:val="13"/>
                <w:szCs w:val="13"/>
                <w:color w:val="auto"/>
              </w:rPr>
              <w:t>previous year's ordinary General Meeting of Shareholders. However, if no ordinary General</w:t>
            </w:r>
          </w:p>
        </w:tc>
        <w:tc>
          <w:tcPr>
            <w:tcW w:w="240" w:type="dxa"/>
            <w:vAlign w:val="bottom"/>
            <w:tcBorders>
              <w:right w:val="single" w:sz="8" w:color="auto"/>
            </w:tcBorders>
          </w:tcPr>
          <w:p>
            <w:pPr>
              <w:spacing w:after="0"/>
              <w:rPr>
                <w:sz w:val="12"/>
                <w:szCs w:val="12"/>
                <w:color w:val="auto"/>
              </w:rPr>
            </w:pPr>
          </w:p>
        </w:tc>
        <w:tc>
          <w:tcPr>
            <w:tcW w:w="5520" w:type="dxa"/>
            <w:vAlign w:val="bottom"/>
            <w:tcBorders>
              <w:right w:val="single" w:sz="8" w:color="auto"/>
            </w:tcBorders>
          </w:tcPr>
          <w:p>
            <w:pPr>
              <w:ind w:left="20"/>
              <w:spacing w:after="0" w:line="145" w:lineRule="exact"/>
              <w:rPr>
                <w:sz w:val="20"/>
                <w:szCs w:val="20"/>
                <w:color w:val="auto"/>
              </w:rPr>
            </w:pPr>
            <w:r>
              <w:rPr>
                <w:rFonts w:ascii="Arial" w:cs="Arial" w:eastAsia="Arial" w:hAnsi="Arial"/>
                <w:sz w:val="13"/>
                <w:szCs w:val="13"/>
                <w:color w:val="auto"/>
              </w:rPr>
              <w:t>l'assemblée générale ordinaire des actionnaires de l'année précédente. Toutefois, si aucune</w:t>
            </w:r>
          </w:p>
        </w:tc>
      </w:tr>
      <w:tr>
        <w:trPr>
          <w:trHeight w:val="145"/>
        </w:trPr>
        <w:tc>
          <w:tcPr>
            <w:tcW w:w="5540" w:type="dxa"/>
            <w:vAlign w:val="bottom"/>
            <w:tcBorders>
              <w:left w:val="single" w:sz="8" w:color="auto"/>
              <w:right w:val="single" w:sz="8" w:color="auto"/>
            </w:tcBorders>
          </w:tcPr>
          <w:p>
            <w:pPr>
              <w:ind w:left="40"/>
              <w:spacing w:after="0" w:line="145" w:lineRule="exact"/>
              <w:rPr>
                <w:sz w:val="20"/>
                <w:szCs w:val="20"/>
                <w:color w:val="auto"/>
              </w:rPr>
            </w:pPr>
            <w:r>
              <w:rPr>
                <w:rFonts w:ascii="Arial" w:cs="Arial" w:eastAsia="Arial" w:hAnsi="Arial"/>
                <w:sz w:val="13"/>
                <w:szCs w:val="13"/>
                <w:color w:val="auto"/>
              </w:rPr>
              <w:t>Meeting of Shareholders was held in the previous year or if the date of the ordinary General</w:t>
            </w:r>
          </w:p>
        </w:tc>
        <w:tc>
          <w:tcPr>
            <w:tcW w:w="240" w:type="dxa"/>
            <w:vAlign w:val="bottom"/>
            <w:tcBorders>
              <w:right w:val="single" w:sz="8" w:color="auto"/>
            </w:tcBorders>
          </w:tcPr>
          <w:p>
            <w:pPr>
              <w:spacing w:after="0"/>
              <w:rPr>
                <w:sz w:val="12"/>
                <w:szCs w:val="12"/>
                <w:color w:val="auto"/>
              </w:rPr>
            </w:pPr>
          </w:p>
        </w:tc>
        <w:tc>
          <w:tcPr>
            <w:tcW w:w="5520" w:type="dxa"/>
            <w:vAlign w:val="bottom"/>
            <w:tcBorders>
              <w:right w:val="single" w:sz="8" w:color="auto"/>
            </w:tcBorders>
          </w:tcPr>
          <w:p>
            <w:pPr>
              <w:ind w:left="20"/>
              <w:spacing w:after="0" w:line="145" w:lineRule="exact"/>
              <w:rPr>
                <w:sz w:val="20"/>
                <w:szCs w:val="20"/>
                <w:color w:val="auto"/>
              </w:rPr>
            </w:pPr>
            <w:r>
              <w:rPr>
                <w:rFonts w:ascii="Arial" w:cs="Arial" w:eastAsia="Arial" w:hAnsi="Arial"/>
                <w:sz w:val="13"/>
                <w:szCs w:val="13"/>
                <w:color w:val="auto"/>
              </w:rPr>
              <w:t>assemblée générale ordinaire des actionnaires n'a eu lieu l'année précédente ou si la date de</w:t>
            </w:r>
          </w:p>
        </w:tc>
      </w:tr>
      <w:tr>
        <w:trPr>
          <w:trHeight w:val="145"/>
        </w:trPr>
        <w:tc>
          <w:tcPr>
            <w:tcW w:w="5540" w:type="dxa"/>
            <w:vAlign w:val="bottom"/>
            <w:tcBorders>
              <w:left w:val="single" w:sz="8" w:color="auto"/>
              <w:right w:val="single" w:sz="8" w:color="auto"/>
            </w:tcBorders>
          </w:tcPr>
          <w:p>
            <w:pPr>
              <w:ind w:left="40"/>
              <w:spacing w:after="0" w:line="145" w:lineRule="exact"/>
              <w:rPr>
                <w:sz w:val="20"/>
                <w:szCs w:val="20"/>
                <w:color w:val="auto"/>
              </w:rPr>
            </w:pPr>
            <w:r>
              <w:rPr>
                <w:rFonts w:ascii="Arial" w:cs="Arial" w:eastAsia="Arial" w:hAnsi="Arial"/>
                <w:sz w:val="13"/>
                <w:szCs w:val="13"/>
                <w:color w:val="auto"/>
              </w:rPr>
              <w:t>Meeting of Shareholders has been changed by more than 30 calendar days from the date</w:t>
            </w:r>
          </w:p>
        </w:tc>
        <w:tc>
          <w:tcPr>
            <w:tcW w:w="240" w:type="dxa"/>
            <w:vAlign w:val="bottom"/>
            <w:tcBorders>
              <w:right w:val="single" w:sz="8" w:color="auto"/>
            </w:tcBorders>
          </w:tcPr>
          <w:p>
            <w:pPr>
              <w:spacing w:after="0"/>
              <w:rPr>
                <w:sz w:val="12"/>
                <w:szCs w:val="12"/>
                <w:color w:val="auto"/>
              </w:rPr>
            </w:pPr>
          </w:p>
        </w:tc>
        <w:tc>
          <w:tcPr>
            <w:tcW w:w="5520" w:type="dxa"/>
            <w:vAlign w:val="bottom"/>
            <w:tcBorders>
              <w:right w:val="single" w:sz="8" w:color="auto"/>
            </w:tcBorders>
          </w:tcPr>
          <w:p>
            <w:pPr>
              <w:ind w:left="20"/>
              <w:spacing w:after="0" w:line="145" w:lineRule="exact"/>
              <w:rPr>
                <w:sz w:val="20"/>
                <w:szCs w:val="20"/>
                <w:color w:val="auto"/>
              </w:rPr>
            </w:pPr>
            <w:r>
              <w:rPr>
                <w:rFonts w:ascii="Arial" w:cs="Arial" w:eastAsia="Arial" w:hAnsi="Arial"/>
                <w:sz w:val="13"/>
                <w:szCs w:val="13"/>
                <w:color w:val="auto"/>
              </w:rPr>
              <w:t>l'assemblée générale ordinaire des actionnaires a été modifiée de plus de 30 jours calendaires</w:t>
            </w:r>
          </w:p>
        </w:tc>
      </w:tr>
      <w:tr>
        <w:trPr>
          <w:trHeight w:val="145"/>
        </w:trPr>
        <w:tc>
          <w:tcPr>
            <w:tcW w:w="5540" w:type="dxa"/>
            <w:vAlign w:val="bottom"/>
            <w:tcBorders>
              <w:left w:val="single" w:sz="8" w:color="auto"/>
              <w:right w:val="single" w:sz="8" w:color="auto"/>
            </w:tcBorders>
          </w:tcPr>
          <w:p>
            <w:pPr>
              <w:ind w:left="40"/>
              <w:spacing w:after="0" w:line="145" w:lineRule="exact"/>
              <w:rPr>
                <w:sz w:val="20"/>
                <w:szCs w:val="20"/>
                <w:color w:val="auto"/>
              </w:rPr>
            </w:pPr>
            <w:r>
              <w:rPr>
                <w:rFonts w:ascii="Arial" w:cs="Arial" w:eastAsia="Arial" w:hAnsi="Arial"/>
                <w:sz w:val="13"/>
                <w:szCs w:val="13"/>
                <w:color w:val="auto"/>
                <w:w w:val="99"/>
              </w:rPr>
              <w:t>contemplated at the time of the previous year's proxy statement, request for inclusion of an item</w:t>
            </w:r>
          </w:p>
        </w:tc>
        <w:tc>
          <w:tcPr>
            <w:tcW w:w="240" w:type="dxa"/>
            <w:vAlign w:val="bottom"/>
            <w:tcBorders>
              <w:right w:val="single" w:sz="8" w:color="auto"/>
            </w:tcBorders>
          </w:tcPr>
          <w:p>
            <w:pPr>
              <w:spacing w:after="0"/>
              <w:rPr>
                <w:sz w:val="12"/>
                <w:szCs w:val="12"/>
                <w:color w:val="auto"/>
              </w:rPr>
            </w:pPr>
          </w:p>
        </w:tc>
        <w:tc>
          <w:tcPr>
            <w:tcW w:w="5520" w:type="dxa"/>
            <w:vAlign w:val="bottom"/>
            <w:tcBorders>
              <w:right w:val="single" w:sz="8" w:color="auto"/>
            </w:tcBorders>
          </w:tcPr>
          <w:p>
            <w:pPr>
              <w:ind w:left="20"/>
              <w:spacing w:after="0" w:line="145" w:lineRule="exact"/>
              <w:rPr>
                <w:sz w:val="20"/>
                <w:szCs w:val="20"/>
                <w:color w:val="auto"/>
              </w:rPr>
            </w:pPr>
            <w:r>
              <w:rPr>
                <w:rFonts w:ascii="Arial" w:cs="Arial" w:eastAsia="Arial" w:hAnsi="Arial"/>
                <w:sz w:val="13"/>
                <w:szCs w:val="13"/>
                <w:color w:val="auto"/>
              </w:rPr>
              <w:t>à compter de la date prévue au moment de la déclaration (proxy statement) de l'année</w:t>
            </w:r>
          </w:p>
        </w:tc>
      </w:tr>
      <w:tr>
        <w:trPr>
          <w:trHeight w:val="145"/>
        </w:trPr>
        <w:tc>
          <w:tcPr>
            <w:tcW w:w="5540" w:type="dxa"/>
            <w:vAlign w:val="bottom"/>
            <w:tcBorders>
              <w:left w:val="single" w:sz="8" w:color="auto"/>
              <w:right w:val="single" w:sz="8" w:color="auto"/>
            </w:tcBorders>
          </w:tcPr>
          <w:p>
            <w:pPr>
              <w:ind w:left="40"/>
              <w:spacing w:after="0" w:line="145" w:lineRule="exact"/>
              <w:rPr>
                <w:sz w:val="20"/>
                <w:szCs w:val="20"/>
                <w:color w:val="auto"/>
              </w:rPr>
            </w:pPr>
            <w:r>
              <w:rPr>
                <w:rFonts w:ascii="Arial" w:cs="Arial" w:eastAsia="Arial" w:hAnsi="Arial"/>
                <w:sz w:val="13"/>
                <w:szCs w:val="13"/>
                <w:color w:val="auto"/>
              </w:rPr>
              <w:t>on the agenda must be requested not fewer than the later of (i) 150 calendar days prior to the</w:t>
            </w:r>
          </w:p>
        </w:tc>
        <w:tc>
          <w:tcPr>
            <w:tcW w:w="240" w:type="dxa"/>
            <w:vAlign w:val="bottom"/>
            <w:tcBorders>
              <w:right w:val="single" w:sz="8" w:color="auto"/>
            </w:tcBorders>
          </w:tcPr>
          <w:p>
            <w:pPr>
              <w:spacing w:after="0"/>
              <w:rPr>
                <w:sz w:val="12"/>
                <w:szCs w:val="12"/>
                <w:color w:val="auto"/>
              </w:rPr>
            </w:pPr>
          </w:p>
        </w:tc>
        <w:tc>
          <w:tcPr>
            <w:tcW w:w="5520" w:type="dxa"/>
            <w:vAlign w:val="bottom"/>
            <w:tcBorders>
              <w:right w:val="single" w:sz="8" w:color="auto"/>
            </w:tcBorders>
          </w:tcPr>
          <w:p>
            <w:pPr>
              <w:ind w:left="20"/>
              <w:spacing w:after="0" w:line="145" w:lineRule="exact"/>
              <w:rPr>
                <w:sz w:val="20"/>
                <w:szCs w:val="20"/>
                <w:color w:val="auto"/>
              </w:rPr>
            </w:pPr>
            <w:r>
              <w:rPr>
                <w:rFonts w:ascii="Arial" w:cs="Arial" w:eastAsia="Arial" w:hAnsi="Arial"/>
                <w:sz w:val="13"/>
                <w:szCs w:val="13"/>
                <w:color w:val="auto"/>
                <w:w w:val="99"/>
              </w:rPr>
              <w:t>précédente, une demande d'inscription d'un objet à l'ordre du jour doit être demandée au moins</w:t>
            </w:r>
          </w:p>
        </w:tc>
      </w:tr>
      <w:tr>
        <w:trPr>
          <w:trHeight w:val="145"/>
        </w:trPr>
        <w:tc>
          <w:tcPr>
            <w:tcW w:w="5540" w:type="dxa"/>
            <w:vAlign w:val="bottom"/>
            <w:tcBorders>
              <w:left w:val="single" w:sz="8" w:color="auto"/>
              <w:right w:val="single" w:sz="8" w:color="auto"/>
            </w:tcBorders>
          </w:tcPr>
          <w:p>
            <w:pPr>
              <w:ind w:left="40"/>
              <w:spacing w:after="0" w:line="145" w:lineRule="exact"/>
              <w:rPr>
                <w:sz w:val="20"/>
                <w:szCs w:val="20"/>
                <w:color w:val="auto"/>
              </w:rPr>
            </w:pPr>
            <w:r>
              <w:rPr>
                <w:rFonts w:ascii="Arial" w:cs="Arial" w:eastAsia="Arial" w:hAnsi="Arial"/>
                <w:sz w:val="13"/>
                <w:szCs w:val="13"/>
                <w:color w:val="auto"/>
              </w:rPr>
              <w:t>date of the contemplated annual General Meeting or (ii) the date which is ten calendar days</w:t>
            </w:r>
          </w:p>
        </w:tc>
        <w:tc>
          <w:tcPr>
            <w:tcW w:w="240" w:type="dxa"/>
            <w:vAlign w:val="bottom"/>
            <w:tcBorders>
              <w:right w:val="single" w:sz="8" w:color="auto"/>
            </w:tcBorders>
          </w:tcPr>
          <w:p>
            <w:pPr>
              <w:spacing w:after="0"/>
              <w:rPr>
                <w:sz w:val="12"/>
                <w:szCs w:val="12"/>
                <w:color w:val="auto"/>
              </w:rPr>
            </w:pPr>
          </w:p>
        </w:tc>
        <w:tc>
          <w:tcPr>
            <w:tcW w:w="5520" w:type="dxa"/>
            <w:vAlign w:val="bottom"/>
            <w:tcBorders>
              <w:right w:val="single" w:sz="8" w:color="auto"/>
            </w:tcBorders>
          </w:tcPr>
          <w:p>
            <w:pPr>
              <w:ind w:left="20"/>
              <w:spacing w:after="0" w:line="145" w:lineRule="exact"/>
              <w:rPr>
                <w:sz w:val="20"/>
                <w:szCs w:val="20"/>
                <w:color w:val="auto"/>
              </w:rPr>
            </w:pPr>
            <w:r>
              <w:rPr>
                <w:rFonts w:ascii="Arial" w:cs="Arial" w:eastAsia="Arial" w:hAnsi="Arial"/>
                <w:sz w:val="13"/>
                <w:szCs w:val="13"/>
                <w:color w:val="auto"/>
              </w:rPr>
              <w:t>à la date la plus tardive entre (i) 150 jours calendaires avant la date de l'assemblée générale</w:t>
            </w:r>
          </w:p>
        </w:tc>
      </w:tr>
      <w:tr>
        <w:trPr>
          <w:trHeight w:val="145"/>
        </w:trPr>
        <w:tc>
          <w:tcPr>
            <w:tcW w:w="5540" w:type="dxa"/>
            <w:vAlign w:val="bottom"/>
            <w:tcBorders>
              <w:left w:val="single" w:sz="8" w:color="auto"/>
              <w:right w:val="single" w:sz="8" w:color="auto"/>
            </w:tcBorders>
          </w:tcPr>
          <w:p>
            <w:pPr>
              <w:ind w:left="40"/>
              <w:spacing w:after="0" w:line="145" w:lineRule="exact"/>
              <w:rPr>
                <w:sz w:val="20"/>
                <w:szCs w:val="20"/>
                <w:color w:val="auto"/>
              </w:rPr>
            </w:pPr>
            <w:r>
              <w:rPr>
                <w:rFonts w:ascii="Arial" w:cs="Arial" w:eastAsia="Arial" w:hAnsi="Arial"/>
                <w:sz w:val="13"/>
                <w:szCs w:val="13"/>
                <w:color w:val="auto"/>
              </w:rPr>
              <w:t>after the date of the first public announcement or other notification to the shareholders of the</w:t>
            </w:r>
          </w:p>
        </w:tc>
        <w:tc>
          <w:tcPr>
            <w:tcW w:w="240" w:type="dxa"/>
            <w:vAlign w:val="bottom"/>
            <w:tcBorders>
              <w:right w:val="single" w:sz="8" w:color="auto"/>
            </w:tcBorders>
          </w:tcPr>
          <w:p>
            <w:pPr>
              <w:spacing w:after="0"/>
              <w:rPr>
                <w:sz w:val="12"/>
                <w:szCs w:val="12"/>
                <w:color w:val="auto"/>
              </w:rPr>
            </w:pPr>
          </w:p>
        </w:tc>
        <w:tc>
          <w:tcPr>
            <w:tcW w:w="5520" w:type="dxa"/>
            <w:vAlign w:val="bottom"/>
            <w:tcBorders>
              <w:right w:val="single" w:sz="8" w:color="auto"/>
            </w:tcBorders>
          </w:tcPr>
          <w:p>
            <w:pPr>
              <w:ind w:left="20"/>
              <w:spacing w:after="0" w:line="145" w:lineRule="exact"/>
              <w:rPr>
                <w:sz w:val="20"/>
                <w:szCs w:val="20"/>
                <w:color w:val="auto"/>
              </w:rPr>
            </w:pPr>
            <w:r>
              <w:rPr>
                <w:rFonts w:ascii="Arial" w:cs="Arial" w:eastAsia="Arial" w:hAnsi="Arial"/>
                <w:sz w:val="13"/>
                <w:szCs w:val="13"/>
                <w:color w:val="auto"/>
              </w:rPr>
              <w:t>ordinaire envisagée ou (ii) la date qui est dix jours calendaires plus tard que la date de la</w:t>
            </w:r>
          </w:p>
        </w:tc>
      </w:tr>
      <w:tr>
        <w:trPr>
          <w:trHeight w:val="145"/>
        </w:trPr>
        <w:tc>
          <w:tcPr>
            <w:tcW w:w="5540" w:type="dxa"/>
            <w:vAlign w:val="bottom"/>
            <w:tcBorders>
              <w:left w:val="single" w:sz="8" w:color="auto"/>
              <w:right w:val="single" w:sz="8" w:color="auto"/>
            </w:tcBorders>
          </w:tcPr>
          <w:p>
            <w:pPr>
              <w:ind w:left="40"/>
              <w:spacing w:after="0" w:line="145" w:lineRule="exact"/>
              <w:rPr>
                <w:sz w:val="20"/>
                <w:szCs w:val="20"/>
                <w:color w:val="auto"/>
              </w:rPr>
            </w:pPr>
            <w:r>
              <w:rPr>
                <w:rFonts w:ascii="Arial" w:cs="Arial" w:eastAsia="Arial" w:hAnsi="Arial"/>
                <w:sz w:val="13"/>
                <w:szCs w:val="13"/>
                <w:color w:val="auto"/>
              </w:rPr>
              <w:t>date of the contemplated annual General Meeting. To be timely for an extraordinary General</w:t>
            </w:r>
          </w:p>
        </w:tc>
        <w:tc>
          <w:tcPr>
            <w:tcW w:w="240" w:type="dxa"/>
            <w:vAlign w:val="bottom"/>
            <w:tcBorders>
              <w:right w:val="single" w:sz="8" w:color="auto"/>
            </w:tcBorders>
          </w:tcPr>
          <w:p>
            <w:pPr>
              <w:spacing w:after="0"/>
              <w:rPr>
                <w:sz w:val="12"/>
                <w:szCs w:val="12"/>
                <w:color w:val="auto"/>
              </w:rPr>
            </w:pPr>
          </w:p>
        </w:tc>
        <w:tc>
          <w:tcPr>
            <w:tcW w:w="5520" w:type="dxa"/>
            <w:vAlign w:val="bottom"/>
            <w:tcBorders>
              <w:right w:val="single" w:sz="8" w:color="auto"/>
            </w:tcBorders>
          </w:tcPr>
          <w:p>
            <w:pPr>
              <w:ind w:left="20"/>
              <w:spacing w:after="0" w:line="145" w:lineRule="exact"/>
              <w:rPr>
                <w:sz w:val="20"/>
                <w:szCs w:val="20"/>
                <w:color w:val="auto"/>
              </w:rPr>
            </w:pPr>
            <w:r>
              <w:rPr>
                <w:rFonts w:ascii="Arial" w:cs="Arial" w:eastAsia="Arial" w:hAnsi="Arial"/>
                <w:sz w:val="13"/>
                <w:szCs w:val="13"/>
                <w:color w:val="auto"/>
              </w:rPr>
              <w:t>première annonce publique ou autre notification aux actionnaires de la date envisagée de</w:t>
            </w:r>
          </w:p>
        </w:tc>
      </w:tr>
      <w:tr>
        <w:trPr>
          <w:trHeight w:val="145"/>
        </w:trPr>
        <w:tc>
          <w:tcPr>
            <w:tcW w:w="5540" w:type="dxa"/>
            <w:vAlign w:val="bottom"/>
            <w:tcBorders>
              <w:left w:val="single" w:sz="8" w:color="auto"/>
              <w:right w:val="single" w:sz="8" w:color="auto"/>
            </w:tcBorders>
          </w:tcPr>
          <w:p>
            <w:pPr>
              <w:ind w:left="40"/>
              <w:spacing w:after="0" w:line="145" w:lineRule="exact"/>
              <w:rPr>
                <w:sz w:val="20"/>
                <w:szCs w:val="20"/>
                <w:color w:val="auto"/>
              </w:rPr>
            </w:pPr>
            <w:r>
              <w:rPr>
                <w:rFonts w:ascii="Arial" w:cs="Arial" w:eastAsia="Arial" w:hAnsi="Arial"/>
                <w:sz w:val="13"/>
                <w:szCs w:val="13"/>
                <w:color w:val="auto"/>
              </w:rPr>
              <w:t>Meeting, a shareholder's notice to the Secretary must be delivered to or mailed and received at</w:t>
            </w:r>
          </w:p>
        </w:tc>
        <w:tc>
          <w:tcPr>
            <w:tcW w:w="240" w:type="dxa"/>
            <w:vAlign w:val="bottom"/>
            <w:tcBorders>
              <w:right w:val="single" w:sz="8" w:color="auto"/>
            </w:tcBorders>
          </w:tcPr>
          <w:p>
            <w:pPr>
              <w:spacing w:after="0"/>
              <w:rPr>
                <w:sz w:val="12"/>
                <w:szCs w:val="12"/>
                <w:color w:val="auto"/>
              </w:rPr>
            </w:pPr>
          </w:p>
        </w:tc>
        <w:tc>
          <w:tcPr>
            <w:tcW w:w="5520" w:type="dxa"/>
            <w:vAlign w:val="bottom"/>
            <w:tcBorders>
              <w:right w:val="single" w:sz="8" w:color="auto"/>
            </w:tcBorders>
          </w:tcPr>
          <w:p>
            <w:pPr>
              <w:ind w:left="20"/>
              <w:spacing w:after="0" w:line="145" w:lineRule="exact"/>
              <w:rPr>
                <w:sz w:val="20"/>
                <w:szCs w:val="20"/>
                <w:color w:val="auto"/>
              </w:rPr>
            </w:pPr>
            <w:r>
              <w:rPr>
                <w:rFonts w:ascii="Arial" w:cs="Arial" w:eastAsia="Arial" w:hAnsi="Arial"/>
                <w:sz w:val="13"/>
                <w:szCs w:val="13"/>
                <w:color w:val="auto"/>
              </w:rPr>
              <w:t>l'assemblée générale ordinaire. Pour être dans les délais pour une assemblée générale</w:t>
            </w:r>
          </w:p>
        </w:tc>
      </w:tr>
      <w:tr>
        <w:trPr>
          <w:trHeight w:val="145"/>
        </w:trPr>
        <w:tc>
          <w:tcPr>
            <w:tcW w:w="5540" w:type="dxa"/>
            <w:vAlign w:val="bottom"/>
            <w:tcBorders>
              <w:left w:val="single" w:sz="8" w:color="auto"/>
              <w:right w:val="single" w:sz="8" w:color="auto"/>
            </w:tcBorders>
          </w:tcPr>
          <w:p>
            <w:pPr>
              <w:ind w:left="40"/>
              <w:spacing w:after="0" w:line="145" w:lineRule="exact"/>
              <w:rPr>
                <w:sz w:val="20"/>
                <w:szCs w:val="20"/>
                <w:color w:val="auto"/>
              </w:rPr>
            </w:pPr>
            <w:r>
              <w:rPr>
                <w:rFonts w:ascii="Arial" w:cs="Arial" w:eastAsia="Arial" w:hAnsi="Arial"/>
                <w:sz w:val="13"/>
                <w:szCs w:val="13"/>
                <w:color w:val="auto"/>
                <w:w w:val="99"/>
              </w:rPr>
              <w:t>the registered office of the Company not fewer than the later of (i) 120 calendar days before the</w:t>
            </w:r>
          </w:p>
        </w:tc>
        <w:tc>
          <w:tcPr>
            <w:tcW w:w="240" w:type="dxa"/>
            <w:vAlign w:val="bottom"/>
            <w:tcBorders>
              <w:right w:val="single" w:sz="8" w:color="auto"/>
            </w:tcBorders>
          </w:tcPr>
          <w:p>
            <w:pPr>
              <w:spacing w:after="0"/>
              <w:rPr>
                <w:sz w:val="12"/>
                <w:szCs w:val="12"/>
                <w:color w:val="auto"/>
              </w:rPr>
            </w:pPr>
          </w:p>
        </w:tc>
        <w:tc>
          <w:tcPr>
            <w:tcW w:w="5520" w:type="dxa"/>
            <w:vAlign w:val="bottom"/>
            <w:tcBorders>
              <w:right w:val="single" w:sz="8" w:color="auto"/>
            </w:tcBorders>
          </w:tcPr>
          <w:p>
            <w:pPr>
              <w:ind w:left="20"/>
              <w:spacing w:after="0" w:line="145" w:lineRule="exact"/>
              <w:rPr>
                <w:sz w:val="20"/>
                <w:szCs w:val="20"/>
                <w:color w:val="auto"/>
              </w:rPr>
            </w:pPr>
            <w:r>
              <w:rPr>
                <w:rFonts w:ascii="Arial" w:cs="Arial" w:eastAsia="Arial" w:hAnsi="Arial"/>
                <w:sz w:val="13"/>
                <w:szCs w:val="13"/>
                <w:color w:val="auto"/>
              </w:rPr>
              <w:t>extraordinaire, l'avis d'un actionnaire au secrétaire doit être livré ou envoyé et reçu au siège de</w:t>
            </w:r>
          </w:p>
        </w:tc>
      </w:tr>
      <w:tr>
        <w:trPr>
          <w:trHeight w:val="145"/>
        </w:trPr>
        <w:tc>
          <w:tcPr>
            <w:tcW w:w="5540" w:type="dxa"/>
            <w:vAlign w:val="bottom"/>
            <w:tcBorders>
              <w:left w:val="single" w:sz="8" w:color="auto"/>
              <w:right w:val="single" w:sz="8" w:color="auto"/>
            </w:tcBorders>
          </w:tcPr>
          <w:p>
            <w:pPr>
              <w:ind w:left="40"/>
              <w:spacing w:after="0" w:line="145" w:lineRule="exact"/>
              <w:rPr>
                <w:sz w:val="20"/>
                <w:szCs w:val="20"/>
                <w:color w:val="auto"/>
              </w:rPr>
            </w:pPr>
            <w:r>
              <w:rPr>
                <w:rFonts w:ascii="Arial" w:cs="Arial" w:eastAsia="Arial" w:hAnsi="Arial"/>
                <w:sz w:val="13"/>
                <w:szCs w:val="13"/>
                <w:color w:val="auto"/>
              </w:rPr>
              <w:t>date of the extraordinary General Meeting of Shareholders or (ii) the date which is ten calendar</w:t>
            </w:r>
          </w:p>
        </w:tc>
        <w:tc>
          <w:tcPr>
            <w:tcW w:w="240" w:type="dxa"/>
            <w:vAlign w:val="bottom"/>
            <w:tcBorders>
              <w:right w:val="single" w:sz="8" w:color="auto"/>
            </w:tcBorders>
          </w:tcPr>
          <w:p>
            <w:pPr>
              <w:spacing w:after="0"/>
              <w:rPr>
                <w:sz w:val="12"/>
                <w:szCs w:val="12"/>
                <w:color w:val="auto"/>
              </w:rPr>
            </w:pPr>
          </w:p>
        </w:tc>
        <w:tc>
          <w:tcPr>
            <w:tcW w:w="5520" w:type="dxa"/>
            <w:vAlign w:val="bottom"/>
            <w:tcBorders>
              <w:right w:val="single" w:sz="8" w:color="auto"/>
            </w:tcBorders>
          </w:tcPr>
          <w:p>
            <w:pPr>
              <w:ind w:left="20"/>
              <w:spacing w:after="0" w:line="145" w:lineRule="exact"/>
              <w:rPr>
                <w:sz w:val="20"/>
                <w:szCs w:val="20"/>
                <w:color w:val="auto"/>
              </w:rPr>
            </w:pPr>
            <w:r>
              <w:rPr>
                <w:rFonts w:ascii="Arial" w:cs="Arial" w:eastAsia="Arial" w:hAnsi="Arial"/>
                <w:sz w:val="13"/>
                <w:szCs w:val="13"/>
                <w:color w:val="auto"/>
              </w:rPr>
              <w:t>la société au moins à la date la plus tardive entre (i) 120 jours calendaires avant la date de</w:t>
            </w:r>
          </w:p>
        </w:tc>
      </w:tr>
      <w:tr>
        <w:trPr>
          <w:trHeight w:val="145"/>
        </w:trPr>
        <w:tc>
          <w:tcPr>
            <w:tcW w:w="5540" w:type="dxa"/>
            <w:vAlign w:val="bottom"/>
            <w:tcBorders>
              <w:left w:val="single" w:sz="8" w:color="auto"/>
              <w:right w:val="single" w:sz="8" w:color="auto"/>
            </w:tcBorders>
          </w:tcPr>
          <w:p>
            <w:pPr>
              <w:ind w:left="40"/>
              <w:spacing w:after="0" w:line="145" w:lineRule="exact"/>
              <w:rPr>
                <w:sz w:val="20"/>
                <w:szCs w:val="20"/>
                <w:color w:val="auto"/>
              </w:rPr>
            </w:pPr>
            <w:r>
              <w:rPr>
                <w:rFonts w:ascii="Arial" w:cs="Arial" w:eastAsia="Arial" w:hAnsi="Arial"/>
                <w:sz w:val="13"/>
                <w:szCs w:val="13"/>
                <w:color w:val="auto"/>
              </w:rPr>
              <w:t>days after the date of the first public announcement or other notification to the shareholders of</w:t>
            </w:r>
          </w:p>
        </w:tc>
        <w:tc>
          <w:tcPr>
            <w:tcW w:w="240" w:type="dxa"/>
            <w:vAlign w:val="bottom"/>
            <w:tcBorders>
              <w:right w:val="single" w:sz="8" w:color="auto"/>
            </w:tcBorders>
          </w:tcPr>
          <w:p>
            <w:pPr>
              <w:spacing w:after="0"/>
              <w:rPr>
                <w:sz w:val="12"/>
                <w:szCs w:val="12"/>
                <w:color w:val="auto"/>
              </w:rPr>
            </w:pPr>
          </w:p>
        </w:tc>
        <w:tc>
          <w:tcPr>
            <w:tcW w:w="5520" w:type="dxa"/>
            <w:vAlign w:val="bottom"/>
            <w:tcBorders>
              <w:right w:val="single" w:sz="8" w:color="auto"/>
            </w:tcBorders>
          </w:tcPr>
          <w:p>
            <w:pPr>
              <w:ind w:left="20"/>
              <w:spacing w:after="0" w:line="145" w:lineRule="exact"/>
              <w:rPr>
                <w:sz w:val="20"/>
                <w:szCs w:val="20"/>
                <w:color w:val="auto"/>
              </w:rPr>
            </w:pPr>
            <w:r>
              <w:rPr>
                <w:rFonts w:ascii="Arial" w:cs="Arial" w:eastAsia="Arial" w:hAnsi="Arial"/>
                <w:sz w:val="13"/>
                <w:szCs w:val="13"/>
                <w:color w:val="auto"/>
                <w:w w:val="99"/>
              </w:rPr>
              <w:t>l'assemblée générale extraordinaire des actionnaires ou (ii) la date qui est dix jours calendaires</w:t>
            </w:r>
          </w:p>
        </w:tc>
      </w:tr>
      <w:tr>
        <w:trPr>
          <w:trHeight w:val="145"/>
        </w:trPr>
        <w:tc>
          <w:tcPr>
            <w:tcW w:w="5540" w:type="dxa"/>
            <w:vAlign w:val="bottom"/>
            <w:tcBorders>
              <w:left w:val="single" w:sz="8" w:color="auto"/>
              <w:right w:val="single" w:sz="8" w:color="auto"/>
            </w:tcBorders>
          </w:tcPr>
          <w:p>
            <w:pPr>
              <w:ind w:left="40"/>
              <w:spacing w:after="0" w:line="145" w:lineRule="exact"/>
              <w:rPr>
                <w:sz w:val="20"/>
                <w:szCs w:val="20"/>
                <w:color w:val="auto"/>
              </w:rPr>
            </w:pPr>
            <w:r>
              <w:rPr>
                <w:rFonts w:ascii="Arial" w:cs="Arial" w:eastAsia="Arial" w:hAnsi="Arial"/>
                <w:sz w:val="13"/>
                <w:szCs w:val="13"/>
                <w:color w:val="auto"/>
              </w:rPr>
              <w:t>the date of the contemplated extraordinary General Meeting of Shareholders.</w:t>
            </w:r>
          </w:p>
        </w:tc>
        <w:tc>
          <w:tcPr>
            <w:tcW w:w="240" w:type="dxa"/>
            <w:vAlign w:val="bottom"/>
            <w:tcBorders>
              <w:right w:val="single" w:sz="8" w:color="auto"/>
            </w:tcBorders>
          </w:tcPr>
          <w:p>
            <w:pPr>
              <w:spacing w:after="0"/>
              <w:rPr>
                <w:sz w:val="12"/>
                <w:szCs w:val="12"/>
                <w:color w:val="auto"/>
              </w:rPr>
            </w:pPr>
          </w:p>
        </w:tc>
        <w:tc>
          <w:tcPr>
            <w:tcW w:w="5520" w:type="dxa"/>
            <w:vAlign w:val="bottom"/>
            <w:tcBorders>
              <w:right w:val="single" w:sz="8" w:color="auto"/>
            </w:tcBorders>
          </w:tcPr>
          <w:p>
            <w:pPr>
              <w:ind w:left="20"/>
              <w:spacing w:after="0" w:line="145" w:lineRule="exact"/>
              <w:rPr>
                <w:sz w:val="20"/>
                <w:szCs w:val="20"/>
                <w:color w:val="auto"/>
              </w:rPr>
            </w:pPr>
            <w:r>
              <w:rPr>
                <w:rFonts w:ascii="Arial" w:cs="Arial" w:eastAsia="Arial" w:hAnsi="Arial"/>
                <w:sz w:val="13"/>
                <w:szCs w:val="13"/>
                <w:color w:val="auto"/>
              </w:rPr>
              <w:t>plus tard que la date de la première annonce publique ou autre notification aux actionnaires de</w:t>
            </w:r>
          </w:p>
        </w:tc>
      </w:tr>
      <w:tr>
        <w:trPr>
          <w:trHeight w:val="173"/>
        </w:trPr>
        <w:tc>
          <w:tcPr>
            <w:tcW w:w="5540" w:type="dxa"/>
            <w:vAlign w:val="bottom"/>
            <w:tcBorders>
              <w:left w:val="single" w:sz="8" w:color="auto"/>
              <w:bottom w:val="single" w:sz="8" w:color="auto"/>
              <w:right w:val="single" w:sz="8" w:color="auto"/>
            </w:tcBorders>
          </w:tcPr>
          <w:p>
            <w:pPr>
              <w:spacing w:after="0"/>
              <w:rPr>
                <w:sz w:val="15"/>
                <w:szCs w:val="15"/>
                <w:color w:val="auto"/>
              </w:rPr>
            </w:pPr>
          </w:p>
        </w:tc>
        <w:tc>
          <w:tcPr>
            <w:tcW w:w="240" w:type="dxa"/>
            <w:vAlign w:val="bottom"/>
            <w:tcBorders>
              <w:bottom w:val="single" w:sz="8" w:color="auto"/>
              <w:right w:val="single" w:sz="8" w:color="auto"/>
            </w:tcBorders>
          </w:tcPr>
          <w:p>
            <w:pPr>
              <w:spacing w:after="0"/>
              <w:rPr>
                <w:sz w:val="15"/>
                <w:szCs w:val="15"/>
                <w:color w:val="auto"/>
              </w:rPr>
            </w:pPr>
          </w:p>
        </w:tc>
        <w:tc>
          <w:tcPr>
            <w:tcW w:w="55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3"/>
                <w:szCs w:val="13"/>
                <w:color w:val="auto"/>
              </w:rPr>
              <w:t>la date envisagée de</w:t>
            </w:r>
          </w:p>
        </w:tc>
      </w:tr>
    </w:tbl>
    <w:p>
      <w:pPr>
        <w:spacing w:after="0" w:line="59"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5"/>
          <w:szCs w:val="15"/>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12700</wp:posOffset>
            </wp:positionV>
            <wp:extent cx="7171690" cy="635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71690" cy="6350"/>
                    </a:xfrm>
                    <a:prstGeom prst="rect">
                      <a:avLst/>
                    </a:prstGeom>
                    <a:noFill/>
                  </pic:spPr>
                </pic:pic>
              </a:graphicData>
            </a:graphic>
          </wp:anchor>
        </w:drawing>
      </w:r>
    </w:p>
    <w:p>
      <w:pPr>
        <w:sectPr>
          <w:pgSz w:w="11900" w:h="16838" w:orient="portrait"/>
          <w:cols w:equalWidth="0" w:num="1">
            <w:col w:w="11300"/>
          </w:cols>
          <w:pgMar w:left="300" w:top="448" w:right="299" w:bottom="1440" w:gutter="0" w:footer="0" w:header="0"/>
        </w:sectPr>
      </w:pPr>
    </w:p>
    <w:bookmarkStart w:id="70" w:name="page71"/>
    <w:bookmarkEnd w:id="70"/>
    <w:tbl>
      <w:tblPr>
        <w:tblLayout w:type="fixed"/>
        <w:tblInd w:w="10" w:type="dxa"/>
        <w:tblCellMar>
          <w:top w:w="0" w:type="dxa"/>
          <w:left w:w="0" w:type="dxa"/>
          <w:bottom w:w="0" w:type="dxa"/>
          <w:right w:w="0" w:type="dxa"/>
        </w:tblCellMar>
      </w:tblPr>
      <w:tr>
        <w:trPr>
          <w:trHeight w:val="189"/>
        </w:trPr>
        <w:tc>
          <w:tcPr>
            <w:tcW w:w="5540" w:type="dxa"/>
            <w:vAlign w:val="bottom"/>
            <w:tcBorders>
              <w:top w:val="single" w:sz="8" w:color="auto"/>
              <w:left w:val="single" w:sz="8" w:color="auto"/>
              <w:bottom w:val="single" w:sz="8" w:color="auto"/>
              <w:right w:val="single" w:sz="8" w:color="auto"/>
            </w:tcBorders>
          </w:tcPr>
          <w:p>
            <w:pPr>
              <w:spacing w:after="0"/>
              <w:rPr>
                <w:sz w:val="16"/>
                <w:szCs w:val="16"/>
                <w:color w:val="auto"/>
              </w:rPr>
            </w:pPr>
          </w:p>
        </w:tc>
        <w:tc>
          <w:tcPr>
            <w:tcW w:w="240" w:type="dxa"/>
            <w:vAlign w:val="bottom"/>
            <w:tcBorders>
              <w:top w:val="single" w:sz="8" w:color="auto"/>
              <w:bottom w:val="single" w:sz="8" w:color="auto"/>
              <w:right w:val="single" w:sz="8" w:color="auto"/>
            </w:tcBorders>
          </w:tcPr>
          <w:p>
            <w:pPr>
              <w:spacing w:after="0"/>
              <w:rPr>
                <w:sz w:val="16"/>
                <w:szCs w:val="16"/>
                <w:color w:val="auto"/>
              </w:rPr>
            </w:pPr>
          </w:p>
        </w:tc>
        <w:tc>
          <w:tcPr>
            <w:tcW w:w="5520" w:type="dxa"/>
            <w:vAlign w:val="bottom"/>
            <w:tcBorders>
              <w:top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3"/>
                <w:szCs w:val="13"/>
                <w:color w:val="auto"/>
              </w:rPr>
              <w:t>l'assemblée générale extraordinaire des actionnaires.</w:t>
            </w:r>
          </w:p>
        </w:tc>
      </w:tr>
      <w:tr>
        <w:trPr>
          <w:trHeight w:val="145"/>
        </w:trPr>
        <w:tc>
          <w:tcPr>
            <w:tcW w:w="5540" w:type="dxa"/>
            <w:vAlign w:val="bottom"/>
            <w:tcBorders>
              <w:left w:val="single" w:sz="8" w:color="auto"/>
              <w:right w:val="single" w:sz="8" w:color="auto"/>
            </w:tcBorders>
          </w:tcPr>
          <w:p>
            <w:pPr>
              <w:ind w:left="40"/>
              <w:spacing w:after="0" w:line="146" w:lineRule="exact"/>
              <w:rPr>
                <w:sz w:val="20"/>
                <w:szCs w:val="20"/>
                <w:color w:val="auto"/>
              </w:rPr>
            </w:pPr>
            <w:r>
              <w:rPr>
                <w:rFonts w:ascii="Arial" w:cs="Arial" w:eastAsia="Arial" w:hAnsi="Arial"/>
                <w:sz w:val="13"/>
                <w:szCs w:val="13"/>
                <w:color w:val="auto"/>
              </w:rPr>
              <w:t>Each request for inclusion of an item on the agenda must include (i) a brief description of the</w:t>
            </w:r>
          </w:p>
        </w:tc>
        <w:tc>
          <w:tcPr>
            <w:tcW w:w="240" w:type="dxa"/>
            <w:vAlign w:val="bottom"/>
            <w:tcBorders>
              <w:right w:val="single" w:sz="8" w:color="auto"/>
            </w:tcBorders>
          </w:tcPr>
          <w:p>
            <w:pPr>
              <w:spacing w:after="0"/>
              <w:rPr>
                <w:sz w:val="12"/>
                <w:szCs w:val="12"/>
                <w:color w:val="auto"/>
              </w:rPr>
            </w:pPr>
          </w:p>
        </w:tc>
        <w:tc>
          <w:tcPr>
            <w:tcW w:w="5520" w:type="dxa"/>
            <w:vAlign w:val="bottom"/>
            <w:tcBorders>
              <w:right w:val="single" w:sz="8" w:color="auto"/>
            </w:tcBorders>
          </w:tcPr>
          <w:p>
            <w:pPr>
              <w:ind w:left="20"/>
              <w:spacing w:after="0" w:line="146" w:lineRule="exact"/>
              <w:rPr>
                <w:sz w:val="20"/>
                <w:szCs w:val="20"/>
                <w:color w:val="auto"/>
              </w:rPr>
            </w:pPr>
            <w:r>
              <w:rPr>
                <w:rFonts w:ascii="Arial" w:cs="Arial" w:eastAsia="Arial" w:hAnsi="Arial"/>
                <w:sz w:val="13"/>
                <w:szCs w:val="13"/>
                <w:color w:val="auto"/>
              </w:rPr>
              <w:t>Chaque demande d'inscription d'un objet à l'ordre du jour doit inclure (i) une brève description</w:t>
            </w:r>
          </w:p>
        </w:tc>
      </w:tr>
      <w:tr>
        <w:trPr>
          <w:trHeight w:val="145"/>
        </w:trPr>
        <w:tc>
          <w:tcPr>
            <w:tcW w:w="5540" w:type="dxa"/>
            <w:vAlign w:val="bottom"/>
            <w:tcBorders>
              <w:left w:val="single" w:sz="8" w:color="auto"/>
              <w:right w:val="single" w:sz="8" w:color="auto"/>
            </w:tcBorders>
          </w:tcPr>
          <w:p>
            <w:pPr>
              <w:ind w:left="40"/>
              <w:spacing w:after="0" w:line="145" w:lineRule="exact"/>
              <w:rPr>
                <w:sz w:val="20"/>
                <w:szCs w:val="20"/>
                <w:color w:val="auto"/>
              </w:rPr>
            </w:pPr>
            <w:r>
              <w:rPr>
                <w:rFonts w:ascii="Arial" w:cs="Arial" w:eastAsia="Arial" w:hAnsi="Arial"/>
                <w:sz w:val="13"/>
                <w:szCs w:val="13"/>
                <w:color w:val="auto"/>
              </w:rPr>
              <w:t>business desired to be brought before the meeting and the reasons for conducting such</w:t>
            </w:r>
          </w:p>
        </w:tc>
        <w:tc>
          <w:tcPr>
            <w:tcW w:w="240" w:type="dxa"/>
            <w:vAlign w:val="bottom"/>
            <w:tcBorders>
              <w:right w:val="single" w:sz="8" w:color="auto"/>
            </w:tcBorders>
          </w:tcPr>
          <w:p>
            <w:pPr>
              <w:spacing w:after="0"/>
              <w:rPr>
                <w:sz w:val="12"/>
                <w:szCs w:val="12"/>
                <w:color w:val="auto"/>
              </w:rPr>
            </w:pPr>
          </w:p>
        </w:tc>
        <w:tc>
          <w:tcPr>
            <w:tcW w:w="5520" w:type="dxa"/>
            <w:vAlign w:val="bottom"/>
            <w:tcBorders>
              <w:right w:val="single" w:sz="8" w:color="auto"/>
            </w:tcBorders>
          </w:tcPr>
          <w:p>
            <w:pPr>
              <w:ind w:left="20"/>
              <w:spacing w:after="0" w:line="145" w:lineRule="exact"/>
              <w:rPr>
                <w:sz w:val="20"/>
                <w:szCs w:val="20"/>
                <w:color w:val="auto"/>
              </w:rPr>
            </w:pPr>
            <w:r>
              <w:rPr>
                <w:rFonts w:ascii="Arial" w:cs="Arial" w:eastAsia="Arial" w:hAnsi="Arial"/>
                <w:sz w:val="13"/>
                <w:szCs w:val="13"/>
                <w:color w:val="auto"/>
              </w:rPr>
              <w:t>de l'affaire qui sera soumise à l'assemblée et les raisons pour lesquelles cette affaire est</w:t>
            </w:r>
          </w:p>
        </w:tc>
      </w:tr>
      <w:tr>
        <w:trPr>
          <w:trHeight w:val="145"/>
        </w:trPr>
        <w:tc>
          <w:tcPr>
            <w:tcW w:w="5540" w:type="dxa"/>
            <w:vAlign w:val="bottom"/>
            <w:tcBorders>
              <w:left w:val="single" w:sz="8" w:color="auto"/>
              <w:right w:val="single" w:sz="8" w:color="auto"/>
            </w:tcBorders>
          </w:tcPr>
          <w:p>
            <w:pPr>
              <w:ind w:left="40"/>
              <w:spacing w:after="0" w:line="145" w:lineRule="exact"/>
              <w:rPr>
                <w:sz w:val="20"/>
                <w:szCs w:val="20"/>
                <w:color w:val="auto"/>
              </w:rPr>
            </w:pPr>
            <w:r>
              <w:rPr>
                <w:rFonts w:ascii="Arial" w:cs="Arial" w:eastAsia="Arial" w:hAnsi="Arial"/>
                <w:sz w:val="13"/>
                <w:szCs w:val="13"/>
                <w:color w:val="auto"/>
              </w:rPr>
              <w:t>business at the meeting; (ii) the name and address, as they appear on the Company's register</w:t>
            </w:r>
          </w:p>
        </w:tc>
        <w:tc>
          <w:tcPr>
            <w:tcW w:w="240" w:type="dxa"/>
            <w:vAlign w:val="bottom"/>
            <w:tcBorders>
              <w:right w:val="single" w:sz="8" w:color="auto"/>
            </w:tcBorders>
          </w:tcPr>
          <w:p>
            <w:pPr>
              <w:spacing w:after="0"/>
              <w:rPr>
                <w:sz w:val="12"/>
                <w:szCs w:val="12"/>
                <w:color w:val="auto"/>
              </w:rPr>
            </w:pPr>
          </w:p>
        </w:tc>
        <w:tc>
          <w:tcPr>
            <w:tcW w:w="5520" w:type="dxa"/>
            <w:vAlign w:val="bottom"/>
            <w:tcBorders>
              <w:right w:val="single" w:sz="8" w:color="auto"/>
            </w:tcBorders>
          </w:tcPr>
          <w:p>
            <w:pPr>
              <w:ind w:left="20"/>
              <w:spacing w:after="0" w:line="145" w:lineRule="exact"/>
              <w:rPr>
                <w:sz w:val="20"/>
                <w:szCs w:val="20"/>
                <w:color w:val="auto"/>
              </w:rPr>
            </w:pPr>
            <w:r>
              <w:rPr>
                <w:rFonts w:ascii="Arial" w:cs="Arial" w:eastAsia="Arial" w:hAnsi="Arial"/>
                <w:sz w:val="13"/>
                <w:szCs w:val="13"/>
                <w:color w:val="auto"/>
              </w:rPr>
              <w:t>soumise à l'assemblée; (ii) le nom et l'adresse, tels qu'ils apparaissent dans le registre des</w:t>
            </w:r>
          </w:p>
        </w:tc>
      </w:tr>
      <w:tr>
        <w:trPr>
          <w:trHeight w:val="145"/>
        </w:trPr>
        <w:tc>
          <w:tcPr>
            <w:tcW w:w="5540" w:type="dxa"/>
            <w:vAlign w:val="bottom"/>
            <w:tcBorders>
              <w:left w:val="single" w:sz="8" w:color="auto"/>
              <w:right w:val="single" w:sz="8" w:color="auto"/>
            </w:tcBorders>
          </w:tcPr>
          <w:p>
            <w:pPr>
              <w:ind w:left="40"/>
              <w:spacing w:after="0" w:line="145" w:lineRule="exact"/>
              <w:rPr>
                <w:sz w:val="20"/>
                <w:szCs w:val="20"/>
                <w:color w:val="auto"/>
              </w:rPr>
            </w:pPr>
            <w:r>
              <w:rPr>
                <w:rFonts w:ascii="Arial" w:cs="Arial" w:eastAsia="Arial" w:hAnsi="Arial"/>
                <w:sz w:val="13"/>
                <w:szCs w:val="13"/>
                <w:color w:val="auto"/>
              </w:rPr>
              <w:t>of shareholders, of the shareholder proposing such business; (iii) the number of shares of the</w:t>
            </w:r>
          </w:p>
        </w:tc>
        <w:tc>
          <w:tcPr>
            <w:tcW w:w="240" w:type="dxa"/>
            <w:vAlign w:val="bottom"/>
            <w:tcBorders>
              <w:right w:val="single" w:sz="8" w:color="auto"/>
            </w:tcBorders>
          </w:tcPr>
          <w:p>
            <w:pPr>
              <w:spacing w:after="0"/>
              <w:rPr>
                <w:sz w:val="12"/>
                <w:szCs w:val="12"/>
                <w:color w:val="auto"/>
              </w:rPr>
            </w:pPr>
          </w:p>
        </w:tc>
        <w:tc>
          <w:tcPr>
            <w:tcW w:w="5520" w:type="dxa"/>
            <w:vAlign w:val="bottom"/>
            <w:tcBorders>
              <w:right w:val="single" w:sz="8" w:color="auto"/>
            </w:tcBorders>
          </w:tcPr>
          <w:p>
            <w:pPr>
              <w:ind w:left="20"/>
              <w:spacing w:after="0" w:line="145" w:lineRule="exact"/>
              <w:rPr>
                <w:sz w:val="20"/>
                <w:szCs w:val="20"/>
                <w:color w:val="auto"/>
              </w:rPr>
            </w:pPr>
            <w:r>
              <w:rPr>
                <w:rFonts w:ascii="Arial" w:cs="Arial" w:eastAsia="Arial" w:hAnsi="Arial"/>
                <w:sz w:val="13"/>
                <w:szCs w:val="13"/>
                <w:color w:val="auto"/>
              </w:rPr>
              <w:t>actionnaires de la société, de l'/des actionnaire(s) proposant un tel objet; (iii) le nombre</w:t>
            </w:r>
          </w:p>
        </w:tc>
      </w:tr>
      <w:tr>
        <w:trPr>
          <w:trHeight w:val="145"/>
        </w:trPr>
        <w:tc>
          <w:tcPr>
            <w:tcW w:w="5540" w:type="dxa"/>
            <w:vAlign w:val="bottom"/>
            <w:tcBorders>
              <w:left w:val="single" w:sz="8" w:color="auto"/>
              <w:right w:val="single" w:sz="8" w:color="auto"/>
            </w:tcBorders>
          </w:tcPr>
          <w:p>
            <w:pPr>
              <w:ind w:left="40"/>
              <w:spacing w:after="0" w:line="145" w:lineRule="exact"/>
              <w:rPr>
                <w:sz w:val="20"/>
                <w:szCs w:val="20"/>
                <w:color w:val="auto"/>
              </w:rPr>
            </w:pPr>
            <w:r>
              <w:rPr>
                <w:rFonts w:ascii="Arial" w:cs="Arial" w:eastAsia="Arial" w:hAnsi="Arial"/>
                <w:sz w:val="13"/>
                <w:szCs w:val="13"/>
                <w:color w:val="auto"/>
              </w:rPr>
              <w:t>Company which are beneficially owned by such shareholder; (iv) the dates upon which the</w:t>
            </w:r>
          </w:p>
        </w:tc>
        <w:tc>
          <w:tcPr>
            <w:tcW w:w="240" w:type="dxa"/>
            <w:vAlign w:val="bottom"/>
            <w:tcBorders>
              <w:right w:val="single" w:sz="8" w:color="auto"/>
            </w:tcBorders>
          </w:tcPr>
          <w:p>
            <w:pPr>
              <w:spacing w:after="0"/>
              <w:rPr>
                <w:sz w:val="12"/>
                <w:szCs w:val="12"/>
                <w:color w:val="auto"/>
              </w:rPr>
            </w:pPr>
          </w:p>
        </w:tc>
        <w:tc>
          <w:tcPr>
            <w:tcW w:w="5520" w:type="dxa"/>
            <w:vAlign w:val="bottom"/>
            <w:tcBorders>
              <w:right w:val="single" w:sz="8" w:color="auto"/>
            </w:tcBorders>
          </w:tcPr>
          <w:p>
            <w:pPr>
              <w:ind w:left="20"/>
              <w:spacing w:after="0" w:line="145" w:lineRule="exact"/>
              <w:rPr>
                <w:sz w:val="20"/>
                <w:szCs w:val="20"/>
                <w:color w:val="auto"/>
              </w:rPr>
            </w:pPr>
            <w:r>
              <w:rPr>
                <w:rFonts w:ascii="Arial" w:cs="Arial" w:eastAsia="Arial" w:hAnsi="Arial"/>
                <w:sz w:val="13"/>
                <w:szCs w:val="13"/>
                <w:color w:val="auto"/>
              </w:rPr>
              <w:t>d'actions de la société effectivement détenues par (un) tel(s) actionnaire(s); (iv) les dates</w:t>
            </w:r>
          </w:p>
        </w:tc>
      </w:tr>
      <w:tr>
        <w:trPr>
          <w:trHeight w:val="145"/>
        </w:trPr>
        <w:tc>
          <w:tcPr>
            <w:tcW w:w="5540" w:type="dxa"/>
            <w:vAlign w:val="bottom"/>
            <w:tcBorders>
              <w:left w:val="single" w:sz="8" w:color="auto"/>
              <w:right w:val="single" w:sz="8" w:color="auto"/>
            </w:tcBorders>
          </w:tcPr>
          <w:p>
            <w:pPr>
              <w:ind w:left="40"/>
              <w:spacing w:after="0" w:line="145" w:lineRule="exact"/>
              <w:rPr>
                <w:sz w:val="20"/>
                <w:szCs w:val="20"/>
                <w:color w:val="auto"/>
              </w:rPr>
            </w:pPr>
            <w:r>
              <w:rPr>
                <w:rFonts w:ascii="Arial" w:cs="Arial" w:eastAsia="Arial" w:hAnsi="Arial"/>
                <w:sz w:val="13"/>
                <w:szCs w:val="13"/>
                <w:color w:val="auto"/>
              </w:rPr>
              <w:t>shareholder  acquired  such  shares;  (v)  documentary  support  for  any  claim  of  beneficial</w:t>
            </w:r>
          </w:p>
        </w:tc>
        <w:tc>
          <w:tcPr>
            <w:tcW w:w="240" w:type="dxa"/>
            <w:vAlign w:val="bottom"/>
            <w:tcBorders>
              <w:right w:val="single" w:sz="8" w:color="auto"/>
            </w:tcBorders>
          </w:tcPr>
          <w:p>
            <w:pPr>
              <w:spacing w:after="0"/>
              <w:rPr>
                <w:sz w:val="12"/>
                <w:szCs w:val="12"/>
                <w:color w:val="auto"/>
              </w:rPr>
            </w:pPr>
          </w:p>
        </w:tc>
        <w:tc>
          <w:tcPr>
            <w:tcW w:w="5520" w:type="dxa"/>
            <w:vAlign w:val="bottom"/>
            <w:tcBorders>
              <w:right w:val="single" w:sz="8" w:color="auto"/>
            </w:tcBorders>
          </w:tcPr>
          <w:p>
            <w:pPr>
              <w:ind w:left="20"/>
              <w:spacing w:after="0" w:line="145" w:lineRule="exact"/>
              <w:rPr>
                <w:sz w:val="20"/>
                <w:szCs w:val="20"/>
                <w:color w:val="auto"/>
              </w:rPr>
            </w:pPr>
            <w:r>
              <w:rPr>
                <w:rFonts w:ascii="Arial" w:cs="Arial" w:eastAsia="Arial" w:hAnsi="Arial"/>
                <w:sz w:val="13"/>
                <w:szCs w:val="13"/>
                <w:color w:val="auto"/>
              </w:rPr>
              <w:t>auxquelles l'/les actionnaire(s) a/ont acquis ces actions; (v) l'appui documentaire pour toute</w:t>
            </w:r>
          </w:p>
        </w:tc>
      </w:tr>
      <w:tr>
        <w:trPr>
          <w:trHeight w:val="145"/>
        </w:trPr>
        <w:tc>
          <w:tcPr>
            <w:tcW w:w="5540" w:type="dxa"/>
            <w:vAlign w:val="bottom"/>
            <w:tcBorders>
              <w:left w:val="single" w:sz="8" w:color="auto"/>
              <w:right w:val="single" w:sz="8" w:color="auto"/>
            </w:tcBorders>
          </w:tcPr>
          <w:p>
            <w:pPr>
              <w:ind w:left="40"/>
              <w:spacing w:after="0" w:line="145" w:lineRule="exact"/>
              <w:rPr>
                <w:sz w:val="20"/>
                <w:szCs w:val="20"/>
                <w:color w:val="auto"/>
              </w:rPr>
            </w:pPr>
            <w:r>
              <w:rPr>
                <w:rFonts w:ascii="Arial" w:cs="Arial" w:eastAsia="Arial" w:hAnsi="Arial"/>
                <w:sz w:val="13"/>
                <w:szCs w:val="13"/>
                <w:color w:val="auto"/>
                <w:w w:val="99"/>
              </w:rPr>
              <w:t>ownership; (vi) any material interest of such shareholder in such business; and (vii) a statement</w:t>
            </w:r>
          </w:p>
        </w:tc>
        <w:tc>
          <w:tcPr>
            <w:tcW w:w="240" w:type="dxa"/>
            <w:vAlign w:val="bottom"/>
            <w:tcBorders>
              <w:right w:val="single" w:sz="8" w:color="auto"/>
            </w:tcBorders>
          </w:tcPr>
          <w:p>
            <w:pPr>
              <w:spacing w:after="0"/>
              <w:rPr>
                <w:sz w:val="12"/>
                <w:szCs w:val="12"/>
                <w:color w:val="auto"/>
              </w:rPr>
            </w:pPr>
          </w:p>
        </w:tc>
        <w:tc>
          <w:tcPr>
            <w:tcW w:w="5520" w:type="dxa"/>
            <w:vAlign w:val="bottom"/>
            <w:tcBorders>
              <w:right w:val="single" w:sz="8" w:color="auto"/>
            </w:tcBorders>
          </w:tcPr>
          <w:p>
            <w:pPr>
              <w:ind w:left="20"/>
              <w:spacing w:after="0" w:line="145" w:lineRule="exact"/>
              <w:rPr>
                <w:sz w:val="20"/>
                <w:szCs w:val="20"/>
                <w:color w:val="auto"/>
              </w:rPr>
            </w:pPr>
            <w:r>
              <w:rPr>
                <w:rFonts w:ascii="Arial" w:cs="Arial" w:eastAsia="Arial" w:hAnsi="Arial"/>
                <w:sz w:val="13"/>
                <w:szCs w:val="13"/>
                <w:color w:val="auto"/>
              </w:rPr>
              <w:t>revendication de propriété effective; (vi) un intérêt important de cet/ces actionnaire(s) par</w:t>
            </w:r>
          </w:p>
        </w:tc>
      </w:tr>
      <w:tr>
        <w:trPr>
          <w:trHeight w:val="145"/>
        </w:trPr>
        <w:tc>
          <w:tcPr>
            <w:tcW w:w="5540" w:type="dxa"/>
            <w:vAlign w:val="bottom"/>
            <w:tcBorders>
              <w:left w:val="single" w:sz="8" w:color="auto"/>
              <w:right w:val="single" w:sz="8" w:color="auto"/>
            </w:tcBorders>
          </w:tcPr>
          <w:p>
            <w:pPr>
              <w:ind w:left="40"/>
              <w:spacing w:after="0" w:line="145" w:lineRule="exact"/>
              <w:rPr>
                <w:sz w:val="20"/>
                <w:szCs w:val="20"/>
                <w:color w:val="auto"/>
              </w:rPr>
            </w:pPr>
            <w:r>
              <w:rPr>
                <w:rFonts w:ascii="Arial" w:cs="Arial" w:eastAsia="Arial" w:hAnsi="Arial"/>
                <w:sz w:val="13"/>
                <w:szCs w:val="13"/>
                <w:color w:val="auto"/>
              </w:rPr>
              <w:t>in support of the matter and, for proposals sought to be included in the Company's proxy</w:t>
            </w:r>
          </w:p>
        </w:tc>
        <w:tc>
          <w:tcPr>
            <w:tcW w:w="240" w:type="dxa"/>
            <w:vAlign w:val="bottom"/>
            <w:tcBorders>
              <w:right w:val="single" w:sz="8" w:color="auto"/>
            </w:tcBorders>
          </w:tcPr>
          <w:p>
            <w:pPr>
              <w:spacing w:after="0"/>
              <w:rPr>
                <w:sz w:val="12"/>
                <w:szCs w:val="12"/>
                <w:color w:val="auto"/>
              </w:rPr>
            </w:pPr>
          </w:p>
        </w:tc>
        <w:tc>
          <w:tcPr>
            <w:tcW w:w="5520" w:type="dxa"/>
            <w:vAlign w:val="bottom"/>
            <w:tcBorders>
              <w:right w:val="single" w:sz="8" w:color="auto"/>
            </w:tcBorders>
          </w:tcPr>
          <w:p>
            <w:pPr>
              <w:ind w:left="20"/>
              <w:spacing w:after="0" w:line="145" w:lineRule="exact"/>
              <w:rPr>
                <w:sz w:val="20"/>
                <w:szCs w:val="20"/>
                <w:color w:val="auto"/>
              </w:rPr>
            </w:pPr>
            <w:r>
              <w:rPr>
                <w:rFonts w:ascii="Arial" w:cs="Arial" w:eastAsia="Arial" w:hAnsi="Arial"/>
                <w:sz w:val="13"/>
                <w:szCs w:val="13"/>
                <w:color w:val="auto"/>
                <w:w w:val="99"/>
              </w:rPr>
              <w:t>rapport à cet objet; et (vii) une déclaration à l'appui de cet objet et, pour les propositions devant</w:t>
            </w:r>
          </w:p>
        </w:tc>
      </w:tr>
      <w:tr>
        <w:trPr>
          <w:trHeight w:val="145"/>
        </w:trPr>
        <w:tc>
          <w:tcPr>
            <w:tcW w:w="5540" w:type="dxa"/>
            <w:vAlign w:val="bottom"/>
            <w:tcBorders>
              <w:left w:val="single" w:sz="8" w:color="auto"/>
              <w:right w:val="single" w:sz="8" w:color="auto"/>
            </w:tcBorders>
          </w:tcPr>
          <w:p>
            <w:pPr>
              <w:ind w:left="40"/>
              <w:spacing w:after="0" w:line="145" w:lineRule="exact"/>
              <w:rPr>
                <w:sz w:val="20"/>
                <w:szCs w:val="20"/>
                <w:color w:val="auto"/>
              </w:rPr>
            </w:pPr>
            <w:r>
              <w:rPr>
                <w:rFonts w:ascii="Arial" w:cs="Arial" w:eastAsia="Arial" w:hAnsi="Arial"/>
                <w:sz w:val="13"/>
                <w:szCs w:val="13"/>
                <w:color w:val="auto"/>
              </w:rPr>
              <w:t>statement, any other information required by Securities and Exchange Commission Rule "14a-</w:t>
            </w:r>
          </w:p>
        </w:tc>
        <w:tc>
          <w:tcPr>
            <w:tcW w:w="240" w:type="dxa"/>
            <w:vAlign w:val="bottom"/>
            <w:tcBorders>
              <w:right w:val="single" w:sz="8" w:color="auto"/>
            </w:tcBorders>
          </w:tcPr>
          <w:p>
            <w:pPr>
              <w:spacing w:after="0"/>
              <w:rPr>
                <w:sz w:val="12"/>
                <w:szCs w:val="12"/>
                <w:color w:val="auto"/>
              </w:rPr>
            </w:pPr>
          </w:p>
        </w:tc>
        <w:tc>
          <w:tcPr>
            <w:tcW w:w="5520" w:type="dxa"/>
            <w:vAlign w:val="bottom"/>
            <w:tcBorders>
              <w:right w:val="single" w:sz="8" w:color="auto"/>
            </w:tcBorders>
          </w:tcPr>
          <w:p>
            <w:pPr>
              <w:ind w:left="20"/>
              <w:spacing w:after="0" w:line="145" w:lineRule="exact"/>
              <w:rPr>
                <w:sz w:val="20"/>
                <w:szCs w:val="20"/>
                <w:color w:val="auto"/>
              </w:rPr>
            </w:pPr>
            <w:r>
              <w:rPr>
                <w:rFonts w:ascii="Arial" w:cs="Arial" w:eastAsia="Arial" w:hAnsi="Arial"/>
                <w:sz w:val="13"/>
                <w:szCs w:val="13"/>
                <w:color w:val="auto"/>
                <w:w w:val="99"/>
              </w:rPr>
              <w:t>être incluses dans la déclaration (proxy statement) de la société, toute autre information requise</w:t>
            </w:r>
          </w:p>
        </w:tc>
      </w:tr>
      <w:tr>
        <w:trPr>
          <w:trHeight w:val="173"/>
        </w:trPr>
        <w:tc>
          <w:tcPr>
            <w:tcW w:w="554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3"/>
                <w:szCs w:val="13"/>
                <w:color w:val="auto"/>
              </w:rPr>
              <w:t>8".</w:t>
            </w:r>
          </w:p>
        </w:tc>
        <w:tc>
          <w:tcPr>
            <w:tcW w:w="240" w:type="dxa"/>
            <w:vAlign w:val="bottom"/>
            <w:tcBorders>
              <w:bottom w:val="single" w:sz="8" w:color="auto"/>
              <w:right w:val="single" w:sz="8" w:color="auto"/>
            </w:tcBorders>
          </w:tcPr>
          <w:p>
            <w:pPr>
              <w:spacing w:after="0"/>
              <w:rPr>
                <w:sz w:val="15"/>
                <w:szCs w:val="15"/>
                <w:color w:val="auto"/>
              </w:rPr>
            </w:pPr>
          </w:p>
        </w:tc>
        <w:tc>
          <w:tcPr>
            <w:tcW w:w="55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3"/>
                <w:szCs w:val="13"/>
                <w:color w:val="auto"/>
              </w:rPr>
              <w:t>par la Securities and Exchange Commission règle "14a-8".</w:t>
            </w:r>
          </w:p>
        </w:tc>
      </w:tr>
      <w:tr>
        <w:trPr>
          <w:trHeight w:val="145"/>
        </w:trPr>
        <w:tc>
          <w:tcPr>
            <w:tcW w:w="5540" w:type="dxa"/>
            <w:vAlign w:val="bottom"/>
            <w:tcBorders>
              <w:left w:val="single" w:sz="8" w:color="auto"/>
              <w:right w:val="single" w:sz="8" w:color="auto"/>
            </w:tcBorders>
          </w:tcPr>
          <w:p>
            <w:pPr>
              <w:ind w:left="40"/>
              <w:spacing w:after="0" w:line="146" w:lineRule="exact"/>
              <w:rPr>
                <w:sz w:val="20"/>
                <w:szCs w:val="20"/>
                <w:color w:val="auto"/>
              </w:rPr>
            </w:pPr>
            <w:r>
              <w:rPr>
                <w:rFonts w:ascii="Arial" w:cs="Arial" w:eastAsia="Arial" w:hAnsi="Arial"/>
                <w:sz w:val="13"/>
                <w:szCs w:val="13"/>
                <w:color w:val="auto"/>
              </w:rPr>
              <w:t>In addition, if the shareholder intends to solicit proxies from the shareholders of the Company,</w:t>
            </w:r>
          </w:p>
        </w:tc>
        <w:tc>
          <w:tcPr>
            <w:tcW w:w="240" w:type="dxa"/>
            <w:vAlign w:val="bottom"/>
            <w:tcBorders>
              <w:right w:val="single" w:sz="8" w:color="auto"/>
            </w:tcBorders>
          </w:tcPr>
          <w:p>
            <w:pPr>
              <w:spacing w:after="0"/>
              <w:rPr>
                <w:sz w:val="12"/>
                <w:szCs w:val="12"/>
                <w:color w:val="auto"/>
              </w:rPr>
            </w:pPr>
          </w:p>
        </w:tc>
        <w:tc>
          <w:tcPr>
            <w:tcW w:w="5520" w:type="dxa"/>
            <w:vAlign w:val="bottom"/>
            <w:tcBorders>
              <w:right w:val="single" w:sz="8" w:color="auto"/>
            </w:tcBorders>
          </w:tcPr>
          <w:p>
            <w:pPr>
              <w:ind w:left="20"/>
              <w:spacing w:after="0" w:line="146" w:lineRule="exact"/>
              <w:rPr>
                <w:sz w:val="20"/>
                <w:szCs w:val="20"/>
                <w:color w:val="auto"/>
              </w:rPr>
            </w:pPr>
            <w:r>
              <w:rPr>
                <w:rFonts w:ascii="Arial" w:cs="Arial" w:eastAsia="Arial" w:hAnsi="Arial"/>
                <w:sz w:val="13"/>
                <w:szCs w:val="13"/>
                <w:color w:val="auto"/>
              </w:rPr>
              <w:t>En outre, si un actionnaire a l'intention de solliciter des procurations des actionnaires de la</w:t>
            </w:r>
          </w:p>
        </w:tc>
      </w:tr>
      <w:tr>
        <w:trPr>
          <w:trHeight w:val="145"/>
        </w:trPr>
        <w:tc>
          <w:tcPr>
            <w:tcW w:w="5540" w:type="dxa"/>
            <w:vAlign w:val="bottom"/>
            <w:tcBorders>
              <w:left w:val="single" w:sz="8" w:color="auto"/>
              <w:right w:val="single" w:sz="8" w:color="auto"/>
            </w:tcBorders>
          </w:tcPr>
          <w:p>
            <w:pPr>
              <w:ind w:left="40"/>
              <w:spacing w:after="0" w:line="145" w:lineRule="exact"/>
              <w:rPr>
                <w:sz w:val="20"/>
                <w:szCs w:val="20"/>
                <w:color w:val="auto"/>
              </w:rPr>
            </w:pPr>
            <w:r>
              <w:rPr>
                <w:rFonts w:ascii="Arial" w:cs="Arial" w:eastAsia="Arial" w:hAnsi="Arial"/>
                <w:sz w:val="13"/>
                <w:szCs w:val="13"/>
                <w:color w:val="auto"/>
              </w:rPr>
              <w:t>such shareholder shall notify the Company of this intent in accordance with Securities and</w:t>
            </w:r>
          </w:p>
        </w:tc>
        <w:tc>
          <w:tcPr>
            <w:tcW w:w="240" w:type="dxa"/>
            <w:vAlign w:val="bottom"/>
            <w:tcBorders>
              <w:right w:val="single" w:sz="8" w:color="auto"/>
            </w:tcBorders>
          </w:tcPr>
          <w:p>
            <w:pPr>
              <w:spacing w:after="0"/>
              <w:rPr>
                <w:sz w:val="12"/>
                <w:szCs w:val="12"/>
                <w:color w:val="auto"/>
              </w:rPr>
            </w:pPr>
          </w:p>
        </w:tc>
        <w:tc>
          <w:tcPr>
            <w:tcW w:w="5520" w:type="dxa"/>
            <w:vAlign w:val="bottom"/>
            <w:tcBorders>
              <w:right w:val="single" w:sz="8" w:color="auto"/>
            </w:tcBorders>
          </w:tcPr>
          <w:p>
            <w:pPr>
              <w:ind w:left="20"/>
              <w:spacing w:after="0" w:line="145" w:lineRule="exact"/>
              <w:rPr>
                <w:sz w:val="20"/>
                <w:szCs w:val="20"/>
                <w:color w:val="auto"/>
              </w:rPr>
            </w:pPr>
            <w:r>
              <w:rPr>
                <w:rFonts w:ascii="Arial" w:cs="Arial" w:eastAsia="Arial" w:hAnsi="Arial"/>
                <w:sz w:val="13"/>
                <w:szCs w:val="13"/>
                <w:color w:val="auto"/>
              </w:rPr>
              <w:t>société, cet actionnaire doit en informer la société conformément aux dispositions de la</w:t>
            </w:r>
          </w:p>
        </w:tc>
      </w:tr>
      <w:tr>
        <w:trPr>
          <w:trHeight w:val="173"/>
        </w:trPr>
        <w:tc>
          <w:tcPr>
            <w:tcW w:w="554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3"/>
                <w:szCs w:val="13"/>
                <w:color w:val="auto"/>
              </w:rPr>
              <w:t>Exchange Commission Rule "14a-4" and/or Rule "14a-8".</w:t>
            </w:r>
          </w:p>
        </w:tc>
        <w:tc>
          <w:tcPr>
            <w:tcW w:w="240" w:type="dxa"/>
            <w:vAlign w:val="bottom"/>
            <w:tcBorders>
              <w:bottom w:val="single" w:sz="8" w:color="auto"/>
              <w:right w:val="single" w:sz="8" w:color="auto"/>
            </w:tcBorders>
          </w:tcPr>
          <w:p>
            <w:pPr>
              <w:spacing w:after="0"/>
              <w:rPr>
                <w:sz w:val="15"/>
                <w:szCs w:val="15"/>
                <w:color w:val="auto"/>
              </w:rPr>
            </w:pPr>
          </w:p>
        </w:tc>
        <w:tc>
          <w:tcPr>
            <w:tcW w:w="55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3"/>
                <w:szCs w:val="13"/>
                <w:color w:val="auto"/>
              </w:rPr>
              <w:t>Securities and Exchange Commission règle "14a-4" et "14a-8".</w:t>
            </w:r>
          </w:p>
        </w:tc>
      </w:tr>
      <w:tr>
        <w:trPr>
          <w:trHeight w:val="145"/>
        </w:trPr>
        <w:tc>
          <w:tcPr>
            <w:tcW w:w="5540" w:type="dxa"/>
            <w:vAlign w:val="bottom"/>
            <w:tcBorders>
              <w:left w:val="single" w:sz="8" w:color="auto"/>
              <w:right w:val="single" w:sz="8" w:color="auto"/>
            </w:tcBorders>
          </w:tcPr>
          <w:p>
            <w:pPr>
              <w:ind w:left="40"/>
              <w:spacing w:after="0" w:line="146" w:lineRule="exact"/>
              <w:rPr>
                <w:sz w:val="20"/>
                <w:szCs w:val="20"/>
                <w:color w:val="auto"/>
              </w:rPr>
            </w:pPr>
            <w:r>
              <w:rPr>
                <w:rFonts w:ascii="Arial" w:cs="Arial" w:eastAsia="Arial" w:hAnsi="Arial"/>
                <w:sz w:val="13"/>
                <w:szCs w:val="13"/>
                <w:color w:val="auto"/>
              </w:rPr>
              <w:t>No resolution may be passed at a General Meeting of Shareholders concerning an item in</w:t>
            </w:r>
          </w:p>
        </w:tc>
        <w:tc>
          <w:tcPr>
            <w:tcW w:w="240" w:type="dxa"/>
            <w:vAlign w:val="bottom"/>
            <w:tcBorders>
              <w:right w:val="single" w:sz="8" w:color="auto"/>
            </w:tcBorders>
          </w:tcPr>
          <w:p>
            <w:pPr>
              <w:spacing w:after="0"/>
              <w:rPr>
                <w:sz w:val="12"/>
                <w:szCs w:val="12"/>
                <w:color w:val="auto"/>
              </w:rPr>
            </w:pPr>
          </w:p>
        </w:tc>
        <w:tc>
          <w:tcPr>
            <w:tcW w:w="5520" w:type="dxa"/>
            <w:vAlign w:val="bottom"/>
            <w:tcBorders>
              <w:right w:val="single" w:sz="8" w:color="auto"/>
            </w:tcBorders>
          </w:tcPr>
          <w:p>
            <w:pPr>
              <w:ind w:left="20"/>
              <w:spacing w:after="0" w:line="146" w:lineRule="exact"/>
              <w:rPr>
                <w:sz w:val="20"/>
                <w:szCs w:val="20"/>
                <w:color w:val="auto"/>
              </w:rPr>
            </w:pPr>
            <w:r>
              <w:rPr>
                <w:rFonts w:ascii="Arial" w:cs="Arial" w:eastAsia="Arial" w:hAnsi="Arial"/>
                <w:sz w:val="13"/>
                <w:szCs w:val="13"/>
                <w:color w:val="auto"/>
              </w:rPr>
              <w:t>Aucune décision ne peut être adoptée lors d'une assemblée générale des actionnaires si un</w:t>
            </w:r>
          </w:p>
        </w:tc>
      </w:tr>
      <w:tr>
        <w:trPr>
          <w:trHeight w:val="145"/>
        </w:trPr>
        <w:tc>
          <w:tcPr>
            <w:tcW w:w="5540" w:type="dxa"/>
            <w:vAlign w:val="bottom"/>
            <w:tcBorders>
              <w:left w:val="single" w:sz="8" w:color="auto"/>
              <w:right w:val="single" w:sz="8" w:color="auto"/>
            </w:tcBorders>
          </w:tcPr>
          <w:p>
            <w:pPr>
              <w:ind w:left="40"/>
              <w:spacing w:after="0" w:line="145" w:lineRule="exact"/>
              <w:rPr>
                <w:sz w:val="20"/>
                <w:szCs w:val="20"/>
                <w:color w:val="auto"/>
              </w:rPr>
            </w:pPr>
            <w:r>
              <w:rPr>
                <w:rFonts w:ascii="Arial" w:cs="Arial" w:eastAsia="Arial" w:hAnsi="Arial"/>
                <w:sz w:val="13"/>
                <w:szCs w:val="13"/>
                <w:color w:val="auto"/>
              </w:rPr>
              <w:t>relation to which due notice was not given. Proposals made during a General Meeting of</w:t>
            </w:r>
          </w:p>
        </w:tc>
        <w:tc>
          <w:tcPr>
            <w:tcW w:w="240" w:type="dxa"/>
            <w:vAlign w:val="bottom"/>
            <w:tcBorders>
              <w:right w:val="single" w:sz="8" w:color="auto"/>
            </w:tcBorders>
          </w:tcPr>
          <w:p>
            <w:pPr>
              <w:spacing w:after="0"/>
              <w:rPr>
                <w:sz w:val="12"/>
                <w:szCs w:val="12"/>
                <w:color w:val="auto"/>
              </w:rPr>
            </w:pPr>
          </w:p>
        </w:tc>
        <w:tc>
          <w:tcPr>
            <w:tcW w:w="5520" w:type="dxa"/>
            <w:vAlign w:val="bottom"/>
            <w:tcBorders>
              <w:right w:val="single" w:sz="8" w:color="auto"/>
            </w:tcBorders>
          </w:tcPr>
          <w:p>
            <w:pPr>
              <w:ind w:left="20"/>
              <w:spacing w:after="0" w:line="145" w:lineRule="exact"/>
              <w:rPr>
                <w:sz w:val="20"/>
                <w:szCs w:val="20"/>
                <w:color w:val="auto"/>
              </w:rPr>
            </w:pPr>
            <w:r>
              <w:rPr>
                <w:rFonts w:ascii="Arial" w:cs="Arial" w:eastAsia="Arial" w:hAnsi="Arial"/>
                <w:sz w:val="13"/>
                <w:szCs w:val="13"/>
                <w:color w:val="auto"/>
              </w:rPr>
              <w:t>objet n'a pas été inscrit à l'ordre du jour dans le délai de préavis. Les propositions faites au</w:t>
            </w:r>
          </w:p>
        </w:tc>
      </w:tr>
      <w:tr>
        <w:trPr>
          <w:trHeight w:val="145"/>
        </w:trPr>
        <w:tc>
          <w:tcPr>
            <w:tcW w:w="5540" w:type="dxa"/>
            <w:vAlign w:val="bottom"/>
            <w:tcBorders>
              <w:left w:val="single" w:sz="8" w:color="auto"/>
              <w:right w:val="single" w:sz="8" w:color="auto"/>
            </w:tcBorders>
          </w:tcPr>
          <w:p>
            <w:pPr>
              <w:ind w:left="40"/>
              <w:spacing w:after="0" w:line="145" w:lineRule="exact"/>
              <w:rPr>
                <w:sz w:val="20"/>
                <w:szCs w:val="20"/>
                <w:color w:val="auto"/>
              </w:rPr>
            </w:pPr>
            <w:r>
              <w:rPr>
                <w:rFonts w:ascii="Arial" w:cs="Arial" w:eastAsia="Arial" w:hAnsi="Arial"/>
                <w:sz w:val="13"/>
                <w:szCs w:val="13"/>
                <w:color w:val="auto"/>
              </w:rPr>
              <w:t>Shareholders  to  (i)  convene  a  extraordinary  General  Meeting  or  (ii)  initiate  a  special</w:t>
            </w:r>
          </w:p>
        </w:tc>
        <w:tc>
          <w:tcPr>
            <w:tcW w:w="240" w:type="dxa"/>
            <w:vAlign w:val="bottom"/>
            <w:tcBorders>
              <w:right w:val="single" w:sz="8" w:color="auto"/>
            </w:tcBorders>
          </w:tcPr>
          <w:p>
            <w:pPr>
              <w:spacing w:after="0"/>
              <w:rPr>
                <w:sz w:val="12"/>
                <w:szCs w:val="12"/>
                <w:color w:val="auto"/>
              </w:rPr>
            </w:pPr>
          </w:p>
        </w:tc>
        <w:tc>
          <w:tcPr>
            <w:tcW w:w="5520" w:type="dxa"/>
            <w:vAlign w:val="bottom"/>
            <w:tcBorders>
              <w:right w:val="single" w:sz="8" w:color="auto"/>
            </w:tcBorders>
          </w:tcPr>
          <w:p>
            <w:pPr>
              <w:ind w:left="20"/>
              <w:spacing w:after="0" w:line="145" w:lineRule="exact"/>
              <w:rPr>
                <w:sz w:val="20"/>
                <w:szCs w:val="20"/>
                <w:color w:val="auto"/>
              </w:rPr>
            </w:pPr>
            <w:r>
              <w:rPr>
                <w:rFonts w:ascii="Arial" w:cs="Arial" w:eastAsia="Arial" w:hAnsi="Arial"/>
                <w:sz w:val="13"/>
                <w:szCs w:val="13"/>
                <w:color w:val="auto"/>
              </w:rPr>
              <w:t>cours d'une assemblée générale des actionnaires pour (i) convoquer une assemblée générale</w:t>
            </w:r>
          </w:p>
        </w:tc>
      </w:tr>
      <w:tr>
        <w:trPr>
          <w:trHeight w:val="145"/>
        </w:trPr>
        <w:tc>
          <w:tcPr>
            <w:tcW w:w="5540" w:type="dxa"/>
            <w:vAlign w:val="bottom"/>
            <w:tcBorders>
              <w:left w:val="single" w:sz="8" w:color="auto"/>
              <w:right w:val="single" w:sz="8" w:color="auto"/>
            </w:tcBorders>
          </w:tcPr>
          <w:p>
            <w:pPr>
              <w:ind w:left="40"/>
              <w:spacing w:after="0" w:line="145" w:lineRule="exact"/>
              <w:rPr>
                <w:sz w:val="20"/>
                <w:szCs w:val="20"/>
                <w:color w:val="auto"/>
              </w:rPr>
            </w:pPr>
            <w:r>
              <w:rPr>
                <w:rFonts w:ascii="Arial" w:cs="Arial" w:eastAsia="Arial" w:hAnsi="Arial"/>
                <w:sz w:val="13"/>
                <w:szCs w:val="13"/>
                <w:color w:val="auto"/>
                <w:w w:val="99"/>
              </w:rPr>
              <w:t>investigation in accordance with article 697a of the Swiss Code of Obligations are not subject to</w:t>
            </w:r>
          </w:p>
        </w:tc>
        <w:tc>
          <w:tcPr>
            <w:tcW w:w="240" w:type="dxa"/>
            <w:vAlign w:val="bottom"/>
            <w:tcBorders>
              <w:right w:val="single" w:sz="8" w:color="auto"/>
            </w:tcBorders>
          </w:tcPr>
          <w:p>
            <w:pPr>
              <w:spacing w:after="0"/>
              <w:rPr>
                <w:sz w:val="12"/>
                <w:szCs w:val="12"/>
                <w:color w:val="auto"/>
              </w:rPr>
            </w:pPr>
          </w:p>
        </w:tc>
        <w:tc>
          <w:tcPr>
            <w:tcW w:w="5520" w:type="dxa"/>
            <w:vAlign w:val="bottom"/>
            <w:tcBorders>
              <w:right w:val="single" w:sz="8" w:color="auto"/>
            </w:tcBorders>
          </w:tcPr>
          <w:p>
            <w:pPr>
              <w:ind w:left="20"/>
              <w:spacing w:after="0" w:line="145" w:lineRule="exact"/>
              <w:rPr>
                <w:sz w:val="20"/>
                <w:szCs w:val="20"/>
                <w:color w:val="auto"/>
              </w:rPr>
            </w:pPr>
            <w:r>
              <w:rPr>
                <w:rFonts w:ascii="Arial" w:cs="Arial" w:eastAsia="Arial" w:hAnsi="Arial"/>
                <w:sz w:val="13"/>
                <w:szCs w:val="13"/>
                <w:color w:val="auto"/>
              </w:rPr>
              <w:t>extraordinaire ou (ii) instituer un contrôle spécial au sens de l'article 697a CO ne sont pas</w:t>
            </w:r>
          </w:p>
        </w:tc>
      </w:tr>
      <w:tr>
        <w:trPr>
          <w:trHeight w:val="173"/>
        </w:trPr>
        <w:tc>
          <w:tcPr>
            <w:tcW w:w="554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3"/>
                <w:szCs w:val="13"/>
                <w:color w:val="auto"/>
              </w:rPr>
              <w:t>the due notice requirement set forth herein.</w:t>
            </w:r>
          </w:p>
        </w:tc>
        <w:tc>
          <w:tcPr>
            <w:tcW w:w="240" w:type="dxa"/>
            <w:vAlign w:val="bottom"/>
            <w:tcBorders>
              <w:bottom w:val="single" w:sz="8" w:color="auto"/>
              <w:right w:val="single" w:sz="8" w:color="auto"/>
            </w:tcBorders>
          </w:tcPr>
          <w:p>
            <w:pPr>
              <w:spacing w:after="0"/>
              <w:rPr>
                <w:sz w:val="15"/>
                <w:szCs w:val="15"/>
                <w:color w:val="auto"/>
              </w:rPr>
            </w:pPr>
          </w:p>
        </w:tc>
        <w:tc>
          <w:tcPr>
            <w:tcW w:w="55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3"/>
                <w:szCs w:val="13"/>
                <w:color w:val="auto"/>
              </w:rPr>
              <w:t>soumises à l'obligation d'inscription prévue dans ces statuts.</w:t>
            </w:r>
          </w:p>
        </w:tc>
      </w:tr>
      <w:tr>
        <w:trPr>
          <w:trHeight w:val="145"/>
        </w:trPr>
        <w:tc>
          <w:tcPr>
            <w:tcW w:w="5540" w:type="dxa"/>
            <w:vAlign w:val="bottom"/>
            <w:tcBorders>
              <w:left w:val="single" w:sz="8" w:color="auto"/>
              <w:right w:val="single" w:sz="8" w:color="auto"/>
            </w:tcBorders>
          </w:tcPr>
          <w:p>
            <w:pPr>
              <w:ind w:left="40"/>
              <w:spacing w:after="0" w:line="146" w:lineRule="exact"/>
              <w:rPr>
                <w:sz w:val="20"/>
                <w:szCs w:val="20"/>
                <w:color w:val="auto"/>
              </w:rPr>
            </w:pPr>
            <w:r>
              <w:rPr>
                <w:rFonts w:ascii="Arial" w:cs="Arial" w:eastAsia="Arial" w:hAnsi="Arial"/>
                <w:sz w:val="13"/>
                <w:szCs w:val="13"/>
                <w:color w:val="auto"/>
              </w:rPr>
              <w:t>No advance notice is required to propose motions on duly notified agenda items and to debate</w:t>
            </w:r>
          </w:p>
        </w:tc>
        <w:tc>
          <w:tcPr>
            <w:tcW w:w="240" w:type="dxa"/>
            <w:vAlign w:val="bottom"/>
            <w:tcBorders>
              <w:right w:val="single" w:sz="8" w:color="auto"/>
            </w:tcBorders>
          </w:tcPr>
          <w:p>
            <w:pPr>
              <w:spacing w:after="0"/>
              <w:rPr>
                <w:sz w:val="12"/>
                <w:szCs w:val="12"/>
                <w:color w:val="auto"/>
              </w:rPr>
            </w:pPr>
          </w:p>
        </w:tc>
        <w:tc>
          <w:tcPr>
            <w:tcW w:w="5520" w:type="dxa"/>
            <w:vAlign w:val="bottom"/>
            <w:tcBorders>
              <w:right w:val="single" w:sz="8" w:color="auto"/>
            </w:tcBorders>
          </w:tcPr>
          <w:p>
            <w:pPr>
              <w:ind w:left="20"/>
              <w:spacing w:after="0" w:line="146" w:lineRule="exact"/>
              <w:rPr>
                <w:sz w:val="20"/>
                <w:szCs w:val="20"/>
                <w:color w:val="auto"/>
              </w:rPr>
            </w:pPr>
            <w:r>
              <w:rPr>
                <w:rFonts w:ascii="Arial" w:cs="Arial" w:eastAsia="Arial" w:hAnsi="Arial"/>
                <w:sz w:val="13"/>
                <w:szCs w:val="13"/>
                <w:color w:val="auto"/>
              </w:rPr>
              <w:t>Aucun préavis n'est nécessaire pour proposer des motions sur les objets inscrits à l'ordre du</w:t>
            </w:r>
          </w:p>
        </w:tc>
      </w:tr>
      <w:tr>
        <w:trPr>
          <w:trHeight w:val="173"/>
        </w:trPr>
        <w:tc>
          <w:tcPr>
            <w:tcW w:w="554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3"/>
                <w:szCs w:val="13"/>
                <w:color w:val="auto"/>
              </w:rPr>
              <w:t>items without passing resolutions.</w:t>
            </w:r>
          </w:p>
        </w:tc>
        <w:tc>
          <w:tcPr>
            <w:tcW w:w="240" w:type="dxa"/>
            <w:vAlign w:val="bottom"/>
            <w:tcBorders>
              <w:bottom w:val="single" w:sz="8" w:color="auto"/>
              <w:right w:val="single" w:sz="8" w:color="auto"/>
            </w:tcBorders>
          </w:tcPr>
          <w:p>
            <w:pPr>
              <w:spacing w:after="0"/>
              <w:rPr>
                <w:sz w:val="15"/>
                <w:szCs w:val="15"/>
                <w:color w:val="auto"/>
              </w:rPr>
            </w:pPr>
          </w:p>
        </w:tc>
        <w:tc>
          <w:tcPr>
            <w:tcW w:w="55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3"/>
                <w:szCs w:val="13"/>
                <w:color w:val="auto"/>
              </w:rPr>
              <w:t>jour ou débattre desdits objets sans prendre de décisions.</w:t>
            </w:r>
          </w:p>
        </w:tc>
      </w:tr>
    </w:tbl>
    <w:p>
      <w:pPr>
        <w:spacing w:after="0" w:line="59"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5"/>
          <w:szCs w:val="15"/>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12700</wp:posOffset>
            </wp:positionV>
            <wp:extent cx="7171690" cy="635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71690" cy="6350"/>
                    </a:xfrm>
                    <a:prstGeom prst="rect">
                      <a:avLst/>
                    </a:prstGeom>
                    <a:noFill/>
                  </pic:spPr>
                </pic:pic>
              </a:graphicData>
            </a:graphic>
          </wp:anchor>
        </w:drawing>
      </w:r>
    </w:p>
    <w:p>
      <w:pPr>
        <w:sectPr>
          <w:pgSz w:w="11900" w:h="16838" w:orient="portrait"/>
          <w:cols w:equalWidth="0" w:num="1">
            <w:col w:w="11300"/>
          </w:cols>
          <w:pgMar w:left="300" w:top="448" w:right="299" w:bottom="1440" w:gutter="0" w:footer="0" w:header="0"/>
        </w:sectPr>
      </w:pPr>
    </w:p>
    <w:bookmarkStart w:id="71" w:name="page72"/>
    <w:bookmarkEnd w:id="71"/>
    <w:tbl>
      <w:tblPr>
        <w:tblLayout w:type="fixed"/>
        <w:tblInd w:w="40" w:type="dxa"/>
        <w:tblCellMar>
          <w:top w:w="0" w:type="dxa"/>
          <w:left w:w="0" w:type="dxa"/>
          <w:bottom w:w="0" w:type="dxa"/>
          <w:right w:w="0" w:type="dxa"/>
        </w:tblCellMar>
      </w:tblPr>
      <w:tr>
        <w:trPr>
          <w:trHeight w:val="176"/>
        </w:trPr>
        <w:tc>
          <w:tcPr>
            <w:tcW w:w="5600" w:type="dxa"/>
            <w:vAlign w:val="bottom"/>
          </w:tcPr>
          <w:p>
            <w:pPr>
              <w:spacing w:after="0"/>
              <w:rPr>
                <w:sz w:val="20"/>
                <w:szCs w:val="20"/>
                <w:color w:val="auto"/>
              </w:rPr>
            </w:pPr>
            <w:r>
              <w:rPr>
                <w:rFonts w:ascii="Arial" w:cs="Arial" w:eastAsia="Arial" w:hAnsi="Arial"/>
                <w:sz w:val="13"/>
                <w:szCs w:val="13"/>
                <w:b w:val="1"/>
                <w:bCs w:val="1"/>
                <w:color w:val="auto"/>
              </w:rPr>
              <w:t>Art. 12  Documentation</w:t>
            </w:r>
          </w:p>
        </w:tc>
        <w:tc>
          <w:tcPr>
            <w:tcW w:w="5620" w:type="dxa"/>
            <w:vAlign w:val="bottom"/>
          </w:tcPr>
          <w:p>
            <w:pPr>
              <w:ind w:left="160"/>
              <w:spacing w:after="0"/>
              <w:rPr>
                <w:sz w:val="20"/>
                <w:szCs w:val="20"/>
                <w:color w:val="auto"/>
              </w:rPr>
            </w:pPr>
            <w:r>
              <w:rPr>
                <w:rFonts w:ascii="Arial" w:cs="Arial" w:eastAsia="Arial" w:hAnsi="Arial"/>
                <w:sz w:val="13"/>
                <w:szCs w:val="13"/>
                <w:b w:val="1"/>
                <w:bCs w:val="1"/>
                <w:color w:val="auto"/>
              </w:rPr>
              <w:t>Art. 12  Documents</w:t>
            </w:r>
          </w:p>
        </w:tc>
      </w:tr>
      <w:tr>
        <w:trPr>
          <w:trHeight w:val="258"/>
        </w:trPr>
        <w:tc>
          <w:tcPr>
            <w:tcW w:w="5600" w:type="dxa"/>
            <w:vAlign w:val="bottom"/>
          </w:tcPr>
          <w:p>
            <w:pPr>
              <w:spacing w:after="0"/>
              <w:rPr>
                <w:sz w:val="20"/>
                <w:szCs w:val="20"/>
                <w:color w:val="auto"/>
              </w:rPr>
            </w:pPr>
            <w:r>
              <w:rPr>
                <w:rFonts w:ascii="Arial" w:cs="Arial" w:eastAsia="Arial" w:hAnsi="Arial"/>
                <w:sz w:val="13"/>
                <w:szCs w:val="13"/>
                <w:color w:val="auto"/>
              </w:rPr>
              <w:t>The annual business report, the compensation report and the Auditor's report must be</w:t>
            </w:r>
          </w:p>
        </w:tc>
        <w:tc>
          <w:tcPr>
            <w:tcW w:w="5620" w:type="dxa"/>
            <w:vAlign w:val="bottom"/>
          </w:tcPr>
          <w:p>
            <w:pPr>
              <w:ind w:left="160"/>
              <w:spacing w:after="0"/>
              <w:rPr>
                <w:sz w:val="20"/>
                <w:szCs w:val="20"/>
                <w:color w:val="auto"/>
              </w:rPr>
            </w:pPr>
            <w:r>
              <w:rPr>
                <w:rFonts w:ascii="Arial" w:cs="Arial" w:eastAsia="Arial" w:hAnsi="Arial"/>
                <w:sz w:val="13"/>
                <w:szCs w:val="13"/>
                <w:color w:val="auto"/>
              </w:rPr>
              <w:t>Le rapport de gestion annuel, le rapport de rémunération et le rapport du réviseur doivent être</w:t>
            </w:r>
          </w:p>
        </w:tc>
      </w:tr>
      <w:tr>
        <w:trPr>
          <w:trHeight w:val="145"/>
        </w:trPr>
        <w:tc>
          <w:tcPr>
            <w:tcW w:w="5600" w:type="dxa"/>
            <w:vAlign w:val="bottom"/>
          </w:tcPr>
          <w:p>
            <w:pPr>
              <w:spacing w:after="0" w:line="145" w:lineRule="exact"/>
              <w:rPr>
                <w:sz w:val="20"/>
                <w:szCs w:val="20"/>
                <w:color w:val="auto"/>
              </w:rPr>
            </w:pPr>
            <w:r>
              <w:rPr>
                <w:rFonts w:ascii="Arial" w:cs="Arial" w:eastAsia="Arial" w:hAnsi="Arial"/>
                <w:sz w:val="13"/>
                <w:szCs w:val="13"/>
                <w:color w:val="auto"/>
              </w:rPr>
              <w:t>submitted for examination by the shareholders at the registered office of the Company at least</w:t>
            </w:r>
          </w:p>
        </w:tc>
        <w:tc>
          <w:tcPr>
            <w:tcW w:w="5620" w:type="dxa"/>
            <w:vAlign w:val="bottom"/>
          </w:tcPr>
          <w:p>
            <w:pPr>
              <w:ind w:left="160"/>
              <w:spacing w:after="0" w:line="145" w:lineRule="exact"/>
              <w:rPr>
                <w:sz w:val="20"/>
                <w:szCs w:val="20"/>
                <w:color w:val="auto"/>
              </w:rPr>
            </w:pPr>
            <w:r>
              <w:rPr>
                <w:rFonts w:ascii="Arial" w:cs="Arial" w:eastAsia="Arial" w:hAnsi="Arial"/>
                <w:sz w:val="13"/>
                <w:szCs w:val="13"/>
                <w:color w:val="auto"/>
                <w:w w:val="99"/>
              </w:rPr>
              <w:t>présentés aux actionnaires pour examen au siège de la société au moins 20 jours avant la date</w:t>
            </w:r>
          </w:p>
        </w:tc>
      </w:tr>
      <w:tr>
        <w:trPr>
          <w:trHeight w:val="145"/>
        </w:trPr>
        <w:tc>
          <w:tcPr>
            <w:tcW w:w="5600" w:type="dxa"/>
            <w:vAlign w:val="bottom"/>
          </w:tcPr>
          <w:p>
            <w:pPr>
              <w:spacing w:after="0" w:line="145" w:lineRule="exact"/>
              <w:rPr>
                <w:sz w:val="20"/>
                <w:szCs w:val="20"/>
                <w:color w:val="auto"/>
              </w:rPr>
            </w:pPr>
            <w:r>
              <w:rPr>
                <w:rFonts w:ascii="Arial" w:cs="Arial" w:eastAsia="Arial" w:hAnsi="Arial"/>
                <w:sz w:val="13"/>
                <w:szCs w:val="13"/>
                <w:color w:val="auto"/>
              </w:rPr>
              <w:t>20 days prior to the date of the Ordinary General Meeting. Each shareholder may request that a</w:t>
            </w:r>
          </w:p>
        </w:tc>
        <w:tc>
          <w:tcPr>
            <w:tcW w:w="5620" w:type="dxa"/>
            <w:vAlign w:val="bottom"/>
          </w:tcPr>
          <w:p>
            <w:pPr>
              <w:ind w:left="160"/>
              <w:spacing w:after="0" w:line="145" w:lineRule="exact"/>
              <w:rPr>
                <w:sz w:val="20"/>
                <w:szCs w:val="20"/>
                <w:color w:val="auto"/>
              </w:rPr>
            </w:pPr>
            <w:r>
              <w:rPr>
                <w:rFonts w:ascii="Arial" w:cs="Arial" w:eastAsia="Arial" w:hAnsi="Arial"/>
                <w:sz w:val="13"/>
                <w:szCs w:val="13"/>
                <w:color w:val="auto"/>
              </w:rPr>
              <w:t>de l'assemblée générale ordinaire. Chaque actionnaire peut demander une copie de ces</w:t>
            </w:r>
          </w:p>
        </w:tc>
      </w:tr>
      <w:tr>
        <w:trPr>
          <w:trHeight w:val="145"/>
        </w:trPr>
        <w:tc>
          <w:tcPr>
            <w:tcW w:w="5600" w:type="dxa"/>
            <w:vAlign w:val="bottom"/>
          </w:tcPr>
          <w:p>
            <w:pPr>
              <w:spacing w:after="0" w:line="145" w:lineRule="exact"/>
              <w:rPr>
                <w:sz w:val="20"/>
                <w:szCs w:val="20"/>
                <w:color w:val="auto"/>
              </w:rPr>
            </w:pPr>
            <w:r>
              <w:rPr>
                <w:rFonts w:ascii="Arial" w:cs="Arial" w:eastAsia="Arial" w:hAnsi="Arial"/>
                <w:sz w:val="13"/>
                <w:szCs w:val="13"/>
                <w:color w:val="auto"/>
              </w:rPr>
              <w:t>copy of this documentation be sent to him promptly by e-mail. Such right shall be included in the</w:t>
            </w:r>
          </w:p>
        </w:tc>
        <w:tc>
          <w:tcPr>
            <w:tcW w:w="5620" w:type="dxa"/>
            <w:vAlign w:val="bottom"/>
          </w:tcPr>
          <w:p>
            <w:pPr>
              <w:ind w:left="160"/>
              <w:spacing w:after="0" w:line="145" w:lineRule="exact"/>
              <w:rPr>
                <w:sz w:val="20"/>
                <w:szCs w:val="20"/>
                <w:color w:val="auto"/>
              </w:rPr>
            </w:pPr>
            <w:r>
              <w:rPr>
                <w:rFonts w:ascii="Arial" w:cs="Arial" w:eastAsia="Arial" w:hAnsi="Arial"/>
                <w:sz w:val="13"/>
                <w:szCs w:val="13"/>
                <w:color w:val="auto"/>
              </w:rPr>
              <w:t>documents qui doivent lui être envoyés promptement par e-mail. Ce droit doit être mentionné</w:t>
            </w:r>
          </w:p>
        </w:tc>
      </w:tr>
      <w:tr>
        <w:trPr>
          <w:trHeight w:val="168"/>
        </w:trPr>
        <w:tc>
          <w:tcPr>
            <w:tcW w:w="5600" w:type="dxa"/>
            <w:vAlign w:val="bottom"/>
          </w:tcPr>
          <w:p>
            <w:pPr>
              <w:spacing w:after="0"/>
              <w:rPr>
                <w:sz w:val="20"/>
                <w:szCs w:val="20"/>
                <w:color w:val="auto"/>
              </w:rPr>
            </w:pPr>
            <w:r>
              <w:rPr>
                <w:rFonts w:ascii="Arial" w:cs="Arial" w:eastAsia="Arial" w:hAnsi="Arial"/>
                <w:sz w:val="13"/>
                <w:szCs w:val="13"/>
                <w:color w:val="auto"/>
              </w:rPr>
              <w:t>invitation to the General Meeting.</w:t>
            </w:r>
          </w:p>
        </w:tc>
        <w:tc>
          <w:tcPr>
            <w:tcW w:w="5620" w:type="dxa"/>
            <w:vAlign w:val="bottom"/>
          </w:tcPr>
          <w:p>
            <w:pPr>
              <w:ind w:left="160"/>
              <w:spacing w:after="0"/>
              <w:rPr>
                <w:sz w:val="20"/>
                <w:szCs w:val="20"/>
                <w:color w:val="auto"/>
              </w:rPr>
            </w:pPr>
            <w:r>
              <w:rPr>
                <w:rFonts w:ascii="Arial" w:cs="Arial" w:eastAsia="Arial" w:hAnsi="Arial"/>
                <w:sz w:val="13"/>
                <w:szCs w:val="13"/>
                <w:color w:val="auto"/>
              </w:rPr>
              <w:t>dans l'invitation à l'assemblée générale.</w:t>
            </w:r>
          </w:p>
        </w:tc>
      </w:tr>
    </w:tbl>
    <w:p>
      <w:pPr>
        <w:spacing w:after="0" w:line="169"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188595</wp:posOffset>
            </wp:positionH>
            <wp:positionV relativeFrom="page">
              <wp:posOffset>297180</wp:posOffset>
            </wp:positionV>
            <wp:extent cx="7171690" cy="319341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71690" cy="3193415"/>
                    </a:xfrm>
                    <a:prstGeom prst="rect">
                      <a:avLst/>
                    </a:prstGeom>
                    <a:noFill/>
                  </pic:spPr>
                </pic:pic>
              </a:graphicData>
            </a:graphic>
          </wp:anchor>
        </w:drawing>
      </w:r>
    </w:p>
    <w:tbl>
      <w:tblPr>
        <w:tblLayout w:type="fixed"/>
        <w:tblInd w:w="40" w:type="dxa"/>
        <w:tblCellMar>
          <w:top w:w="0" w:type="dxa"/>
          <w:left w:w="0" w:type="dxa"/>
          <w:bottom w:w="0" w:type="dxa"/>
          <w:right w:w="0" w:type="dxa"/>
        </w:tblCellMar>
      </w:tblPr>
      <w:tr>
        <w:trPr>
          <w:trHeight w:val="176"/>
        </w:trPr>
        <w:tc>
          <w:tcPr>
            <w:tcW w:w="5600" w:type="dxa"/>
            <w:vAlign w:val="bottom"/>
          </w:tcPr>
          <w:p>
            <w:pPr>
              <w:spacing w:after="0"/>
              <w:rPr>
                <w:sz w:val="20"/>
                <w:szCs w:val="20"/>
                <w:color w:val="auto"/>
              </w:rPr>
            </w:pPr>
            <w:r>
              <w:rPr>
                <w:rFonts w:ascii="Arial" w:cs="Arial" w:eastAsia="Arial" w:hAnsi="Arial"/>
                <w:sz w:val="13"/>
                <w:szCs w:val="13"/>
                <w:b w:val="1"/>
                <w:bCs w:val="1"/>
                <w:color w:val="auto"/>
              </w:rPr>
              <w:t>Art. 13  Meeting of All Shareholders</w:t>
            </w:r>
          </w:p>
        </w:tc>
        <w:tc>
          <w:tcPr>
            <w:tcW w:w="5620" w:type="dxa"/>
            <w:vAlign w:val="bottom"/>
          </w:tcPr>
          <w:p>
            <w:pPr>
              <w:ind w:left="160"/>
              <w:spacing w:after="0"/>
              <w:rPr>
                <w:sz w:val="20"/>
                <w:szCs w:val="20"/>
                <w:color w:val="auto"/>
              </w:rPr>
            </w:pPr>
            <w:r>
              <w:rPr>
                <w:rFonts w:ascii="Arial" w:cs="Arial" w:eastAsia="Arial" w:hAnsi="Arial"/>
                <w:sz w:val="13"/>
                <w:szCs w:val="13"/>
                <w:b w:val="1"/>
                <w:bCs w:val="1"/>
                <w:color w:val="auto"/>
              </w:rPr>
              <w:t>Art. 13  Assemblée universelle</w:t>
            </w:r>
          </w:p>
        </w:tc>
      </w:tr>
      <w:tr>
        <w:trPr>
          <w:trHeight w:val="258"/>
        </w:trPr>
        <w:tc>
          <w:tcPr>
            <w:tcW w:w="5600" w:type="dxa"/>
            <w:vAlign w:val="bottom"/>
          </w:tcPr>
          <w:p>
            <w:pPr>
              <w:spacing w:after="0"/>
              <w:rPr>
                <w:sz w:val="20"/>
                <w:szCs w:val="20"/>
                <w:color w:val="auto"/>
              </w:rPr>
            </w:pPr>
            <w:r>
              <w:rPr>
                <w:rFonts w:ascii="Arial" w:cs="Arial" w:eastAsia="Arial" w:hAnsi="Arial"/>
                <w:sz w:val="13"/>
                <w:szCs w:val="13"/>
                <w:color w:val="auto"/>
              </w:rPr>
              <w:t>Shareholders or their proxies representing all shares issued may hold a General Meeting</w:t>
            </w:r>
          </w:p>
        </w:tc>
        <w:tc>
          <w:tcPr>
            <w:tcW w:w="5620" w:type="dxa"/>
            <w:vAlign w:val="bottom"/>
          </w:tcPr>
          <w:p>
            <w:pPr>
              <w:ind w:left="160"/>
              <w:spacing w:after="0"/>
              <w:rPr>
                <w:sz w:val="20"/>
                <w:szCs w:val="20"/>
                <w:color w:val="auto"/>
              </w:rPr>
            </w:pPr>
            <w:r>
              <w:rPr>
                <w:rFonts w:ascii="Arial" w:cs="Arial" w:eastAsia="Arial" w:hAnsi="Arial"/>
                <w:sz w:val="13"/>
                <w:szCs w:val="13"/>
                <w:color w:val="auto"/>
              </w:rPr>
              <w:t>Les propriétaires ou les représentants de la totalité des actions peuvent, s'il n'y a pas</w:t>
            </w:r>
          </w:p>
        </w:tc>
      </w:tr>
      <w:tr>
        <w:trPr>
          <w:trHeight w:val="145"/>
        </w:trPr>
        <w:tc>
          <w:tcPr>
            <w:tcW w:w="5600" w:type="dxa"/>
            <w:vAlign w:val="bottom"/>
          </w:tcPr>
          <w:p>
            <w:pPr>
              <w:spacing w:after="0" w:line="145" w:lineRule="exact"/>
              <w:rPr>
                <w:sz w:val="20"/>
                <w:szCs w:val="20"/>
                <w:color w:val="auto"/>
              </w:rPr>
            </w:pPr>
            <w:r>
              <w:rPr>
                <w:rFonts w:ascii="Arial" w:cs="Arial" w:eastAsia="Arial" w:hAnsi="Arial"/>
                <w:sz w:val="13"/>
                <w:szCs w:val="13"/>
                <w:color w:val="auto"/>
              </w:rPr>
              <w:t>without observing the formalities required for calling a meeting, unless objection is raised. At</w:t>
            </w:r>
          </w:p>
        </w:tc>
        <w:tc>
          <w:tcPr>
            <w:tcW w:w="5620" w:type="dxa"/>
            <w:vAlign w:val="bottom"/>
          </w:tcPr>
          <w:p>
            <w:pPr>
              <w:ind w:left="160"/>
              <w:spacing w:after="0" w:line="145" w:lineRule="exact"/>
              <w:rPr>
                <w:sz w:val="20"/>
                <w:szCs w:val="20"/>
                <w:color w:val="auto"/>
              </w:rPr>
            </w:pPr>
            <w:r>
              <w:rPr>
                <w:rFonts w:ascii="Arial" w:cs="Arial" w:eastAsia="Arial" w:hAnsi="Arial"/>
                <w:sz w:val="13"/>
                <w:szCs w:val="13"/>
                <w:color w:val="auto"/>
              </w:rPr>
              <w:t>d'opposition,  tenir  une  assemblée  générale  sans  observer  les  formes  prévues  pour  sa</w:t>
            </w:r>
          </w:p>
        </w:tc>
      </w:tr>
      <w:tr>
        <w:trPr>
          <w:trHeight w:val="145"/>
        </w:trPr>
        <w:tc>
          <w:tcPr>
            <w:tcW w:w="5600" w:type="dxa"/>
            <w:vAlign w:val="bottom"/>
          </w:tcPr>
          <w:p>
            <w:pPr>
              <w:spacing w:after="0" w:line="145" w:lineRule="exact"/>
              <w:rPr>
                <w:sz w:val="20"/>
                <w:szCs w:val="20"/>
                <w:color w:val="auto"/>
              </w:rPr>
            </w:pPr>
            <w:r>
              <w:rPr>
                <w:rFonts w:ascii="Arial" w:cs="Arial" w:eastAsia="Arial" w:hAnsi="Arial"/>
                <w:sz w:val="13"/>
                <w:szCs w:val="13"/>
                <w:color w:val="auto"/>
              </w:rPr>
              <w:t>such a meeting, discussions may be held and resolutions passed on all matters within the</w:t>
            </w:r>
          </w:p>
        </w:tc>
        <w:tc>
          <w:tcPr>
            <w:tcW w:w="5620" w:type="dxa"/>
            <w:vAlign w:val="bottom"/>
          </w:tcPr>
          <w:p>
            <w:pPr>
              <w:ind w:left="160"/>
              <w:spacing w:after="0" w:line="145" w:lineRule="exact"/>
              <w:rPr>
                <w:sz w:val="20"/>
                <w:szCs w:val="20"/>
                <w:color w:val="auto"/>
              </w:rPr>
            </w:pPr>
            <w:r>
              <w:rPr>
                <w:rFonts w:ascii="Arial" w:cs="Arial" w:eastAsia="Arial" w:hAnsi="Arial"/>
                <w:sz w:val="13"/>
                <w:szCs w:val="13"/>
                <w:color w:val="auto"/>
              </w:rPr>
              <w:t>convocation. Aussi longtemps que les propriétaires ou les représentants de la totalité des</w:t>
            </w:r>
          </w:p>
        </w:tc>
      </w:tr>
      <w:tr>
        <w:trPr>
          <w:trHeight w:val="145"/>
        </w:trPr>
        <w:tc>
          <w:tcPr>
            <w:tcW w:w="5600" w:type="dxa"/>
            <w:vAlign w:val="bottom"/>
          </w:tcPr>
          <w:p>
            <w:pPr>
              <w:spacing w:after="0" w:line="145" w:lineRule="exact"/>
              <w:rPr>
                <w:sz w:val="20"/>
                <w:szCs w:val="20"/>
                <w:color w:val="auto"/>
              </w:rPr>
            </w:pPr>
            <w:r>
              <w:rPr>
                <w:rFonts w:ascii="Arial" w:cs="Arial" w:eastAsia="Arial" w:hAnsi="Arial"/>
                <w:sz w:val="13"/>
                <w:szCs w:val="13"/>
                <w:color w:val="auto"/>
              </w:rPr>
              <w:t>scope of the powers of a General Meeting for so long as the shareholders or proxies</w:t>
            </w:r>
          </w:p>
        </w:tc>
        <w:tc>
          <w:tcPr>
            <w:tcW w:w="5620" w:type="dxa"/>
            <w:vAlign w:val="bottom"/>
          </w:tcPr>
          <w:p>
            <w:pPr>
              <w:ind w:left="160"/>
              <w:spacing w:after="0" w:line="145" w:lineRule="exact"/>
              <w:rPr>
                <w:sz w:val="20"/>
                <w:szCs w:val="20"/>
                <w:color w:val="auto"/>
              </w:rPr>
            </w:pPr>
            <w:r>
              <w:rPr>
                <w:rFonts w:ascii="Arial" w:cs="Arial" w:eastAsia="Arial" w:hAnsi="Arial"/>
                <w:sz w:val="13"/>
                <w:szCs w:val="13"/>
                <w:color w:val="auto"/>
                <w:w w:val="98"/>
              </w:rPr>
              <w:t>actions sont présents, cette assemblée a le droit de délibérer et de statuer valablement sur tous</w:t>
            </w:r>
          </w:p>
        </w:tc>
      </w:tr>
      <w:tr>
        <w:trPr>
          <w:trHeight w:val="168"/>
        </w:trPr>
        <w:tc>
          <w:tcPr>
            <w:tcW w:w="5600" w:type="dxa"/>
            <w:vAlign w:val="bottom"/>
          </w:tcPr>
          <w:p>
            <w:pPr>
              <w:spacing w:after="0"/>
              <w:rPr>
                <w:sz w:val="20"/>
                <w:szCs w:val="20"/>
                <w:color w:val="auto"/>
              </w:rPr>
            </w:pPr>
            <w:r>
              <w:rPr>
                <w:rFonts w:ascii="Arial" w:cs="Arial" w:eastAsia="Arial" w:hAnsi="Arial"/>
                <w:sz w:val="13"/>
                <w:szCs w:val="13"/>
                <w:color w:val="auto"/>
              </w:rPr>
              <w:t>representing all shares issued are present.</w:t>
            </w:r>
          </w:p>
        </w:tc>
        <w:tc>
          <w:tcPr>
            <w:tcW w:w="5620" w:type="dxa"/>
            <w:vAlign w:val="bottom"/>
          </w:tcPr>
          <w:p>
            <w:pPr>
              <w:ind w:left="160"/>
              <w:spacing w:after="0"/>
              <w:rPr>
                <w:sz w:val="20"/>
                <w:szCs w:val="20"/>
                <w:color w:val="auto"/>
              </w:rPr>
            </w:pPr>
            <w:r>
              <w:rPr>
                <w:rFonts w:ascii="Arial" w:cs="Arial" w:eastAsia="Arial" w:hAnsi="Arial"/>
                <w:sz w:val="13"/>
                <w:szCs w:val="13"/>
                <w:color w:val="auto"/>
              </w:rPr>
              <w:t>les objets qui sont du ressort de l'assemblée générale.</w:t>
            </w:r>
          </w:p>
        </w:tc>
      </w:tr>
    </w:tbl>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5640" w:type="dxa"/>
            <w:vAlign w:val="bottom"/>
          </w:tcPr>
          <w:p>
            <w:pPr>
              <w:ind w:left="40"/>
              <w:spacing w:after="0"/>
              <w:rPr>
                <w:sz w:val="20"/>
                <w:szCs w:val="20"/>
                <w:color w:val="auto"/>
              </w:rPr>
            </w:pPr>
            <w:r>
              <w:rPr>
                <w:rFonts w:ascii="Arial" w:cs="Arial" w:eastAsia="Arial" w:hAnsi="Arial"/>
                <w:sz w:val="13"/>
                <w:szCs w:val="13"/>
                <w:b w:val="1"/>
                <w:bCs w:val="1"/>
                <w:color w:val="auto"/>
              </w:rPr>
              <w:t>Art. 14  Chairman and Scrutineers</w:t>
            </w:r>
          </w:p>
        </w:tc>
        <w:tc>
          <w:tcPr>
            <w:tcW w:w="5660" w:type="dxa"/>
            <w:vAlign w:val="bottom"/>
          </w:tcPr>
          <w:p>
            <w:pPr>
              <w:ind w:left="160"/>
              <w:spacing w:after="0"/>
              <w:rPr>
                <w:sz w:val="20"/>
                <w:szCs w:val="20"/>
                <w:color w:val="auto"/>
              </w:rPr>
            </w:pPr>
            <w:r>
              <w:rPr>
                <w:rFonts w:ascii="Arial" w:cs="Arial" w:eastAsia="Arial" w:hAnsi="Arial"/>
                <w:sz w:val="13"/>
                <w:szCs w:val="13"/>
                <w:b w:val="1"/>
                <w:bCs w:val="1"/>
                <w:color w:val="auto"/>
              </w:rPr>
              <w:t>Art. 14  Président et scrutateurs</w:t>
            </w:r>
          </w:p>
        </w:tc>
      </w:tr>
      <w:tr>
        <w:trPr>
          <w:trHeight w:val="258"/>
        </w:trPr>
        <w:tc>
          <w:tcPr>
            <w:tcW w:w="5640" w:type="dxa"/>
            <w:vAlign w:val="bottom"/>
          </w:tcPr>
          <w:p>
            <w:pPr>
              <w:ind w:left="40"/>
              <w:spacing w:after="0"/>
              <w:rPr>
                <w:sz w:val="20"/>
                <w:szCs w:val="20"/>
                <w:color w:val="auto"/>
              </w:rPr>
            </w:pPr>
            <w:r>
              <w:rPr>
                <w:rFonts w:ascii="Arial" w:cs="Arial" w:eastAsia="Arial" w:hAnsi="Arial"/>
                <w:sz w:val="13"/>
                <w:szCs w:val="13"/>
                <w:color w:val="auto"/>
              </w:rPr>
              <w:t>The Chairman of the Board of Directors shall preside over the General Meeting. In his absence,</w:t>
            </w:r>
          </w:p>
        </w:tc>
        <w:tc>
          <w:tcPr>
            <w:tcW w:w="5660" w:type="dxa"/>
            <w:vAlign w:val="bottom"/>
          </w:tcPr>
          <w:p>
            <w:pPr>
              <w:ind w:left="160"/>
              <w:spacing w:after="0"/>
              <w:rPr>
                <w:sz w:val="20"/>
                <w:szCs w:val="20"/>
                <w:color w:val="auto"/>
              </w:rPr>
            </w:pPr>
            <w:r>
              <w:rPr>
                <w:rFonts w:ascii="Arial" w:cs="Arial" w:eastAsia="Arial" w:hAnsi="Arial"/>
                <w:sz w:val="13"/>
                <w:szCs w:val="13"/>
                <w:color w:val="auto"/>
              </w:rPr>
              <w:t>L'assemblée générale est présidée par le président du conseil d'administration. En cas</w:t>
            </w:r>
          </w:p>
        </w:tc>
      </w:tr>
      <w:tr>
        <w:trPr>
          <w:trHeight w:val="145"/>
        </w:trPr>
        <w:tc>
          <w:tcPr>
            <w:tcW w:w="5640" w:type="dxa"/>
            <w:vAlign w:val="bottom"/>
          </w:tcPr>
          <w:p>
            <w:pPr>
              <w:ind w:left="40"/>
              <w:spacing w:after="0" w:line="145" w:lineRule="exact"/>
              <w:rPr>
                <w:sz w:val="20"/>
                <w:szCs w:val="20"/>
                <w:color w:val="auto"/>
              </w:rPr>
            </w:pPr>
            <w:r>
              <w:rPr>
                <w:rFonts w:ascii="Arial" w:cs="Arial" w:eastAsia="Arial" w:hAnsi="Arial"/>
                <w:sz w:val="13"/>
                <w:szCs w:val="13"/>
                <w:color w:val="auto"/>
              </w:rPr>
              <w:t>a member of the Board of Directors or another Chairman of the Meeting designated by the</w:t>
            </w:r>
          </w:p>
        </w:tc>
        <w:tc>
          <w:tcPr>
            <w:tcW w:w="5660" w:type="dxa"/>
            <w:vAlign w:val="bottom"/>
          </w:tcPr>
          <w:p>
            <w:pPr>
              <w:ind w:left="160"/>
              <w:spacing w:after="0" w:line="145" w:lineRule="exact"/>
              <w:rPr>
                <w:sz w:val="20"/>
                <w:szCs w:val="20"/>
                <w:color w:val="auto"/>
              </w:rPr>
            </w:pPr>
            <w:r>
              <w:rPr>
                <w:rFonts w:ascii="Arial" w:cs="Arial" w:eastAsia="Arial" w:hAnsi="Arial"/>
                <w:sz w:val="13"/>
                <w:szCs w:val="13"/>
                <w:color w:val="auto"/>
              </w:rPr>
              <w:t>d'empêchement, un autre membre du conseil d'administration ou un président ad hoc nommé</w:t>
            </w:r>
          </w:p>
        </w:tc>
      </w:tr>
      <w:tr>
        <w:trPr>
          <w:trHeight w:val="168"/>
        </w:trPr>
        <w:tc>
          <w:tcPr>
            <w:tcW w:w="5640" w:type="dxa"/>
            <w:vAlign w:val="bottom"/>
          </w:tcPr>
          <w:p>
            <w:pPr>
              <w:ind w:left="40"/>
              <w:spacing w:after="0"/>
              <w:rPr>
                <w:sz w:val="20"/>
                <w:szCs w:val="20"/>
                <w:color w:val="auto"/>
              </w:rPr>
            </w:pPr>
            <w:r>
              <w:rPr>
                <w:rFonts w:ascii="Arial" w:cs="Arial" w:eastAsia="Arial" w:hAnsi="Arial"/>
                <w:sz w:val="13"/>
                <w:szCs w:val="13"/>
                <w:color w:val="auto"/>
              </w:rPr>
              <w:t>General Meeting shall preside.</w:t>
            </w:r>
          </w:p>
        </w:tc>
        <w:tc>
          <w:tcPr>
            <w:tcW w:w="5660" w:type="dxa"/>
            <w:vAlign w:val="bottom"/>
          </w:tcPr>
          <w:p>
            <w:pPr>
              <w:ind w:left="160"/>
              <w:spacing w:after="0"/>
              <w:rPr>
                <w:sz w:val="20"/>
                <w:szCs w:val="20"/>
                <w:color w:val="auto"/>
              </w:rPr>
            </w:pPr>
            <w:r>
              <w:rPr>
                <w:rFonts w:ascii="Arial" w:cs="Arial" w:eastAsia="Arial" w:hAnsi="Arial"/>
                <w:sz w:val="13"/>
                <w:szCs w:val="13"/>
                <w:color w:val="auto"/>
              </w:rPr>
              <w:t>par l'assemblée générale préside celle-ci.</w:t>
            </w:r>
          </w:p>
        </w:tc>
      </w:tr>
      <w:tr>
        <w:trPr>
          <w:trHeight w:val="153"/>
        </w:trPr>
        <w:tc>
          <w:tcPr>
            <w:tcW w:w="5640" w:type="dxa"/>
            <w:vAlign w:val="bottom"/>
            <w:tcBorders>
              <w:bottom w:val="single" w:sz="8" w:color="auto"/>
            </w:tcBorders>
          </w:tcPr>
          <w:p>
            <w:pPr>
              <w:spacing w:after="0"/>
              <w:rPr>
                <w:sz w:val="13"/>
                <w:szCs w:val="13"/>
                <w:color w:val="auto"/>
              </w:rPr>
            </w:pPr>
          </w:p>
        </w:tc>
        <w:tc>
          <w:tcPr>
            <w:tcW w:w="5660" w:type="dxa"/>
            <w:vAlign w:val="bottom"/>
            <w:tcBorders>
              <w:bottom w:val="single" w:sz="8" w:color="auto"/>
            </w:tcBorders>
          </w:tcPr>
          <w:p>
            <w:pPr>
              <w:spacing w:after="0"/>
              <w:rPr>
                <w:sz w:val="13"/>
                <w:szCs w:val="13"/>
                <w:color w:val="auto"/>
              </w:rPr>
            </w:pPr>
          </w:p>
        </w:tc>
      </w:tr>
      <w:tr>
        <w:trPr>
          <w:trHeight w:val="141"/>
        </w:trPr>
        <w:tc>
          <w:tcPr>
            <w:tcW w:w="5640" w:type="dxa"/>
            <w:vAlign w:val="bottom"/>
          </w:tcPr>
          <w:p>
            <w:pPr>
              <w:ind w:left="40"/>
              <w:spacing w:after="0" w:line="141" w:lineRule="exact"/>
              <w:rPr>
                <w:sz w:val="20"/>
                <w:szCs w:val="20"/>
                <w:color w:val="auto"/>
              </w:rPr>
            </w:pPr>
            <w:r>
              <w:rPr>
                <w:rFonts w:ascii="Arial" w:cs="Arial" w:eastAsia="Arial" w:hAnsi="Arial"/>
                <w:sz w:val="13"/>
                <w:szCs w:val="13"/>
                <w:color w:val="auto"/>
              </w:rPr>
              <w:t>The Chairman of the Meeting shall designate a Secretary and the scrutineers who need not be</w:t>
            </w:r>
          </w:p>
        </w:tc>
        <w:tc>
          <w:tcPr>
            <w:tcW w:w="5660" w:type="dxa"/>
            <w:vAlign w:val="bottom"/>
          </w:tcPr>
          <w:p>
            <w:pPr>
              <w:ind w:left="160"/>
              <w:spacing w:after="0" w:line="141" w:lineRule="exact"/>
              <w:rPr>
                <w:sz w:val="20"/>
                <w:szCs w:val="20"/>
                <w:color w:val="auto"/>
              </w:rPr>
            </w:pPr>
            <w:r>
              <w:rPr>
                <w:rFonts w:ascii="Arial" w:cs="Arial" w:eastAsia="Arial" w:hAnsi="Arial"/>
                <w:sz w:val="13"/>
                <w:szCs w:val="13"/>
                <w:color w:val="auto"/>
              </w:rPr>
              <w:t>Le président de l'assemblée générale désigne un secrétaire et les scrutateurs qui ne doivent</w:t>
            </w:r>
          </w:p>
        </w:tc>
      </w:tr>
      <w:tr>
        <w:trPr>
          <w:trHeight w:val="173"/>
        </w:trPr>
        <w:tc>
          <w:tcPr>
            <w:tcW w:w="5640" w:type="dxa"/>
            <w:vAlign w:val="bottom"/>
            <w:tcBorders>
              <w:bottom w:val="single" w:sz="8" w:color="auto"/>
            </w:tcBorders>
          </w:tcPr>
          <w:p>
            <w:pPr>
              <w:ind w:left="40"/>
              <w:spacing w:after="0"/>
              <w:rPr>
                <w:sz w:val="20"/>
                <w:szCs w:val="20"/>
                <w:color w:val="auto"/>
              </w:rPr>
            </w:pPr>
            <w:r>
              <w:rPr>
                <w:rFonts w:ascii="Arial" w:cs="Arial" w:eastAsia="Arial" w:hAnsi="Arial"/>
                <w:sz w:val="13"/>
                <w:szCs w:val="13"/>
                <w:color w:val="auto"/>
              </w:rPr>
              <w:t>shareholders.</w:t>
            </w:r>
          </w:p>
        </w:tc>
        <w:tc>
          <w:tcPr>
            <w:tcW w:w="5660" w:type="dxa"/>
            <w:vAlign w:val="bottom"/>
            <w:tcBorders>
              <w:bottom w:val="single" w:sz="8" w:color="auto"/>
            </w:tcBorders>
          </w:tcPr>
          <w:p>
            <w:pPr>
              <w:ind w:left="160"/>
              <w:spacing w:after="0"/>
              <w:rPr>
                <w:sz w:val="20"/>
                <w:szCs w:val="20"/>
                <w:color w:val="auto"/>
              </w:rPr>
            </w:pPr>
            <w:r>
              <w:rPr>
                <w:rFonts w:ascii="Arial" w:cs="Arial" w:eastAsia="Arial" w:hAnsi="Arial"/>
                <w:sz w:val="13"/>
                <w:szCs w:val="13"/>
                <w:color w:val="auto"/>
              </w:rPr>
              <w:t>pas nécessairement être actionnaires.</w:t>
            </w:r>
          </w:p>
        </w:tc>
      </w:tr>
      <w:tr>
        <w:trPr>
          <w:trHeight w:val="177"/>
        </w:trPr>
        <w:tc>
          <w:tcPr>
            <w:tcW w:w="5640" w:type="dxa"/>
            <w:vAlign w:val="bottom"/>
          </w:tcPr>
          <w:p>
            <w:pPr>
              <w:ind w:left="40"/>
              <w:spacing w:after="0"/>
              <w:rPr>
                <w:sz w:val="20"/>
                <w:szCs w:val="20"/>
                <w:color w:val="auto"/>
              </w:rPr>
            </w:pPr>
            <w:r>
              <w:rPr>
                <w:rFonts w:ascii="Arial" w:cs="Arial" w:eastAsia="Arial" w:hAnsi="Arial"/>
                <w:sz w:val="13"/>
                <w:szCs w:val="13"/>
                <w:b w:val="1"/>
                <w:bCs w:val="1"/>
                <w:color w:val="auto"/>
              </w:rPr>
              <w:t>Art. 15  Minutes</w:t>
            </w:r>
          </w:p>
        </w:tc>
        <w:tc>
          <w:tcPr>
            <w:tcW w:w="5660" w:type="dxa"/>
            <w:vAlign w:val="bottom"/>
          </w:tcPr>
          <w:p>
            <w:pPr>
              <w:ind w:left="160"/>
              <w:spacing w:after="0"/>
              <w:rPr>
                <w:sz w:val="20"/>
                <w:szCs w:val="20"/>
                <w:color w:val="auto"/>
              </w:rPr>
            </w:pPr>
            <w:r>
              <w:rPr>
                <w:rFonts w:ascii="Arial" w:cs="Arial" w:eastAsia="Arial" w:hAnsi="Arial"/>
                <w:sz w:val="13"/>
                <w:szCs w:val="13"/>
                <w:b w:val="1"/>
                <w:bCs w:val="1"/>
                <w:color w:val="auto"/>
              </w:rPr>
              <w:t>Art. 15  Procès-verbal</w:t>
            </w:r>
          </w:p>
        </w:tc>
      </w:tr>
      <w:tr>
        <w:trPr>
          <w:trHeight w:val="258"/>
        </w:trPr>
        <w:tc>
          <w:tcPr>
            <w:tcW w:w="5640" w:type="dxa"/>
            <w:vAlign w:val="bottom"/>
          </w:tcPr>
          <w:p>
            <w:pPr>
              <w:ind w:left="40"/>
              <w:spacing w:after="0"/>
              <w:rPr>
                <w:sz w:val="20"/>
                <w:szCs w:val="20"/>
                <w:color w:val="auto"/>
              </w:rPr>
            </w:pPr>
            <w:r>
              <w:rPr>
                <w:rFonts w:ascii="Arial" w:cs="Arial" w:eastAsia="Arial" w:hAnsi="Arial"/>
                <w:sz w:val="13"/>
                <w:szCs w:val="13"/>
                <w:color w:val="auto"/>
              </w:rPr>
              <w:t>The Board of Directors is responsible for the keeping of the minutes of the Meeting, which shall</w:t>
            </w:r>
          </w:p>
        </w:tc>
        <w:tc>
          <w:tcPr>
            <w:tcW w:w="5660" w:type="dxa"/>
            <w:vAlign w:val="bottom"/>
          </w:tcPr>
          <w:p>
            <w:pPr>
              <w:ind w:left="160"/>
              <w:spacing w:after="0"/>
              <w:rPr>
                <w:sz w:val="20"/>
                <w:szCs w:val="20"/>
                <w:color w:val="auto"/>
              </w:rPr>
            </w:pPr>
            <w:r>
              <w:rPr>
                <w:rFonts w:ascii="Arial" w:cs="Arial" w:eastAsia="Arial" w:hAnsi="Arial"/>
                <w:sz w:val="13"/>
                <w:szCs w:val="13"/>
                <w:color w:val="auto"/>
              </w:rPr>
              <w:t>Le conseil d'administration est responsable de la tenue du procès-verbal de l'assemblée, qui</w:t>
            </w:r>
          </w:p>
        </w:tc>
      </w:tr>
      <w:tr>
        <w:trPr>
          <w:trHeight w:val="145"/>
        </w:trPr>
        <w:tc>
          <w:tcPr>
            <w:tcW w:w="5640" w:type="dxa"/>
            <w:vAlign w:val="bottom"/>
          </w:tcPr>
          <w:p>
            <w:pPr>
              <w:ind w:left="40"/>
              <w:spacing w:after="0" w:line="145" w:lineRule="exact"/>
              <w:rPr>
                <w:sz w:val="20"/>
                <w:szCs w:val="20"/>
                <w:color w:val="auto"/>
              </w:rPr>
            </w:pPr>
            <w:r>
              <w:rPr>
                <w:rFonts w:ascii="Arial" w:cs="Arial" w:eastAsia="Arial" w:hAnsi="Arial"/>
                <w:sz w:val="13"/>
                <w:szCs w:val="13"/>
                <w:color w:val="auto"/>
              </w:rPr>
              <w:t>state the number, kind, nominal value of shares represented by the shareholders, by the</w:t>
            </w:r>
          </w:p>
        </w:tc>
        <w:tc>
          <w:tcPr>
            <w:tcW w:w="5660" w:type="dxa"/>
            <w:vAlign w:val="bottom"/>
          </w:tcPr>
          <w:p>
            <w:pPr>
              <w:ind w:left="160"/>
              <w:spacing w:after="0" w:line="145" w:lineRule="exact"/>
              <w:rPr>
                <w:sz w:val="20"/>
                <w:szCs w:val="20"/>
                <w:color w:val="auto"/>
              </w:rPr>
            </w:pPr>
            <w:r>
              <w:rPr>
                <w:rFonts w:ascii="Arial" w:cs="Arial" w:eastAsia="Arial" w:hAnsi="Arial"/>
                <w:sz w:val="13"/>
                <w:szCs w:val="13"/>
                <w:color w:val="auto"/>
              </w:rPr>
              <w:t>doit  indiquer  le  nombre,  le  type,  la  valeur  nominale  des  actions  représentées  par les</w:t>
            </w:r>
          </w:p>
        </w:tc>
      </w:tr>
      <w:tr>
        <w:trPr>
          <w:trHeight w:val="145"/>
        </w:trPr>
        <w:tc>
          <w:tcPr>
            <w:tcW w:w="5640" w:type="dxa"/>
            <w:vAlign w:val="bottom"/>
          </w:tcPr>
          <w:p>
            <w:pPr>
              <w:ind w:left="40"/>
              <w:spacing w:after="0" w:line="145" w:lineRule="exact"/>
              <w:rPr>
                <w:sz w:val="20"/>
                <w:szCs w:val="20"/>
                <w:color w:val="auto"/>
              </w:rPr>
            </w:pPr>
            <w:r>
              <w:rPr>
                <w:rFonts w:ascii="Arial" w:cs="Arial" w:eastAsia="Arial" w:hAnsi="Arial"/>
                <w:sz w:val="13"/>
                <w:szCs w:val="13"/>
                <w:color w:val="auto"/>
              </w:rPr>
              <w:t>corporate bodies and by the independent proxy and gives information on resolutions passed,</w:t>
            </w:r>
          </w:p>
        </w:tc>
        <w:tc>
          <w:tcPr>
            <w:tcW w:w="5660" w:type="dxa"/>
            <w:vAlign w:val="bottom"/>
          </w:tcPr>
          <w:p>
            <w:pPr>
              <w:ind w:left="160"/>
              <w:spacing w:after="0" w:line="145" w:lineRule="exact"/>
              <w:rPr>
                <w:sz w:val="20"/>
                <w:szCs w:val="20"/>
                <w:color w:val="auto"/>
              </w:rPr>
            </w:pPr>
            <w:r>
              <w:rPr>
                <w:rFonts w:ascii="Arial" w:cs="Arial" w:eastAsia="Arial" w:hAnsi="Arial"/>
                <w:sz w:val="13"/>
                <w:szCs w:val="13"/>
                <w:color w:val="auto"/>
              </w:rPr>
              <w:t>actionnaires, par les organes sociaux et par le représentant indépendant et donne des</w:t>
            </w:r>
          </w:p>
        </w:tc>
      </w:tr>
      <w:tr>
        <w:trPr>
          <w:trHeight w:val="145"/>
        </w:trPr>
        <w:tc>
          <w:tcPr>
            <w:tcW w:w="5640" w:type="dxa"/>
            <w:vAlign w:val="bottom"/>
          </w:tcPr>
          <w:p>
            <w:pPr>
              <w:ind w:left="40"/>
              <w:spacing w:after="0" w:line="145" w:lineRule="exact"/>
              <w:rPr>
                <w:sz w:val="20"/>
                <w:szCs w:val="20"/>
                <w:color w:val="auto"/>
              </w:rPr>
            </w:pPr>
            <w:r>
              <w:rPr>
                <w:rFonts w:ascii="Arial" w:cs="Arial" w:eastAsia="Arial" w:hAnsi="Arial"/>
                <w:sz w:val="13"/>
                <w:szCs w:val="13"/>
                <w:color w:val="auto"/>
              </w:rPr>
              <w:t>elections, requests for information and information as well as declarations given by the</w:t>
            </w:r>
          </w:p>
        </w:tc>
        <w:tc>
          <w:tcPr>
            <w:tcW w:w="5660" w:type="dxa"/>
            <w:vAlign w:val="bottom"/>
          </w:tcPr>
          <w:p>
            <w:pPr>
              <w:ind w:left="160"/>
              <w:spacing w:after="0" w:line="145" w:lineRule="exact"/>
              <w:rPr>
                <w:sz w:val="20"/>
                <w:szCs w:val="20"/>
                <w:color w:val="auto"/>
              </w:rPr>
            </w:pPr>
            <w:r>
              <w:rPr>
                <w:rFonts w:ascii="Arial" w:cs="Arial" w:eastAsia="Arial" w:hAnsi="Arial"/>
                <w:sz w:val="13"/>
                <w:szCs w:val="13"/>
                <w:color w:val="auto"/>
              </w:rPr>
              <w:t>informations sur les décisions adoptées, les élections, les demandes de renseignements et les</w:t>
            </w:r>
          </w:p>
        </w:tc>
      </w:tr>
      <w:tr>
        <w:trPr>
          <w:trHeight w:val="145"/>
        </w:trPr>
        <w:tc>
          <w:tcPr>
            <w:tcW w:w="5640" w:type="dxa"/>
            <w:vAlign w:val="bottom"/>
          </w:tcPr>
          <w:p>
            <w:pPr>
              <w:ind w:left="40"/>
              <w:spacing w:after="0" w:line="145" w:lineRule="exact"/>
              <w:rPr>
                <w:sz w:val="20"/>
                <w:szCs w:val="20"/>
                <w:color w:val="auto"/>
              </w:rPr>
            </w:pPr>
            <w:r>
              <w:rPr>
                <w:rFonts w:ascii="Arial" w:cs="Arial" w:eastAsia="Arial" w:hAnsi="Arial"/>
                <w:sz w:val="13"/>
                <w:szCs w:val="13"/>
                <w:color w:val="auto"/>
              </w:rPr>
              <w:t>shareholders. The minutes shall be signed by the Chairman and the Secretary.</w:t>
            </w:r>
          </w:p>
        </w:tc>
        <w:tc>
          <w:tcPr>
            <w:tcW w:w="5660" w:type="dxa"/>
            <w:vAlign w:val="bottom"/>
          </w:tcPr>
          <w:p>
            <w:pPr>
              <w:ind w:left="160"/>
              <w:spacing w:after="0" w:line="145" w:lineRule="exact"/>
              <w:rPr>
                <w:sz w:val="20"/>
                <w:szCs w:val="20"/>
                <w:color w:val="auto"/>
              </w:rPr>
            </w:pPr>
            <w:r>
              <w:rPr>
                <w:rFonts w:ascii="Arial" w:cs="Arial" w:eastAsia="Arial" w:hAnsi="Arial"/>
                <w:sz w:val="13"/>
                <w:szCs w:val="13"/>
                <w:color w:val="auto"/>
              </w:rPr>
              <w:t>informations ainsi que les déclarations faites par les actionnaires. Le procès-verbal est signé</w:t>
            </w:r>
          </w:p>
        </w:tc>
      </w:tr>
      <w:tr>
        <w:trPr>
          <w:trHeight w:val="168"/>
        </w:trPr>
        <w:tc>
          <w:tcPr>
            <w:tcW w:w="5640" w:type="dxa"/>
            <w:vAlign w:val="bottom"/>
          </w:tcPr>
          <w:p>
            <w:pPr>
              <w:spacing w:after="0"/>
              <w:rPr>
                <w:sz w:val="14"/>
                <w:szCs w:val="14"/>
                <w:color w:val="auto"/>
              </w:rPr>
            </w:pPr>
          </w:p>
        </w:tc>
        <w:tc>
          <w:tcPr>
            <w:tcW w:w="5660" w:type="dxa"/>
            <w:vAlign w:val="bottom"/>
          </w:tcPr>
          <w:p>
            <w:pPr>
              <w:ind w:left="160"/>
              <w:spacing w:after="0"/>
              <w:rPr>
                <w:sz w:val="20"/>
                <w:szCs w:val="20"/>
                <w:color w:val="auto"/>
              </w:rPr>
            </w:pPr>
            <w:r>
              <w:rPr>
                <w:rFonts w:ascii="Arial" w:cs="Arial" w:eastAsia="Arial" w:hAnsi="Arial"/>
                <w:sz w:val="13"/>
                <w:szCs w:val="13"/>
                <w:color w:val="auto"/>
              </w:rPr>
              <w:t>par le président et le secrétaire.</w:t>
            </w:r>
          </w:p>
        </w:tc>
      </w:tr>
    </w:tbl>
    <w:p>
      <w:pPr>
        <w:spacing w:after="0" w:line="221"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5"/>
          <w:szCs w:val="15"/>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12700</wp:posOffset>
            </wp:positionV>
            <wp:extent cx="7171690" cy="635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71690" cy="6350"/>
                    </a:xfrm>
                    <a:prstGeom prst="rect">
                      <a:avLst/>
                    </a:prstGeom>
                    <a:noFill/>
                  </pic:spPr>
                </pic:pic>
              </a:graphicData>
            </a:graphic>
          </wp:anchor>
        </w:drawing>
      </w:r>
    </w:p>
    <w:p>
      <w:pPr>
        <w:sectPr>
          <w:pgSz w:w="11900" w:h="16838" w:orient="portrait"/>
          <w:cols w:equalWidth="0" w:num="1">
            <w:col w:w="11300"/>
          </w:cols>
          <w:pgMar w:left="300" w:top="484" w:right="299" w:bottom="1440" w:gutter="0" w:footer="0" w:header="0"/>
        </w:sectPr>
      </w:pPr>
    </w:p>
    <w:bookmarkStart w:id="72" w:name="page73"/>
    <w:bookmarkEnd w:id="72"/>
    <w:tbl>
      <w:tblPr>
        <w:tblLayout w:type="fixed"/>
        <w:tblInd w:w="10" w:type="dxa"/>
        <w:tblCellMar>
          <w:top w:w="0" w:type="dxa"/>
          <w:left w:w="0" w:type="dxa"/>
          <w:bottom w:w="0" w:type="dxa"/>
          <w:right w:w="0" w:type="dxa"/>
        </w:tblCellMar>
      </w:tblPr>
      <w:tr>
        <w:trPr>
          <w:trHeight w:val="189"/>
        </w:trPr>
        <w:tc>
          <w:tcPr>
            <w:tcW w:w="5540" w:type="dxa"/>
            <w:vAlign w:val="bottom"/>
            <w:tcBorders>
              <w:top w:val="single" w:sz="8" w:color="auto"/>
              <w:left w:val="single" w:sz="8" w:color="auto"/>
              <w:bottom w:val="single" w:sz="8" w:color="auto"/>
              <w:right w:val="single" w:sz="8" w:color="auto"/>
            </w:tcBorders>
            <w:gridSpan w:val="2"/>
          </w:tcPr>
          <w:p>
            <w:pPr>
              <w:ind w:left="40"/>
              <w:spacing w:after="0"/>
              <w:rPr>
                <w:sz w:val="20"/>
                <w:szCs w:val="20"/>
                <w:color w:val="auto"/>
              </w:rPr>
            </w:pPr>
            <w:r>
              <w:rPr>
                <w:rFonts w:ascii="Arial" w:cs="Arial" w:eastAsia="Arial" w:hAnsi="Arial"/>
                <w:sz w:val="13"/>
                <w:szCs w:val="13"/>
                <w:color w:val="auto"/>
              </w:rPr>
              <w:t>The shareholders are entitled to inspect the minutes.</w:t>
            </w:r>
          </w:p>
        </w:tc>
        <w:tc>
          <w:tcPr>
            <w:tcW w:w="240" w:type="dxa"/>
            <w:vAlign w:val="bottom"/>
            <w:tcBorders>
              <w:top w:val="single" w:sz="8" w:color="auto"/>
              <w:bottom w:val="single" w:sz="8" w:color="auto"/>
              <w:right w:val="single" w:sz="8" w:color="auto"/>
            </w:tcBorders>
          </w:tcPr>
          <w:p>
            <w:pPr>
              <w:spacing w:after="0"/>
              <w:rPr>
                <w:sz w:val="16"/>
                <w:szCs w:val="16"/>
                <w:color w:val="auto"/>
              </w:rPr>
            </w:pPr>
          </w:p>
        </w:tc>
        <w:tc>
          <w:tcPr>
            <w:tcW w:w="5520" w:type="dxa"/>
            <w:vAlign w:val="bottom"/>
            <w:tcBorders>
              <w:top w:val="single" w:sz="8" w:color="auto"/>
              <w:bottom w:val="single" w:sz="8" w:color="auto"/>
              <w:right w:val="single" w:sz="8" w:color="auto"/>
            </w:tcBorders>
            <w:gridSpan w:val="2"/>
          </w:tcPr>
          <w:p>
            <w:pPr>
              <w:ind w:left="20"/>
              <w:spacing w:after="0"/>
              <w:rPr>
                <w:sz w:val="20"/>
                <w:szCs w:val="20"/>
                <w:color w:val="auto"/>
              </w:rPr>
            </w:pPr>
            <w:r>
              <w:rPr>
                <w:rFonts w:ascii="Arial" w:cs="Arial" w:eastAsia="Arial" w:hAnsi="Arial"/>
                <w:sz w:val="13"/>
                <w:szCs w:val="13"/>
                <w:color w:val="auto"/>
              </w:rPr>
              <w:t>Les actionnaires ont le droit d'examiner le procès-verbal.</w:t>
            </w:r>
          </w:p>
        </w:tc>
        <w:tc>
          <w:tcPr>
            <w:tcW w:w="0" w:type="dxa"/>
            <w:vAlign w:val="bottom"/>
          </w:tcPr>
          <w:p>
            <w:pPr>
              <w:spacing w:after="0"/>
              <w:rPr>
                <w:sz w:val="1"/>
                <w:szCs w:val="1"/>
                <w:color w:val="auto"/>
              </w:rPr>
            </w:pPr>
          </w:p>
        </w:tc>
      </w:tr>
      <w:tr>
        <w:trPr>
          <w:trHeight w:val="177"/>
        </w:trPr>
        <w:tc>
          <w:tcPr>
            <w:tcW w:w="5540" w:type="dxa"/>
            <w:vAlign w:val="bottom"/>
            <w:tcBorders>
              <w:left w:val="single" w:sz="8" w:color="auto"/>
              <w:right w:val="single" w:sz="8" w:color="auto"/>
            </w:tcBorders>
            <w:gridSpan w:val="2"/>
          </w:tcPr>
          <w:p>
            <w:pPr>
              <w:ind w:left="40"/>
              <w:spacing w:after="0"/>
              <w:rPr>
                <w:sz w:val="20"/>
                <w:szCs w:val="20"/>
                <w:color w:val="auto"/>
              </w:rPr>
            </w:pPr>
            <w:r>
              <w:rPr>
                <w:rFonts w:ascii="Arial" w:cs="Arial" w:eastAsia="Arial" w:hAnsi="Arial"/>
                <w:sz w:val="13"/>
                <w:szCs w:val="13"/>
                <w:b w:val="1"/>
                <w:bCs w:val="1"/>
                <w:color w:val="auto"/>
              </w:rPr>
              <w:t>Art. 16  Right to Vote</w:t>
            </w:r>
          </w:p>
        </w:tc>
        <w:tc>
          <w:tcPr>
            <w:tcW w:w="240" w:type="dxa"/>
            <w:vAlign w:val="bottom"/>
            <w:tcBorders>
              <w:right w:val="single" w:sz="8" w:color="auto"/>
            </w:tcBorders>
          </w:tcPr>
          <w:p>
            <w:pPr>
              <w:spacing w:after="0"/>
              <w:rPr>
                <w:sz w:val="15"/>
                <w:szCs w:val="15"/>
                <w:color w:val="auto"/>
              </w:rPr>
            </w:pPr>
          </w:p>
        </w:tc>
        <w:tc>
          <w:tcPr>
            <w:tcW w:w="5520" w:type="dxa"/>
            <w:vAlign w:val="bottom"/>
            <w:tcBorders>
              <w:right w:val="single" w:sz="8" w:color="auto"/>
            </w:tcBorders>
            <w:gridSpan w:val="2"/>
          </w:tcPr>
          <w:p>
            <w:pPr>
              <w:ind w:left="20"/>
              <w:spacing w:after="0"/>
              <w:rPr>
                <w:sz w:val="20"/>
                <w:szCs w:val="20"/>
                <w:color w:val="auto"/>
              </w:rPr>
            </w:pPr>
            <w:r>
              <w:rPr>
                <w:rFonts w:ascii="Arial" w:cs="Arial" w:eastAsia="Arial" w:hAnsi="Arial"/>
                <w:sz w:val="13"/>
                <w:szCs w:val="13"/>
                <w:b w:val="1"/>
                <w:bCs w:val="1"/>
                <w:color w:val="auto"/>
              </w:rPr>
              <w:t>Art. 16  Droit de vote</w:t>
            </w:r>
          </w:p>
        </w:tc>
        <w:tc>
          <w:tcPr>
            <w:tcW w:w="0" w:type="dxa"/>
            <w:vAlign w:val="bottom"/>
          </w:tcPr>
          <w:p>
            <w:pPr>
              <w:spacing w:after="0"/>
              <w:rPr>
                <w:sz w:val="1"/>
                <w:szCs w:val="1"/>
                <w:color w:val="auto"/>
              </w:rPr>
            </w:pPr>
          </w:p>
        </w:tc>
      </w:tr>
      <w:tr>
        <w:trPr>
          <w:trHeight w:val="282"/>
        </w:trPr>
        <w:tc>
          <w:tcPr>
            <w:tcW w:w="5540" w:type="dxa"/>
            <w:vAlign w:val="bottom"/>
            <w:tcBorders>
              <w:left w:val="single" w:sz="8" w:color="auto"/>
              <w:right w:val="single" w:sz="8" w:color="auto"/>
            </w:tcBorders>
            <w:gridSpan w:val="2"/>
          </w:tcPr>
          <w:p>
            <w:pPr>
              <w:ind w:left="40"/>
              <w:spacing w:after="0"/>
              <w:rPr>
                <w:sz w:val="20"/>
                <w:szCs w:val="20"/>
                <w:color w:val="auto"/>
              </w:rPr>
            </w:pPr>
            <w:r>
              <w:rPr>
                <w:rFonts w:ascii="Arial" w:cs="Arial" w:eastAsia="Arial" w:hAnsi="Arial"/>
                <w:sz w:val="13"/>
                <w:szCs w:val="13"/>
                <w:color w:val="auto"/>
              </w:rPr>
              <w:t>Each share entitles to one vote.</w:t>
            </w:r>
          </w:p>
        </w:tc>
        <w:tc>
          <w:tcPr>
            <w:tcW w:w="240" w:type="dxa"/>
            <w:vAlign w:val="bottom"/>
            <w:tcBorders>
              <w:right w:val="single" w:sz="8" w:color="auto"/>
            </w:tcBorders>
          </w:tcPr>
          <w:p>
            <w:pPr>
              <w:spacing w:after="0"/>
              <w:rPr>
                <w:sz w:val="24"/>
                <w:szCs w:val="24"/>
                <w:color w:val="auto"/>
              </w:rPr>
            </w:pPr>
          </w:p>
        </w:tc>
        <w:tc>
          <w:tcPr>
            <w:tcW w:w="5520" w:type="dxa"/>
            <w:vAlign w:val="bottom"/>
            <w:tcBorders>
              <w:right w:val="single" w:sz="8" w:color="auto"/>
            </w:tcBorders>
            <w:gridSpan w:val="2"/>
          </w:tcPr>
          <w:p>
            <w:pPr>
              <w:ind w:left="20"/>
              <w:spacing w:after="0"/>
              <w:rPr>
                <w:sz w:val="20"/>
                <w:szCs w:val="20"/>
                <w:color w:val="auto"/>
              </w:rPr>
            </w:pPr>
            <w:r>
              <w:rPr>
                <w:rFonts w:ascii="Arial" w:cs="Arial" w:eastAsia="Arial" w:hAnsi="Arial"/>
                <w:sz w:val="13"/>
                <w:szCs w:val="13"/>
                <w:color w:val="auto"/>
              </w:rPr>
              <w:t>Chaque action donne droit à une voix.</w:t>
            </w:r>
          </w:p>
        </w:tc>
        <w:tc>
          <w:tcPr>
            <w:tcW w:w="0" w:type="dxa"/>
            <w:vAlign w:val="bottom"/>
          </w:tcPr>
          <w:p>
            <w:pPr>
              <w:spacing w:after="0"/>
              <w:rPr>
                <w:sz w:val="1"/>
                <w:szCs w:val="1"/>
                <w:color w:val="auto"/>
              </w:rPr>
            </w:pPr>
          </w:p>
        </w:tc>
      </w:tr>
      <w:tr>
        <w:trPr>
          <w:trHeight w:val="153"/>
        </w:trPr>
        <w:tc>
          <w:tcPr>
            <w:tcW w:w="5540" w:type="dxa"/>
            <w:vAlign w:val="bottom"/>
            <w:tcBorders>
              <w:left w:val="single" w:sz="8" w:color="auto"/>
              <w:bottom w:val="single" w:sz="8" w:color="auto"/>
              <w:right w:val="single" w:sz="8" w:color="auto"/>
            </w:tcBorders>
            <w:gridSpan w:val="2"/>
          </w:tcPr>
          <w:p>
            <w:pPr>
              <w:spacing w:after="0"/>
              <w:rPr>
                <w:sz w:val="13"/>
                <w:szCs w:val="13"/>
                <w:color w:val="auto"/>
              </w:rPr>
            </w:pPr>
          </w:p>
        </w:tc>
        <w:tc>
          <w:tcPr>
            <w:tcW w:w="240" w:type="dxa"/>
            <w:vAlign w:val="bottom"/>
            <w:tcBorders>
              <w:bottom w:val="single" w:sz="8" w:color="auto"/>
              <w:right w:val="single" w:sz="8" w:color="auto"/>
            </w:tcBorders>
          </w:tcPr>
          <w:p>
            <w:pPr>
              <w:spacing w:after="0"/>
              <w:rPr>
                <w:sz w:val="13"/>
                <w:szCs w:val="13"/>
                <w:color w:val="auto"/>
              </w:rPr>
            </w:pPr>
          </w:p>
        </w:tc>
        <w:tc>
          <w:tcPr>
            <w:tcW w:w="5520" w:type="dxa"/>
            <w:vAlign w:val="bottom"/>
            <w:tcBorders>
              <w:bottom w:val="single" w:sz="8" w:color="auto"/>
              <w:right w:val="single" w:sz="8" w:color="auto"/>
            </w:tcBorders>
            <w:gridSpan w:val="2"/>
          </w:tcPr>
          <w:p>
            <w:pPr>
              <w:spacing w:after="0"/>
              <w:rPr>
                <w:sz w:val="13"/>
                <w:szCs w:val="13"/>
                <w:color w:val="auto"/>
              </w:rPr>
            </w:pPr>
          </w:p>
        </w:tc>
        <w:tc>
          <w:tcPr>
            <w:tcW w:w="0" w:type="dxa"/>
            <w:vAlign w:val="bottom"/>
          </w:tcPr>
          <w:p>
            <w:pPr>
              <w:spacing w:after="0"/>
              <w:rPr>
                <w:sz w:val="1"/>
                <w:szCs w:val="1"/>
                <w:color w:val="auto"/>
              </w:rPr>
            </w:pPr>
          </w:p>
        </w:tc>
      </w:tr>
      <w:tr>
        <w:trPr>
          <w:trHeight w:val="141"/>
        </w:trPr>
        <w:tc>
          <w:tcPr>
            <w:tcW w:w="5540" w:type="dxa"/>
            <w:vAlign w:val="bottom"/>
            <w:tcBorders>
              <w:left w:val="single" w:sz="8" w:color="auto"/>
              <w:right w:val="single" w:sz="8" w:color="auto"/>
            </w:tcBorders>
            <w:gridSpan w:val="2"/>
          </w:tcPr>
          <w:p>
            <w:pPr>
              <w:ind w:left="40"/>
              <w:spacing w:after="0" w:line="141" w:lineRule="exact"/>
              <w:rPr>
                <w:sz w:val="20"/>
                <w:szCs w:val="20"/>
                <w:color w:val="auto"/>
              </w:rPr>
            </w:pPr>
            <w:r>
              <w:rPr>
                <w:rFonts w:ascii="Arial" w:cs="Arial" w:eastAsia="Arial" w:hAnsi="Arial"/>
                <w:sz w:val="13"/>
                <w:szCs w:val="13"/>
                <w:color w:val="auto"/>
              </w:rPr>
              <w:t>Each shareholder may be represented at a General Meeting by any person who is so</w:t>
            </w:r>
          </w:p>
        </w:tc>
        <w:tc>
          <w:tcPr>
            <w:tcW w:w="240" w:type="dxa"/>
            <w:vAlign w:val="bottom"/>
            <w:tcBorders>
              <w:right w:val="single" w:sz="8" w:color="auto"/>
            </w:tcBorders>
          </w:tcPr>
          <w:p>
            <w:pPr>
              <w:spacing w:after="0"/>
              <w:rPr>
                <w:sz w:val="12"/>
                <w:szCs w:val="12"/>
                <w:color w:val="auto"/>
              </w:rPr>
            </w:pPr>
          </w:p>
        </w:tc>
        <w:tc>
          <w:tcPr>
            <w:tcW w:w="5520" w:type="dxa"/>
            <w:vAlign w:val="bottom"/>
            <w:tcBorders>
              <w:right w:val="single" w:sz="8" w:color="auto"/>
            </w:tcBorders>
            <w:gridSpan w:val="2"/>
          </w:tcPr>
          <w:p>
            <w:pPr>
              <w:ind w:left="20"/>
              <w:spacing w:after="0" w:line="141" w:lineRule="exact"/>
              <w:rPr>
                <w:sz w:val="20"/>
                <w:szCs w:val="20"/>
                <w:color w:val="auto"/>
              </w:rPr>
            </w:pPr>
            <w:r>
              <w:rPr>
                <w:rFonts w:ascii="Arial" w:cs="Arial" w:eastAsia="Arial" w:hAnsi="Arial"/>
                <w:sz w:val="13"/>
                <w:szCs w:val="13"/>
                <w:color w:val="auto"/>
                <w:w w:val="99"/>
              </w:rPr>
              <w:t>Chaque actionnaire peut se faire représenter à l'assemblée générale par toute personne qui est</w:t>
            </w:r>
          </w:p>
        </w:tc>
        <w:tc>
          <w:tcPr>
            <w:tcW w:w="0" w:type="dxa"/>
            <w:vAlign w:val="bottom"/>
          </w:tcPr>
          <w:p>
            <w:pPr>
              <w:spacing w:after="0"/>
              <w:rPr>
                <w:sz w:val="1"/>
                <w:szCs w:val="1"/>
                <w:color w:val="auto"/>
              </w:rPr>
            </w:pPr>
          </w:p>
        </w:tc>
      </w:tr>
      <w:tr>
        <w:trPr>
          <w:trHeight w:val="145"/>
        </w:trPr>
        <w:tc>
          <w:tcPr>
            <w:tcW w:w="5540" w:type="dxa"/>
            <w:vAlign w:val="bottom"/>
            <w:tcBorders>
              <w:left w:val="single" w:sz="8" w:color="auto"/>
              <w:right w:val="single" w:sz="8" w:color="auto"/>
            </w:tcBorders>
            <w:gridSpan w:val="2"/>
          </w:tcPr>
          <w:p>
            <w:pPr>
              <w:ind w:left="40"/>
              <w:spacing w:after="0" w:line="145" w:lineRule="exact"/>
              <w:rPr>
                <w:sz w:val="20"/>
                <w:szCs w:val="20"/>
                <w:color w:val="auto"/>
              </w:rPr>
            </w:pPr>
            <w:r>
              <w:rPr>
                <w:rFonts w:ascii="Arial" w:cs="Arial" w:eastAsia="Arial" w:hAnsi="Arial"/>
                <w:sz w:val="13"/>
                <w:szCs w:val="13"/>
                <w:color w:val="auto"/>
              </w:rPr>
              <w:t>authorized by a written proxy. A proxy need not be a shareholder.</w:t>
            </w:r>
          </w:p>
        </w:tc>
        <w:tc>
          <w:tcPr>
            <w:tcW w:w="240" w:type="dxa"/>
            <w:vAlign w:val="bottom"/>
            <w:tcBorders>
              <w:right w:val="single" w:sz="8" w:color="auto"/>
            </w:tcBorders>
          </w:tcPr>
          <w:p>
            <w:pPr>
              <w:spacing w:after="0"/>
              <w:rPr>
                <w:sz w:val="12"/>
                <w:szCs w:val="12"/>
                <w:color w:val="auto"/>
              </w:rPr>
            </w:pPr>
          </w:p>
        </w:tc>
        <w:tc>
          <w:tcPr>
            <w:tcW w:w="5520" w:type="dxa"/>
            <w:vAlign w:val="bottom"/>
            <w:tcBorders>
              <w:right w:val="single" w:sz="8" w:color="auto"/>
            </w:tcBorders>
            <w:gridSpan w:val="2"/>
          </w:tcPr>
          <w:p>
            <w:pPr>
              <w:ind w:left="20"/>
              <w:spacing w:after="0" w:line="145" w:lineRule="exact"/>
              <w:rPr>
                <w:sz w:val="20"/>
                <w:szCs w:val="20"/>
                <w:color w:val="auto"/>
              </w:rPr>
            </w:pPr>
            <w:r>
              <w:rPr>
                <w:rFonts w:ascii="Arial" w:cs="Arial" w:eastAsia="Arial" w:hAnsi="Arial"/>
                <w:sz w:val="13"/>
                <w:szCs w:val="13"/>
                <w:color w:val="auto"/>
              </w:rPr>
              <w:t>autorisée par une procuration écrite. Le représentant ne doit pas nécessairement être un</w:t>
            </w:r>
          </w:p>
        </w:tc>
        <w:tc>
          <w:tcPr>
            <w:tcW w:w="0" w:type="dxa"/>
            <w:vAlign w:val="bottom"/>
          </w:tcPr>
          <w:p>
            <w:pPr>
              <w:spacing w:after="0"/>
              <w:rPr>
                <w:sz w:val="1"/>
                <w:szCs w:val="1"/>
                <w:color w:val="auto"/>
              </w:rPr>
            </w:pPr>
          </w:p>
        </w:tc>
      </w:tr>
      <w:tr>
        <w:trPr>
          <w:trHeight w:val="173"/>
        </w:trPr>
        <w:tc>
          <w:tcPr>
            <w:tcW w:w="220" w:type="dxa"/>
            <w:vAlign w:val="bottom"/>
            <w:tcBorders>
              <w:left w:val="single" w:sz="8" w:color="auto"/>
              <w:bottom w:val="single" w:sz="8" w:color="auto"/>
            </w:tcBorders>
          </w:tcPr>
          <w:p>
            <w:pPr>
              <w:spacing w:after="0"/>
              <w:rPr>
                <w:sz w:val="15"/>
                <w:szCs w:val="15"/>
                <w:color w:val="auto"/>
              </w:rPr>
            </w:pPr>
          </w:p>
        </w:tc>
        <w:tc>
          <w:tcPr>
            <w:tcW w:w="5320" w:type="dxa"/>
            <w:vAlign w:val="bottom"/>
            <w:tcBorders>
              <w:bottom w:val="single" w:sz="8" w:color="auto"/>
              <w:right w:val="single" w:sz="8" w:color="auto"/>
            </w:tcBorders>
          </w:tcPr>
          <w:p>
            <w:pPr>
              <w:spacing w:after="0"/>
              <w:rPr>
                <w:sz w:val="15"/>
                <w:szCs w:val="15"/>
                <w:color w:val="auto"/>
              </w:rPr>
            </w:pPr>
          </w:p>
        </w:tc>
        <w:tc>
          <w:tcPr>
            <w:tcW w:w="240" w:type="dxa"/>
            <w:vAlign w:val="bottom"/>
            <w:tcBorders>
              <w:bottom w:val="single" w:sz="8" w:color="auto"/>
              <w:right w:val="single" w:sz="8" w:color="auto"/>
            </w:tcBorders>
          </w:tcPr>
          <w:p>
            <w:pPr>
              <w:spacing w:after="0"/>
              <w:rPr>
                <w:sz w:val="15"/>
                <w:szCs w:val="15"/>
                <w:color w:val="auto"/>
              </w:rPr>
            </w:pPr>
          </w:p>
        </w:tc>
        <w:tc>
          <w:tcPr>
            <w:tcW w:w="5520" w:type="dxa"/>
            <w:vAlign w:val="bottom"/>
            <w:tcBorders>
              <w:bottom w:val="single" w:sz="8" w:color="auto"/>
              <w:right w:val="single" w:sz="8" w:color="auto"/>
            </w:tcBorders>
            <w:gridSpan w:val="2"/>
          </w:tcPr>
          <w:p>
            <w:pPr>
              <w:ind w:left="20"/>
              <w:spacing w:after="0"/>
              <w:rPr>
                <w:sz w:val="20"/>
                <w:szCs w:val="20"/>
                <w:color w:val="auto"/>
              </w:rPr>
            </w:pPr>
            <w:r>
              <w:rPr>
                <w:rFonts w:ascii="Arial" w:cs="Arial" w:eastAsia="Arial" w:hAnsi="Arial"/>
                <w:sz w:val="13"/>
                <w:szCs w:val="13"/>
                <w:color w:val="auto"/>
              </w:rPr>
              <w:t>actionnaire.</w:t>
            </w:r>
          </w:p>
        </w:tc>
        <w:tc>
          <w:tcPr>
            <w:tcW w:w="0" w:type="dxa"/>
            <w:vAlign w:val="bottom"/>
          </w:tcPr>
          <w:p>
            <w:pPr>
              <w:spacing w:after="0"/>
              <w:rPr>
                <w:sz w:val="1"/>
                <w:szCs w:val="1"/>
                <w:color w:val="auto"/>
              </w:rPr>
            </w:pPr>
          </w:p>
        </w:tc>
      </w:tr>
      <w:tr>
        <w:trPr>
          <w:trHeight w:val="145"/>
        </w:trPr>
        <w:tc>
          <w:tcPr>
            <w:tcW w:w="5540" w:type="dxa"/>
            <w:vAlign w:val="bottom"/>
            <w:tcBorders>
              <w:left w:val="single" w:sz="8" w:color="auto"/>
              <w:right w:val="single" w:sz="8" w:color="auto"/>
            </w:tcBorders>
            <w:gridSpan w:val="2"/>
          </w:tcPr>
          <w:p>
            <w:pPr>
              <w:ind w:left="40"/>
              <w:spacing w:after="0" w:line="146" w:lineRule="exact"/>
              <w:rPr>
                <w:sz w:val="20"/>
                <w:szCs w:val="20"/>
                <w:color w:val="auto"/>
              </w:rPr>
            </w:pPr>
            <w:r>
              <w:rPr>
                <w:rFonts w:ascii="Arial" w:cs="Arial" w:eastAsia="Arial" w:hAnsi="Arial"/>
                <w:sz w:val="13"/>
                <w:szCs w:val="13"/>
                <w:color w:val="auto"/>
              </w:rPr>
              <w:t>Each shareholder may be represented by the Independent Proxy. The requirements regarding</w:t>
            </w:r>
          </w:p>
        </w:tc>
        <w:tc>
          <w:tcPr>
            <w:tcW w:w="240" w:type="dxa"/>
            <w:vAlign w:val="bottom"/>
            <w:tcBorders>
              <w:right w:val="single" w:sz="8" w:color="auto"/>
            </w:tcBorders>
          </w:tcPr>
          <w:p>
            <w:pPr>
              <w:spacing w:after="0"/>
              <w:rPr>
                <w:sz w:val="12"/>
                <w:szCs w:val="12"/>
                <w:color w:val="auto"/>
              </w:rPr>
            </w:pPr>
          </w:p>
        </w:tc>
        <w:tc>
          <w:tcPr>
            <w:tcW w:w="5520" w:type="dxa"/>
            <w:vAlign w:val="bottom"/>
            <w:tcBorders>
              <w:right w:val="single" w:sz="8" w:color="auto"/>
            </w:tcBorders>
            <w:gridSpan w:val="2"/>
          </w:tcPr>
          <w:p>
            <w:pPr>
              <w:ind w:left="20"/>
              <w:spacing w:after="0" w:line="146" w:lineRule="exact"/>
              <w:rPr>
                <w:sz w:val="20"/>
                <w:szCs w:val="20"/>
                <w:color w:val="auto"/>
              </w:rPr>
            </w:pPr>
            <w:r>
              <w:rPr>
                <w:rFonts w:ascii="Arial" w:cs="Arial" w:eastAsia="Arial" w:hAnsi="Arial"/>
                <w:sz w:val="13"/>
                <w:szCs w:val="13"/>
                <w:color w:val="auto"/>
              </w:rPr>
              <w:t>Chaque actionnaire peut se faire représenter par le représentant indépendant. Les exigences</w:t>
            </w:r>
          </w:p>
        </w:tc>
        <w:tc>
          <w:tcPr>
            <w:tcW w:w="0" w:type="dxa"/>
            <w:vAlign w:val="bottom"/>
          </w:tcPr>
          <w:p>
            <w:pPr>
              <w:spacing w:after="0"/>
              <w:rPr>
                <w:sz w:val="1"/>
                <w:szCs w:val="1"/>
                <w:color w:val="auto"/>
              </w:rPr>
            </w:pPr>
          </w:p>
        </w:tc>
      </w:tr>
      <w:tr>
        <w:trPr>
          <w:trHeight w:val="173"/>
        </w:trPr>
        <w:tc>
          <w:tcPr>
            <w:tcW w:w="5540" w:type="dxa"/>
            <w:vAlign w:val="bottom"/>
            <w:tcBorders>
              <w:left w:val="single" w:sz="8" w:color="auto"/>
              <w:bottom w:val="single" w:sz="8" w:color="auto"/>
              <w:right w:val="single" w:sz="8" w:color="auto"/>
            </w:tcBorders>
            <w:gridSpan w:val="2"/>
          </w:tcPr>
          <w:p>
            <w:pPr>
              <w:ind w:left="40"/>
              <w:spacing w:after="0"/>
              <w:rPr>
                <w:sz w:val="20"/>
                <w:szCs w:val="20"/>
                <w:color w:val="auto"/>
              </w:rPr>
            </w:pPr>
            <w:r>
              <w:rPr>
                <w:rFonts w:ascii="Arial" w:cs="Arial" w:eastAsia="Arial" w:hAnsi="Arial"/>
                <w:sz w:val="13"/>
                <w:szCs w:val="13"/>
                <w:color w:val="auto"/>
              </w:rPr>
              <w:t>proxies and instructions are determined by the Board of Directors.</w:t>
            </w:r>
          </w:p>
        </w:tc>
        <w:tc>
          <w:tcPr>
            <w:tcW w:w="240" w:type="dxa"/>
            <w:vAlign w:val="bottom"/>
            <w:tcBorders>
              <w:bottom w:val="single" w:sz="8" w:color="auto"/>
              <w:right w:val="single" w:sz="8" w:color="auto"/>
            </w:tcBorders>
          </w:tcPr>
          <w:p>
            <w:pPr>
              <w:spacing w:after="0"/>
              <w:rPr>
                <w:sz w:val="15"/>
                <w:szCs w:val="15"/>
                <w:color w:val="auto"/>
              </w:rPr>
            </w:pPr>
          </w:p>
        </w:tc>
        <w:tc>
          <w:tcPr>
            <w:tcW w:w="5520" w:type="dxa"/>
            <w:vAlign w:val="bottom"/>
            <w:tcBorders>
              <w:bottom w:val="single" w:sz="8" w:color="auto"/>
              <w:right w:val="single" w:sz="8" w:color="auto"/>
            </w:tcBorders>
            <w:gridSpan w:val="2"/>
          </w:tcPr>
          <w:p>
            <w:pPr>
              <w:ind w:left="20"/>
              <w:spacing w:after="0"/>
              <w:rPr>
                <w:sz w:val="20"/>
                <w:szCs w:val="20"/>
                <w:color w:val="auto"/>
              </w:rPr>
            </w:pPr>
            <w:r>
              <w:rPr>
                <w:rFonts w:ascii="Arial" w:cs="Arial" w:eastAsia="Arial" w:hAnsi="Arial"/>
                <w:sz w:val="13"/>
                <w:szCs w:val="13"/>
                <w:color w:val="auto"/>
              </w:rPr>
              <w:t>en matière de procurations et les instructions sont déterminées par le conseil d'administration.</w:t>
            </w:r>
          </w:p>
        </w:tc>
        <w:tc>
          <w:tcPr>
            <w:tcW w:w="0" w:type="dxa"/>
            <w:vAlign w:val="bottom"/>
          </w:tcPr>
          <w:p>
            <w:pPr>
              <w:spacing w:after="0"/>
              <w:rPr>
                <w:sz w:val="1"/>
                <w:szCs w:val="1"/>
                <w:color w:val="auto"/>
              </w:rPr>
            </w:pPr>
          </w:p>
        </w:tc>
      </w:tr>
      <w:tr>
        <w:trPr>
          <w:trHeight w:val="177"/>
        </w:trPr>
        <w:tc>
          <w:tcPr>
            <w:tcW w:w="5540" w:type="dxa"/>
            <w:vAlign w:val="bottom"/>
            <w:tcBorders>
              <w:left w:val="single" w:sz="8" w:color="auto"/>
              <w:right w:val="single" w:sz="8" w:color="auto"/>
            </w:tcBorders>
            <w:gridSpan w:val="2"/>
          </w:tcPr>
          <w:p>
            <w:pPr>
              <w:ind w:left="40"/>
              <w:spacing w:after="0"/>
              <w:rPr>
                <w:sz w:val="20"/>
                <w:szCs w:val="20"/>
                <w:color w:val="auto"/>
              </w:rPr>
            </w:pPr>
            <w:r>
              <w:rPr>
                <w:rFonts w:ascii="Arial" w:cs="Arial" w:eastAsia="Arial" w:hAnsi="Arial"/>
                <w:sz w:val="13"/>
                <w:szCs w:val="13"/>
                <w:b w:val="1"/>
                <w:bCs w:val="1"/>
                <w:color w:val="auto"/>
              </w:rPr>
              <w:t>Art. 17  Resolutions and Elections</w:t>
            </w:r>
          </w:p>
        </w:tc>
        <w:tc>
          <w:tcPr>
            <w:tcW w:w="240" w:type="dxa"/>
            <w:vAlign w:val="bottom"/>
            <w:tcBorders>
              <w:right w:val="single" w:sz="8" w:color="auto"/>
            </w:tcBorders>
          </w:tcPr>
          <w:p>
            <w:pPr>
              <w:spacing w:after="0"/>
              <w:rPr>
                <w:sz w:val="15"/>
                <w:szCs w:val="15"/>
                <w:color w:val="auto"/>
              </w:rPr>
            </w:pPr>
          </w:p>
        </w:tc>
        <w:tc>
          <w:tcPr>
            <w:tcW w:w="5520" w:type="dxa"/>
            <w:vAlign w:val="bottom"/>
            <w:tcBorders>
              <w:right w:val="single" w:sz="8" w:color="auto"/>
            </w:tcBorders>
            <w:gridSpan w:val="2"/>
          </w:tcPr>
          <w:p>
            <w:pPr>
              <w:ind w:left="20"/>
              <w:spacing w:after="0"/>
              <w:rPr>
                <w:sz w:val="20"/>
                <w:szCs w:val="20"/>
                <w:color w:val="auto"/>
              </w:rPr>
            </w:pPr>
            <w:r>
              <w:rPr>
                <w:rFonts w:ascii="Arial" w:cs="Arial" w:eastAsia="Arial" w:hAnsi="Arial"/>
                <w:sz w:val="13"/>
                <w:szCs w:val="13"/>
                <w:b w:val="1"/>
                <w:bCs w:val="1"/>
                <w:color w:val="auto"/>
              </w:rPr>
              <w:t>Art. 17  Décisions and élections</w:t>
            </w:r>
          </w:p>
        </w:tc>
        <w:tc>
          <w:tcPr>
            <w:tcW w:w="0" w:type="dxa"/>
            <w:vAlign w:val="bottom"/>
          </w:tcPr>
          <w:p>
            <w:pPr>
              <w:spacing w:after="0"/>
              <w:rPr>
                <w:sz w:val="1"/>
                <w:szCs w:val="1"/>
                <w:color w:val="auto"/>
              </w:rPr>
            </w:pPr>
          </w:p>
        </w:tc>
      </w:tr>
      <w:tr>
        <w:trPr>
          <w:trHeight w:val="258"/>
        </w:trPr>
        <w:tc>
          <w:tcPr>
            <w:tcW w:w="5540" w:type="dxa"/>
            <w:vAlign w:val="bottom"/>
            <w:tcBorders>
              <w:left w:val="single" w:sz="8" w:color="auto"/>
              <w:right w:val="single" w:sz="8" w:color="auto"/>
            </w:tcBorders>
            <w:gridSpan w:val="2"/>
          </w:tcPr>
          <w:p>
            <w:pPr>
              <w:ind w:left="40"/>
              <w:spacing w:after="0"/>
              <w:rPr>
                <w:sz w:val="20"/>
                <w:szCs w:val="20"/>
                <w:color w:val="auto"/>
              </w:rPr>
            </w:pPr>
            <w:r>
              <w:rPr>
                <w:rFonts w:ascii="Arial" w:cs="Arial" w:eastAsia="Arial" w:hAnsi="Arial"/>
                <w:sz w:val="13"/>
                <w:szCs w:val="13"/>
                <w:color w:val="auto"/>
              </w:rPr>
              <w:t>All voting and elections are held openly or electronically. A written voting or election shall be</w:t>
            </w:r>
          </w:p>
        </w:tc>
        <w:tc>
          <w:tcPr>
            <w:tcW w:w="240" w:type="dxa"/>
            <w:vAlign w:val="bottom"/>
            <w:tcBorders>
              <w:right w:val="single" w:sz="8" w:color="auto"/>
            </w:tcBorders>
          </w:tcPr>
          <w:p>
            <w:pPr>
              <w:spacing w:after="0"/>
              <w:rPr>
                <w:sz w:val="22"/>
                <w:szCs w:val="22"/>
                <w:color w:val="auto"/>
              </w:rPr>
            </w:pPr>
          </w:p>
        </w:tc>
        <w:tc>
          <w:tcPr>
            <w:tcW w:w="5520" w:type="dxa"/>
            <w:vAlign w:val="bottom"/>
            <w:tcBorders>
              <w:right w:val="single" w:sz="8" w:color="auto"/>
            </w:tcBorders>
            <w:gridSpan w:val="2"/>
          </w:tcPr>
          <w:p>
            <w:pPr>
              <w:ind w:left="20"/>
              <w:spacing w:after="0"/>
              <w:rPr>
                <w:sz w:val="20"/>
                <w:szCs w:val="20"/>
                <w:color w:val="auto"/>
              </w:rPr>
            </w:pPr>
            <w:r>
              <w:rPr>
                <w:rFonts w:ascii="Arial" w:cs="Arial" w:eastAsia="Arial" w:hAnsi="Arial"/>
                <w:sz w:val="13"/>
                <w:szCs w:val="13"/>
                <w:color w:val="auto"/>
              </w:rPr>
              <w:t>Tous votes et élections sont tenus ouvertement ou par voie électronique. Sur instruction du</w:t>
            </w:r>
          </w:p>
        </w:tc>
        <w:tc>
          <w:tcPr>
            <w:tcW w:w="0" w:type="dxa"/>
            <w:vAlign w:val="bottom"/>
          </w:tcPr>
          <w:p>
            <w:pPr>
              <w:spacing w:after="0"/>
              <w:rPr>
                <w:sz w:val="1"/>
                <w:szCs w:val="1"/>
                <w:color w:val="auto"/>
              </w:rPr>
            </w:pPr>
          </w:p>
        </w:tc>
      </w:tr>
      <w:tr>
        <w:trPr>
          <w:trHeight w:val="168"/>
        </w:trPr>
        <w:tc>
          <w:tcPr>
            <w:tcW w:w="5540" w:type="dxa"/>
            <w:vAlign w:val="bottom"/>
            <w:tcBorders>
              <w:left w:val="single" w:sz="8" w:color="auto"/>
              <w:right w:val="single" w:sz="8" w:color="auto"/>
            </w:tcBorders>
            <w:gridSpan w:val="2"/>
          </w:tcPr>
          <w:p>
            <w:pPr>
              <w:ind w:left="40"/>
              <w:spacing w:after="0"/>
              <w:rPr>
                <w:sz w:val="20"/>
                <w:szCs w:val="20"/>
                <w:color w:val="auto"/>
              </w:rPr>
            </w:pPr>
            <w:r>
              <w:rPr>
                <w:rFonts w:ascii="Arial" w:cs="Arial" w:eastAsia="Arial" w:hAnsi="Arial"/>
                <w:sz w:val="13"/>
                <w:szCs w:val="13"/>
                <w:color w:val="auto"/>
              </w:rPr>
              <w:t>held if instructed so by the Chairman or if decided by the General Meeting.</w:t>
            </w:r>
          </w:p>
        </w:tc>
        <w:tc>
          <w:tcPr>
            <w:tcW w:w="240" w:type="dxa"/>
            <w:vAlign w:val="bottom"/>
            <w:tcBorders>
              <w:right w:val="single" w:sz="8" w:color="auto"/>
            </w:tcBorders>
          </w:tcPr>
          <w:p>
            <w:pPr>
              <w:spacing w:after="0"/>
              <w:rPr>
                <w:sz w:val="14"/>
                <w:szCs w:val="14"/>
                <w:color w:val="auto"/>
              </w:rPr>
            </w:pPr>
          </w:p>
        </w:tc>
        <w:tc>
          <w:tcPr>
            <w:tcW w:w="5520" w:type="dxa"/>
            <w:vAlign w:val="bottom"/>
            <w:tcBorders>
              <w:right w:val="single" w:sz="8" w:color="auto"/>
            </w:tcBorders>
            <w:gridSpan w:val="2"/>
          </w:tcPr>
          <w:p>
            <w:pPr>
              <w:ind w:left="20"/>
              <w:spacing w:after="0"/>
              <w:rPr>
                <w:sz w:val="20"/>
                <w:szCs w:val="20"/>
                <w:color w:val="auto"/>
              </w:rPr>
            </w:pPr>
            <w:r>
              <w:rPr>
                <w:rFonts w:ascii="Arial" w:cs="Arial" w:eastAsia="Arial" w:hAnsi="Arial"/>
                <w:sz w:val="13"/>
                <w:szCs w:val="13"/>
                <w:color w:val="auto"/>
              </w:rPr>
              <w:t>président ou de l'assemblée générale, un vote ou une élection doit être tenu par écrit.</w:t>
            </w:r>
          </w:p>
        </w:tc>
        <w:tc>
          <w:tcPr>
            <w:tcW w:w="0" w:type="dxa"/>
            <w:vAlign w:val="bottom"/>
          </w:tcPr>
          <w:p>
            <w:pPr>
              <w:spacing w:after="0"/>
              <w:rPr>
                <w:sz w:val="1"/>
                <w:szCs w:val="1"/>
                <w:color w:val="auto"/>
              </w:rPr>
            </w:pPr>
          </w:p>
        </w:tc>
      </w:tr>
      <w:tr>
        <w:trPr>
          <w:trHeight w:val="153"/>
        </w:trPr>
        <w:tc>
          <w:tcPr>
            <w:tcW w:w="5540" w:type="dxa"/>
            <w:vAlign w:val="bottom"/>
            <w:tcBorders>
              <w:left w:val="single" w:sz="8" w:color="auto"/>
              <w:bottom w:val="single" w:sz="8" w:color="auto"/>
              <w:right w:val="single" w:sz="8" w:color="auto"/>
            </w:tcBorders>
            <w:gridSpan w:val="2"/>
          </w:tcPr>
          <w:p>
            <w:pPr>
              <w:spacing w:after="0"/>
              <w:rPr>
                <w:sz w:val="13"/>
                <w:szCs w:val="13"/>
                <w:color w:val="auto"/>
              </w:rPr>
            </w:pPr>
          </w:p>
        </w:tc>
        <w:tc>
          <w:tcPr>
            <w:tcW w:w="240" w:type="dxa"/>
            <w:vAlign w:val="bottom"/>
            <w:tcBorders>
              <w:bottom w:val="single" w:sz="8" w:color="auto"/>
              <w:right w:val="single" w:sz="8" w:color="auto"/>
            </w:tcBorders>
          </w:tcPr>
          <w:p>
            <w:pPr>
              <w:spacing w:after="0"/>
              <w:rPr>
                <w:sz w:val="13"/>
                <w:szCs w:val="13"/>
                <w:color w:val="auto"/>
              </w:rPr>
            </w:pPr>
          </w:p>
        </w:tc>
        <w:tc>
          <w:tcPr>
            <w:tcW w:w="5520" w:type="dxa"/>
            <w:vAlign w:val="bottom"/>
            <w:tcBorders>
              <w:bottom w:val="single" w:sz="8" w:color="auto"/>
              <w:right w:val="single" w:sz="8" w:color="auto"/>
            </w:tcBorders>
            <w:gridSpan w:val="2"/>
          </w:tcPr>
          <w:p>
            <w:pPr>
              <w:spacing w:after="0"/>
              <w:rPr>
                <w:sz w:val="13"/>
                <w:szCs w:val="13"/>
                <w:color w:val="auto"/>
              </w:rPr>
            </w:pPr>
          </w:p>
        </w:tc>
        <w:tc>
          <w:tcPr>
            <w:tcW w:w="0" w:type="dxa"/>
            <w:vAlign w:val="bottom"/>
          </w:tcPr>
          <w:p>
            <w:pPr>
              <w:spacing w:after="0"/>
              <w:rPr>
                <w:sz w:val="1"/>
                <w:szCs w:val="1"/>
                <w:color w:val="auto"/>
              </w:rPr>
            </w:pPr>
          </w:p>
        </w:tc>
      </w:tr>
      <w:tr>
        <w:trPr>
          <w:trHeight w:val="141"/>
        </w:trPr>
        <w:tc>
          <w:tcPr>
            <w:tcW w:w="5540" w:type="dxa"/>
            <w:vAlign w:val="bottom"/>
            <w:tcBorders>
              <w:left w:val="single" w:sz="8" w:color="auto"/>
              <w:right w:val="single" w:sz="8" w:color="auto"/>
            </w:tcBorders>
            <w:gridSpan w:val="2"/>
          </w:tcPr>
          <w:p>
            <w:pPr>
              <w:ind w:left="40"/>
              <w:spacing w:after="0" w:line="141" w:lineRule="exact"/>
              <w:rPr>
                <w:sz w:val="20"/>
                <w:szCs w:val="20"/>
                <w:color w:val="auto"/>
              </w:rPr>
            </w:pPr>
            <w:r>
              <w:rPr>
                <w:rFonts w:ascii="Arial" w:cs="Arial" w:eastAsia="Arial" w:hAnsi="Arial"/>
                <w:sz w:val="13"/>
                <w:szCs w:val="13"/>
                <w:color w:val="auto"/>
              </w:rPr>
              <w:t>The General Meeting shall pass its resolutions and carry out its elections with the simple</w:t>
            </w:r>
          </w:p>
        </w:tc>
        <w:tc>
          <w:tcPr>
            <w:tcW w:w="240" w:type="dxa"/>
            <w:vAlign w:val="bottom"/>
            <w:tcBorders>
              <w:right w:val="single" w:sz="8" w:color="auto"/>
            </w:tcBorders>
          </w:tcPr>
          <w:p>
            <w:pPr>
              <w:spacing w:after="0"/>
              <w:rPr>
                <w:sz w:val="12"/>
                <w:szCs w:val="12"/>
                <w:color w:val="auto"/>
              </w:rPr>
            </w:pPr>
          </w:p>
        </w:tc>
        <w:tc>
          <w:tcPr>
            <w:tcW w:w="5520" w:type="dxa"/>
            <w:vAlign w:val="bottom"/>
            <w:tcBorders>
              <w:right w:val="single" w:sz="8" w:color="auto"/>
            </w:tcBorders>
            <w:gridSpan w:val="2"/>
          </w:tcPr>
          <w:p>
            <w:pPr>
              <w:ind w:left="20"/>
              <w:spacing w:after="0" w:line="141" w:lineRule="exact"/>
              <w:rPr>
                <w:sz w:val="20"/>
                <w:szCs w:val="20"/>
                <w:color w:val="auto"/>
              </w:rPr>
            </w:pPr>
            <w:r>
              <w:rPr>
                <w:rFonts w:ascii="Arial" w:cs="Arial" w:eastAsia="Arial" w:hAnsi="Arial"/>
                <w:sz w:val="13"/>
                <w:szCs w:val="13"/>
                <w:color w:val="auto"/>
              </w:rPr>
              <w:t>Sous réserve des dispositions impératives de la loi ou des statuts, l'assemblée générale prend</w:t>
            </w:r>
          </w:p>
        </w:tc>
        <w:tc>
          <w:tcPr>
            <w:tcW w:w="0" w:type="dxa"/>
            <w:vAlign w:val="bottom"/>
          </w:tcPr>
          <w:p>
            <w:pPr>
              <w:spacing w:after="0"/>
              <w:rPr>
                <w:sz w:val="1"/>
                <w:szCs w:val="1"/>
                <w:color w:val="auto"/>
              </w:rPr>
            </w:pPr>
          </w:p>
        </w:tc>
      </w:tr>
      <w:tr>
        <w:trPr>
          <w:trHeight w:val="145"/>
        </w:trPr>
        <w:tc>
          <w:tcPr>
            <w:tcW w:w="5540" w:type="dxa"/>
            <w:vAlign w:val="bottom"/>
            <w:tcBorders>
              <w:left w:val="single" w:sz="8" w:color="auto"/>
              <w:right w:val="single" w:sz="8" w:color="auto"/>
            </w:tcBorders>
            <w:gridSpan w:val="2"/>
          </w:tcPr>
          <w:p>
            <w:pPr>
              <w:ind w:left="40"/>
              <w:spacing w:after="0" w:line="145" w:lineRule="exact"/>
              <w:rPr>
                <w:sz w:val="20"/>
                <w:szCs w:val="20"/>
                <w:color w:val="auto"/>
              </w:rPr>
            </w:pPr>
            <w:r>
              <w:rPr>
                <w:rFonts w:ascii="Arial" w:cs="Arial" w:eastAsia="Arial" w:hAnsi="Arial"/>
                <w:sz w:val="13"/>
                <w:szCs w:val="13"/>
                <w:color w:val="auto"/>
              </w:rPr>
              <w:t>majority of the votes cast regardless of abstentions and empty or invalid votes, unless statutory</w:t>
            </w:r>
          </w:p>
        </w:tc>
        <w:tc>
          <w:tcPr>
            <w:tcW w:w="240" w:type="dxa"/>
            <w:vAlign w:val="bottom"/>
            <w:tcBorders>
              <w:right w:val="single" w:sz="8" w:color="auto"/>
            </w:tcBorders>
          </w:tcPr>
          <w:p>
            <w:pPr>
              <w:spacing w:after="0"/>
              <w:rPr>
                <w:sz w:val="12"/>
                <w:szCs w:val="12"/>
                <w:color w:val="auto"/>
              </w:rPr>
            </w:pPr>
          </w:p>
        </w:tc>
        <w:tc>
          <w:tcPr>
            <w:tcW w:w="5520" w:type="dxa"/>
            <w:vAlign w:val="bottom"/>
            <w:tcBorders>
              <w:right w:val="single" w:sz="8" w:color="auto"/>
            </w:tcBorders>
            <w:gridSpan w:val="2"/>
          </w:tcPr>
          <w:p>
            <w:pPr>
              <w:ind w:left="20"/>
              <w:spacing w:after="0" w:line="145" w:lineRule="exact"/>
              <w:rPr>
                <w:sz w:val="20"/>
                <w:szCs w:val="20"/>
                <w:color w:val="auto"/>
              </w:rPr>
            </w:pPr>
            <w:r>
              <w:rPr>
                <w:rFonts w:ascii="Arial" w:cs="Arial" w:eastAsia="Arial" w:hAnsi="Arial"/>
                <w:sz w:val="13"/>
                <w:szCs w:val="13"/>
                <w:color w:val="auto"/>
                <w:w w:val="99"/>
              </w:rPr>
              <w:t>ses décisions et procède aux élections à la majorité simple des voix émises. En cas de partage</w:t>
            </w:r>
          </w:p>
        </w:tc>
        <w:tc>
          <w:tcPr>
            <w:tcW w:w="0" w:type="dxa"/>
            <w:vAlign w:val="bottom"/>
          </w:tcPr>
          <w:p>
            <w:pPr>
              <w:spacing w:after="0"/>
              <w:rPr>
                <w:sz w:val="1"/>
                <w:szCs w:val="1"/>
                <w:color w:val="auto"/>
              </w:rPr>
            </w:pPr>
          </w:p>
        </w:tc>
      </w:tr>
      <w:tr>
        <w:trPr>
          <w:trHeight w:val="145"/>
        </w:trPr>
        <w:tc>
          <w:tcPr>
            <w:tcW w:w="5540" w:type="dxa"/>
            <w:vAlign w:val="bottom"/>
            <w:tcBorders>
              <w:left w:val="single" w:sz="8" w:color="auto"/>
              <w:right w:val="single" w:sz="8" w:color="auto"/>
            </w:tcBorders>
            <w:gridSpan w:val="2"/>
          </w:tcPr>
          <w:p>
            <w:pPr>
              <w:ind w:left="40"/>
              <w:spacing w:after="0" w:line="145" w:lineRule="exact"/>
              <w:rPr>
                <w:sz w:val="20"/>
                <w:szCs w:val="20"/>
                <w:color w:val="auto"/>
              </w:rPr>
            </w:pPr>
            <w:r>
              <w:rPr>
                <w:rFonts w:ascii="Arial" w:cs="Arial" w:eastAsia="Arial" w:hAnsi="Arial"/>
                <w:sz w:val="13"/>
                <w:szCs w:val="13"/>
                <w:color w:val="auto"/>
              </w:rPr>
              <w:t>law or articles of association state otherwise. In the event of tie votes, the request shall be</w:t>
            </w:r>
          </w:p>
        </w:tc>
        <w:tc>
          <w:tcPr>
            <w:tcW w:w="240" w:type="dxa"/>
            <w:vAlign w:val="bottom"/>
            <w:tcBorders>
              <w:right w:val="single" w:sz="8" w:color="auto"/>
            </w:tcBorders>
          </w:tcPr>
          <w:p>
            <w:pPr>
              <w:spacing w:after="0"/>
              <w:rPr>
                <w:sz w:val="12"/>
                <w:szCs w:val="12"/>
                <w:color w:val="auto"/>
              </w:rPr>
            </w:pPr>
          </w:p>
        </w:tc>
        <w:tc>
          <w:tcPr>
            <w:tcW w:w="5520" w:type="dxa"/>
            <w:vAlign w:val="bottom"/>
            <w:tcBorders>
              <w:right w:val="single" w:sz="8" w:color="auto"/>
            </w:tcBorders>
            <w:gridSpan w:val="2"/>
          </w:tcPr>
          <w:p>
            <w:pPr>
              <w:ind w:left="20"/>
              <w:spacing w:after="0" w:line="145" w:lineRule="exact"/>
              <w:rPr>
                <w:sz w:val="20"/>
                <w:szCs w:val="20"/>
                <w:color w:val="auto"/>
              </w:rPr>
            </w:pPr>
            <w:r>
              <w:rPr>
                <w:rFonts w:ascii="Arial" w:cs="Arial" w:eastAsia="Arial" w:hAnsi="Arial"/>
                <w:sz w:val="13"/>
                <w:szCs w:val="13"/>
                <w:color w:val="auto"/>
              </w:rPr>
              <w:t>égal des voix, la requête sera refusée. Le président n'a pas voix prépondérante.</w:t>
            </w:r>
          </w:p>
        </w:tc>
        <w:tc>
          <w:tcPr>
            <w:tcW w:w="0" w:type="dxa"/>
            <w:vAlign w:val="bottom"/>
          </w:tcPr>
          <w:p>
            <w:pPr>
              <w:spacing w:after="0"/>
              <w:rPr>
                <w:sz w:val="1"/>
                <w:szCs w:val="1"/>
                <w:color w:val="auto"/>
              </w:rPr>
            </w:pPr>
          </w:p>
        </w:tc>
      </w:tr>
      <w:tr>
        <w:trPr>
          <w:trHeight w:val="173"/>
        </w:trPr>
        <w:tc>
          <w:tcPr>
            <w:tcW w:w="5540" w:type="dxa"/>
            <w:vAlign w:val="bottom"/>
            <w:tcBorders>
              <w:left w:val="single" w:sz="8" w:color="auto"/>
              <w:bottom w:val="single" w:sz="8" w:color="auto"/>
              <w:right w:val="single" w:sz="8" w:color="auto"/>
            </w:tcBorders>
            <w:gridSpan w:val="2"/>
          </w:tcPr>
          <w:p>
            <w:pPr>
              <w:ind w:left="40"/>
              <w:spacing w:after="0"/>
              <w:rPr>
                <w:sz w:val="20"/>
                <w:szCs w:val="20"/>
                <w:color w:val="auto"/>
              </w:rPr>
            </w:pPr>
            <w:r>
              <w:rPr>
                <w:rFonts w:ascii="Arial" w:cs="Arial" w:eastAsia="Arial" w:hAnsi="Arial"/>
                <w:sz w:val="13"/>
                <w:szCs w:val="13"/>
                <w:color w:val="auto"/>
              </w:rPr>
              <w:t>refused. The Chairman shall not have a casting vote.</w:t>
            </w:r>
          </w:p>
        </w:tc>
        <w:tc>
          <w:tcPr>
            <w:tcW w:w="240" w:type="dxa"/>
            <w:vAlign w:val="bottom"/>
            <w:tcBorders>
              <w:bottom w:val="single" w:sz="8" w:color="auto"/>
              <w:right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5340" w:type="dxa"/>
            <w:vAlign w:val="bottom"/>
            <w:tcBorders>
              <w:bottom w:val="single" w:sz="8" w:color="auto"/>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45"/>
        </w:trPr>
        <w:tc>
          <w:tcPr>
            <w:tcW w:w="5540" w:type="dxa"/>
            <w:vAlign w:val="bottom"/>
            <w:tcBorders>
              <w:left w:val="single" w:sz="8" w:color="auto"/>
              <w:right w:val="single" w:sz="8" w:color="auto"/>
            </w:tcBorders>
            <w:gridSpan w:val="2"/>
          </w:tcPr>
          <w:p>
            <w:pPr>
              <w:ind w:left="40"/>
              <w:spacing w:after="0" w:line="146" w:lineRule="exact"/>
              <w:rPr>
                <w:sz w:val="20"/>
                <w:szCs w:val="20"/>
                <w:color w:val="auto"/>
              </w:rPr>
            </w:pPr>
            <w:r>
              <w:rPr>
                <w:rFonts w:ascii="Arial" w:cs="Arial" w:eastAsia="Arial" w:hAnsi="Arial"/>
                <w:sz w:val="13"/>
                <w:szCs w:val="13"/>
                <w:color w:val="auto"/>
                <w:w w:val="98"/>
              </w:rPr>
              <w:t>A resolution of the General Meeting passed by at least two thirds of the represented share votes</w:t>
            </w:r>
          </w:p>
        </w:tc>
        <w:tc>
          <w:tcPr>
            <w:tcW w:w="240" w:type="dxa"/>
            <w:vAlign w:val="bottom"/>
            <w:tcBorders>
              <w:right w:val="single" w:sz="8" w:color="auto"/>
            </w:tcBorders>
          </w:tcPr>
          <w:p>
            <w:pPr>
              <w:spacing w:after="0"/>
              <w:rPr>
                <w:sz w:val="12"/>
                <w:szCs w:val="12"/>
                <w:color w:val="auto"/>
              </w:rPr>
            </w:pPr>
          </w:p>
        </w:tc>
        <w:tc>
          <w:tcPr>
            <w:tcW w:w="5520" w:type="dxa"/>
            <w:vAlign w:val="bottom"/>
            <w:tcBorders>
              <w:right w:val="single" w:sz="8" w:color="auto"/>
            </w:tcBorders>
            <w:gridSpan w:val="2"/>
          </w:tcPr>
          <w:p>
            <w:pPr>
              <w:ind w:left="20"/>
              <w:spacing w:after="0" w:line="146" w:lineRule="exact"/>
              <w:rPr>
                <w:sz w:val="20"/>
                <w:szCs w:val="20"/>
                <w:color w:val="auto"/>
              </w:rPr>
            </w:pPr>
            <w:r>
              <w:rPr>
                <w:rFonts w:ascii="Arial" w:cs="Arial" w:eastAsia="Arial" w:hAnsi="Arial"/>
                <w:sz w:val="13"/>
                <w:szCs w:val="13"/>
                <w:color w:val="auto"/>
              </w:rPr>
              <w:t>Une décision de l'assemblée générale recueillant au moins les deux tiers des voix attribuées</w:t>
            </w:r>
          </w:p>
        </w:tc>
        <w:tc>
          <w:tcPr>
            <w:tcW w:w="0" w:type="dxa"/>
            <w:vAlign w:val="bottom"/>
          </w:tcPr>
          <w:p>
            <w:pPr>
              <w:spacing w:after="0"/>
              <w:rPr>
                <w:sz w:val="1"/>
                <w:szCs w:val="1"/>
                <w:color w:val="auto"/>
              </w:rPr>
            </w:pPr>
          </w:p>
        </w:tc>
      </w:tr>
      <w:tr>
        <w:trPr>
          <w:trHeight w:val="145"/>
        </w:trPr>
        <w:tc>
          <w:tcPr>
            <w:tcW w:w="5540" w:type="dxa"/>
            <w:vAlign w:val="bottom"/>
            <w:tcBorders>
              <w:left w:val="single" w:sz="8" w:color="auto"/>
              <w:right w:val="single" w:sz="8" w:color="auto"/>
            </w:tcBorders>
            <w:gridSpan w:val="2"/>
          </w:tcPr>
          <w:p>
            <w:pPr>
              <w:ind w:left="40"/>
              <w:spacing w:after="0" w:line="145" w:lineRule="exact"/>
              <w:rPr>
                <w:sz w:val="20"/>
                <w:szCs w:val="20"/>
                <w:color w:val="auto"/>
              </w:rPr>
            </w:pPr>
            <w:r>
              <w:rPr>
                <w:rFonts w:ascii="Arial" w:cs="Arial" w:eastAsia="Arial" w:hAnsi="Arial"/>
                <w:sz w:val="13"/>
                <w:szCs w:val="13"/>
                <w:color w:val="auto"/>
              </w:rPr>
              <w:t>and the absolute majority of the represented shares par value is required for:</w:t>
            </w:r>
          </w:p>
        </w:tc>
        <w:tc>
          <w:tcPr>
            <w:tcW w:w="240" w:type="dxa"/>
            <w:vAlign w:val="bottom"/>
            <w:tcBorders>
              <w:right w:val="single" w:sz="8" w:color="auto"/>
            </w:tcBorders>
          </w:tcPr>
          <w:p>
            <w:pPr>
              <w:spacing w:after="0"/>
              <w:rPr>
                <w:sz w:val="12"/>
                <w:szCs w:val="12"/>
                <w:color w:val="auto"/>
              </w:rPr>
            </w:pPr>
          </w:p>
        </w:tc>
        <w:tc>
          <w:tcPr>
            <w:tcW w:w="5520" w:type="dxa"/>
            <w:vAlign w:val="bottom"/>
            <w:tcBorders>
              <w:right w:val="single" w:sz="8" w:color="auto"/>
            </w:tcBorders>
            <w:gridSpan w:val="2"/>
          </w:tcPr>
          <w:p>
            <w:pPr>
              <w:ind w:left="20"/>
              <w:spacing w:after="0" w:line="145" w:lineRule="exact"/>
              <w:rPr>
                <w:sz w:val="20"/>
                <w:szCs w:val="20"/>
                <w:color w:val="auto"/>
              </w:rPr>
            </w:pPr>
            <w:r>
              <w:rPr>
                <w:rFonts w:ascii="Arial" w:cs="Arial" w:eastAsia="Arial" w:hAnsi="Arial"/>
                <w:sz w:val="13"/>
                <w:szCs w:val="13"/>
                <w:color w:val="auto"/>
              </w:rPr>
              <w:t>aux actions représentées et la majorité absolue des valeurs nominales représentées est</w:t>
            </w:r>
          </w:p>
        </w:tc>
        <w:tc>
          <w:tcPr>
            <w:tcW w:w="0" w:type="dxa"/>
            <w:vAlign w:val="bottom"/>
          </w:tcPr>
          <w:p>
            <w:pPr>
              <w:spacing w:after="0"/>
              <w:rPr>
                <w:sz w:val="1"/>
                <w:szCs w:val="1"/>
                <w:color w:val="auto"/>
              </w:rPr>
            </w:pPr>
          </w:p>
        </w:tc>
      </w:tr>
      <w:tr>
        <w:trPr>
          <w:trHeight w:val="168"/>
        </w:trPr>
        <w:tc>
          <w:tcPr>
            <w:tcW w:w="5540" w:type="dxa"/>
            <w:vAlign w:val="bottom"/>
            <w:tcBorders>
              <w:left w:val="single" w:sz="8" w:color="auto"/>
              <w:right w:val="single" w:sz="8" w:color="auto"/>
            </w:tcBorders>
            <w:gridSpan w:val="2"/>
            <w:vMerge w:val="restart"/>
          </w:tcPr>
          <w:p>
            <w:pPr>
              <w:ind w:left="40"/>
              <w:spacing w:after="0"/>
              <w:rPr>
                <w:sz w:val="20"/>
                <w:szCs w:val="20"/>
                <w:color w:val="auto"/>
              </w:rPr>
            </w:pPr>
            <w:r>
              <w:rPr>
                <w:rFonts w:ascii="Arial" w:cs="Arial" w:eastAsia="Arial" w:hAnsi="Arial"/>
                <w:sz w:val="13"/>
                <w:szCs w:val="13"/>
                <w:color w:val="auto"/>
              </w:rPr>
              <w:t>a)  The cases listed in art. 704 para. 1 CO, i.e.:</w:t>
            </w:r>
          </w:p>
        </w:tc>
        <w:tc>
          <w:tcPr>
            <w:tcW w:w="240" w:type="dxa"/>
            <w:vAlign w:val="bottom"/>
            <w:tcBorders>
              <w:right w:val="single" w:sz="8" w:color="auto"/>
            </w:tcBorders>
          </w:tcPr>
          <w:p>
            <w:pPr>
              <w:spacing w:after="0"/>
              <w:rPr>
                <w:sz w:val="14"/>
                <w:szCs w:val="14"/>
                <w:color w:val="auto"/>
              </w:rPr>
            </w:pPr>
          </w:p>
        </w:tc>
        <w:tc>
          <w:tcPr>
            <w:tcW w:w="5520" w:type="dxa"/>
            <w:vAlign w:val="bottom"/>
            <w:tcBorders>
              <w:right w:val="single" w:sz="8" w:color="auto"/>
            </w:tcBorders>
            <w:gridSpan w:val="2"/>
          </w:tcPr>
          <w:p>
            <w:pPr>
              <w:ind w:left="20"/>
              <w:spacing w:after="0"/>
              <w:rPr>
                <w:sz w:val="20"/>
                <w:szCs w:val="20"/>
                <w:color w:val="auto"/>
              </w:rPr>
            </w:pPr>
            <w:r>
              <w:rPr>
                <w:rFonts w:ascii="Arial" w:cs="Arial" w:eastAsia="Arial" w:hAnsi="Arial"/>
                <w:sz w:val="13"/>
                <w:szCs w:val="13"/>
                <w:color w:val="auto"/>
              </w:rPr>
              <w:t>nécessaire pour:</w:t>
            </w:r>
          </w:p>
        </w:tc>
        <w:tc>
          <w:tcPr>
            <w:tcW w:w="0" w:type="dxa"/>
            <w:vAlign w:val="bottom"/>
          </w:tcPr>
          <w:p>
            <w:pPr>
              <w:spacing w:after="0"/>
              <w:rPr>
                <w:sz w:val="1"/>
                <w:szCs w:val="1"/>
                <w:color w:val="auto"/>
              </w:rPr>
            </w:pPr>
          </w:p>
        </w:tc>
      </w:tr>
      <w:tr>
        <w:trPr>
          <w:trHeight w:val="145"/>
        </w:trPr>
        <w:tc>
          <w:tcPr>
            <w:tcW w:w="5540" w:type="dxa"/>
            <w:vAlign w:val="bottom"/>
            <w:tcBorders>
              <w:left w:val="single" w:sz="8" w:color="auto"/>
              <w:right w:val="single" w:sz="8" w:color="auto"/>
            </w:tcBorders>
            <w:gridSpan w:val="2"/>
            <w:vMerge w:val="continue"/>
          </w:tcPr>
          <w:p>
            <w:pPr>
              <w:spacing w:after="0"/>
              <w:rPr>
                <w:sz w:val="12"/>
                <w:szCs w:val="12"/>
                <w:color w:val="auto"/>
              </w:rPr>
            </w:pPr>
          </w:p>
        </w:tc>
        <w:tc>
          <w:tcPr>
            <w:tcW w:w="240" w:type="dxa"/>
            <w:vAlign w:val="bottom"/>
            <w:tcBorders>
              <w:right w:val="single" w:sz="8" w:color="auto"/>
            </w:tcBorders>
          </w:tcPr>
          <w:p>
            <w:pPr>
              <w:spacing w:after="0"/>
              <w:rPr>
                <w:sz w:val="12"/>
                <w:szCs w:val="12"/>
                <w:color w:val="auto"/>
              </w:rPr>
            </w:pPr>
          </w:p>
        </w:tc>
        <w:tc>
          <w:tcPr>
            <w:tcW w:w="5520" w:type="dxa"/>
            <w:vAlign w:val="bottom"/>
            <w:tcBorders>
              <w:right w:val="single" w:sz="8" w:color="auto"/>
            </w:tcBorders>
            <w:gridSpan w:val="2"/>
            <w:vMerge w:val="restart"/>
          </w:tcPr>
          <w:p>
            <w:pPr>
              <w:ind w:left="20"/>
              <w:spacing w:after="0"/>
              <w:rPr>
                <w:sz w:val="20"/>
                <w:szCs w:val="20"/>
                <w:color w:val="auto"/>
              </w:rPr>
            </w:pPr>
            <w:r>
              <w:rPr>
                <w:rFonts w:ascii="Arial" w:cs="Arial" w:eastAsia="Arial" w:hAnsi="Arial"/>
                <w:sz w:val="13"/>
                <w:szCs w:val="13"/>
                <w:color w:val="auto"/>
              </w:rPr>
              <w:t>a)  les cas énumérés dans l'art. 704 al. 1 CO, i.e.:</w:t>
            </w:r>
          </w:p>
        </w:tc>
        <w:tc>
          <w:tcPr>
            <w:tcW w:w="0" w:type="dxa"/>
            <w:vAlign w:val="bottom"/>
          </w:tcPr>
          <w:p>
            <w:pPr>
              <w:spacing w:after="0"/>
              <w:rPr>
                <w:sz w:val="1"/>
                <w:szCs w:val="1"/>
                <w:color w:val="auto"/>
              </w:rPr>
            </w:pPr>
          </w:p>
        </w:tc>
      </w:tr>
      <w:tr>
        <w:trPr>
          <w:trHeight w:val="145"/>
        </w:trPr>
        <w:tc>
          <w:tcPr>
            <w:tcW w:w="220" w:type="dxa"/>
            <w:vAlign w:val="bottom"/>
            <w:tcBorders>
              <w:left w:val="single" w:sz="8" w:color="auto"/>
            </w:tcBorders>
          </w:tcPr>
          <w:p>
            <w:pPr>
              <w:spacing w:after="0"/>
              <w:rPr>
                <w:sz w:val="12"/>
                <w:szCs w:val="12"/>
                <w:color w:val="auto"/>
              </w:rPr>
            </w:pPr>
          </w:p>
        </w:tc>
        <w:tc>
          <w:tcPr>
            <w:tcW w:w="5320" w:type="dxa"/>
            <w:vAlign w:val="bottom"/>
            <w:tcBorders>
              <w:right w:val="single" w:sz="8" w:color="auto"/>
            </w:tcBorders>
            <w:vMerge w:val="restart"/>
          </w:tcPr>
          <w:p>
            <w:pPr>
              <w:ind w:left="360"/>
              <w:spacing w:after="0"/>
              <w:rPr>
                <w:sz w:val="20"/>
                <w:szCs w:val="20"/>
                <w:color w:val="auto"/>
              </w:rPr>
            </w:pPr>
            <w:r>
              <w:rPr>
                <w:rFonts w:ascii="Arial" w:cs="Arial" w:eastAsia="Arial" w:hAnsi="Arial"/>
                <w:sz w:val="13"/>
                <w:szCs w:val="13"/>
                <w:color w:val="auto"/>
              </w:rPr>
              <w:t>(i)  the change of the company purpose;</w:t>
            </w:r>
          </w:p>
        </w:tc>
        <w:tc>
          <w:tcPr>
            <w:tcW w:w="240" w:type="dxa"/>
            <w:vAlign w:val="bottom"/>
            <w:tcBorders>
              <w:right w:val="single" w:sz="8" w:color="auto"/>
            </w:tcBorders>
          </w:tcPr>
          <w:p>
            <w:pPr>
              <w:spacing w:after="0"/>
              <w:rPr>
                <w:sz w:val="12"/>
                <w:szCs w:val="12"/>
                <w:color w:val="auto"/>
              </w:rPr>
            </w:pPr>
          </w:p>
        </w:tc>
        <w:tc>
          <w:tcPr>
            <w:tcW w:w="5520" w:type="dxa"/>
            <w:vAlign w:val="bottom"/>
            <w:tcBorders>
              <w:right w:val="single" w:sz="8" w:color="auto"/>
            </w:tcBorders>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220" w:type="dxa"/>
            <w:vAlign w:val="bottom"/>
            <w:tcBorders>
              <w:left w:val="single" w:sz="8" w:color="auto"/>
            </w:tcBorders>
          </w:tcPr>
          <w:p>
            <w:pPr>
              <w:spacing w:after="0"/>
              <w:rPr>
                <w:sz w:val="12"/>
                <w:szCs w:val="12"/>
                <w:color w:val="auto"/>
              </w:rPr>
            </w:pPr>
          </w:p>
        </w:tc>
        <w:tc>
          <w:tcPr>
            <w:tcW w:w="5320" w:type="dxa"/>
            <w:vAlign w:val="bottom"/>
            <w:tcBorders>
              <w:right w:val="single" w:sz="8" w:color="auto"/>
            </w:tcBorders>
            <w:vMerge w:val="continue"/>
          </w:tcPr>
          <w:p>
            <w:pPr>
              <w:spacing w:after="0"/>
              <w:rPr>
                <w:sz w:val="12"/>
                <w:szCs w:val="12"/>
                <w:color w:val="auto"/>
              </w:rPr>
            </w:pPr>
          </w:p>
        </w:tc>
        <w:tc>
          <w:tcPr>
            <w:tcW w:w="240" w:type="dxa"/>
            <w:vAlign w:val="bottom"/>
            <w:tcBorders>
              <w:right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5340" w:type="dxa"/>
            <w:vAlign w:val="bottom"/>
            <w:tcBorders>
              <w:right w:val="single" w:sz="8" w:color="auto"/>
            </w:tcBorders>
            <w:vMerge w:val="restart"/>
          </w:tcPr>
          <w:p>
            <w:pPr>
              <w:ind w:left="160"/>
              <w:spacing w:after="0"/>
              <w:rPr>
                <w:sz w:val="20"/>
                <w:szCs w:val="20"/>
                <w:color w:val="auto"/>
              </w:rPr>
            </w:pPr>
            <w:r>
              <w:rPr>
                <w:rFonts w:ascii="Arial" w:cs="Arial" w:eastAsia="Arial" w:hAnsi="Arial"/>
                <w:sz w:val="13"/>
                <w:szCs w:val="13"/>
                <w:color w:val="auto"/>
              </w:rPr>
              <w:t>(i)  la modification du but social;</w:t>
            </w:r>
          </w:p>
        </w:tc>
        <w:tc>
          <w:tcPr>
            <w:tcW w:w="0" w:type="dxa"/>
            <w:vAlign w:val="bottom"/>
          </w:tcPr>
          <w:p>
            <w:pPr>
              <w:spacing w:after="0"/>
              <w:rPr>
                <w:sz w:val="1"/>
                <w:szCs w:val="1"/>
                <w:color w:val="auto"/>
              </w:rPr>
            </w:pPr>
          </w:p>
        </w:tc>
      </w:tr>
      <w:tr>
        <w:trPr>
          <w:trHeight w:val="145"/>
        </w:trPr>
        <w:tc>
          <w:tcPr>
            <w:tcW w:w="220" w:type="dxa"/>
            <w:vAlign w:val="bottom"/>
            <w:tcBorders>
              <w:left w:val="single" w:sz="8" w:color="auto"/>
            </w:tcBorders>
          </w:tcPr>
          <w:p>
            <w:pPr>
              <w:spacing w:after="0"/>
              <w:rPr>
                <w:sz w:val="12"/>
                <w:szCs w:val="12"/>
                <w:color w:val="auto"/>
              </w:rPr>
            </w:pPr>
          </w:p>
        </w:tc>
        <w:tc>
          <w:tcPr>
            <w:tcW w:w="5320" w:type="dxa"/>
            <w:vAlign w:val="bottom"/>
            <w:tcBorders>
              <w:right w:val="single" w:sz="8" w:color="auto"/>
            </w:tcBorders>
            <w:vMerge w:val="restart"/>
          </w:tcPr>
          <w:p>
            <w:pPr>
              <w:ind w:left="360"/>
              <w:spacing w:after="0"/>
              <w:rPr>
                <w:sz w:val="20"/>
                <w:szCs w:val="20"/>
                <w:color w:val="auto"/>
              </w:rPr>
            </w:pPr>
            <w:r>
              <w:rPr>
                <w:rFonts w:ascii="Arial" w:cs="Arial" w:eastAsia="Arial" w:hAnsi="Arial"/>
                <w:sz w:val="13"/>
                <w:szCs w:val="13"/>
                <w:color w:val="auto"/>
              </w:rPr>
              <w:t>(ii)  the creation of shares with privileged voting rights;</w:t>
            </w:r>
          </w:p>
        </w:tc>
        <w:tc>
          <w:tcPr>
            <w:tcW w:w="240" w:type="dxa"/>
            <w:vAlign w:val="bottom"/>
            <w:tcBorders>
              <w:right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5340" w:type="dxa"/>
            <w:vAlign w:val="bottom"/>
            <w:tcBorders>
              <w:right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220" w:type="dxa"/>
            <w:vAlign w:val="bottom"/>
            <w:tcBorders>
              <w:left w:val="single" w:sz="8" w:color="auto"/>
            </w:tcBorders>
          </w:tcPr>
          <w:p>
            <w:pPr>
              <w:spacing w:after="0"/>
              <w:rPr>
                <w:sz w:val="12"/>
                <w:szCs w:val="12"/>
                <w:color w:val="auto"/>
              </w:rPr>
            </w:pPr>
          </w:p>
        </w:tc>
        <w:tc>
          <w:tcPr>
            <w:tcW w:w="5320" w:type="dxa"/>
            <w:vAlign w:val="bottom"/>
            <w:tcBorders>
              <w:right w:val="single" w:sz="8" w:color="auto"/>
            </w:tcBorders>
            <w:vMerge w:val="continue"/>
          </w:tcPr>
          <w:p>
            <w:pPr>
              <w:spacing w:after="0"/>
              <w:rPr>
                <w:sz w:val="12"/>
                <w:szCs w:val="12"/>
                <w:color w:val="auto"/>
              </w:rPr>
            </w:pPr>
          </w:p>
        </w:tc>
        <w:tc>
          <w:tcPr>
            <w:tcW w:w="240" w:type="dxa"/>
            <w:vAlign w:val="bottom"/>
            <w:tcBorders>
              <w:right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5340" w:type="dxa"/>
            <w:vAlign w:val="bottom"/>
            <w:tcBorders>
              <w:right w:val="single" w:sz="8" w:color="auto"/>
            </w:tcBorders>
            <w:vMerge w:val="restart"/>
          </w:tcPr>
          <w:p>
            <w:pPr>
              <w:ind w:left="160"/>
              <w:spacing w:after="0"/>
              <w:rPr>
                <w:sz w:val="20"/>
                <w:szCs w:val="20"/>
                <w:color w:val="auto"/>
              </w:rPr>
            </w:pPr>
            <w:r>
              <w:rPr>
                <w:rFonts w:ascii="Arial" w:cs="Arial" w:eastAsia="Arial" w:hAnsi="Arial"/>
                <w:sz w:val="13"/>
                <w:szCs w:val="13"/>
                <w:color w:val="auto"/>
              </w:rPr>
              <w:t>(ii)  l'introduction d'actions à droit de vote privilégié;</w:t>
            </w:r>
          </w:p>
        </w:tc>
        <w:tc>
          <w:tcPr>
            <w:tcW w:w="0" w:type="dxa"/>
            <w:vAlign w:val="bottom"/>
          </w:tcPr>
          <w:p>
            <w:pPr>
              <w:spacing w:after="0"/>
              <w:rPr>
                <w:sz w:val="1"/>
                <w:szCs w:val="1"/>
                <w:color w:val="auto"/>
              </w:rPr>
            </w:pPr>
          </w:p>
        </w:tc>
      </w:tr>
      <w:tr>
        <w:trPr>
          <w:trHeight w:val="145"/>
        </w:trPr>
        <w:tc>
          <w:tcPr>
            <w:tcW w:w="220" w:type="dxa"/>
            <w:vAlign w:val="bottom"/>
            <w:tcBorders>
              <w:left w:val="single" w:sz="8" w:color="auto"/>
            </w:tcBorders>
          </w:tcPr>
          <w:p>
            <w:pPr>
              <w:spacing w:after="0"/>
              <w:rPr>
                <w:sz w:val="12"/>
                <w:szCs w:val="12"/>
                <w:color w:val="auto"/>
              </w:rPr>
            </w:pPr>
          </w:p>
        </w:tc>
        <w:tc>
          <w:tcPr>
            <w:tcW w:w="5320" w:type="dxa"/>
            <w:vAlign w:val="bottom"/>
            <w:tcBorders>
              <w:right w:val="single" w:sz="8" w:color="auto"/>
            </w:tcBorders>
            <w:vMerge w:val="restart"/>
          </w:tcPr>
          <w:p>
            <w:pPr>
              <w:ind w:left="360"/>
              <w:spacing w:after="0"/>
              <w:rPr>
                <w:sz w:val="20"/>
                <w:szCs w:val="20"/>
                <w:color w:val="auto"/>
              </w:rPr>
            </w:pPr>
            <w:r>
              <w:rPr>
                <w:rFonts w:ascii="Arial" w:cs="Arial" w:eastAsia="Arial" w:hAnsi="Arial"/>
                <w:sz w:val="13"/>
                <w:szCs w:val="13"/>
                <w:color w:val="auto"/>
              </w:rPr>
              <w:t>(iii)  the restriction of the transferability of registered shares;</w:t>
            </w:r>
          </w:p>
        </w:tc>
        <w:tc>
          <w:tcPr>
            <w:tcW w:w="240" w:type="dxa"/>
            <w:vAlign w:val="bottom"/>
            <w:tcBorders>
              <w:right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5340" w:type="dxa"/>
            <w:vAlign w:val="bottom"/>
            <w:tcBorders>
              <w:right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220" w:type="dxa"/>
            <w:vAlign w:val="bottom"/>
            <w:tcBorders>
              <w:left w:val="single" w:sz="8" w:color="auto"/>
            </w:tcBorders>
          </w:tcPr>
          <w:p>
            <w:pPr>
              <w:spacing w:after="0"/>
              <w:rPr>
                <w:sz w:val="12"/>
                <w:szCs w:val="12"/>
                <w:color w:val="auto"/>
              </w:rPr>
            </w:pPr>
          </w:p>
        </w:tc>
        <w:tc>
          <w:tcPr>
            <w:tcW w:w="5320" w:type="dxa"/>
            <w:vAlign w:val="bottom"/>
            <w:tcBorders>
              <w:right w:val="single" w:sz="8" w:color="auto"/>
            </w:tcBorders>
            <w:vMerge w:val="continue"/>
          </w:tcPr>
          <w:p>
            <w:pPr>
              <w:spacing w:after="0"/>
              <w:rPr>
                <w:sz w:val="12"/>
                <w:szCs w:val="12"/>
                <w:color w:val="auto"/>
              </w:rPr>
            </w:pPr>
          </w:p>
        </w:tc>
        <w:tc>
          <w:tcPr>
            <w:tcW w:w="240" w:type="dxa"/>
            <w:vAlign w:val="bottom"/>
            <w:tcBorders>
              <w:right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5340" w:type="dxa"/>
            <w:vAlign w:val="bottom"/>
            <w:tcBorders>
              <w:right w:val="single" w:sz="8" w:color="auto"/>
            </w:tcBorders>
            <w:vMerge w:val="restart"/>
          </w:tcPr>
          <w:p>
            <w:pPr>
              <w:ind w:left="440"/>
              <w:spacing w:after="0"/>
              <w:rPr>
                <w:sz w:val="20"/>
                <w:szCs w:val="20"/>
                <w:color w:val="auto"/>
              </w:rPr>
            </w:pPr>
            <w:r>
              <w:rPr>
                <w:rFonts w:ascii="Arial" w:cs="Arial" w:eastAsia="Arial" w:hAnsi="Arial"/>
                <w:sz w:val="13"/>
                <w:szCs w:val="13"/>
                <w:color w:val="auto"/>
              </w:rPr>
              <w:t>(iii)  la restriction de la transmissibilité des actions nominatives;</w:t>
            </w:r>
          </w:p>
        </w:tc>
        <w:tc>
          <w:tcPr>
            <w:tcW w:w="0" w:type="dxa"/>
            <w:vAlign w:val="bottom"/>
          </w:tcPr>
          <w:p>
            <w:pPr>
              <w:spacing w:after="0"/>
              <w:rPr>
                <w:sz w:val="1"/>
                <w:szCs w:val="1"/>
                <w:color w:val="auto"/>
              </w:rPr>
            </w:pPr>
          </w:p>
        </w:tc>
      </w:tr>
      <w:tr>
        <w:trPr>
          <w:trHeight w:val="145"/>
        </w:trPr>
        <w:tc>
          <w:tcPr>
            <w:tcW w:w="220" w:type="dxa"/>
            <w:vAlign w:val="bottom"/>
            <w:tcBorders>
              <w:left w:val="single" w:sz="8" w:color="auto"/>
            </w:tcBorders>
          </w:tcPr>
          <w:p>
            <w:pPr>
              <w:spacing w:after="0"/>
              <w:rPr>
                <w:sz w:val="12"/>
                <w:szCs w:val="12"/>
                <w:color w:val="auto"/>
              </w:rPr>
            </w:pPr>
          </w:p>
        </w:tc>
        <w:tc>
          <w:tcPr>
            <w:tcW w:w="5320" w:type="dxa"/>
            <w:vAlign w:val="bottom"/>
            <w:tcBorders>
              <w:right w:val="single" w:sz="8" w:color="auto"/>
            </w:tcBorders>
          </w:tcPr>
          <w:p>
            <w:pPr>
              <w:spacing w:after="0"/>
              <w:rPr>
                <w:sz w:val="12"/>
                <w:szCs w:val="12"/>
                <w:color w:val="auto"/>
              </w:rPr>
            </w:pPr>
          </w:p>
        </w:tc>
        <w:tc>
          <w:tcPr>
            <w:tcW w:w="240" w:type="dxa"/>
            <w:vAlign w:val="bottom"/>
            <w:tcBorders>
              <w:right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5340" w:type="dxa"/>
            <w:vAlign w:val="bottom"/>
            <w:tcBorders>
              <w:right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90"/>
        </w:trPr>
        <w:tc>
          <w:tcPr>
            <w:tcW w:w="220" w:type="dxa"/>
            <w:vAlign w:val="bottom"/>
            <w:tcBorders>
              <w:left w:val="single" w:sz="8" w:color="auto"/>
            </w:tcBorders>
          </w:tcPr>
          <w:p>
            <w:pPr>
              <w:spacing w:after="0"/>
              <w:rPr>
                <w:sz w:val="24"/>
                <w:szCs w:val="24"/>
                <w:color w:val="auto"/>
              </w:rPr>
            </w:pPr>
          </w:p>
        </w:tc>
        <w:tc>
          <w:tcPr>
            <w:tcW w:w="5320" w:type="dxa"/>
            <w:vAlign w:val="bottom"/>
            <w:tcBorders>
              <w:right w:val="single" w:sz="8" w:color="auto"/>
            </w:tcBorders>
          </w:tcPr>
          <w:p>
            <w:pPr>
              <w:spacing w:after="0"/>
              <w:rPr>
                <w:sz w:val="24"/>
                <w:szCs w:val="24"/>
                <w:color w:val="auto"/>
              </w:rPr>
            </w:pPr>
          </w:p>
        </w:tc>
        <w:tc>
          <w:tcPr>
            <w:tcW w:w="240" w:type="dxa"/>
            <w:vAlign w:val="bottom"/>
            <w:tcBorders>
              <w:right w:val="single" w:sz="8" w:color="auto"/>
            </w:tcBorders>
          </w:tcPr>
          <w:p>
            <w:pPr>
              <w:spacing w:after="0"/>
              <w:rPr>
                <w:sz w:val="24"/>
                <w:szCs w:val="24"/>
                <w:color w:val="auto"/>
              </w:rPr>
            </w:pPr>
          </w:p>
        </w:tc>
        <w:tc>
          <w:tcPr>
            <w:tcW w:w="180" w:type="dxa"/>
            <w:vAlign w:val="bottom"/>
          </w:tcPr>
          <w:p>
            <w:pPr>
              <w:spacing w:after="0"/>
              <w:rPr>
                <w:sz w:val="24"/>
                <w:szCs w:val="24"/>
                <w:color w:val="auto"/>
              </w:rPr>
            </w:pPr>
          </w:p>
        </w:tc>
        <w:tc>
          <w:tcPr>
            <w:tcW w:w="5340" w:type="dxa"/>
            <w:vAlign w:val="bottom"/>
            <w:tcBorders>
              <w:right w:val="single" w:sz="8" w:color="auto"/>
            </w:tcBorders>
          </w:tcPr>
          <w:p>
            <w:pPr>
              <w:ind w:left="440"/>
              <w:spacing w:after="0"/>
              <w:rPr>
                <w:sz w:val="20"/>
                <w:szCs w:val="20"/>
                <w:color w:val="auto"/>
              </w:rPr>
            </w:pPr>
            <w:r>
              <w:rPr>
                <w:rFonts w:ascii="Arial" w:cs="Arial" w:eastAsia="Arial" w:hAnsi="Arial"/>
                <w:sz w:val="13"/>
                <w:szCs w:val="13"/>
                <w:color w:val="auto"/>
              </w:rPr>
              <w:t>(iv)  l'augmentation autorisée ou</w:t>
            </w:r>
          </w:p>
        </w:tc>
        <w:tc>
          <w:tcPr>
            <w:tcW w:w="0" w:type="dxa"/>
            <w:vAlign w:val="bottom"/>
          </w:tcPr>
          <w:p>
            <w:pPr>
              <w:spacing w:after="0"/>
              <w:rPr>
                <w:sz w:val="1"/>
                <w:szCs w:val="1"/>
                <w:color w:val="auto"/>
              </w:rPr>
            </w:pPr>
          </w:p>
        </w:tc>
      </w:tr>
      <w:tr>
        <w:trPr>
          <w:trHeight w:val="153"/>
        </w:trPr>
        <w:tc>
          <w:tcPr>
            <w:tcW w:w="220" w:type="dxa"/>
            <w:vAlign w:val="bottom"/>
            <w:tcBorders>
              <w:left w:val="single" w:sz="8" w:color="auto"/>
              <w:bottom w:val="single" w:sz="8" w:color="auto"/>
            </w:tcBorders>
          </w:tcPr>
          <w:p>
            <w:pPr>
              <w:spacing w:after="0"/>
              <w:rPr>
                <w:sz w:val="13"/>
                <w:szCs w:val="13"/>
                <w:color w:val="auto"/>
              </w:rPr>
            </w:pPr>
          </w:p>
        </w:tc>
        <w:tc>
          <w:tcPr>
            <w:tcW w:w="5320" w:type="dxa"/>
            <w:vAlign w:val="bottom"/>
            <w:tcBorders>
              <w:bottom w:val="single" w:sz="8" w:color="auto"/>
              <w:right w:val="single" w:sz="8" w:color="auto"/>
            </w:tcBorders>
          </w:tcPr>
          <w:p>
            <w:pPr>
              <w:spacing w:after="0"/>
              <w:rPr>
                <w:sz w:val="13"/>
                <w:szCs w:val="13"/>
                <w:color w:val="auto"/>
              </w:rPr>
            </w:pPr>
          </w:p>
        </w:tc>
        <w:tc>
          <w:tcPr>
            <w:tcW w:w="240" w:type="dxa"/>
            <w:vAlign w:val="bottom"/>
            <w:tcBorders>
              <w:bottom w:val="single" w:sz="8" w:color="auto"/>
              <w:right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5340" w:type="dxa"/>
            <w:vAlign w:val="bottom"/>
            <w:tcBorders>
              <w:bottom w:val="single" w:sz="8" w:color="auto"/>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220" w:type="dxa"/>
            <w:vAlign w:val="bottom"/>
            <w:tcBorders>
              <w:left w:val="single" w:sz="8" w:color="auto"/>
            </w:tcBorders>
          </w:tcPr>
          <w:p>
            <w:pPr>
              <w:spacing w:after="0"/>
              <w:rPr>
                <w:sz w:val="14"/>
                <w:szCs w:val="14"/>
                <w:color w:val="auto"/>
              </w:rPr>
            </w:pPr>
          </w:p>
        </w:tc>
        <w:tc>
          <w:tcPr>
            <w:tcW w:w="5320" w:type="dxa"/>
            <w:vAlign w:val="bottom"/>
            <w:tcBorders>
              <w:right w:val="single" w:sz="8" w:color="auto"/>
            </w:tcBorders>
          </w:tcPr>
          <w:p>
            <w:pPr>
              <w:ind w:left="360"/>
              <w:spacing w:after="0"/>
              <w:rPr>
                <w:sz w:val="20"/>
                <w:szCs w:val="20"/>
                <w:color w:val="auto"/>
              </w:rPr>
            </w:pPr>
            <w:r>
              <w:rPr>
                <w:rFonts w:ascii="Arial" w:cs="Arial" w:eastAsia="Arial" w:hAnsi="Arial"/>
                <w:sz w:val="13"/>
                <w:szCs w:val="13"/>
                <w:color w:val="auto"/>
              </w:rPr>
              <w:t>(iv)  an increase of capital, authorized or subject to a condition;</w:t>
            </w:r>
          </w:p>
        </w:tc>
        <w:tc>
          <w:tcPr>
            <w:tcW w:w="240" w:type="dxa"/>
            <w:vAlign w:val="bottom"/>
            <w:tcBorders>
              <w:right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5340" w:type="dxa"/>
            <w:vAlign w:val="bottom"/>
            <w:tcBorders>
              <w:right w:val="single" w:sz="8" w:color="auto"/>
            </w:tcBorders>
          </w:tcPr>
          <w:p>
            <w:pPr>
              <w:ind w:left="440"/>
              <w:spacing w:after="0"/>
              <w:rPr>
                <w:sz w:val="20"/>
                <w:szCs w:val="20"/>
                <w:color w:val="auto"/>
              </w:rPr>
            </w:pPr>
            <w:r>
              <w:rPr>
                <w:rFonts w:ascii="Arial" w:cs="Arial" w:eastAsia="Arial" w:hAnsi="Arial"/>
                <w:sz w:val="13"/>
                <w:szCs w:val="13"/>
                <w:color w:val="auto"/>
              </w:rPr>
              <w:t>conditionnelle du capital-actions;</w:t>
            </w:r>
          </w:p>
        </w:tc>
        <w:tc>
          <w:tcPr>
            <w:tcW w:w="0" w:type="dxa"/>
            <w:vAlign w:val="bottom"/>
          </w:tcPr>
          <w:p>
            <w:pPr>
              <w:spacing w:after="0"/>
              <w:rPr>
                <w:sz w:val="1"/>
                <w:szCs w:val="1"/>
                <w:color w:val="auto"/>
              </w:rPr>
            </w:pPr>
          </w:p>
        </w:tc>
      </w:tr>
      <w:tr>
        <w:trPr>
          <w:trHeight w:val="266"/>
        </w:trPr>
        <w:tc>
          <w:tcPr>
            <w:tcW w:w="220" w:type="dxa"/>
            <w:vAlign w:val="bottom"/>
            <w:tcBorders>
              <w:left w:val="single" w:sz="8" w:color="auto"/>
            </w:tcBorders>
          </w:tcPr>
          <w:p>
            <w:pPr>
              <w:spacing w:after="0"/>
              <w:rPr>
                <w:sz w:val="23"/>
                <w:szCs w:val="23"/>
                <w:color w:val="auto"/>
              </w:rPr>
            </w:pPr>
          </w:p>
        </w:tc>
        <w:tc>
          <w:tcPr>
            <w:tcW w:w="5320" w:type="dxa"/>
            <w:vAlign w:val="bottom"/>
            <w:tcBorders>
              <w:right w:val="single" w:sz="8" w:color="auto"/>
            </w:tcBorders>
          </w:tcPr>
          <w:p>
            <w:pPr>
              <w:ind w:left="360"/>
              <w:spacing w:after="0"/>
              <w:rPr>
                <w:sz w:val="20"/>
                <w:szCs w:val="20"/>
                <w:color w:val="auto"/>
              </w:rPr>
            </w:pPr>
            <w:r>
              <w:rPr>
                <w:rFonts w:ascii="Arial" w:cs="Arial" w:eastAsia="Arial" w:hAnsi="Arial"/>
                <w:sz w:val="13"/>
                <w:szCs w:val="13"/>
                <w:color w:val="auto"/>
              </w:rPr>
              <w:t>(v)  an increase of capital out of equity, against contribution in kind, or for the purpose</w:t>
            </w:r>
          </w:p>
        </w:tc>
        <w:tc>
          <w:tcPr>
            <w:tcW w:w="240" w:type="dxa"/>
            <w:vAlign w:val="bottom"/>
            <w:tcBorders>
              <w:right w:val="single" w:sz="8" w:color="auto"/>
            </w:tcBorders>
          </w:tcPr>
          <w:p>
            <w:pPr>
              <w:spacing w:after="0"/>
              <w:rPr>
                <w:sz w:val="23"/>
                <w:szCs w:val="23"/>
                <w:color w:val="auto"/>
              </w:rPr>
            </w:pPr>
          </w:p>
        </w:tc>
        <w:tc>
          <w:tcPr>
            <w:tcW w:w="180" w:type="dxa"/>
            <w:vAlign w:val="bottom"/>
          </w:tcPr>
          <w:p>
            <w:pPr>
              <w:spacing w:after="0"/>
              <w:rPr>
                <w:sz w:val="23"/>
                <w:szCs w:val="23"/>
                <w:color w:val="auto"/>
              </w:rPr>
            </w:pPr>
          </w:p>
        </w:tc>
        <w:tc>
          <w:tcPr>
            <w:tcW w:w="5340" w:type="dxa"/>
            <w:vAlign w:val="bottom"/>
            <w:tcBorders>
              <w:right w:val="single" w:sz="8" w:color="auto"/>
            </w:tcBorders>
          </w:tcPr>
          <w:p>
            <w:pPr>
              <w:ind w:left="440"/>
              <w:spacing w:after="0"/>
              <w:rPr>
                <w:sz w:val="20"/>
                <w:szCs w:val="20"/>
                <w:color w:val="auto"/>
              </w:rPr>
            </w:pPr>
            <w:r>
              <w:rPr>
                <w:rFonts w:ascii="Arial" w:cs="Arial" w:eastAsia="Arial" w:hAnsi="Arial"/>
                <w:sz w:val="13"/>
                <w:szCs w:val="13"/>
                <w:color w:val="auto"/>
              </w:rPr>
              <w:t>(v)  l'augmentation du capital-actions au moyen des fonds propres, contre apport en</w:t>
            </w:r>
          </w:p>
        </w:tc>
        <w:tc>
          <w:tcPr>
            <w:tcW w:w="0" w:type="dxa"/>
            <w:vAlign w:val="bottom"/>
          </w:tcPr>
          <w:p>
            <w:pPr>
              <w:spacing w:after="0"/>
              <w:rPr>
                <w:sz w:val="1"/>
                <w:szCs w:val="1"/>
                <w:color w:val="auto"/>
              </w:rPr>
            </w:pPr>
          </w:p>
        </w:tc>
      </w:tr>
      <w:tr>
        <w:trPr>
          <w:trHeight w:val="168"/>
        </w:trPr>
        <w:tc>
          <w:tcPr>
            <w:tcW w:w="220" w:type="dxa"/>
            <w:vAlign w:val="bottom"/>
            <w:tcBorders>
              <w:left w:val="single" w:sz="8" w:color="auto"/>
            </w:tcBorders>
          </w:tcPr>
          <w:p>
            <w:pPr>
              <w:spacing w:after="0"/>
              <w:rPr>
                <w:sz w:val="14"/>
                <w:szCs w:val="14"/>
                <w:color w:val="auto"/>
              </w:rPr>
            </w:pPr>
          </w:p>
        </w:tc>
        <w:tc>
          <w:tcPr>
            <w:tcW w:w="5320" w:type="dxa"/>
            <w:vAlign w:val="bottom"/>
            <w:tcBorders>
              <w:right w:val="single" w:sz="8" w:color="auto"/>
            </w:tcBorders>
          </w:tcPr>
          <w:p>
            <w:pPr>
              <w:ind w:left="360"/>
              <w:spacing w:after="0"/>
              <w:rPr>
                <w:sz w:val="20"/>
                <w:szCs w:val="20"/>
                <w:color w:val="auto"/>
              </w:rPr>
            </w:pPr>
            <w:r>
              <w:rPr>
                <w:rFonts w:ascii="Arial" w:cs="Arial" w:eastAsia="Arial" w:hAnsi="Arial"/>
                <w:sz w:val="13"/>
                <w:szCs w:val="13"/>
                <w:color w:val="auto"/>
              </w:rPr>
              <w:t>of acquisition of assets and the granting of special benefits;</w:t>
            </w:r>
          </w:p>
        </w:tc>
        <w:tc>
          <w:tcPr>
            <w:tcW w:w="240" w:type="dxa"/>
            <w:vAlign w:val="bottom"/>
            <w:tcBorders>
              <w:right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5340" w:type="dxa"/>
            <w:vAlign w:val="bottom"/>
            <w:tcBorders>
              <w:right w:val="single" w:sz="8" w:color="auto"/>
            </w:tcBorders>
          </w:tcPr>
          <w:p>
            <w:pPr>
              <w:ind w:left="440"/>
              <w:spacing w:after="0"/>
              <w:rPr>
                <w:sz w:val="20"/>
                <w:szCs w:val="20"/>
                <w:color w:val="auto"/>
              </w:rPr>
            </w:pPr>
            <w:r>
              <w:rPr>
                <w:rFonts w:ascii="Arial" w:cs="Arial" w:eastAsia="Arial" w:hAnsi="Arial"/>
                <w:sz w:val="13"/>
                <w:szCs w:val="13"/>
                <w:color w:val="auto"/>
              </w:rPr>
              <w:t>nature ou en vue d'une reprise de biens et l'octroi d'avantages particuliers;</w:t>
            </w:r>
          </w:p>
        </w:tc>
        <w:tc>
          <w:tcPr>
            <w:tcW w:w="0" w:type="dxa"/>
            <w:vAlign w:val="bottom"/>
          </w:tcPr>
          <w:p>
            <w:pPr>
              <w:spacing w:after="0"/>
              <w:rPr>
                <w:sz w:val="1"/>
                <w:szCs w:val="1"/>
                <w:color w:val="auto"/>
              </w:rPr>
            </w:pPr>
          </w:p>
        </w:tc>
      </w:tr>
      <w:tr>
        <w:trPr>
          <w:trHeight w:val="290"/>
        </w:trPr>
        <w:tc>
          <w:tcPr>
            <w:tcW w:w="220" w:type="dxa"/>
            <w:vAlign w:val="bottom"/>
            <w:tcBorders>
              <w:left w:val="single" w:sz="8" w:color="auto"/>
            </w:tcBorders>
          </w:tcPr>
          <w:p>
            <w:pPr>
              <w:spacing w:after="0"/>
              <w:rPr>
                <w:sz w:val="24"/>
                <w:szCs w:val="24"/>
                <w:color w:val="auto"/>
              </w:rPr>
            </w:pPr>
          </w:p>
        </w:tc>
        <w:tc>
          <w:tcPr>
            <w:tcW w:w="5320" w:type="dxa"/>
            <w:vAlign w:val="bottom"/>
            <w:tcBorders>
              <w:right w:val="single" w:sz="8" w:color="auto"/>
            </w:tcBorders>
          </w:tcPr>
          <w:p>
            <w:pPr>
              <w:ind w:left="360"/>
              <w:spacing w:after="0"/>
              <w:rPr>
                <w:sz w:val="20"/>
                <w:szCs w:val="20"/>
                <w:color w:val="auto"/>
              </w:rPr>
            </w:pPr>
            <w:r>
              <w:rPr>
                <w:rFonts w:ascii="Arial" w:cs="Arial" w:eastAsia="Arial" w:hAnsi="Arial"/>
                <w:sz w:val="13"/>
                <w:szCs w:val="13"/>
                <w:color w:val="auto"/>
              </w:rPr>
              <w:t>(vi)  the limitation or withdrawal of subscription rights;</w:t>
            </w:r>
          </w:p>
        </w:tc>
        <w:tc>
          <w:tcPr>
            <w:tcW w:w="240" w:type="dxa"/>
            <w:vAlign w:val="bottom"/>
            <w:tcBorders>
              <w:right w:val="single" w:sz="8" w:color="auto"/>
            </w:tcBorders>
          </w:tcPr>
          <w:p>
            <w:pPr>
              <w:spacing w:after="0"/>
              <w:rPr>
                <w:sz w:val="24"/>
                <w:szCs w:val="24"/>
                <w:color w:val="auto"/>
              </w:rPr>
            </w:pPr>
          </w:p>
        </w:tc>
        <w:tc>
          <w:tcPr>
            <w:tcW w:w="180" w:type="dxa"/>
            <w:vAlign w:val="bottom"/>
          </w:tcPr>
          <w:p>
            <w:pPr>
              <w:spacing w:after="0"/>
              <w:rPr>
                <w:sz w:val="24"/>
                <w:szCs w:val="24"/>
                <w:color w:val="auto"/>
              </w:rPr>
            </w:pPr>
          </w:p>
        </w:tc>
        <w:tc>
          <w:tcPr>
            <w:tcW w:w="5340" w:type="dxa"/>
            <w:vAlign w:val="bottom"/>
            <w:tcBorders>
              <w:right w:val="single" w:sz="8" w:color="auto"/>
            </w:tcBorders>
          </w:tcPr>
          <w:p>
            <w:pPr>
              <w:ind w:left="440"/>
              <w:spacing w:after="0"/>
              <w:rPr>
                <w:sz w:val="20"/>
                <w:szCs w:val="20"/>
                <w:color w:val="auto"/>
              </w:rPr>
            </w:pPr>
            <w:r>
              <w:rPr>
                <w:rFonts w:ascii="Arial" w:cs="Arial" w:eastAsia="Arial" w:hAnsi="Arial"/>
                <w:sz w:val="13"/>
                <w:szCs w:val="13"/>
                <w:color w:val="auto"/>
              </w:rPr>
              <w:t>(vi)  la limitation ou la suppression du droit de souscription préférentiel;</w:t>
            </w:r>
          </w:p>
        </w:tc>
        <w:tc>
          <w:tcPr>
            <w:tcW w:w="0" w:type="dxa"/>
            <w:vAlign w:val="bottom"/>
          </w:tcPr>
          <w:p>
            <w:pPr>
              <w:spacing w:after="0"/>
              <w:rPr>
                <w:sz w:val="1"/>
                <w:szCs w:val="1"/>
                <w:color w:val="auto"/>
              </w:rPr>
            </w:pPr>
          </w:p>
        </w:tc>
      </w:tr>
      <w:tr>
        <w:trPr>
          <w:trHeight w:val="290"/>
        </w:trPr>
        <w:tc>
          <w:tcPr>
            <w:tcW w:w="220" w:type="dxa"/>
            <w:vAlign w:val="bottom"/>
            <w:tcBorders>
              <w:left w:val="single" w:sz="8" w:color="auto"/>
            </w:tcBorders>
          </w:tcPr>
          <w:p>
            <w:pPr>
              <w:spacing w:after="0"/>
              <w:rPr>
                <w:sz w:val="24"/>
                <w:szCs w:val="24"/>
                <w:color w:val="auto"/>
              </w:rPr>
            </w:pPr>
          </w:p>
        </w:tc>
        <w:tc>
          <w:tcPr>
            <w:tcW w:w="5320" w:type="dxa"/>
            <w:vAlign w:val="bottom"/>
            <w:tcBorders>
              <w:right w:val="single" w:sz="8" w:color="auto"/>
            </w:tcBorders>
          </w:tcPr>
          <w:p>
            <w:pPr>
              <w:ind w:left="360"/>
              <w:spacing w:after="0"/>
              <w:rPr>
                <w:sz w:val="20"/>
                <w:szCs w:val="20"/>
                <w:color w:val="auto"/>
              </w:rPr>
            </w:pPr>
            <w:r>
              <w:rPr>
                <w:rFonts w:ascii="Arial" w:cs="Arial" w:eastAsia="Arial" w:hAnsi="Arial"/>
                <w:sz w:val="13"/>
                <w:szCs w:val="13"/>
                <w:color w:val="auto"/>
              </w:rPr>
              <w:t>(vii)  the change of the domicile of the Company; and</w:t>
            </w:r>
          </w:p>
        </w:tc>
        <w:tc>
          <w:tcPr>
            <w:tcW w:w="240" w:type="dxa"/>
            <w:vAlign w:val="bottom"/>
            <w:tcBorders>
              <w:right w:val="single" w:sz="8" w:color="auto"/>
            </w:tcBorders>
          </w:tcPr>
          <w:p>
            <w:pPr>
              <w:spacing w:after="0"/>
              <w:rPr>
                <w:sz w:val="24"/>
                <w:szCs w:val="24"/>
                <w:color w:val="auto"/>
              </w:rPr>
            </w:pPr>
          </w:p>
        </w:tc>
        <w:tc>
          <w:tcPr>
            <w:tcW w:w="180" w:type="dxa"/>
            <w:vAlign w:val="bottom"/>
          </w:tcPr>
          <w:p>
            <w:pPr>
              <w:spacing w:after="0"/>
              <w:rPr>
                <w:sz w:val="24"/>
                <w:szCs w:val="24"/>
                <w:color w:val="auto"/>
              </w:rPr>
            </w:pPr>
          </w:p>
        </w:tc>
        <w:tc>
          <w:tcPr>
            <w:tcW w:w="5340" w:type="dxa"/>
            <w:vAlign w:val="bottom"/>
            <w:tcBorders>
              <w:right w:val="single" w:sz="8" w:color="auto"/>
            </w:tcBorders>
          </w:tcPr>
          <w:p>
            <w:pPr>
              <w:ind w:left="440"/>
              <w:spacing w:after="0"/>
              <w:rPr>
                <w:sz w:val="20"/>
                <w:szCs w:val="20"/>
                <w:color w:val="auto"/>
              </w:rPr>
            </w:pPr>
            <w:r>
              <w:rPr>
                <w:rFonts w:ascii="Arial" w:cs="Arial" w:eastAsia="Arial" w:hAnsi="Arial"/>
                <w:sz w:val="13"/>
                <w:szCs w:val="13"/>
                <w:color w:val="auto"/>
              </w:rPr>
              <w:t>(vii)  le transfert du siège de la société; et</w:t>
            </w:r>
          </w:p>
        </w:tc>
        <w:tc>
          <w:tcPr>
            <w:tcW w:w="0" w:type="dxa"/>
            <w:vAlign w:val="bottom"/>
          </w:tcPr>
          <w:p>
            <w:pPr>
              <w:spacing w:after="0"/>
              <w:rPr>
                <w:sz w:val="1"/>
                <w:szCs w:val="1"/>
                <w:color w:val="auto"/>
              </w:rPr>
            </w:pPr>
          </w:p>
        </w:tc>
      </w:tr>
      <w:tr>
        <w:trPr>
          <w:trHeight w:val="290"/>
        </w:trPr>
        <w:tc>
          <w:tcPr>
            <w:tcW w:w="220" w:type="dxa"/>
            <w:vAlign w:val="bottom"/>
            <w:tcBorders>
              <w:left w:val="single" w:sz="8" w:color="auto"/>
            </w:tcBorders>
          </w:tcPr>
          <w:p>
            <w:pPr>
              <w:spacing w:after="0"/>
              <w:rPr>
                <w:sz w:val="24"/>
                <w:szCs w:val="24"/>
                <w:color w:val="auto"/>
              </w:rPr>
            </w:pPr>
          </w:p>
        </w:tc>
        <w:tc>
          <w:tcPr>
            <w:tcW w:w="5320" w:type="dxa"/>
            <w:vAlign w:val="bottom"/>
            <w:tcBorders>
              <w:right w:val="single" w:sz="8" w:color="auto"/>
            </w:tcBorders>
          </w:tcPr>
          <w:p>
            <w:pPr>
              <w:ind w:left="360"/>
              <w:spacing w:after="0"/>
              <w:rPr>
                <w:sz w:val="20"/>
                <w:szCs w:val="20"/>
                <w:color w:val="auto"/>
              </w:rPr>
            </w:pPr>
            <w:r>
              <w:rPr>
                <w:rFonts w:ascii="Arial" w:cs="Arial" w:eastAsia="Arial" w:hAnsi="Arial"/>
                <w:sz w:val="13"/>
                <w:szCs w:val="13"/>
                <w:color w:val="auto"/>
              </w:rPr>
              <w:t>(viii)  the liquidation of the Company;</w:t>
            </w:r>
          </w:p>
        </w:tc>
        <w:tc>
          <w:tcPr>
            <w:tcW w:w="240" w:type="dxa"/>
            <w:vAlign w:val="bottom"/>
            <w:tcBorders>
              <w:right w:val="single" w:sz="8" w:color="auto"/>
            </w:tcBorders>
          </w:tcPr>
          <w:p>
            <w:pPr>
              <w:spacing w:after="0"/>
              <w:rPr>
                <w:sz w:val="24"/>
                <w:szCs w:val="24"/>
                <w:color w:val="auto"/>
              </w:rPr>
            </w:pPr>
          </w:p>
        </w:tc>
        <w:tc>
          <w:tcPr>
            <w:tcW w:w="180" w:type="dxa"/>
            <w:vAlign w:val="bottom"/>
          </w:tcPr>
          <w:p>
            <w:pPr>
              <w:spacing w:after="0"/>
              <w:rPr>
                <w:sz w:val="24"/>
                <w:szCs w:val="24"/>
                <w:color w:val="auto"/>
              </w:rPr>
            </w:pPr>
          </w:p>
        </w:tc>
        <w:tc>
          <w:tcPr>
            <w:tcW w:w="5340" w:type="dxa"/>
            <w:vAlign w:val="bottom"/>
            <w:tcBorders>
              <w:right w:val="single" w:sz="8" w:color="auto"/>
            </w:tcBorders>
          </w:tcPr>
          <w:p>
            <w:pPr>
              <w:ind w:left="440"/>
              <w:spacing w:after="0"/>
              <w:rPr>
                <w:sz w:val="20"/>
                <w:szCs w:val="20"/>
                <w:color w:val="auto"/>
              </w:rPr>
            </w:pPr>
            <w:r>
              <w:rPr>
                <w:rFonts w:ascii="Arial" w:cs="Arial" w:eastAsia="Arial" w:hAnsi="Arial"/>
                <w:sz w:val="13"/>
                <w:szCs w:val="13"/>
                <w:color w:val="auto"/>
              </w:rPr>
              <w:t>(viii)  la dissolution de la société;</w:t>
            </w:r>
          </w:p>
        </w:tc>
        <w:tc>
          <w:tcPr>
            <w:tcW w:w="0" w:type="dxa"/>
            <w:vAlign w:val="bottom"/>
          </w:tcPr>
          <w:p>
            <w:pPr>
              <w:spacing w:after="0"/>
              <w:rPr>
                <w:sz w:val="1"/>
                <w:szCs w:val="1"/>
                <w:color w:val="auto"/>
              </w:rPr>
            </w:pPr>
          </w:p>
        </w:tc>
      </w:tr>
      <w:tr>
        <w:trPr>
          <w:trHeight w:val="266"/>
        </w:trPr>
        <w:tc>
          <w:tcPr>
            <w:tcW w:w="5540" w:type="dxa"/>
            <w:vAlign w:val="bottom"/>
            <w:tcBorders>
              <w:left w:val="single" w:sz="8" w:color="auto"/>
              <w:right w:val="single" w:sz="8" w:color="auto"/>
            </w:tcBorders>
            <w:gridSpan w:val="2"/>
          </w:tcPr>
          <w:p>
            <w:pPr>
              <w:ind w:left="40"/>
              <w:spacing w:after="0"/>
              <w:rPr>
                <w:sz w:val="20"/>
                <w:szCs w:val="20"/>
                <w:color w:val="auto"/>
              </w:rPr>
            </w:pPr>
            <w:r>
              <w:rPr>
                <w:rFonts w:ascii="Arial" w:cs="Arial" w:eastAsia="Arial" w:hAnsi="Arial"/>
                <w:sz w:val="13"/>
                <w:szCs w:val="13"/>
                <w:color w:val="auto"/>
              </w:rPr>
              <w:t>b)   the merger, de-merger or conversion of the Company (subject to mandatory law);</w:t>
            </w:r>
          </w:p>
        </w:tc>
        <w:tc>
          <w:tcPr>
            <w:tcW w:w="240" w:type="dxa"/>
            <w:vAlign w:val="bottom"/>
            <w:tcBorders>
              <w:right w:val="single" w:sz="8" w:color="auto"/>
            </w:tcBorders>
          </w:tcPr>
          <w:p>
            <w:pPr>
              <w:spacing w:after="0"/>
              <w:rPr>
                <w:sz w:val="23"/>
                <w:szCs w:val="23"/>
                <w:color w:val="auto"/>
              </w:rPr>
            </w:pPr>
          </w:p>
        </w:tc>
        <w:tc>
          <w:tcPr>
            <w:tcW w:w="180" w:type="dxa"/>
            <w:vAlign w:val="bottom"/>
          </w:tcPr>
          <w:p>
            <w:pPr>
              <w:ind w:left="20"/>
              <w:spacing w:after="0"/>
              <w:rPr>
                <w:sz w:val="20"/>
                <w:szCs w:val="20"/>
                <w:color w:val="auto"/>
              </w:rPr>
            </w:pPr>
            <w:r>
              <w:rPr>
                <w:rFonts w:ascii="Arial" w:cs="Arial" w:eastAsia="Arial" w:hAnsi="Arial"/>
                <w:sz w:val="13"/>
                <w:szCs w:val="13"/>
                <w:color w:val="auto"/>
              </w:rPr>
              <w:t>b)</w:t>
            </w:r>
          </w:p>
        </w:tc>
        <w:tc>
          <w:tcPr>
            <w:tcW w:w="5340" w:type="dxa"/>
            <w:vAlign w:val="bottom"/>
            <w:tcBorders>
              <w:right w:val="single" w:sz="8" w:color="auto"/>
            </w:tcBorders>
          </w:tcPr>
          <w:p>
            <w:pPr>
              <w:jc w:val="right"/>
              <w:spacing w:after="0"/>
              <w:rPr>
                <w:sz w:val="20"/>
                <w:szCs w:val="20"/>
                <w:color w:val="auto"/>
              </w:rPr>
            </w:pPr>
            <w:r>
              <w:rPr>
                <w:rFonts w:ascii="Arial" w:cs="Arial" w:eastAsia="Arial" w:hAnsi="Arial"/>
                <w:sz w:val="13"/>
                <w:szCs w:val="13"/>
                <w:color w:val="auto"/>
              </w:rPr>
              <w:t>la fusion, la scission ou la conversion de la société (sous réserve des dispositions</w:t>
            </w:r>
          </w:p>
        </w:tc>
        <w:tc>
          <w:tcPr>
            <w:tcW w:w="0" w:type="dxa"/>
            <w:vAlign w:val="bottom"/>
          </w:tcPr>
          <w:p>
            <w:pPr>
              <w:spacing w:after="0"/>
              <w:rPr>
                <w:sz w:val="1"/>
                <w:szCs w:val="1"/>
                <w:color w:val="auto"/>
              </w:rPr>
            </w:pPr>
          </w:p>
        </w:tc>
      </w:tr>
      <w:tr>
        <w:trPr>
          <w:trHeight w:val="168"/>
        </w:trPr>
        <w:tc>
          <w:tcPr>
            <w:tcW w:w="5540" w:type="dxa"/>
            <w:vAlign w:val="bottom"/>
            <w:tcBorders>
              <w:left w:val="single" w:sz="8" w:color="auto"/>
              <w:right w:val="single" w:sz="8" w:color="auto"/>
            </w:tcBorders>
            <w:gridSpan w:val="2"/>
            <w:vMerge w:val="restart"/>
          </w:tcPr>
          <w:p>
            <w:pPr>
              <w:ind w:left="40"/>
              <w:spacing w:after="0"/>
              <w:rPr>
                <w:sz w:val="20"/>
                <w:szCs w:val="20"/>
                <w:color w:val="auto"/>
              </w:rPr>
            </w:pPr>
            <w:r>
              <w:rPr>
                <w:rFonts w:ascii="Arial" w:cs="Arial" w:eastAsia="Arial" w:hAnsi="Arial"/>
                <w:sz w:val="13"/>
                <w:szCs w:val="13"/>
                <w:color w:val="auto"/>
              </w:rPr>
              <w:t>c)   the alleviating or withdrawal of restrictions upon the transfer of registered shares;</w:t>
            </w:r>
          </w:p>
        </w:tc>
        <w:tc>
          <w:tcPr>
            <w:tcW w:w="240" w:type="dxa"/>
            <w:vAlign w:val="bottom"/>
            <w:tcBorders>
              <w:right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5340" w:type="dxa"/>
            <w:vAlign w:val="bottom"/>
            <w:tcBorders>
              <w:right w:val="single" w:sz="8" w:color="auto"/>
            </w:tcBorders>
          </w:tcPr>
          <w:p>
            <w:pPr>
              <w:ind w:left="160"/>
              <w:spacing w:after="0"/>
              <w:rPr>
                <w:sz w:val="20"/>
                <w:szCs w:val="20"/>
                <w:color w:val="auto"/>
              </w:rPr>
            </w:pPr>
            <w:r>
              <w:rPr>
                <w:rFonts w:ascii="Arial" w:cs="Arial" w:eastAsia="Arial" w:hAnsi="Arial"/>
                <w:sz w:val="13"/>
                <w:szCs w:val="13"/>
                <w:color w:val="auto"/>
              </w:rPr>
              <w:t>impératives);</w:t>
            </w:r>
          </w:p>
        </w:tc>
        <w:tc>
          <w:tcPr>
            <w:tcW w:w="0" w:type="dxa"/>
            <w:vAlign w:val="bottom"/>
          </w:tcPr>
          <w:p>
            <w:pPr>
              <w:spacing w:after="0"/>
              <w:rPr>
                <w:sz w:val="1"/>
                <w:szCs w:val="1"/>
                <w:color w:val="auto"/>
              </w:rPr>
            </w:pPr>
          </w:p>
        </w:tc>
      </w:tr>
      <w:tr>
        <w:trPr>
          <w:trHeight w:val="145"/>
        </w:trPr>
        <w:tc>
          <w:tcPr>
            <w:tcW w:w="5540" w:type="dxa"/>
            <w:vAlign w:val="bottom"/>
            <w:tcBorders>
              <w:left w:val="single" w:sz="8" w:color="auto"/>
              <w:right w:val="single" w:sz="8" w:color="auto"/>
            </w:tcBorders>
            <w:gridSpan w:val="2"/>
            <w:vMerge w:val="continue"/>
          </w:tcPr>
          <w:p>
            <w:pPr>
              <w:spacing w:after="0"/>
              <w:rPr>
                <w:sz w:val="12"/>
                <w:szCs w:val="12"/>
                <w:color w:val="auto"/>
              </w:rPr>
            </w:pPr>
          </w:p>
        </w:tc>
        <w:tc>
          <w:tcPr>
            <w:tcW w:w="240" w:type="dxa"/>
            <w:vAlign w:val="bottom"/>
            <w:tcBorders>
              <w:right w:val="single" w:sz="8" w:color="auto"/>
            </w:tcBorders>
          </w:tcPr>
          <w:p>
            <w:pPr>
              <w:spacing w:after="0"/>
              <w:rPr>
                <w:sz w:val="12"/>
                <w:szCs w:val="12"/>
                <w:color w:val="auto"/>
              </w:rPr>
            </w:pPr>
          </w:p>
        </w:tc>
        <w:tc>
          <w:tcPr>
            <w:tcW w:w="180" w:type="dxa"/>
            <w:vAlign w:val="bottom"/>
            <w:vMerge w:val="restart"/>
          </w:tcPr>
          <w:p>
            <w:pPr>
              <w:ind w:left="20"/>
              <w:spacing w:after="0"/>
              <w:rPr>
                <w:sz w:val="20"/>
                <w:szCs w:val="20"/>
                <w:color w:val="auto"/>
              </w:rPr>
            </w:pPr>
            <w:r>
              <w:rPr>
                <w:rFonts w:ascii="Arial" w:cs="Arial" w:eastAsia="Arial" w:hAnsi="Arial"/>
                <w:sz w:val="13"/>
                <w:szCs w:val="13"/>
                <w:color w:val="auto"/>
              </w:rPr>
              <w:t>c)</w:t>
            </w:r>
          </w:p>
        </w:tc>
        <w:tc>
          <w:tcPr>
            <w:tcW w:w="5340" w:type="dxa"/>
            <w:vAlign w:val="bottom"/>
            <w:tcBorders>
              <w:right w:val="single" w:sz="8" w:color="auto"/>
            </w:tcBorders>
            <w:vMerge w:val="restart"/>
          </w:tcPr>
          <w:p>
            <w:pPr>
              <w:ind w:left="160"/>
              <w:spacing w:after="0"/>
              <w:rPr>
                <w:sz w:val="20"/>
                <w:szCs w:val="20"/>
                <w:color w:val="auto"/>
              </w:rPr>
            </w:pPr>
            <w:r>
              <w:rPr>
                <w:rFonts w:ascii="Arial" w:cs="Arial" w:eastAsia="Arial" w:hAnsi="Arial"/>
                <w:sz w:val="13"/>
                <w:szCs w:val="13"/>
                <w:color w:val="auto"/>
              </w:rPr>
              <w:t>l'atténuation ou la suppression des restrictions sur le transfert des actions nominatives;</w:t>
            </w:r>
          </w:p>
        </w:tc>
        <w:tc>
          <w:tcPr>
            <w:tcW w:w="0" w:type="dxa"/>
            <w:vAlign w:val="bottom"/>
          </w:tcPr>
          <w:p>
            <w:pPr>
              <w:spacing w:after="0"/>
              <w:rPr>
                <w:sz w:val="1"/>
                <w:szCs w:val="1"/>
                <w:color w:val="auto"/>
              </w:rPr>
            </w:pPr>
          </w:p>
        </w:tc>
      </w:tr>
      <w:tr>
        <w:trPr>
          <w:trHeight w:val="145"/>
        </w:trPr>
        <w:tc>
          <w:tcPr>
            <w:tcW w:w="5540" w:type="dxa"/>
            <w:vAlign w:val="bottom"/>
            <w:tcBorders>
              <w:left w:val="single" w:sz="8" w:color="auto"/>
              <w:right w:val="single" w:sz="8" w:color="auto"/>
            </w:tcBorders>
            <w:gridSpan w:val="2"/>
            <w:vMerge w:val="restart"/>
          </w:tcPr>
          <w:p>
            <w:pPr>
              <w:ind w:left="40"/>
              <w:spacing w:after="0"/>
              <w:rPr>
                <w:sz w:val="20"/>
                <w:szCs w:val="20"/>
                <w:color w:val="auto"/>
              </w:rPr>
            </w:pPr>
            <w:r>
              <w:rPr>
                <w:rFonts w:ascii="Arial" w:cs="Arial" w:eastAsia="Arial" w:hAnsi="Arial"/>
                <w:sz w:val="13"/>
                <w:szCs w:val="13"/>
                <w:color w:val="auto"/>
              </w:rPr>
              <w:t>d)   the conversion of registered shares into bearer shares and vice versa; and</w:t>
            </w:r>
          </w:p>
        </w:tc>
        <w:tc>
          <w:tcPr>
            <w:tcW w:w="240" w:type="dxa"/>
            <w:vAlign w:val="bottom"/>
            <w:tcBorders>
              <w:right w:val="single" w:sz="8" w:color="auto"/>
            </w:tcBorders>
          </w:tcPr>
          <w:p>
            <w:pPr>
              <w:spacing w:after="0"/>
              <w:rPr>
                <w:sz w:val="12"/>
                <w:szCs w:val="12"/>
                <w:color w:val="auto"/>
              </w:rPr>
            </w:pPr>
          </w:p>
        </w:tc>
        <w:tc>
          <w:tcPr>
            <w:tcW w:w="180" w:type="dxa"/>
            <w:vAlign w:val="bottom"/>
            <w:vMerge w:val="continue"/>
          </w:tcPr>
          <w:p>
            <w:pPr>
              <w:spacing w:after="0"/>
              <w:rPr>
                <w:sz w:val="12"/>
                <w:szCs w:val="12"/>
                <w:color w:val="auto"/>
              </w:rPr>
            </w:pPr>
          </w:p>
        </w:tc>
        <w:tc>
          <w:tcPr>
            <w:tcW w:w="5340" w:type="dxa"/>
            <w:vAlign w:val="bottom"/>
            <w:tcBorders>
              <w:right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5540" w:type="dxa"/>
            <w:vAlign w:val="bottom"/>
            <w:tcBorders>
              <w:left w:val="single" w:sz="8" w:color="auto"/>
              <w:right w:val="single" w:sz="8" w:color="auto"/>
            </w:tcBorders>
            <w:gridSpan w:val="2"/>
            <w:vMerge w:val="continue"/>
          </w:tcPr>
          <w:p>
            <w:pPr>
              <w:spacing w:after="0"/>
              <w:rPr>
                <w:sz w:val="12"/>
                <w:szCs w:val="12"/>
                <w:color w:val="auto"/>
              </w:rPr>
            </w:pPr>
          </w:p>
        </w:tc>
        <w:tc>
          <w:tcPr>
            <w:tcW w:w="240" w:type="dxa"/>
            <w:vAlign w:val="bottom"/>
            <w:tcBorders>
              <w:right w:val="single" w:sz="8" w:color="auto"/>
            </w:tcBorders>
          </w:tcPr>
          <w:p>
            <w:pPr>
              <w:spacing w:after="0"/>
              <w:rPr>
                <w:sz w:val="12"/>
                <w:szCs w:val="12"/>
                <w:color w:val="auto"/>
              </w:rPr>
            </w:pPr>
          </w:p>
        </w:tc>
        <w:tc>
          <w:tcPr>
            <w:tcW w:w="180" w:type="dxa"/>
            <w:vAlign w:val="bottom"/>
            <w:vMerge w:val="restart"/>
          </w:tcPr>
          <w:p>
            <w:pPr>
              <w:ind w:left="20"/>
              <w:spacing w:after="0"/>
              <w:rPr>
                <w:sz w:val="20"/>
                <w:szCs w:val="20"/>
                <w:color w:val="auto"/>
              </w:rPr>
            </w:pPr>
            <w:r>
              <w:rPr>
                <w:rFonts w:ascii="Arial" w:cs="Arial" w:eastAsia="Arial" w:hAnsi="Arial"/>
                <w:sz w:val="13"/>
                <w:szCs w:val="13"/>
                <w:color w:val="auto"/>
              </w:rPr>
              <w:t>d)</w:t>
            </w:r>
          </w:p>
        </w:tc>
        <w:tc>
          <w:tcPr>
            <w:tcW w:w="5340" w:type="dxa"/>
            <w:vAlign w:val="bottom"/>
            <w:tcBorders>
              <w:right w:val="single" w:sz="8" w:color="auto"/>
            </w:tcBorders>
            <w:vMerge w:val="restart"/>
          </w:tcPr>
          <w:p>
            <w:pPr>
              <w:ind w:left="160"/>
              <w:spacing w:after="0"/>
              <w:rPr>
                <w:sz w:val="20"/>
                <w:szCs w:val="20"/>
                <w:color w:val="auto"/>
              </w:rPr>
            </w:pPr>
            <w:r>
              <w:rPr>
                <w:rFonts w:ascii="Arial" w:cs="Arial" w:eastAsia="Arial" w:hAnsi="Arial"/>
                <w:sz w:val="13"/>
                <w:szCs w:val="13"/>
                <w:color w:val="auto"/>
              </w:rPr>
              <w:t>la conversion d'actions nominatives en actions au porteur et vice versa; et</w:t>
            </w:r>
          </w:p>
        </w:tc>
        <w:tc>
          <w:tcPr>
            <w:tcW w:w="0" w:type="dxa"/>
            <w:vAlign w:val="bottom"/>
          </w:tcPr>
          <w:p>
            <w:pPr>
              <w:spacing w:after="0"/>
              <w:rPr>
                <w:sz w:val="1"/>
                <w:szCs w:val="1"/>
                <w:color w:val="auto"/>
              </w:rPr>
            </w:pPr>
          </w:p>
        </w:tc>
      </w:tr>
      <w:tr>
        <w:trPr>
          <w:trHeight w:val="145"/>
        </w:trPr>
        <w:tc>
          <w:tcPr>
            <w:tcW w:w="220" w:type="dxa"/>
            <w:vAlign w:val="bottom"/>
            <w:tcBorders>
              <w:left w:val="single" w:sz="8" w:color="auto"/>
            </w:tcBorders>
            <w:vMerge w:val="restart"/>
          </w:tcPr>
          <w:p>
            <w:pPr>
              <w:ind w:left="40"/>
              <w:spacing w:after="0"/>
              <w:rPr>
                <w:sz w:val="20"/>
                <w:szCs w:val="20"/>
                <w:color w:val="auto"/>
              </w:rPr>
            </w:pPr>
            <w:r>
              <w:rPr>
                <w:rFonts w:ascii="Arial" w:cs="Arial" w:eastAsia="Arial" w:hAnsi="Arial"/>
                <w:sz w:val="13"/>
                <w:szCs w:val="13"/>
                <w:color w:val="auto"/>
              </w:rPr>
              <w:t>e)</w:t>
            </w:r>
          </w:p>
        </w:tc>
        <w:tc>
          <w:tcPr>
            <w:tcW w:w="5320" w:type="dxa"/>
            <w:vAlign w:val="bottom"/>
            <w:tcBorders>
              <w:right w:val="single" w:sz="8" w:color="auto"/>
            </w:tcBorders>
            <w:vMerge w:val="restart"/>
          </w:tcPr>
          <w:p>
            <w:pPr>
              <w:ind w:left="180"/>
              <w:spacing w:after="0"/>
              <w:rPr>
                <w:sz w:val="20"/>
                <w:szCs w:val="20"/>
                <w:color w:val="auto"/>
              </w:rPr>
            </w:pPr>
            <w:r>
              <w:rPr>
                <w:rFonts w:ascii="Arial" w:cs="Arial" w:eastAsia="Arial" w:hAnsi="Arial"/>
                <w:sz w:val="13"/>
                <w:szCs w:val="13"/>
                <w:color w:val="auto"/>
              </w:rPr>
              <w:t>the amendment or elimination of the provisions of Article 4 and 29 of the Articles of</w:t>
            </w:r>
          </w:p>
        </w:tc>
        <w:tc>
          <w:tcPr>
            <w:tcW w:w="240" w:type="dxa"/>
            <w:vAlign w:val="bottom"/>
            <w:tcBorders>
              <w:right w:val="single" w:sz="8" w:color="auto"/>
            </w:tcBorders>
          </w:tcPr>
          <w:p>
            <w:pPr>
              <w:spacing w:after="0"/>
              <w:rPr>
                <w:sz w:val="12"/>
                <w:szCs w:val="12"/>
                <w:color w:val="auto"/>
              </w:rPr>
            </w:pPr>
          </w:p>
        </w:tc>
        <w:tc>
          <w:tcPr>
            <w:tcW w:w="180" w:type="dxa"/>
            <w:vAlign w:val="bottom"/>
            <w:vMerge w:val="continue"/>
          </w:tcPr>
          <w:p>
            <w:pPr>
              <w:spacing w:after="0"/>
              <w:rPr>
                <w:sz w:val="12"/>
                <w:szCs w:val="12"/>
                <w:color w:val="auto"/>
              </w:rPr>
            </w:pPr>
          </w:p>
        </w:tc>
        <w:tc>
          <w:tcPr>
            <w:tcW w:w="5340" w:type="dxa"/>
            <w:vAlign w:val="bottom"/>
            <w:tcBorders>
              <w:right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21"/>
        </w:trPr>
        <w:tc>
          <w:tcPr>
            <w:tcW w:w="220" w:type="dxa"/>
            <w:vAlign w:val="bottom"/>
            <w:tcBorders>
              <w:left w:val="single" w:sz="8" w:color="auto"/>
            </w:tcBorders>
            <w:vMerge w:val="continue"/>
          </w:tcPr>
          <w:p>
            <w:pPr>
              <w:spacing w:after="0"/>
              <w:rPr>
                <w:sz w:val="10"/>
                <w:szCs w:val="10"/>
                <w:color w:val="auto"/>
              </w:rPr>
            </w:pPr>
          </w:p>
        </w:tc>
        <w:tc>
          <w:tcPr>
            <w:tcW w:w="5320" w:type="dxa"/>
            <w:vAlign w:val="bottom"/>
            <w:tcBorders>
              <w:right w:val="single" w:sz="8" w:color="auto"/>
            </w:tcBorders>
            <w:vMerge w:val="continue"/>
          </w:tcPr>
          <w:p>
            <w:pPr>
              <w:spacing w:after="0"/>
              <w:rPr>
                <w:sz w:val="10"/>
                <w:szCs w:val="10"/>
                <w:color w:val="auto"/>
              </w:rPr>
            </w:pPr>
          </w:p>
        </w:tc>
        <w:tc>
          <w:tcPr>
            <w:tcW w:w="240" w:type="dxa"/>
            <w:vAlign w:val="bottom"/>
            <w:tcBorders>
              <w:right w:val="single" w:sz="8" w:color="auto"/>
            </w:tcBorders>
          </w:tcPr>
          <w:p>
            <w:pPr>
              <w:spacing w:after="0"/>
              <w:rPr>
                <w:sz w:val="10"/>
                <w:szCs w:val="10"/>
                <w:color w:val="auto"/>
              </w:rPr>
            </w:pPr>
          </w:p>
        </w:tc>
        <w:tc>
          <w:tcPr>
            <w:tcW w:w="180" w:type="dxa"/>
            <w:vAlign w:val="bottom"/>
          </w:tcPr>
          <w:p>
            <w:pPr>
              <w:spacing w:after="0"/>
              <w:rPr>
                <w:sz w:val="10"/>
                <w:szCs w:val="10"/>
                <w:color w:val="auto"/>
              </w:rPr>
            </w:pPr>
          </w:p>
        </w:tc>
        <w:tc>
          <w:tcPr>
            <w:tcW w:w="534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45"/>
        </w:trPr>
        <w:tc>
          <w:tcPr>
            <w:tcW w:w="220" w:type="dxa"/>
            <w:vAlign w:val="bottom"/>
            <w:tcBorders>
              <w:left w:val="single" w:sz="8" w:color="auto"/>
            </w:tcBorders>
          </w:tcPr>
          <w:p>
            <w:pPr>
              <w:spacing w:after="0"/>
              <w:rPr>
                <w:sz w:val="12"/>
                <w:szCs w:val="12"/>
                <w:color w:val="auto"/>
              </w:rPr>
            </w:pPr>
          </w:p>
        </w:tc>
        <w:tc>
          <w:tcPr>
            <w:tcW w:w="5320" w:type="dxa"/>
            <w:vAlign w:val="bottom"/>
            <w:tcBorders>
              <w:right w:val="single" w:sz="8" w:color="auto"/>
            </w:tcBorders>
          </w:tcPr>
          <w:p>
            <w:pPr>
              <w:ind w:left="80"/>
              <w:spacing w:after="0" w:line="145" w:lineRule="exact"/>
              <w:rPr>
                <w:sz w:val="20"/>
                <w:szCs w:val="20"/>
                <w:color w:val="auto"/>
              </w:rPr>
            </w:pPr>
            <w:r>
              <w:rPr>
                <w:rFonts w:ascii="Arial" w:cs="Arial" w:eastAsia="Arial" w:hAnsi="Arial"/>
                <w:sz w:val="13"/>
                <w:szCs w:val="13"/>
                <w:color w:val="auto"/>
              </w:rPr>
              <w:t>Association as well as those contained in this Article 17.</w:t>
            </w:r>
          </w:p>
        </w:tc>
        <w:tc>
          <w:tcPr>
            <w:tcW w:w="240" w:type="dxa"/>
            <w:vAlign w:val="bottom"/>
            <w:tcBorders>
              <w:right w:val="single" w:sz="8" w:color="auto"/>
            </w:tcBorders>
          </w:tcPr>
          <w:p>
            <w:pPr>
              <w:spacing w:after="0"/>
              <w:rPr>
                <w:sz w:val="12"/>
                <w:szCs w:val="12"/>
                <w:color w:val="auto"/>
              </w:rPr>
            </w:pPr>
          </w:p>
        </w:tc>
        <w:tc>
          <w:tcPr>
            <w:tcW w:w="180" w:type="dxa"/>
            <w:vAlign w:val="bottom"/>
          </w:tcPr>
          <w:p>
            <w:pPr>
              <w:ind w:left="20"/>
              <w:spacing w:after="0" w:line="145" w:lineRule="exact"/>
              <w:rPr>
                <w:sz w:val="20"/>
                <w:szCs w:val="20"/>
                <w:color w:val="auto"/>
              </w:rPr>
            </w:pPr>
            <w:r>
              <w:rPr>
                <w:rFonts w:ascii="Arial" w:cs="Arial" w:eastAsia="Arial" w:hAnsi="Arial"/>
                <w:sz w:val="13"/>
                <w:szCs w:val="13"/>
                <w:color w:val="auto"/>
              </w:rPr>
              <w:t>e)</w:t>
            </w:r>
          </w:p>
        </w:tc>
        <w:tc>
          <w:tcPr>
            <w:tcW w:w="5340" w:type="dxa"/>
            <w:vAlign w:val="bottom"/>
            <w:tcBorders>
              <w:right w:val="single" w:sz="8" w:color="auto"/>
            </w:tcBorders>
          </w:tcPr>
          <w:p>
            <w:pPr>
              <w:jc w:val="right"/>
              <w:spacing w:after="0" w:line="145" w:lineRule="exact"/>
              <w:rPr>
                <w:sz w:val="20"/>
                <w:szCs w:val="20"/>
                <w:color w:val="auto"/>
              </w:rPr>
            </w:pPr>
            <w:r>
              <w:rPr>
                <w:rFonts w:ascii="Arial" w:cs="Arial" w:eastAsia="Arial" w:hAnsi="Arial"/>
                <w:sz w:val="13"/>
                <w:szCs w:val="13"/>
                <w:color w:val="auto"/>
              </w:rPr>
              <w:t>la modification ou la suppression des dispositions des articles 4 et 29 des statuts ainsi</w:t>
            </w:r>
          </w:p>
        </w:tc>
        <w:tc>
          <w:tcPr>
            <w:tcW w:w="0" w:type="dxa"/>
            <w:vAlign w:val="bottom"/>
          </w:tcPr>
          <w:p>
            <w:pPr>
              <w:spacing w:after="0"/>
              <w:rPr>
                <w:sz w:val="1"/>
                <w:szCs w:val="1"/>
                <w:color w:val="auto"/>
              </w:rPr>
            </w:pPr>
          </w:p>
        </w:tc>
      </w:tr>
      <w:tr>
        <w:trPr>
          <w:trHeight w:val="168"/>
        </w:trPr>
        <w:tc>
          <w:tcPr>
            <w:tcW w:w="220" w:type="dxa"/>
            <w:vAlign w:val="bottom"/>
            <w:tcBorders>
              <w:left w:val="single" w:sz="8" w:color="auto"/>
            </w:tcBorders>
          </w:tcPr>
          <w:p>
            <w:pPr>
              <w:spacing w:after="0"/>
              <w:rPr>
                <w:sz w:val="14"/>
                <w:szCs w:val="14"/>
                <w:color w:val="auto"/>
              </w:rPr>
            </w:pPr>
          </w:p>
        </w:tc>
        <w:tc>
          <w:tcPr>
            <w:tcW w:w="5320" w:type="dxa"/>
            <w:vAlign w:val="bottom"/>
            <w:tcBorders>
              <w:right w:val="single" w:sz="8" w:color="auto"/>
            </w:tcBorders>
          </w:tcPr>
          <w:p>
            <w:pPr>
              <w:spacing w:after="0"/>
              <w:rPr>
                <w:sz w:val="14"/>
                <w:szCs w:val="14"/>
                <w:color w:val="auto"/>
              </w:rPr>
            </w:pPr>
          </w:p>
        </w:tc>
        <w:tc>
          <w:tcPr>
            <w:tcW w:w="240" w:type="dxa"/>
            <w:vAlign w:val="bottom"/>
            <w:tcBorders>
              <w:right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5340" w:type="dxa"/>
            <w:vAlign w:val="bottom"/>
            <w:tcBorders>
              <w:right w:val="single" w:sz="8" w:color="auto"/>
            </w:tcBorders>
          </w:tcPr>
          <w:p>
            <w:pPr>
              <w:ind w:left="160"/>
              <w:spacing w:after="0"/>
              <w:rPr>
                <w:sz w:val="20"/>
                <w:szCs w:val="20"/>
                <w:color w:val="auto"/>
              </w:rPr>
            </w:pPr>
            <w:r>
              <w:rPr>
                <w:rFonts w:ascii="Arial" w:cs="Arial" w:eastAsia="Arial" w:hAnsi="Arial"/>
                <w:sz w:val="13"/>
                <w:szCs w:val="13"/>
                <w:color w:val="auto"/>
              </w:rPr>
              <w:t>que ceux contenues dans le présent article 17.</w:t>
            </w:r>
          </w:p>
        </w:tc>
        <w:tc>
          <w:tcPr>
            <w:tcW w:w="0" w:type="dxa"/>
            <w:vAlign w:val="bottom"/>
          </w:tcPr>
          <w:p>
            <w:pPr>
              <w:spacing w:after="0"/>
              <w:rPr>
                <w:sz w:val="1"/>
                <w:szCs w:val="1"/>
                <w:color w:val="auto"/>
              </w:rPr>
            </w:pPr>
          </w:p>
        </w:tc>
      </w:tr>
      <w:tr>
        <w:trPr>
          <w:trHeight w:val="153"/>
        </w:trPr>
        <w:tc>
          <w:tcPr>
            <w:tcW w:w="5540" w:type="dxa"/>
            <w:vAlign w:val="bottom"/>
            <w:tcBorders>
              <w:left w:val="single" w:sz="8" w:color="auto"/>
              <w:bottom w:val="single" w:sz="8" w:color="auto"/>
              <w:right w:val="single" w:sz="8" w:color="auto"/>
            </w:tcBorders>
            <w:gridSpan w:val="2"/>
          </w:tcPr>
          <w:p>
            <w:pPr>
              <w:spacing w:after="0"/>
              <w:rPr>
                <w:sz w:val="13"/>
                <w:szCs w:val="13"/>
                <w:color w:val="auto"/>
              </w:rPr>
            </w:pPr>
          </w:p>
        </w:tc>
        <w:tc>
          <w:tcPr>
            <w:tcW w:w="240" w:type="dxa"/>
            <w:vAlign w:val="bottom"/>
            <w:tcBorders>
              <w:bottom w:val="single" w:sz="8" w:color="auto"/>
              <w:right w:val="single" w:sz="8" w:color="auto"/>
            </w:tcBorders>
          </w:tcPr>
          <w:p>
            <w:pPr>
              <w:spacing w:after="0"/>
              <w:rPr>
                <w:sz w:val="13"/>
                <w:szCs w:val="13"/>
                <w:color w:val="auto"/>
              </w:rPr>
            </w:pPr>
          </w:p>
        </w:tc>
        <w:tc>
          <w:tcPr>
            <w:tcW w:w="5520" w:type="dxa"/>
            <w:vAlign w:val="bottom"/>
            <w:tcBorders>
              <w:bottom w:val="single" w:sz="8" w:color="auto"/>
              <w:right w:val="single" w:sz="8" w:color="auto"/>
            </w:tcBorders>
            <w:gridSpan w:val="2"/>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5540" w:type="dxa"/>
            <w:vAlign w:val="bottom"/>
            <w:tcBorders>
              <w:left w:val="single" w:sz="8" w:color="auto"/>
              <w:right w:val="single" w:sz="8" w:color="auto"/>
            </w:tcBorders>
            <w:gridSpan w:val="2"/>
          </w:tcPr>
          <w:p>
            <w:pPr>
              <w:ind w:left="40"/>
              <w:spacing w:after="0"/>
              <w:rPr>
                <w:sz w:val="20"/>
                <w:szCs w:val="20"/>
                <w:color w:val="auto"/>
              </w:rPr>
            </w:pPr>
            <w:r>
              <w:rPr>
                <w:rFonts w:ascii="Arial" w:cs="Arial" w:eastAsia="Arial" w:hAnsi="Arial"/>
                <w:sz w:val="13"/>
                <w:szCs w:val="13"/>
                <w:b w:val="1"/>
                <w:bCs w:val="1"/>
                <w:color w:val="auto"/>
              </w:rPr>
              <w:t>Art. 18  Votes on Compensation</w:t>
            </w:r>
          </w:p>
        </w:tc>
        <w:tc>
          <w:tcPr>
            <w:tcW w:w="240" w:type="dxa"/>
            <w:vAlign w:val="bottom"/>
            <w:tcBorders>
              <w:right w:val="single" w:sz="8" w:color="auto"/>
            </w:tcBorders>
          </w:tcPr>
          <w:p>
            <w:pPr>
              <w:spacing w:after="0"/>
              <w:rPr>
                <w:sz w:val="15"/>
                <w:szCs w:val="15"/>
                <w:color w:val="auto"/>
              </w:rPr>
            </w:pPr>
          </w:p>
        </w:tc>
        <w:tc>
          <w:tcPr>
            <w:tcW w:w="5520" w:type="dxa"/>
            <w:vAlign w:val="bottom"/>
            <w:tcBorders>
              <w:right w:val="single" w:sz="8" w:color="auto"/>
            </w:tcBorders>
            <w:gridSpan w:val="2"/>
          </w:tcPr>
          <w:p>
            <w:pPr>
              <w:ind w:left="20"/>
              <w:spacing w:after="0"/>
              <w:rPr>
                <w:sz w:val="20"/>
                <w:szCs w:val="20"/>
                <w:color w:val="auto"/>
              </w:rPr>
            </w:pPr>
            <w:r>
              <w:rPr>
                <w:rFonts w:ascii="Arial" w:cs="Arial" w:eastAsia="Arial" w:hAnsi="Arial"/>
                <w:sz w:val="13"/>
                <w:szCs w:val="13"/>
                <w:b w:val="1"/>
                <w:bCs w:val="1"/>
                <w:color w:val="auto"/>
              </w:rPr>
              <w:t>Art. 18  Votes sur la rémunération</w:t>
            </w:r>
          </w:p>
        </w:tc>
        <w:tc>
          <w:tcPr>
            <w:tcW w:w="0" w:type="dxa"/>
            <w:vAlign w:val="bottom"/>
          </w:tcPr>
          <w:p>
            <w:pPr>
              <w:spacing w:after="0"/>
              <w:rPr>
                <w:sz w:val="1"/>
                <w:szCs w:val="1"/>
                <w:color w:val="auto"/>
              </w:rPr>
            </w:pPr>
          </w:p>
        </w:tc>
      </w:tr>
      <w:tr>
        <w:trPr>
          <w:trHeight w:val="258"/>
        </w:trPr>
        <w:tc>
          <w:tcPr>
            <w:tcW w:w="5540" w:type="dxa"/>
            <w:vAlign w:val="bottom"/>
            <w:tcBorders>
              <w:left w:val="single" w:sz="8" w:color="auto"/>
              <w:right w:val="single" w:sz="8" w:color="auto"/>
            </w:tcBorders>
            <w:gridSpan w:val="2"/>
          </w:tcPr>
          <w:p>
            <w:pPr>
              <w:ind w:left="40"/>
              <w:spacing w:after="0"/>
              <w:rPr>
                <w:sz w:val="20"/>
                <w:szCs w:val="20"/>
                <w:color w:val="auto"/>
              </w:rPr>
            </w:pPr>
            <w:r>
              <w:rPr>
                <w:rFonts w:ascii="Arial" w:cs="Arial" w:eastAsia="Arial" w:hAnsi="Arial"/>
                <w:sz w:val="13"/>
                <w:szCs w:val="13"/>
                <w:color w:val="auto"/>
              </w:rPr>
              <w:t>The General Meeting shall approve annually and separately the proposals of the Board of</w:t>
            </w:r>
          </w:p>
        </w:tc>
        <w:tc>
          <w:tcPr>
            <w:tcW w:w="240" w:type="dxa"/>
            <w:vAlign w:val="bottom"/>
            <w:tcBorders>
              <w:right w:val="single" w:sz="8" w:color="auto"/>
            </w:tcBorders>
          </w:tcPr>
          <w:p>
            <w:pPr>
              <w:spacing w:after="0"/>
              <w:rPr>
                <w:sz w:val="22"/>
                <w:szCs w:val="22"/>
                <w:color w:val="auto"/>
              </w:rPr>
            </w:pPr>
          </w:p>
        </w:tc>
        <w:tc>
          <w:tcPr>
            <w:tcW w:w="5520" w:type="dxa"/>
            <w:vAlign w:val="bottom"/>
            <w:tcBorders>
              <w:right w:val="single" w:sz="8" w:color="auto"/>
            </w:tcBorders>
            <w:gridSpan w:val="2"/>
          </w:tcPr>
          <w:p>
            <w:pPr>
              <w:ind w:left="20"/>
              <w:spacing w:after="0"/>
              <w:rPr>
                <w:sz w:val="20"/>
                <w:szCs w:val="20"/>
                <w:color w:val="auto"/>
              </w:rPr>
            </w:pPr>
            <w:r>
              <w:rPr>
                <w:rFonts w:ascii="Arial" w:cs="Arial" w:eastAsia="Arial" w:hAnsi="Arial"/>
                <w:sz w:val="13"/>
                <w:szCs w:val="13"/>
                <w:color w:val="auto"/>
              </w:rPr>
              <w:t>L'assemblée générale approuve annuellement et séparément les propositions du conseil</w:t>
            </w:r>
          </w:p>
        </w:tc>
        <w:tc>
          <w:tcPr>
            <w:tcW w:w="0" w:type="dxa"/>
            <w:vAlign w:val="bottom"/>
          </w:tcPr>
          <w:p>
            <w:pPr>
              <w:spacing w:after="0"/>
              <w:rPr>
                <w:sz w:val="1"/>
                <w:szCs w:val="1"/>
                <w:color w:val="auto"/>
              </w:rPr>
            </w:pPr>
          </w:p>
        </w:tc>
      </w:tr>
      <w:tr>
        <w:trPr>
          <w:trHeight w:val="168"/>
        </w:trPr>
        <w:tc>
          <w:tcPr>
            <w:tcW w:w="5540" w:type="dxa"/>
            <w:vAlign w:val="bottom"/>
            <w:tcBorders>
              <w:left w:val="single" w:sz="8" w:color="auto"/>
              <w:right w:val="single" w:sz="8" w:color="auto"/>
            </w:tcBorders>
            <w:gridSpan w:val="2"/>
          </w:tcPr>
          <w:p>
            <w:pPr>
              <w:ind w:left="40"/>
              <w:spacing w:after="0"/>
              <w:rPr>
                <w:sz w:val="20"/>
                <w:szCs w:val="20"/>
                <w:color w:val="auto"/>
              </w:rPr>
            </w:pPr>
            <w:r>
              <w:rPr>
                <w:rFonts w:ascii="Arial" w:cs="Arial" w:eastAsia="Arial" w:hAnsi="Arial"/>
                <w:sz w:val="13"/>
                <w:szCs w:val="13"/>
                <w:color w:val="auto"/>
              </w:rPr>
              <w:t>Directors in relation to the maximum aggregate amount of:</w:t>
            </w:r>
          </w:p>
        </w:tc>
        <w:tc>
          <w:tcPr>
            <w:tcW w:w="240" w:type="dxa"/>
            <w:vAlign w:val="bottom"/>
            <w:tcBorders>
              <w:right w:val="single" w:sz="8" w:color="auto"/>
            </w:tcBorders>
          </w:tcPr>
          <w:p>
            <w:pPr>
              <w:spacing w:after="0"/>
              <w:rPr>
                <w:sz w:val="14"/>
                <w:szCs w:val="14"/>
                <w:color w:val="auto"/>
              </w:rPr>
            </w:pPr>
          </w:p>
        </w:tc>
        <w:tc>
          <w:tcPr>
            <w:tcW w:w="5520" w:type="dxa"/>
            <w:vAlign w:val="bottom"/>
            <w:tcBorders>
              <w:right w:val="single" w:sz="8" w:color="auto"/>
            </w:tcBorders>
            <w:gridSpan w:val="2"/>
          </w:tcPr>
          <w:p>
            <w:pPr>
              <w:ind w:left="20"/>
              <w:spacing w:after="0"/>
              <w:rPr>
                <w:sz w:val="20"/>
                <w:szCs w:val="20"/>
                <w:color w:val="auto"/>
              </w:rPr>
            </w:pPr>
            <w:r>
              <w:rPr>
                <w:rFonts w:ascii="Arial" w:cs="Arial" w:eastAsia="Arial" w:hAnsi="Arial"/>
                <w:sz w:val="13"/>
                <w:szCs w:val="13"/>
                <w:color w:val="auto"/>
              </w:rPr>
              <w:t>d’administration relatives au montant global maximal de:</w:t>
            </w:r>
          </w:p>
        </w:tc>
        <w:tc>
          <w:tcPr>
            <w:tcW w:w="0" w:type="dxa"/>
            <w:vAlign w:val="bottom"/>
          </w:tcPr>
          <w:p>
            <w:pPr>
              <w:spacing w:after="0"/>
              <w:rPr>
                <w:sz w:val="1"/>
                <w:szCs w:val="1"/>
                <w:color w:val="auto"/>
              </w:rPr>
            </w:pPr>
          </w:p>
        </w:tc>
      </w:tr>
      <w:tr>
        <w:trPr>
          <w:trHeight w:val="266"/>
        </w:trPr>
        <w:tc>
          <w:tcPr>
            <w:tcW w:w="220" w:type="dxa"/>
            <w:vAlign w:val="bottom"/>
            <w:tcBorders>
              <w:left w:val="single" w:sz="8" w:color="auto"/>
            </w:tcBorders>
          </w:tcPr>
          <w:p>
            <w:pPr>
              <w:ind w:left="40"/>
              <w:spacing w:after="0"/>
              <w:rPr>
                <w:sz w:val="20"/>
                <w:szCs w:val="20"/>
                <w:color w:val="auto"/>
              </w:rPr>
            </w:pPr>
            <w:r>
              <w:rPr>
                <w:rFonts w:ascii="Arial" w:cs="Arial" w:eastAsia="Arial" w:hAnsi="Arial"/>
                <w:sz w:val="13"/>
                <w:szCs w:val="13"/>
                <w:color w:val="auto"/>
              </w:rPr>
              <w:t>a)</w:t>
            </w:r>
          </w:p>
        </w:tc>
        <w:tc>
          <w:tcPr>
            <w:tcW w:w="5320" w:type="dxa"/>
            <w:vAlign w:val="bottom"/>
            <w:tcBorders>
              <w:right w:val="single" w:sz="8" w:color="auto"/>
            </w:tcBorders>
          </w:tcPr>
          <w:p>
            <w:pPr>
              <w:ind w:left="160"/>
              <w:spacing w:after="0"/>
              <w:rPr>
                <w:sz w:val="20"/>
                <w:szCs w:val="20"/>
                <w:color w:val="auto"/>
              </w:rPr>
            </w:pPr>
            <w:r>
              <w:rPr>
                <w:rFonts w:ascii="Arial" w:cs="Arial" w:eastAsia="Arial" w:hAnsi="Arial"/>
                <w:sz w:val="13"/>
                <w:szCs w:val="13"/>
                <w:color w:val="auto"/>
              </w:rPr>
              <w:t>compensation of the Board of Directors for the period until the next Ordinary General</w:t>
            </w:r>
          </w:p>
        </w:tc>
        <w:tc>
          <w:tcPr>
            <w:tcW w:w="240" w:type="dxa"/>
            <w:vAlign w:val="bottom"/>
            <w:tcBorders>
              <w:right w:val="single" w:sz="8" w:color="auto"/>
            </w:tcBorders>
          </w:tcPr>
          <w:p>
            <w:pPr>
              <w:spacing w:after="0"/>
              <w:rPr>
                <w:sz w:val="23"/>
                <w:szCs w:val="23"/>
                <w:color w:val="auto"/>
              </w:rPr>
            </w:pPr>
          </w:p>
        </w:tc>
        <w:tc>
          <w:tcPr>
            <w:tcW w:w="180" w:type="dxa"/>
            <w:vAlign w:val="bottom"/>
          </w:tcPr>
          <w:p>
            <w:pPr>
              <w:ind w:left="20"/>
              <w:spacing w:after="0"/>
              <w:rPr>
                <w:sz w:val="20"/>
                <w:szCs w:val="20"/>
                <w:color w:val="auto"/>
              </w:rPr>
            </w:pPr>
            <w:r>
              <w:rPr>
                <w:rFonts w:ascii="Arial" w:cs="Arial" w:eastAsia="Arial" w:hAnsi="Arial"/>
                <w:sz w:val="13"/>
                <w:szCs w:val="13"/>
                <w:color w:val="auto"/>
              </w:rPr>
              <w:t>a)</w:t>
            </w:r>
          </w:p>
        </w:tc>
        <w:tc>
          <w:tcPr>
            <w:tcW w:w="5340" w:type="dxa"/>
            <w:vAlign w:val="bottom"/>
            <w:tcBorders>
              <w:right w:val="single" w:sz="8" w:color="auto"/>
            </w:tcBorders>
          </w:tcPr>
          <w:p>
            <w:pPr>
              <w:jc w:val="right"/>
              <w:spacing w:after="0"/>
              <w:rPr>
                <w:sz w:val="20"/>
                <w:szCs w:val="20"/>
                <w:color w:val="auto"/>
              </w:rPr>
            </w:pPr>
            <w:r>
              <w:rPr>
                <w:rFonts w:ascii="Arial" w:cs="Arial" w:eastAsia="Arial" w:hAnsi="Arial"/>
                <w:sz w:val="13"/>
                <w:szCs w:val="13"/>
                <w:color w:val="auto"/>
              </w:rPr>
              <w:t>la rémunération du conseil d'administration pour la période allant jusqu'à l'assemblée</w:t>
            </w:r>
          </w:p>
        </w:tc>
        <w:tc>
          <w:tcPr>
            <w:tcW w:w="0" w:type="dxa"/>
            <w:vAlign w:val="bottom"/>
          </w:tcPr>
          <w:p>
            <w:pPr>
              <w:spacing w:after="0"/>
              <w:rPr>
                <w:sz w:val="1"/>
                <w:szCs w:val="1"/>
                <w:color w:val="auto"/>
              </w:rPr>
            </w:pPr>
          </w:p>
        </w:tc>
      </w:tr>
      <w:tr>
        <w:trPr>
          <w:trHeight w:val="168"/>
        </w:trPr>
        <w:tc>
          <w:tcPr>
            <w:tcW w:w="220" w:type="dxa"/>
            <w:vAlign w:val="bottom"/>
            <w:tcBorders>
              <w:left w:val="single" w:sz="8" w:color="auto"/>
            </w:tcBorders>
          </w:tcPr>
          <w:p>
            <w:pPr>
              <w:spacing w:after="0"/>
              <w:rPr>
                <w:sz w:val="14"/>
                <w:szCs w:val="14"/>
                <w:color w:val="auto"/>
              </w:rPr>
            </w:pPr>
          </w:p>
        </w:tc>
        <w:tc>
          <w:tcPr>
            <w:tcW w:w="5320" w:type="dxa"/>
            <w:vAlign w:val="bottom"/>
            <w:tcBorders>
              <w:right w:val="single" w:sz="8" w:color="auto"/>
            </w:tcBorders>
          </w:tcPr>
          <w:p>
            <w:pPr>
              <w:ind w:left="80"/>
              <w:spacing w:after="0"/>
              <w:rPr>
                <w:sz w:val="20"/>
                <w:szCs w:val="20"/>
                <w:color w:val="auto"/>
              </w:rPr>
            </w:pPr>
            <w:r>
              <w:rPr>
                <w:rFonts w:ascii="Arial" w:cs="Arial" w:eastAsia="Arial" w:hAnsi="Arial"/>
                <w:sz w:val="13"/>
                <w:szCs w:val="13"/>
                <w:color w:val="auto"/>
              </w:rPr>
              <w:t>Meeting;</w:t>
            </w:r>
          </w:p>
        </w:tc>
        <w:tc>
          <w:tcPr>
            <w:tcW w:w="240" w:type="dxa"/>
            <w:vAlign w:val="bottom"/>
            <w:tcBorders>
              <w:right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5340" w:type="dxa"/>
            <w:vAlign w:val="bottom"/>
            <w:tcBorders>
              <w:right w:val="single" w:sz="8" w:color="auto"/>
            </w:tcBorders>
          </w:tcPr>
          <w:p>
            <w:pPr>
              <w:ind w:left="60"/>
              <w:spacing w:after="0"/>
              <w:rPr>
                <w:sz w:val="20"/>
                <w:szCs w:val="20"/>
                <w:color w:val="auto"/>
              </w:rPr>
            </w:pPr>
            <w:r>
              <w:rPr>
                <w:rFonts w:ascii="Arial" w:cs="Arial" w:eastAsia="Arial" w:hAnsi="Arial"/>
                <w:sz w:val="13"/>
                <w:szCs w:val="13"/>
                <w:color w:val="auto"/>
              </w:rPr>
              <w:t>générale ordinaire suivante;</w:t>
            </w:r>
          </w:p>
        </w:tc>
        <w:tc>
          <w:tcPr>
            <w:tcW w:w="0" w:type="dxa"/>
            <w:vAlign w:val="bottom"/>
          </w:tcPr>
          <w:p>
            <w:pPr>
              <w:spacing w:after="0"/>
              <w:rPr>
                <w:sz w:val="1"/>
                <w:szCs w:val="1"/>
                <w:color w:val="auto"/>
              </w:rPr>
            </w:pPr>
          </w:p>
        </w:tc>
      </w:tr>
      <w:tr>
        <w:trPr>
          <w:trHeight w:val="290"/>
        </w:trPr>
        <w:tc>
          <w:tcPr>
            <w:tcW w:w="5540" w:type="dxa"/>
            <w:vAlign w:val="bottom"/>
            <w:tcBorders>
              <w:left w:val="single" w:sz="8" w:color="auto"/>
              <w:right w:val="single" w:sz="8" w:color="auto"/>
            </w:tcBorders>
            <w:gridSpan w:val="2"/>
          </w:tcPr>
          <w:p>
            <w:pPr>
              <w:ind w:left="40"/>
              <w:spacing w:after="0"/>
              <w:rPr>
                <w:sz w:val="20"/>
                <w:szCs w:val="20"/>
                <w:color w:val="auto"/>
              </w:rPr>
            </w:pPr>
            <w:r>
              <w:rPr>
                <w:rFonts w:ascii="Arial" w:cs="Arial" w:eastAsia="Arial" w:hAnsi="Arial"/>
                <w:sz w:val="13"/>
                <w:szCs w:val="13"/>
                <w:color w:val="auto"/>
              </w:rPr>
              <w:t>b)  compensation of the Executive Committee for the following financial year.</w:t>
            </w:r>
          </w:p>
        </w:tc>
        <w:tc>
          <w:tcPr>
            <w:tcW w:w="240" w:type="dxa"/>
            <w:vAlign w:val="bottom"/>
            <w:tcBorders>
              <w:right w:val="single" w:sz="8" w:color="auto"/>
            </w:tcBorders>
          </w:tcPr>
          <w:p>
            <w:pPr>
              <w:spacing w:after="0"/>
              <w:rPr>
                <w:sz w:val="24"/>
                <w:szCs w:val="24"/>
                <w:color w:val="auto"/>
              </w:rPr>
            </w:pPr>
          </w:p>
        </w:tc>
        <w:tc>
          <w:tcPr>
            <w:tcW w:w="5520" w:type="dxa"/>
            <w:vAlign w:val="bottom"/>
            <w:tcBorders>
              <w:right w:val="single" w:sz="8" w:color="auto"/>
            </w:tcBorders>
            <w:gridSpan w:val="2"/>
          </w:tcPr>
          <w:p>
            <w:pPr>
              <w:ind w:left="20"/>
              <w:spacing w:after="0"/>
              <w:rPr>
                <w:sz w:val="20"/>
                <w:szCs w:val="20"/>
                <w:color w:val="auto"/>
              </w:rPr>
            </w:pPr>
            <w:r>
              <w:rPr>
                <w:rFonts w:ascii="Arial" w:cs="Arial" w:eastAsia="Arial" w:hAnsi="Arial"/>
                <w:sz w:val="13"/>
                <w:szCs w:val="13"/>
                <w:color w:val="auto"/>
              </w:rPr>
              <w:t>b)  la rémunération du comité exécutif pour l’exercice annuel suivant.</w:t>
            </w:r>
          </w:p>
        </w:tc>
        <w:tc>
          <w:tcPr>
            <w:tcW w:w="0" w:type="dxa"/>
            <w:vAlign w:val="bottom"/>
          </w:tcPr>
          <w:p>
            <w:pPr>
              <w:spacing w:after="0"/>
              <w:rPr>
                <w:sz w:val="1"/>
                <w:szCs w:val="1"/>
                <w:color w:val="auto"/>
              </w:rPr>
            </w:pPr>
          </w:p>
        </w:tc>
      </w:tr>
      <w:tr>
        <w:trPr>
          <w:trHeight w:val="153"/>
        </w:trPr>
        <w:tc>
          <w:tcPr>
            <w:tcW w:w="5540" w:type="dxa"/>
            <w:vAlign w:val="bottom"/>
            <w:tcBorders>
              <w:left w:val="single" w:sz="8" w:color="auto"/>
              <w:bottom w:val="single" w:sz="8" w:color="auto"/>
              <w:right w:val="single" w:sz="8" w:color="auto"/>
            </w:tcBorders>
            <w:gridSpan w:val="2"/>
          </w:tcPr>
          <w:p>
            <w:pPr>
              <w:spacing w:after="0"/>
              <w:rPr>
                <w:sz w:val="13"/>
                <w:szCs w:val="13"/>
                <w:color w:val="auto"/>
              </w:rPr>
            </w:pPr>
          </w:p>
        </w:tc>
        <w:tc>
          <w:tcPr>
            <w:tcW w:w="240" w:type="dxa"/>
            <w:vAlign w:val="bottom"/>
            <w:tcBorders>
              <w:bottom w:val="single" w:sz="8" w:color="auto"/>
              <w:right w:val="single" w:sz="8" w:color="auto"/>
            </w:tcBorders>
          </w:tcPr>
          <w:p>
            <w:pPr>
              <w:spacing w:after="0"/>
              <w:rPr>
                <w:sz w:val="13"/>
                <w:szCs w:val="13"/>
                <w:color w:val="auto"/>
              </w:rPr>
            </w:pPr>
          </w:p>
        </w:tc>
        <w:tc>
          <w:tcPr>
            <w:tcW w:w="5520" w:type="dxa"/>
            <w:vAlign w:val="bottom"/>
            <w:tcBorders>
              <w:bottom w:val="single" w:sz="8" w:color="auto"/>
              <w:right w:val="single" w:sz="8" w:color="auto"/>
            </w:tcBorders>
            <w:gridSpan w:val="2"/>
          </w:tcPr>
          <w:p>
            <w:pPr>
              <w:spacing w:after="0"/>
              <w:rPr>
                <w:sz w:val="13"/>
                <w:szCs w:val="13"/>
                <w:color w:val="auto"/>
              </w:rPr>
            </w:pPr>
          </w:p>
        </w:tc>
        <w:tc>
          <w:tcPr>
            <w:tcW w:w="0" w:type="dxa"/>
            <w:vAlign w:val="bottom"/>
          </w:tcPr>
          <w:p>
            <w:pPr>
              <w:spacing w:after="0"/>
              <w:rPr>
                <w:sz w:val="1"/>
                <w:szCs w:val="1"/>
                <w:color w:val="auto"/>
              </w:rPr>
            </w:pPr>
          </w:p>
        </w:tc>
      </w:tr>
      <w:tr>
        <w:trPr>
          <w:trHeight w:val="141"/>
        </w:trPr>
        <w:tc>
          <w:tcPr>
            <w:tcW w:w="5540" w:type="dxa"/>
            <w:vAlign w:val="bottom"/>
            <w:tcBorders>
              <w:left w:val="single" w:sz="8" w:color="auto"/>
              <w:right w:val="single" w:sz="8" w:color="auto"/>
            </w:tcBorders>
            <w:gridSpan w:val="2"/>
          </w:tcPr>
          <w:p>
            <w:pPr>
              <w:ind w:left="40"/>
              <w:spacing w:after="0" w:line="141" w:lineRule="exact"/>
              <w:rPr>
                <w:sz w:val="20"/>
                <w:szCs w:val="20"/>
                <w:color w:val="auto"/>
              </w:rPr>
            </w:pPr>
            <w:r>
              <w:rPr>
                <w:rFonts w:ascii="Arial" w:cs="Arial" w:eastAsia="Arial" w:hAnsi="Arial"/>
                <w:sz w:val="13"/>
                <w:szCs w:val="13"/>
                <w:color w:val="auto"/>
              </w:rPr>
              <w:t>The respective total compensation amounts include social security and occupational pension</w:t>
            </w:r>
          </w:p>
        </w:tc>
        <w:tc>
          <w:tcPr>
            <w:tcW w:w="240" w:type="dxa"/>
            <w:vAlign w:val="bottom"/>
            <w:tcBorders>
              <w:right w:val="single" w:sz="8" w:color="auto"/>
            </w:tcBorders>
          </w:tcPr>
          <w:p>
            <w:pPr>
              <w:spacing w:after="0"/>
              <w:rPr>
                <w:sz w:val="12"/>
                <w:szCs w:val="12"/>
                <w:color w:val="auto"/>
              </w:rPr>
            </w:pPr>
          </w:p>
        </w:tc>
        <w:tc>
          <w:tcPr>
            <w:tcW w:w="5520" w:type="dxa"/>
            <w:vAlign w:val="bottom"/>
            <w:tcBorders>
              <w:right w:val="single" w:sz="8" w:color="auto"/>
            </w:tcBorders>
            <w:gridSpan w:val="2"/>
          </w:tcPr>
          <w:p>
            <w:pPr>
              <w:ind w:left="20"/>
              <w:spacing w:after="0" w:line="141" w:lineRule="exact"/>
              <w:rPr>
                <w:sz w:val="20"/>
                <w:szCs w:val="20"/>
                <w:color w:val="auto"/>
              </w:rPr>
            </w:pPr>
            <w:r>
              <w:rPr>
                <w:rFonts w:ascii="Arial" w:cs="Arial" w:eastAsia="Arial" w:hAnsi="Arial"/>
                <w:sz w:val="13"/>
                <w:szCs w:val="13"/>
                <w:color w:val="auto"/>
              </w:rPr>
              <w:t>Les montants totaux de rémunération respectifs comprennent la sécurité sociale et les</w:t>
            </w:r>
          </w:p>
        </w:tc>
        <w:tc>
          <w:tcPr>
            <w:tcW w:w="0" w:type="dxa"/>
            <w:vAlign w:val="bottom"/>
          </w:tcPr>
          <w:p>
            <w:pPr>
              <w:spacing w:after="0"/>
              <w:rPr>
                <w:sz w:val="1"/>
                <w:szCs w:val="1"/>
                <w:color w:val="auto"/>
              </w:rPr>
            </w:pPr>
          </w:p>
        </w:tc>
      </w:tr>
      <w:tr>
        <w:trPr>
          <w:trHeight w:val="145"/>
        </w:trPr>
        <w:tc>
          <w:tcPr>
            <w:tcW w:w="5540" w:type="dxa"/>
            <w:vAlign w:val="bottom"/>
            <w:tcBorders>
              <w:left w:val="single" w:sz="8" w:color="auto"/>
              <w:right w:val="single" w:sz="8" w:color="auto"/>
            </w:tcBorders>
            <w:gridSpan w:val="2"/>
          </w:tcPr>
          <w:p>
            <w:pPr>
              <w:ind w:left="40"/>
              <w:spacing w:after="0" w:line="145" w:lineRule="exact"/>
              <w:rPr>
                <w:sz w:val="20"/>
                <w:szCs w:val="20"/>
                <w:color w:val="auto"/>
              </w:rPr>
            </w:pPr>
            <w:r>
              <w:rPr>
                <w:rFonts w:ascii="Arial" w:cs="Arial" w:eastAsia="Arial" w:hAnsi="Arial"/>
                <w:sz w:val="13"/>
                <w:szCs w:val="13"/>
                <w:color w:val="auto"/>
                <w:w w:val="99"/>
              </w:rPr>
              <w:t>contributions for the benefit of the members of the Board of Directors, the Executive Committee</w:t>
            </w:r>
          </w:p>
        </w:tc>
        <w:tc>
          <w:tcPr>
            <w:tcW w:w="240" w:type="dxa"/>
            <w:vAlign w:val="bottom"/>
            <w:tcBorders>
              <w:right w:val="single" w:sz="8" w:color="auto"/>
            </w:tcBorders>
          </w:tcPr>
          <w:p>
            <w:pPr>
              <w:spacing w:after="0"/>
              <w:rPr>
                <w:sz w:val="12"/>
                <w:szCs w:val="12"/>
                <w:color w:val="auto"/>
              </w:rPr>
            </w:pPr>
          </w:p>
        </w:tc>
        <w:tc>
          <w:tcPr>
            <w:tcW w:w="5520" w:type="dxa"/>
            <w:vAlign w:val="bottom"/>
            <w:tcBorders>
              <w:right w:val="single" w:sz="8" w:color="auto"/>
            </w:tcBorders>
            <w:gridSpan w:val="2"/>
          </w:tcPr>
          <w:p>
            <w:pPr>
              <w:ind w:left="20"/>
              <w:spacing w:after="0" w:line="145" w:lineRule="exact"/>
              <w:rPr>
                <w:sz w:val="20"/>
                <w:szCs w:val="20"/>
                <w:color w:val="auto"/>
              </w:rPr>
            </w:pPr>
            <w:r>
              <w:rPr>
                <w:rFonts w:ascii="Arial" w:cs="Arial" w:eastAsia="Arial" w:hAnsi="Arial"/>
                <w:sz w:val="13"/>
                <w:szCs w:val="13"/>
                <w:color w:val="auto"/>
              </w:rPr>
              <w:t>cotisations de retraite professionnelle au profit des membres du conseil d'administration, du</w:t>
            </w:r>
          </w:p>
        </w:tc>
        <w:tc>
          <w:tcPr>
            <w:tcW w:w="0" w:type="dxa"/>
            <w:vAlign w:val="bottom"/>
          </w:tcPr>
          <w:p>
            <w:pPr>
              <w:spacing w:after="0"/>
              <w:rPr>
                <w:sz w:val="1"/>
                <w:szCs w:val="1"/>
                <w:color w:val="auto"/>
              </w:rPr>
            </w:pPr>
          </w:p>
        </w:tc>
      </w:tr>
      <w:tr>
        <w:trPr>
          <w:trHeight w:val="173"/>
        </w:trPr>
        <w:tc>
          <w:tcPr>
            <w:tcW w:w="5540" w:type="dxa"/>
            <w:vAlign w:val="bottom"/>
            <w:tcBorders>
              <w:left w:val="single" w:sz="8" w:color="auto"/>
              <w:bottom w:val="single" w:sz="8" w:color="auto"/>
              <w:right w:val="single" w:sz="8" w:color="auto"/>
            </w:tcBorders>
            <w:gridSpan w:val="2"/>
          </w:tcPr>
          <w:p>
            <w:pPr>
              <w:ind w:left="40"/>
              <w:spacing w:after="0"/>
              <w:rPr>
                <w:sz w:val="20"/>
                <w:szCs w:val="20"/>
                <w:color w:val="auto"/>
              </w:rPr>
            </w:pPr>
            <w:r>
              <w:rPr>
                <w:rFonts w:ascii="Arial" w:cs="Arial" w:eastAsia="Arial" w:hAnsi="Arial"/>
                <w:sz w:val="13"/>
                <w:szCs w:val="13"/>
                <w:color w:val="auto"/>
              </w:rPr>
              <w:t>and the Company.</w:t>
            </w:r>
          </w:p>
        </w:tc>
        <w:tc>
          <w:tcPr>
            <w:tcW w:w="240" w:type="dxa"/>
            <w:vAlign w:val="bottom"/>
            <w:tcBorders>
              <w:bottom w:val="single" w:sz="8" w:color="auto"/>
              <w:right w:val="single" w:sz="8" w:color="auto"/>
            </w:tcBorders>
          </w:tcPr>
          <w:p>
            <w:pPr>
              <w:spacing w:after="0"/>
              <w:rPr>
                <w:sz w:val="15"/>
                <w:szCs w:val="15"/>
                <w:color w:val="auto"/>
              </w:rPr>
            </w:pPr>
          </w:p>
        </w:tc>
        <w:tc>
          <w:tcPr>
            <w:tcW w:w="5520" w:type="dxa"/>
            <w:vAlign w:val="bottom"/>
            <w:tcBorders>
              <w:bottom w:val="single" w:sz="8" w:color="auto"/>
              <w:right w:val="single" w:sz="8" w:color="auto"/>
            </w:tcBorders>
            <w:gridSpan w:val="2"/>
          </w:tcPr>
          <w:p>
            <w:pPr>
              <w:ind w:left="20"/>
              <w:spacing w:after="0"/>
              <w:rPr>
                <w:sz w:val="20"/>
                <w:szCs w:val="20"/>
                <w:color w:val="auto"/>
              </w:rPr>
            </w:pPr>
            <w:r>
              <w:rPr>
                <w:rFonts w:ascii="Arial" w:cs="Arial" w:eastAsia="Arial" w:hAnsi="Arial"/>
                <w:sz w:val="13"/>
                <w:szCs w:val="13"/>
                <w:color w:val="auto"/>
              </w:rPr>
              <w:t>comité exécutif et de la société.</w:t>
            </w:r>
          </w:p>
        </w:tc>
        <w:tc>
          <w:tcPr>
            <w:tcW w:w="0" w:type="dxa"/>
            <w:vAlign w:val="bottom"/>
          </w:tcPr>
          <w:p>
            <w:pPr>
              <w:spacing w:after="0"/>
              <w:rPr>
                <w:sz w:val="1"/>
                <w:szCs w:val="1"/>
                <w:color w:val="auto"/>
              </w:rPr>
            </w:pPr>
          </w:p>
        </w:tc>
      </w:tr>
    </w:tbl>
    <w:p>
      <w:pPr>
        <w:spacing w:after="0" w:line="59"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5"/>
          <w:szCs w:val="15"/>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12700</wp:posOffset>
            </wp:positionV>
            <wp:extent cx="7171690" cy="635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71690" cy="6350"/>
                    </a:xfrm>
                    <a:prstGeom prst="rect">
                      <a:avLst/>
                    </a:prstGeom>
                    <a:noFill/>
                  </pic:spPr>
                </pic:pic>
              </a:graphicData>
            </a:graphic>
          </wp:anchor>
        </w:drawing>
      </w:r>
    </w:p>
    <w:p>
      <w:pPr>
        <w:sectPr>
          <w:pgSz w:w="11900" w:h="16838" w:orient="portrait"/>
          <w:cols w:equalWidth="0" w:num="1">
            <w:col w:w="11300"/>
          </w:cols>
          <w:pgMar w:left="300" w:top="448" w:right="299" w:bottom="1440" w:gutter="0" w:footer="0" w:header="0"/>
        </w:sectPr>
      </w:pPr>
    </w:p>
    <w:bookmarkStart w:id="73" w:name="page74"/>
    <w:bookmarkEnd w:id="73"/>
    <w:tbl>
      <w:tblPr>
        <w:tblLayout w:type="fixed"/>
        <w:tblInd w:w="10" w:type="dxa"/>
        <w:tblCellMar>
          <w:top w:w="0" w:type="dxa"/>
          <w:left w:w="0" w:type="dxa"/>
          <w:bottom w:w="0" w:type="dxa"/>
          <w:right w:w="0" w:type="dxa"/>
        </w:tblCellMar>
      </w:tblPr>
      <w:tr>
        <w:trPr>
          <w:trHeight w:val="161"/>
        </w:trPr>
        <w:tc>
          <w:tcPr>
            <w:tcW w:w="5540" w:type="dxa"/>
            <w:vAlign w:val="bottom"/>
            <w:tcBorders>
              <w:top w:val="single" w:sz="8" w:color="auto"/>
              <w:left w:val="single" w:sz="8" w:color="auto"/>
              <w:right w:val="single" w:sz="8" w:color="auto"/>
            </w:tcBorders>
          </w:tcPr>
          <w:p>
            <w:pPr>
              <w:ind w:left="40"/>
              <w:spacing w:after="0"/>
              <w:rPr>
                <w:sz w:val="20"/>
                <w:szCs w:val="20"/>
                <w:color w:val="auto"/>
              </w:rPr>
            </w:pPr>
            <w:r>
              <w:rPr>
                <w:rFonts w:ascii="Arial" w:cs="Arial" w:eastAsia="Arial" w:hAnsi="Arial"/>
                <w:sz w:val="13"/>
                <w:szCs w:val="13"/>
                <w:color w:val="auto"/>
              </w:rPr>
              <w:t>If the General Meeting refuses to approve a respective motion by the Board of Directors, the</w:t>
            </w:r>
          </w:p>
        </w:tc>
        <w:tc>
          <w:tcPr>
            <w:tcW w:w="240" w:type="dxa"/>
            <w:vAlign w:val="bottom"/>
            <w:tcBorders>
              <w:top w:val="single" w:sz="8" w:color="auto"/>
              <w:right w:val="single" w:sz="8" w:color="auto"/>
            </w:tcBorders>
          </w:tcPr>
          <w:p>
            <w:pPr>
              <w:spacing w:after="0"/>
              <w:rPr>
                <w:sz w:val="14"/>
                <w:szCs w:val="14"/>
                <w:color w:val="auto"/>
              </w:rPr>
            </w:pPr>
          </w:p>
        </w:tc>
        <w:tc>
          <w:tcPr>
            <w:tcW w:w="5520" w:type="dxa"/>
            <w:vAlign w:val="bottom"/>
            <w:tcBorders>
              <w:top w:val="single" w:sz="8" w:color="auto"/>
              <w:right w:val="single" w:sz="8" w:color="auto"/>
            </w:tcBorders>
          </w:tcPr>
          <w:p>
            <w:pPr>
              <w:ind w:left="20"/>
              <w:spacing w:after="0"/>
              <w:rPr>
                <w:sz w:val="20"/>
                <w:szCs w:val="20"/>
                <w:color w:val="auto"/>
              </w:rPr>
            </w:pPr>
            <w:r>
              <w:rPr>
                <w:rFonts w:ascii="Arial" w:cs="Arial" w:eastAsia="Arial" w:hAnsi="Arial"/>
                <w:sz w:val="13"/>
                <w:szCs w:val="13"/>
                <w:color w:val="auto"/>
                <w:w w:val="99"/>
              </w:rPr>
              <w:t>Si l'assemblée générale refuse d'approuver une motion soumise par le conseil d'administration,</w:t>
            </w:r>
          </w:p>
        </w:tc>
      </w:tr>
      <w:tr>
        <w:trPr>
          <w:trHeight w:val="145"/>
        </w:trPr>
        <w:tc>
          <w:tcPr>
            <w:tcW w:w="5540" w:type="dxa"/>
            <w:vAlign w:val="bottom"/>
            <w:tcBorders>
              <w:left w:val="single" w:sz="8" w:color="auto"/>
              <w:right w:val="single" w:sz="8" w:color="auto"/>
            </w:tcBorders>
          </w:tcPr>
          <w:p>
            <w:pPr>
              <w:ind w:left="40"/>
              <w:spacing w:after="0" w:line="145" w:lineRule="exact"/>
              <w:rPr>
                <w:sz w:val="20"/>
                <w:szCs w:val="20"/>
                <w:color w:val="auto"/>
              </w:rPr>
            </w:pPr>
            <w:r>
              <w:rPr>
                <w:rFonts w:ascii="Arial" w:cs="Arial" w:eastAsia="Arial" w:hAnsi="Arial"/>
                <w:sz w:val="13"/>
                <w:szCs w:val="13"/>
                <w:color w:val="auto"/>
              </w:rPr>
              <w:t>Board of Directors may either submit a new motion at the same meeting or determine a</w:t>
            </w:r>
          </w:p>
        </w:tc>
        <w:tc>
          <w:tcPr>
            <w:tcW w:w="240" w:type="dxa"/>
            <w:vAlign w:val="bottom"/>
            <w:tcBorders>
              <w:right w:val="single" w:sz="8" w:color="auto"/>
            </w:tcBorders>
          </w:tcPr>
          <w:p>
            <w:pPr>
              <w:spacing w:after="0"/>
              <w:rPr>
                <w:sz w:val="12"/>
                <w:szCs w:val="12"/>
                <w:color w:val="auto"/>
              </w:rPr>
            </w:pPr>
          </w:p>
        </w:tc>
        <w:tc>
          <w:tcPr>
            <w:tcW w:w="5520" w:type="dxa"/>
            <w:vAlign w:val="bottom"/>
            <w:tcBorders>
              <w:right w:val="single" w:sz="8" w:color="auto"/>
            </w:tcBorders>
          </w:tcPr>
          <w:p>
            <w:pPr>
              <w:ind w:left="20"/>
              <w:spacing w:after="0" w:line="145" w:lineRule="exact"/>
              <w:rPr>
                <w:sz w:val="20"/>
                <w:szCs w:val="20"/>
                <w:color w:val="auto"/>
              </w:rPr>
            </w:pPr>
            <w:r>
              <w:rPr>
                <w:rFonts w:ascii="Arial" w:cs="Arial" w:eastAsia="Arial" w:hAnsi="Arial"/>
                <w:sz w:val="13"/>
                <w:szCs w:val="13"/>
                <w:color w:val="auto"/>
              </w:rPr>
              <w:t>le conseil d'administration peut, soit présenter une nouvelle motion à la même séance ou</w:t>
            </w:r>
          </w:p>
        </w:tc>
      </w:tr>
      <w:tr>
        <w:trPr>
          <w:trHeight w:val="145"/>
        </w:trPr>
        <w:tc>
          <w:tcPr>
            <w:tcW w:w="5540" w:type="dxa"/>
            <w:vAlign w:val="bottom"/>
            <w:tcBorders>
              <w:left w:val="single" w:sz="8" w:color="auto"/>
              <w:right w:val="single" w:sz="8" w:color="auto"/>
            </w:tcBorders>
          </w:tcPr>
          <w:p>
            <w:pPr>
              <w:ind w:left="40"/>
              <w:spacing w:after="0" w:line="145" w:lineRule="exact"/>
              <w:rPr>
                <w:sz w:val="20"/>
                <w:szCs w:val="20"/>
                <w:color w:val="auto"/>
              </w:rPr>
            </w:pPr>
            <w:r>
              <w:rPr>
                <w:rFonts w:ascii="Arial" w:cs="Arial" w:eastAsia="Arial" w:hAnsi="Arial"/>
                <w:sz w:val="13"/>
                <w:szCs w:val="13"/>
                <w:color w:val="auto"/>
              </w:rPr>
              <w:t>maximum total remuneration or several maximum partial remunerations, subject to the relevant</w:t>
            </w:r>
          </w:p>
        </w:tc>
        <w:tc>
          <w:tcPr>
            <w:tcW w:w="240" w:type="dxa"/>
            <w:vAlign w:val="bottom"/>
            <w:tcBorders>
              <w:right w:val="single" w:sz="8" w:color="auto"/>
            </w:tcBorders>
          </w:tcPr>
          <w:p>
            <w:pPr>
              <w:spacing w:after="0"/>
              <w:rPr>
                <w:sz w:val="12"/>
                <w:szCs w:val="12"/>
                <w:color w:val="auto"/>
              </w:rPr>
            </w:pPr>
          </w:p>
        </w:tc>
        <w:tc>
          <w:tcPr>
            <w:tcW w:w="5520" w:type="dxa"/>
            <w:vAlign w:val="bottom"/>
            <w:tcBorders>
              <w:right w:val="single" w:sz="8" w:color="auto"/>
            </w:tcBorders>
          </w:tcPr>
          <w:p>
            <w:pPr>
              <w:ind w:left="20"/>
              <w:spacing w:after="0" w:line="145" w:lineRule="exact"/>
              <w:rPr>
                <w:sz w:val="20"/>
                <w:szCs w:val="20"/>
                <w:color w:val="auto"/>
              </w:rPr>
            </w:pPr>
            <w:r>
              <w:rPr>
                <w:rFonts w:ascii="Arial" w:cs="Arial" w:eastAsia="Arial" w:hAnsi="Arial"/>
                <w:sz w:val="13"/>
                <w:szCs w:val="13"/>
                <w:color w:val="auto"/>
                <w:w w:val="99"/>
              </w:rPr>
              <w:t>déterminer une rémunération maximale totale ou plusieurs rémunérations maximales partielles,</w:t>
            </w:r>
          </w:p>
        </w:tc>
      </w:tr>
      <w:tr>
        <w:trPr>
          <w:trHeight w:val="145"/>
        </w:trPr>
        <w:tc>
          <w:tcPr>
            <w:tcW w:w="5540" w:type="dxa"/>
            <w:vAlign w:val="bottom"/>
            <w:tcBorders>
              <w:left w:val="single" w:sz="8" w:color="auto"/>
              <w:right w:val="single" w:sz="8" w:color="auto"/>
            </w:tcBorders>
          </w:tcPr>
          <w:p>
            <w:pPr>
              <w:ind w:left="40"/>
              <w:spacing w:after="0" w:line="145" w:lineRule="exact"/>
              <w:rPr>
                <w:sz w:val="20"/>
                <w:szCs w:val="20"/>
                <w:color w:val="auto"/>
              </w:rPr>
            </w:pPr>
            <w:r>
              <w:rPr>
                <w:rFonts w:ascii="Arial" w:cs="Arial" w:eastAsia="Arial" w:hAnsi="Arial"/>
                <w:sz w:val="13"/>
                <w:szCs w:val="13"/>
                <w:color w:val="auto"/>
              </w:rPr>
              <w:t>principles of the compensation, or submit a new motion to the next General Meeting for</w:t>
            </w:r>
          </w:p>
        </w:tc>
        <w:tc>
          <w:tcPr>
            <w:tcW w:w="240" w:type="dxa"/>
            <w:vAlign w:val="bottom"/>
            <w:tcBorders>
              <w:right w:val="single" w:sz="8" w:color="auto"/>
            </w:tcBorders>
          </w:tcPr>
          <w:p>
            <w:pPr>
              <w:spacing w:after="0"/>
              <w:rPr>
                <w:sz w:val="12"/>
                <w:szCs w:val="12"/>
                <w:color w:val="auto"/>
              </w:rPr>
            </w:pPr>
          </w:p>
        </w:tc>
        <w:tc>
          <w:tcPr>
            <w:tcW w:w="5520" w:type="dxa"/>
            <w:vAlign w:val="bottom"/>
            <w:tcBorders>
              <w:right w:val="single" w:sz="8" w:color="auto"/>
            </w:tcBorders>
          </w:tcPr>
          <w:p>
            <w:pPr>
              <w:ind w:left="20"/>
              <w:spacing w:after="0" w:line="145" w:lineRule="exact"/>
              <w:rPr>
                <w:sz w:val="20"/>
                <w:szCs w:val="20"/>
                <w:color w:val="auto"/>
              </w:rPr>
            </w:pPr>
            <w:r>
              <w:rPr>
                <w:rFonts w:ascii="Arial" w:cs="Arial" w:eastAsia="Arial" w:hAnsi="Arial"/>
                <w:sz w:val="13"/>
                <w:szCs w:val="13"/>
                <w:color w:val="auto"/>
                <w:w w:val="99"/>
              </w:rPr>
              <w:t>sous réserve des principes concernant la rémunération, soit soumettre une nouvelle motion à la</w:t>
            </w:r>
          </w:p>
        </w:tc>
      </w:tr>
      <w:tr>
        <w:trPr>
          <w:trHeight w:val="145"/>
        </w:trPr>
        <w:tc>
          <w:tcPr>
            <w:tcW w:w="5540" w:type="dxa"/>
            <w:vAlign w:val="bottom"/>
            <w:tcBorders>
              <w:left w:val="single" w:sz="8" w:color="auto"/>
              <w:right w:val="single" w:sz="8" w:color="auto"/>
            </w:tcBorders>
          </w:tcPr>
          <w:p>
            <w:pPr>
              <w:ind w:left="40"/>
              <w:spacing w:after="0" w:line="145" w:lineRule="exact"/>
              <w:rPr>
                <w:sz w:val="20"/>
                <w:szCs w:val="20"/>
                <w:color w:val="auto"/>
              </w:rPr>
            </w:pPr>
            <w:r>
              <w:rPr>
                <w:rFonts w:ascii="Arial" w:cs="Arial" w:eastAsia="Arial" w:hAnsi="Arial"/>
                <w:sz w:val="13"/>
                <w:szCs w:val="13"/>
                <w:color w:val="auto"/>
              </w:rPr>
              <w:t>approval. The Company may pay remunerations within the framework of the maximum total or</w:t>
            </w:r>
          </w:p>
        </w:tc>
        <w:tc>
          <w:tcPr>
            <w:tcW w:w="240" w:type="dxa"/>
            <w:vAlign w:val="bottom"/>
            <w:tcBorders>
              <w:right w:val="single" w:sz="8" w:color="auto"/>
            </w:tcBorders>
          </w:tcPr>
          <w:p>
            <w:pPr>
              <w:spacing w:after="0"/>
              <w:rPr>
                <w:sz w:val="12"/>
                <w:szCs w:val="12"/>
                <w:color w:val="auto"/>
              </w:rPr>
            </w:pPr>
          </w:p>
        </w:tc>
        <w:tc>
          <w:tcPr>
            <w:tcW w:w="5520" w:type="dxa"/>
            <w:vAlign w:val="bottom"/>
            <w:tcBorders>
              <w:right w:val="single" w:sz="8" w:color="auto"/>
            </w:tcBorders>
          </w:tcPr>
          <w:p>
            <w:pPr>
              <w:ind w:left="20"/>
              <w:spacing w:after="0" w:line="145" w:lineRule="exact"/>
              <w:rPr>
                <w:sz w:val="20"/>
                <w:szCs w:val="20"/>
                <w:color w:val="auto"/>
              </w:rPr>
            </w:pPr>
            <w:r>
              <w:rPr>
                <w:rFonts w:ascii="Arial" w:cs="Arial" w:eastAsia="Arial" w:hAnsi="Arial"/>
                <w:sz w:val="13"/>
                <w:szCs w:val="13"/>
                <w:color w:val="auto"/>
              </w:rPr>
              <w:t>prochaine assemblée générale pour approbation. La société peut verser des rémunérations</w:t>
            </w:r>
          </w:p>
        </w:tc>
      </w:tr>
      <w:tr>
        <w:trPr>
          <w:trHeight w:val="145"/>
        </w:trPr>
        <w:tc>
          <w:tcPr>
            <w:tcW w:w="5540" w:type="dxa"/>
            <w:vAlign w:val="bottom"/>
            <w:tcBorders>
              <w:left w:val="single" w:sz="8" w:color="auto"/>
              <w:right w:val="single" w:sz="8" w:color="auto"/>
            </w:tcBorders>
          </w:tcPr>
          <w:p>
            <w:pPr>
              <w:ind w:left="40"/>
              <w:spacing w:after="0" w:line="145" w:lineRule="exact"/>
              <w:rPr>
                <w:sz w:val="20"/>
                <w:szCs w:val="20"/>
                <w:color w:val="auto"/>
              </w:rPr>
            </w:pPr>
            <w:r>
              <w:rPr>
                <w:rFonts w:ascii="Arial" w:cs="Arial" w:eastAsia="Arial" w:hAnsi="Arial"/>
                <w:sz w:val="13"/>
                <w:szCs w:val="13"/>
                <w:color w:val="auto"/>
              </w:rPr>
              <w:t>partial remuneration and subject to the approval by the General Meeting.</w:t>
            </w:r>
          </w:p>
        </w:tc>
        <w:tc>
          <w:tcPr>
            <w:tcW w:w="240" w:type="dxa"/>
            <w:vAlign w:val="bottom"/>
            <w:tcBorders>
              <w:right w:val="single" w:sz="8" w:color="auto"/>
            </w:tcBorders>
          </w:tcPr>
          <w:p>
            <w:pPr>
              <w:spacing w:after="0"/>
              <w:rPr>
                <w:sz w:val="12"/>
                <w:szCs w:val="12"/>
                <w:color w:val="auto"/>
              </w:rPr>
            </w:pPr>
          </w:p>
        </w:tc>
        <w:tc>
          <w:tcPr>
            <w:tcW w:w="5520" w:type="dxa"/>
            <w:vAlign w:val="bottom"/>
            <w:tcBorders>
              <w:right w:val="single" w:sz="8" w:color="auto"/>
            </w:tcBorders>
          </w:tcPr>
          <w:p>
            <w:pPr>
              <w:ind w:left="20"/>
              <w:spacing w:after="0" w:line="145" w:lineRule="exact"/>
              <w:rPr>
                <w:sz w:val="20"/>
                <w:szCs w:val="20"/>
                <w:color w:val="auto"/>
              </w:rPr>
            </w:pPr>
            <w:r>
              <w:rPr>
                <w:rFonts w:ascii="Arial" w:cs="Arial" w:eastAsia="Arial" w:hAnsi="Arial"/>
                <w:sz w:val="13"/>
                <w:szCs w:val="13"/>
                <w:color w:val="auto"/>
              </w:rPr>
              <w:t>dans le cadre de la rémunération maximale totale ou partielle et sous réserve de l'approbation</w:t>
            </w:r>
          </w:p>
        </w:tc>
      </w:tr>
      <w:tr>
        <w:trPr>
          <w:trHeight w:val="173"/>
        </w:trPr>
        <w:tc>
          <w:tcPr>
            <w:tcW w:w="5540" w:type="dxa"/>
            <w:vAlign w:val="bottom"/>
            <w:tcBorders>
              <w:left w:val="single" w:sz="8" w:color="auto"/>
              <w:bottom w:val="single" w:sz="8" w:color="auto"/>
              <w:right w:val="single" w:sz="8" w:color="auto"/>
            </w:tcBorders>
          </w:tcPr>
          <w:p>
            <w:pPr>
              <w:spacing w:after="0"/>
              <w:rPr>
                <w:sz w:val="15"/>
                <w:szCs w:val="15"/>
                <w:color w:val="auto"/>
              </w:rPr>
            </w:pPr>
          </w:p>
        </w:tc>
        <w:tc>
          <w:tcPr>
            <w:tcW w:w="240" w:type="dxa"/>
            <w:vAlign w:val="bottom"/>
            <w:tcBorders>
              <w:bottom w:val="single" w:sz="8" w:color="auto"/>
              <w:right w:val="single" w:sz="8" w:color="auto"/>
            </w:tcBorders>
          </w:tcPr>
          <w:p>
            <w:pPr>
              <w:spacing w:after="0"/>
              <w:rPr>
                <w:sz w:val="15"/>
                <w:szCs w:val="15"/>
                <w:color w:val="auto"/>
              </w:rPr>
            </w:pPr>
          </w:p>
        </w:tc>
        <w:tc>
          <w:tcPr>
            <w:tcW w:w="55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3"/>
                <w:szCs w:val="13"/>
                <w:color w:val="auto"/>
              </w:rPr>
              <w:t>par l'assemblée générale.</w:t>
            </w:r>
          </w:p>
        </w:tc>
      </w:tr>
      <w:tr>
        <w:trPr>
          <w:trHeight w:val="145"/>
        </w:trPr>
        <w:tc>
          <w:tcPr>
            <w:tcW w:w="5540" w:type="dxa"/>
            <w:vAlign w:val="bottom"/>
            <w:tcBorders>
              <w:left w:val="single" w:sz="8" w:color="auto"/>
              <w:right w:val="single" w:sz="8" w:color="auto"/>
            </w:tcBorders>
          </w:tcPr>
          <w:p>
            <w:pPr>
              <w:ind w:left="40"/>
              <w:spacing w:after="0" w:line="146" w:lineRule="exact"/>
              <w:rPr>
                <w:sz w:val="20"/>
                <w:szCs w:val="20"/>
                <w:color w:val="auto"/>
              </w:rPr>
            </w:pPr>
            <w:r>
              <w:rPr>
                <w:rFonts w:ascii="Arial" w:cs="Arial" w:eastAsia="Arial" w:hAnsi="Arial"/>
                <w:sz w:val="13"/>
                <w:szCs w:val="13"/>
                <w:color w:val="auto"/>
              </w:rPr>
              <w:t>The Board of Directors shall submit the compensation report to an advisory vote of the General</w:t>
            </w:r>
          </w:p>
        </w:tc>
        <w:tc>
          <w:tcPr>
            <w:tcW w:w="240" w:type="dxa"/>
            <w:vAlign w:val="bottom"/>
            <w:tcBorders>
              <w:right w:val="single" w:sz="8" w:color="auto"/>
            </w:tcBorders>
          </w:tcPr>
          <w:p>
            <w:pPr>
              <w:spacing w:after="0"/>
              <w:rPr>
                <w:sz w:val="12"/>
                <w:szCs w:val="12"/>
                <w:color w:val="auto"/>
              </w:rPr>
            </w:pPr>
          </w:p>
        </w:tc>
        <w:tc>
          <w:tcPr>
            <w:tcW w:w="5520" w:type="dxa"/>
            <w:vAlign w:val="bottom"/>
            <w:tcBorders>
              <w:right w:val="single" w:sz="8" w:color="auto"/>
            </w:tcBorders>
          </w:tcPr>
          <w:p>
            <w:pPr>
              <w:ind w:left="20"/>
              <w:spacing w:after="0" w:line="146" w:lineRule="exact"/>
              <w:rPr>
                <w:sz w:val="20"/>
                <w:szCs w:val="20"/>
                <w:color w:val="auto"/>
              </w:rPr>
            </w:pPr>
            <w:r>
              <w:rPr>
                <w:rFonts w:ascii="Arial" w:cs="Arial" w:eastAsia="Arial" w:hAnsi="Arial"/>
                <w:sz w:val="13"/>
                <w:szCs w:val="13"/>
                <w:color w:val="auto"/>
              </w:rPr>
              <w:t>Le conseil d'administration soumet le rapport de rémunération à un vote consultatif de</w:t>
            </w:r>
          </w:p>
        </w:tc>
      </w:tr>
      <w:tr>
        <w:trPr>
          <w:trHeight w:val="173"/>
        </w:trPr>
        <w:tc>
          <w:tcPr>
            <w:tcW w:w="554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3"/>
                <w:szCs w:val="13"/>
                <w:color w:val="auto"/>
              </w:rPr>
              <w:t>Meeting.</w:t>
            </w:r>
          </w:p>
        </w:tc>
        <w:tc>
          <w:tcPr>
            <w:tcW w:w="240" w:type="dxa"/>
            <w:vAlign w:val="bottom"/>
            <w:tcBorders>
              <w:bottom w:val="single" w:sz="8" w:color="auto"/>
              <w:right w:val="single" w:sz="8" w:color="auto"/>
            </w:tcBorders>
          </w:tcPr>
          <w:p>
            <w:pPr>
              <w:spacing w:after="0"/>
              <w:rPr>
                <w:sz w:val="15"/>
                <w:szCs w:val="15"/>
                <w:color w:val="auto"/>
              </w:rPr>
            </w:pPr>
          </w:p>
        </w:tc>
        <w:tc>
          <w:tcPr>
            <w:tcW w:w="55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3"/>
                <w:szCs w:val="13"/>
                <w:color w:val="auto"/>
              </w:rPr>
              <w:t>l'assemblée générale.</w:t>
            </w:r>
          </w:p>
        </w:tc>
      </w:tr>
      <w:tr>
        <w:trPr>
          <w:trHeight w:val="177"/>
        </w:trPr>
        <w:tc>
          <w:tcPr>
            <w:tcW w:w="55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3"/>
                <w:szCs w:val="13"/>
                <w:b w:val="1"/>
                <w:bCs w:val="1"/>
                <w:color w:val="auto"/>
              </w:rPr>
              <w:t>Art. 19  Independent Proxy</w:t>
            </w:r>
          </w:p>
        </w:tc>
        <w:tc>
          <w:tcPr>
            <w:tcW w:w="240" w:type="dxa"/>
            <w:vAlign w:val="bottom"/>
            <w:tcBorders>
              <w:right w:val="single" w:sz="8" w:color="auto"/>
            </w:tcBorders>
          </w:tcPr>
          <w:p>
            <w:pPr>
              <w:spacing w:after="0"/>
              <w:rPr>
                <w:sz w:val="15"/>
                <w:szCs w:val="15"/>
                <w:color w:val="auto"/>
              </w:rPr>
            </w:pPr>
          </w:p>
        </w:tc>
        <w:tc>
          <w:tcPr>
            <w:tcW w:w="5520" w:type="dxa"/>
            <w:vAlign w:val="bottom"/>
            <w:tcBorders>
              <w:right w:val="single" w:sz="8" w:color="auto"/>
            </w:tcBorders>
          </w:tcPr>
          <w:p>
            <w:pPr>
              <w:ind w:left="20"/>
              <w:spacing w:after="0"/>
              <w:rPr>
                <w:sz w:val="20"/>
                <w:szCs w:val="20"/>
                <w:color w:val="auto"/>
              </w:rPr>
            </w:pPr>
            <w:r>
              <w:rPr>
                <w:rFonts w:ascii="Arial" w:cs="Arial" w:eastAsia="Arial" w:hAnsi="Arial"/>
                <w:sz w:val="13"/>
                <w:szCs w:val="13"/>
                <w:b w:val="1"/>
                <w:bCs w:val="1"/>
                <w:color w:val="auto"/>
              </w:rPr>
              <w:t>Art. 19  Représentant indépendant</w:t>
            </w:r>
          </w:p>
        </w:tc>
      </w:tr>
      <w:tr>
        <w:trPr>
          <w:trHeight w:val="258"/>
        </w:trPr>
        <w:tc>
          <w:tcPr>
            <w:tcW w:w="55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3"/>
                <w:szCs w:val="13"/>
                <w:color w:val="auto"/>
                <w:w w:val="99"/>
              </w:rPr>
              <w:t>The Independent Proxy shall be elected by the Ordinary General Meeting for a term of one year</w:t>
            </w:r>
          </w:p>
        </w:tc>
        <w:tc>
          <w:tcPr>
            <w:tcW w:w="240" w:type="dxa"/>
            <w:vAlign w:val="bottom"/>
            <w:tcBorders>
              <w:right w:val="single" w:sz="8" w:color="auto"/>
            </w:tcBorders>
          </w:tcPr>
          <w:p>
            <w:pPr>
              <w:spacing w:after="0"/>
              <w:rPr>
                <w:sz w:val="22"/>
                <w:szCs w:val="22"/>
                <w:color w:val="auto"/>
              </w:rPr>
            </w:pPr>
          </w:p>
        </w:tc>
        <w:tc>
          <w:tcPr>
            <w:tcW w:w="5520" w:type="dxa"/>
            <w:vAlign w:val="bottom"/>
            <w:tcBorders>
              <w:right w:val="single" w:sz="8" w:color="auto"/>
            </w:tcBorders>
          </w:tcPr>
          <w:p>
            <w:pPr>
              <w:ind w:left="20"/>
              <w:spacing w:after="0"/>
              <w:rPr>
                <w:sz w:val="20"/>
                <w:szCs w:val="20"/>
                <w:color w:val="auto"/>
              </w:rPr>
            </w:pPr>
            <w:r>
              <w:rPr>
                <w:rFonts w:ascii="Arial" w:cs="Arial" w:eastAsia="Arial" w:hAnsi="Arial"/>
                <w:sz w:val="13"/>
                <w:szCs w:val="13"/>
                <w:color w:val="auto"/>
                <w:w w:val="99"/>
              </w:rPr>
              <w:t>Le représentant indépendant est élu par l'assemblée générale ordinaire pour une durée d'un an</w:t>
            </w:r>
          </w:p>
        </w:tc>
      </w:tr>
      <w:tr>
        <w:trPr>
          <w:trHeight w:val="145"/>
        </w:trPr>
        <w:tc>
          <w:tcPr>
            <w:tcW w:w="5540" w:type="dxa"/>
            <w:vAlign w:val="bottom"/>
            <w:tcBorders>
              <w:left w:val="single" w:sz="8" w:color="auto"/>
              <w:right w:val="single" w:sz="8" w:color="auto"/>
            </w:tcBorders>
          </w:tcPr>
          <w:p>
            <w:pPr>
              <w:ind w:left="40"/>
              <w:spacing w:after="0" w:line="145" w:lineRule="exact"/>
              <w:rPr>
                <w:sz w:val="20"/>
                <w:szCs w:val="20"/>
                <w:color w:val="auto"/>
              </w:rPr>
            </w:pPr>
            <w:r>
              <w:rPr>
                <w:rFonts w:ascii="Arial" w:cs="Arial" w:eastAsia="Arial" w:hAnsi="Arial"/>
                <w:sz w:val="13"/>
                <w:szCs w:val="13"/>
                <w:color w:val="auto"/>
              </w:rPr>
              <w:t>until the end of the next Ordinary General Meeting. Re-election is permitted. The Independent</w:t>
            </w:r>
          </w:p>
        </w:tc>
        <w:tc>
          <w:tcPr>
            <w:tcW w:w="240" w:type="dxa"/>
            <w:vAlign w:val="bottom"/>
            <w:tcBorders>
              <w:right w:val="single" w:sz="8" w:color="auto"/>
            </w:tcBorders>
          </w:tcPr>
          <w:p>
            <w:pPr>
              <w:spacing w:after="0"/>
              <w:rPr>
                <w:sz w:val="12"/>
                <w:szCs w:val="12"/>
                <w:color w:val="auto"/>
              </w:rPr>
            </w:pPr>
          </w:p>
        </w:tc>
        <w:tc>
          <w:tcPr>
            <w:tcW w:w="5520" w:type="dxa"/>
            <w:vAlign w:val="bottom"/>
            <w:tcBorders>
              <w:right w:val="single" w:sz="8" w:color="auto"/>
            </w:tcBorders>
          </w:tcPr>
          <w:p>
            <w:pPr>
              <w:ind w:left="20"/>
              <w:spacing w:after="0" w:line="145" w:lineRule="exact"/>
              <w:rPr>
                <w:sz w:val="20"/>
                <w:szCs w:val="20"/>
                <w:color w:val="auto"/>
              </w:rPr>
            </w:pPr>
            <w:r>
              <w:rPr>
                <w:rFonts w:ascii="Arial" w:cs="Arial" w:eastAsia="Arial" w:hAnsi="Arial"/>
                <w:sz w:val="13"/>
                <w:szCs w:val="13"/>
                <w:color w:val="auto"/>
              </w:rPr>
              <w:t>jusqu'à la fin de la prochaine assemblée générale ordinaire. Une réélection est possible. Le</w:t>
            </w:r>
          </w:p>
        </w:tc>
      </w:tr>
      <w:tr>
        <w:trPr>
          <w:trHeight w:val="145"/>
        </w:trPr>
        <w:tc>
          <w:tcPr>
            <w:tcW w:w="5540" w:type="dxa"/>
            <w:vAlign w:val="bottom"/>
            <w:tcBorders>
              <w:left w:val="single" w:sz="8" w:color="auto"/>
              <w:right w:val="single" w:sz="8" w:color="auto"/>
            </w:tcBorders>
          </w:tcPr>
          <w:p>
            <w:pPr>
              <w:ind w:left="40"/>
              <w:spacing w:after="0" w:line="145" w:lineRule="exact"/>
              <w:rPr>
                <w:sz w:val="20"/>
                <w:szCs w:val="20"/>
                <w:color w:val="auto"/>
              </w:rPr>
            </w:pPr>
            <w:r>
              <w:rPr>
                <w:rFonts w:ascii="Arial" w:cs="Arial" w:eastAsia="Arial" w:hAnsi="Arial"/>
                <w:sz w:val="13"/>
                <w:szCs w:val="13"/>
                <w:color w:val="auto"/>
              </w:rPr>
              <w:t>Proxy informs the Company about number, type, par value and category of the represented</w:t>
            </w:r>
          </w:p>
        </w:tc>
        <w:tc>
          <w:tcPr>
            <w:tcW w:w="240" w:type="dxa"/>
            <w:vAlign w:val="bottom"/>
            <w:tcBorders>
              <w:right w:val="single" w:sz="8" w:color="auto"/>
            </w:tcBorders>
          </w:tcPr>
          <w:p>
            <w:pPr>
              <w:spacing w:after="0"/>
              <w:rPr>
                <w:sz w:val="12"/>
                <w:szCs w:val="12"/>
                <w:color w:val="auto"/>
              </w:rPr>
            </w:pPr>
          </w:p>
        </w:tc>
        <w:tc>
          <w:tcPr>
            <w:tcW w:w="5520" w:type="dxa"/>
            <w:vAlign w:val="bottom"/>
            <w:tcBorders>
              <w:right w:val="single" w:sz="8" w:color="auto"/>
            </w:tcBorders>
          </w:tcPr>
          <w:p>
            <w:pPr>
              <w:ind w:left="20"/>
              <w:spacing w:after="0" w:line="145" w:lineRule="exact"/>
              <w:rPr>
                <w:sz w:val="20"/>
                <w:szCs w:val="20"/>
                <w:color w:val="auto"/>
              </w:rPr>
            </w:pPr>
            <w:r>
              <w:rPr>
                <w:rFonts w:ascii="Arial" w:cs="Arial" w:eastAsia="Arial" w:hAnsi="Arial"/>
                <w:sz w:val="13"/>
                <w:szCs w:val="13"/>
                <w:color w:val="auto"/>
              </w:rPr>
              <w:t>représentant indépendant informe la société sur le nombre, le type, la valeur nominale et la</w:t>
            </w:r>
          </w:p>
        </w:tc>
      </w:tr>
      <w:tr>
        <w:trPr>
          <w:trHeight w:val="145"/>
        </w:trPr>
        <w:tc>
          <w:tcPr>
            <w:tcW w:w="5540" w:type="dxa"/>
            <w:vAlign w:val="bottom"/>
            <w:tcBorders>
              <w:left w:val="single" w:sz="8" w:color="auto"/>
              <w:right w:val="single" w:sz="8" w:color="auto"/>
            </w:tcBorders>
          </w:tcPr>
          <w:p>
            <w:pPr>
              <w:ind w:left="40"/>
              <w:spacing w:after="0" w:line="145" w:lineRule="exact"/>
              <w:rPr>
                <w:sz w:val="20"/>
                <w:szCs w:val="20"/>
                <w:color w:val="auto"/>
              </w:rPr>
            </w:pPr>
            <w:r>
              <w:rPr>
                <w:rFonts w:ascii="Arial" w:cs="Arial" w:eastAsia="Arial" w:hAnsi="Arial"/>
                <w:sz w:val="13"/>
                <w:szCs w:val="13"/>
                <w:color w:val="auto"/>
                <w:w w:val="99"/>
              </w:rPr>
              <w:t>shares. The Chairman of the Board discloses the information to the General Meeting. The other</w:t>
            </w:r>
          </w:p>
        </w:tc>
        <w:tc>
          <w:tcPr>
            <w:tcW w:w="240" w:type="dxa"/>
            <w:vAlign w:val="bottom"/>
            <w:tcBorders>
              <w:right w:val="single" w:sz="8" w:color="auto"/>
            </w:tcBorders>
          </w:tcPr>
          <w:p>
            <w:pPr>
              <w:spacing w:after="0"/>
              <w:rPr>
                <w:sz w:val="12"/>
                <w:szCs w:val="12"/>
                <w:color w:val="auto"/>
              </w:rPr>
            </w:pPr>
          </w:p>
        </w:tc>
        <w:tc>
          <w:tcPr>
            <w:tcW w:w="5520" w:type="dxa"/>
            <w:vAlign w:val="bottom"/>
            <w:tcBorders>
              <w:right w:val="single" w:sz="8" w:color="auto"/>
            </w:tcBorders>
          </w:tcPr>
          <w:p>
            <w:pPr>
              <w:ind w:left="20"/>
              <w:spacing w:after="0" w:line="145" w:lineRule="exact"/>
              <w:rPr>
                <w:sz w:val="20"/>
                <w:szCs w:val="20"/>
                <w:color w:val="auto"/>
              </w:rPr>
            </w:pPr>
            <w:r>
              <w:rPr>
                <w:rFonts w:ascii="Arial" w:cs="Arial" w:eastAsia="Arial" w:hAnsi="Arial"/>
                <w:sz w:val="13"/>
                <w:szCs w:val="13"/>
                <w:color w:val="auto"/>
              </w:rPr>
              <w:t>catégorie des actions représentées. Le président du conseil d'administration communique ces</w:t>
            </w:r>
          </w:p>
        </w:tc>
      </w:tr>
      <w:tr>
        <w:trPr>
          <w:trHeight w:val="145"/>
        </w:trPr>
        <w:tc>
          <w:tcPr>
            <w:tcW w:w="5540" w:type="dxa"/>
            <w:vAlign w:val="bottom"/>
            <w:tcBorders>
              <w:left w:val="single" w:sz="8" w:color="auto"/>
              <w:right w:val="single" w:sz="8" w:color="auto"/>
            </w:tcBorders>
          </w:tcPr>
          <w:p>
            <w:pPr>
              <w:ind w:left="40"/>
              <w:spacing w:after="0" w:line="145" w:lineRule="exact"/>
              <w:rPr>
                <w:sz w:val="20"/>
                <w:szCs w:val="20"/>
                <w:color w:val="auto"/>
              </w:rPr>
            </w:pPr>
            <w:r>
              <w:rPr>
                <w:rFonts w:ascii="Arial" w:cs="Arial" w:eastAsia="Arial" w:hAnsi="Arial"/>
                <w:sz w:val="13"/>
                <w:szCs w:val="13"/>
                <w:color w:val="auto"/>
              </w:rPr>
              <w:t>duties of the Independent Proxy are determined by the applicable statutory provisions.</w:t>
            </w:r>
          </w:p>
        </w:tc>
        <w:tc>
          <w:tcPr>
            <w:tcW w:w="240" w:type="dxa"/>
            <w:vAlign w:val="bottom"/>
            <w:tcBorders>
              <w:right w:val="single" w:sz="8" w:color="auto"/>
            </w:tcBorders>
          </w:tcPr>
          <w:p>
            <w:pPr>
              <w:spacing w:after="0"/>
              <w:rPr>
                <w:sz w:val="12"/>
                <w:szCs w:val="12"/>
                <w:color w:val="auto"/>
              </w:rPr>
            </w:pPr>
          </w:p>
        </w:tc>
        <w:tc>
          <w:tcPr>
            <w:tcW w:w="5520" w:type="dxa"/>
            <w:vAlign w:val="bottom"/>
            <w:tcBorders>
              <w:right w:val="single" w:sz="8" w:color="auto"/>
            </w:tcBorders>
          </w:tcPr>
          <w:p>
            <w:pPr>
              <w:ind w:left="20"/>
              <w:spacing w:after="0" w:line="145" w:lineRule="exact"/>
              <w:rPr>
                <w:sz w:val="20"/>
                <w:szCs w:val="20"/>
                <w:color w:val="auto"/>
              </w:rPr>
            </w:pPr>
            <w:r>
              <w:rPr>
                <w:rFonts w:ascii="Arial" w:cs="Arial" w:eastAsia="Arial" w:hAnsi="Arial"/>
                <w:sz w:val="13"/>
                <w:szCs w:val="13"/>
                <w:color w:val="auto"/>
              </w:rPr>
              <w:t>informations à l'assemblée générale. Les autres fonctions du représentant indépendant sont</w:t>
            </w:r>
          </w:p>
        </w:tc>
      </w:tr>
      <w:tr>
        <w:trPr>
          <w:trHeight w:val="168"/>
        </w:trPr>
        <w:tc>
          <w:tcPr>
            <w:tcW w:w="5540" w:type="dxa"/>
            <w:vAlign w:val="bottom"/>
            <w:tcBorders>
              <w:left w:val="single" w:sz="8" w:color="auto"/>
              <w:right w:val="single" w:sz="8" w:color="auto"/>
            </w:tcBorders>
          </w:tcPr>
          <w:p>
            <w:pPr>
              <w:spacing w:after="0"/>
              <w:rPr>
                <w:sz w:val="14"/>
                <w:szCs w:val="14"/>
                <w:color w:val="auto"/>
              </w:rPr>
            </w:pPr>
          </w:p>
        </w:tc>
        <w:tc>
          <w:tcPr>
            <w:tcW w:w="240" w:type="dxa"/>
            <w:vAlign w:val="bottom"/>
            <w:tcBorders>
              <w:right w:val="single" w:sz="8" w:color="auto"/>
            </w:tcBorders>
          </w:tcPr>
          <w:p>
            <w:pPr>
              <w:spacing w:after="0"/>
              <w:rPr>
                <w:sz w:val="14"/>
                <w:szCs w:val="14"/>
                <w:color w:val="auto"/>
              </w:rPr>
            </w:pPr>
          </w:p>
        </w:tc>
        <w:tc>
          <w:tcPr>
            <w:tcW w:w="5520" w:type="dxa"/>
            <w:vAlign w:val="bottom"/>
            <w:tcBorders>
              <w:right w:val="single" w:sz="8" w:color="auto"/>
            </w:tcBorders>
          </w:tcPr>
          <w:p>
            <w:pPr>
              <w:ind w:left="20"/>
              <w:spacing w:after="0"/>
              <w:rPr>
                <w:sz w:val="20"/>
                <w:szCs w:val="20"/>
                <w:color w:val="auto"/>
              </w:rPr>
            </w:pPr>
            <w:r>
              <w:rPr>
                <w:rFonts w:ascii="Arial" w:cs="Arial" w:eastAsia="Arial" w:hAnsi="Arial"/>
                <w:sz w:val="13"/>
                <w:szCs w:val="13"/>
                <w:color w:val="auto"/>
              </w:rPr>
              <w:t>déterminées par les dispositions statutaires applicables.</w:t>
            </w:r>
          </w:p>
        </w:tc>
      </w:tr>
      <w:tr>
        <w:trPr>
          <w:trHeight w:val="153"/>
        </w:trPr>
        <w:tc>
          <w:tcPr>
            <w:tcW w:w="5540" w:type="dxa"/>
            <w:vAlign w:val="bottom"/>
            <w:tcBorders>
              <w:left w:val="single" w:sz="8" w:color="auto"/>
              <w:bottom w:val="single" w:sz="8" w:color="auto"/>
              <w:right w:val="single" w:sz="8" w:color="auto"/>
            </w:tcBorders>
          </w:tcPr>
          <w:p>
            <w:pPr>
              <w:spacing w:after="0"/>
              <w:rPr>
                <w:sz w:val="13"/>
                <w:szCs w:val="13"/>
                <w:color w:val="auto"/>
              </w:rPr>
            </w:pPr>
          </w:p>
        </w:tc>
        <w:tc>
          <w:tcPr>
            <w:tcW w:w="240" w:type="dxa"/>
            <w:vAlign w:val="bottom"/>
            <w:tcBorders>
              <w:bottom w:val="single" w:sz="8" w:color="auto"/>
              <w:right w:val="single" w:sz="8" w:color="auto"/>
            </w:tcBorders>
          </w:tcPr>
          <w:p>
            <w:pPr>
              <w:spacing w:after="0"/>
              <w:rPr>
                <w:sz w:val="13"/>
                <w:szCs w:val="13"/>
                <w:color w:val="auto"/>
              </w:rPr>
            </w:pPr>
          </w:p>
        </w:tc>
        <w:tc>
          <w:tcPr>
            <w:tcW w:w="5520" w:type="dxa"/>
            <w:vAlign w:val="bottom"/>
            <w:tcBorders>
              <w:bottom w:val="single" w:sz="8" w:color="auto"/>
              <w:right w:val="single" w:sz="8" w:color="auto"/>
            </w:tcBorders>
          </w:tcPr>
          <w:p>
            <w:pPr>
              <w:spacing w:after="0"/>
              <w:rPr>
                <w:sz w:val="13"/>
                <w:szCs w:val="13"/>
                <w:color w:val="auto"/>
              </w:rPr>
            </w:pPr>
          </w:p>
        </w:tc>
      </w:tr>
      <w:tr>
        <w:trPr>
          <w:trHeight w:val="173"/>
        </w:trPr>
        <w:tc>
          <w:tcPr>
            <w:tcW w:w="554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3"/>
                <w:szCs w:val="13"/>
                <w:b w:val="1"/>
                <w:bCs w:val="1"/>
                <w:color w:val="auto"/>
              </w:rPr>
              <w:t>V.  BOARD OF DIRECTORS</w:t>
            </w:r>
          </w:p>
        </w:tc>
        <w:tc>
          <w:tcPr>
            <w:tcW w:w="240" w:type="dxa"/>
            <w:vAlign w:val="bottom"/>
            <w:tcBorders>
              <w:bottom w:val="single" w:sz="8" w:color="auto"/>
              <w:right w:val="single" w:sz="8" w:color="auto"/>
            </w:tcBorders>
          </w:tcPr>
          <w:p>
            <w:pPr>
              <w:spacing w:after="0"/>
              <w:rPr>
                <w:sz w:val="15"/>
                <w:szCs w:val="15"/>
                <w:color w:val="auto"/>
              </w:rPr>
            </w:pPr>
          </w:p>
        </w:tc>
        <w:tc>
          <w:tcPr>
            <w:tcW w:w="55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3"/>
                <w:szCs w:val="13"/>
                <w:b w:val="1"/>
                <w:bCs w:val="1"/>
                <w:color w:val="auto"/>
              </w:rPr>
              <w:t>V.  CONSEIL D'ADMINISTRATION</w:t>
            </w:r>
          </w:p>
        </w:tc>
      </w:tr>
    </w:tbl>
    <w:p>
      <w:pPr>
        <w:spacing w:after="0" w:line="59"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5"/>
          <w:szCs w:val="15"/>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12700</wp:posOffset>
            </wp:positionV>
            <wp:extent cx="7171690" cy="635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71690" cy="6350"/>
                    </a:xfrm>
                    <a:prstGeom prst="rect">
                      <a:avLst/>
                    </a:prstGeom>
                    <a:noFill/>
                  </pic:spPr>
                </pic:pic>
              </a:graphicData>
            </a:graphic>
          </wp:anchor>
        </w:drawing>
      </w:r>
    </w:p>
    <w:p>
      <w:pPr>
        <w:sectPr>
          <w:pgSz w:w="11900" w:h="16838" w:orient="portrait"/>
          <w:cols w:equalWidth="0" w:num="1">
            <w:col w:w="11300"/>
          </w:cols>
          <w:pgMar w:left="300" w:top="448" w:right="299" w:bottom="1440" w:gutter="0" w:footer="0" w:header="0"/>
        </w:sectPr>
      </w:pPr>
    </w:p>
    <w:bookmarkStart w:id="74" w:name="page75"/>
    <w:bookmarkEnd w:id="74"/>
    <w:tbl>
      <w:tblPr>
        <w:tblLayout w:type="fixed"/>
        <w:tblInd w:w="10" w:type="dxa"/>
        <w:tblCellMar>
          <w:top w:w="0" w:type="dxa"/>
          <w:left w:w="0" w:type="dxa"/>
          <w:bottom w:w="0" w:type="dxa"/>
          <w:right w:w="0" w:type="dxa"/>
        </w:tblCellMar>
      </w:tblPr>
      <w:tr>
        <w:trPr>
          <w:trHeight w:val="193"/>
        </w:trPr>
        <w:tc>
          <w:tcPr>
            <w:tcW w:w="5540" w:type="dxa"/>
            <w:vAlign w:val="bottom"/>
            <w:tcBorders>
              <w:top w:val="single" w:sz="8" w:color="auto"/>
              <w:left w:val="single" w:sz="8" w:color="auto"/>
              <w:right w:val="single" w:sz="8" w:color="auto"/>
            </w:tcBorders>
            <w:gridSpan w:val="2"/>
          </w:tcPr>
          <w:p>
            <w:pPr>
              <w:ind w:left="40"/>
              <w:spacing w:after="0"/>
              <w:rPr>
                <w:sz w:val="20"/>
                <w:szCs w:val="20"/>
                <w:color w:val="auto"/>
              </w:rPr>
            </w:pPr>
            <w:r>
              <w:rPr>
                <w:rFonts w:ascii="Arial" w:cs="Arial" w:eastAsia="Arial" w:hAnsi="Arial"/>
                <w:sz w:val="13"/>
                <w:szCs w:val="13"/>
                <w:b w:val="1"/>
                <w:bCs w:val="1"/>
                <w:color w:val="auto"/>
              </w:rPr>
              <w:t>Art. 20  Number of Members, Term of Office</w:t>
            </w:r>
          </w:p>
        </w:tc>
        <w:tc>
          <w:tcPr>
            <w:tcW w:w="240" w:type="dxa"/>
            <w:vAlign w:val="bottom"/>
            <w:tcBorders>
              <w:top w:val="single" w:sz="8" w:color="auto"/>
              <w:right w:val="single" w:sz="8" w:color="auto"/>
            </w:tcBorders>
          </w:tcPr>
          <w:p>
            <w:pPr>
              <w:spacing w:after="0"/>
              <w:rPr>
                <w:sz w:val="16"/>
                <w:szCs w:val="16"/>
                <w:color w:val="auto"/>
              </w:rPr>
            </w:pPr>
          </w:p>
        </w:tc>
        <w:tc>
          <w:tcPr>
            <w:tcW w:w="5520" w:type="dxa"/>
            <w:vAlign w:val="bottom"/>
            <w:tcBorders>
              <w:top w:val="single" w:sz="8" w:color="auto"/>
              <w:right w:val="single" w:sz="8" w:color="auto"/>
            </w:tcBorders>
            <w:gridSpan w:val="2"/>
          </w:tcPr>
          <w:p>
            <w:pPr>
              <w:ind w:left="20"/>
              <w:spacing w:after="0"/>
              <w:rPr>
                <w:sz w:val="20"/>
                <w:szCs w:val="20"/>
                <w:color w:val="auto"/>
              </w:rPr>
            </w:pPr>
            <w:r>
              <w:rPr>
                <w:rFonts w:ascii="Arial" w:cs="Arial" w:eastAsia="Arial" w:hAnsi="Arial"/>
                <w:sz w:val="13"/>
                <w:szCs w:val="13"/>
                <w:b w:val="1"/>
                <w:bCs w:val="1"/>
                <w:color w:val="auto"/>
              </w:rPr>
              <w:t>Art. 20  Nombre de membres, durée de la fonction</w:t>
            </w:r>
          </w:p>
        </w:tc>
      </w:tr>
      <w:tr>
        <w:trPr>
          <w:trHeight w:val="258"/>
        </w:trPr>
        <w:tc>
          <w:tcPr>
            <w:tcW w:w="5540" w:type="dxa"/>
            <w:vAlign w:val="bottom"/>
            <w:tcBorders>
              <w:left w:val="single" w:sz="8" w:color="auto"/>
              <w:right w:val="single" w:sz="8" w:color="auto"/>
            </w:tcBorders>
            <w:gridSpan w:val="2"/>
          </w:tcPr>
          <w:p>
            <w:pPr>
              <w:ind w:left="40"/>
              <w:spacing w:after="0"/>
              <w:rPr>
                <w:sz w:val="20"/>
                <w:szCs w:val="20"/>
                <w:color w:val="auto"/>
              </w:rPr>
            </w:pPr>
            <w:r>
              <w:rPr>
                <w:rFonts w:ascii="Arial" w:cs="Arial" w:eastAsia="Arial" w:hAnsi="Arial"/>
                <w:sz w:val="13"/>
                <w:szCs w:val="13"/>
                <w:color w:val="auto"/>
              </w:rPr>
              <w:t>The Board of Directors shall consist of at least 3 and not more than 9 members. This maximum</w:t>
            </w:r>
          </w:p>
        </w:tc>
        <w:tc>
          <w:tcPr>
            <w:tcW w:w="240" w:type="dxa"/>
            <w:vAlign w:val="bottom"/>
            <w:tcBorders>
              <w:right w:val="single" w:sz="8" w:color="auto"/>
            </w:tcBorders>
          </w:tcPr>
          <w:p>
            <w:pPr>
              <w:spacing w:after="0"/>
              <w:rPr>
                <w:sz w:val="22"/>
                <w:szCs w:val="22"/>
                <w:color w:val="auto"/>
              </w:rPr>
            </w:pPr>
          </w:p>
        </w:tc>
        <w:tc>
          <w:tcPr>
            <w:tcW w:w="5520" w:type="dxa"/>
            <w:vAlign w:val="bottom"/>
            <w:tcBorders>
              <w:right w:val="single" w:sz="8" w:color="auto"/>
            </w:tcBorders>
            <w:gridSpan w:val="2"/>
          </w:tcPr>
          <w:p>
            <w:pPr>
              <w:ind w:left="20"/>
              <w:spacing w:after="0"/>
              <w:rPr>
                <w:sz w:val="20"/>
                <w:szCs w:val="20"/>
                <w:color w:val="auto"/>
              </w:rPr>
            </w:pPr>
            <w:r>
              <w:rPr>
                <w:rFonts w:ascii="Arial" w:cs="Arial" w:eastAsia="Arial" w:hAnsi="Arial"/>
                <w:sz w:val="13"/>
                <w:szCs w:val="13"/>
                <w:color w:val="auto"/>
              </w:rPr>
              <w:t>Le conseil d'administration se compose d'au minimum 3 et au maximum 9 membres. Ce</w:t>
            </w:r>
          </w:p>
        </w:tc>
      </w:tr>
      <w:tr>
        <w:trPr>
          <w:trHeight w:val="145"/>
        </w:trPr>
        <w:tc>
          <w:tcPr>
            <w:tcW w:w="5540" w:type="dxa"/>
            <w:vAlign w:val="bottom"/>
            <w:tcBorders>
              <w:left w:val="single" w:sz="8" w:color="auto"/>
              <w:right w:val="single" w:sz="8" w:color="auto"/>
            </w:tcBorders>
            <w:gridSpan w:val="2"/>
          </w:tcPr>
          <w:p>
            <w:pPr>
              <w:ind w:left="40"/>
              <w:spacing w:after="0" w:line="145" w:lineRule="exact"/>
              <w:rPr>
                <w:sz w:val="20"/>
                <w:szCs w:val="20"/>
                <w:color w:val="auto"/>
              </w:rPr>
            </w:pPr>
            <w:r>
              <w:rPr>
                <w:rFonts w:ascii="Arial" w:cs="Arial" w:eastAsia="Arial" w:hAnsi="Arial"/>
                <w:sz w:val="13"/>
                <w:szCs w:val="13"/>
                <w:color w:val="auto"/>
              </w:rPr>
              <w:t>number may be exceeded if it is necessary to satisfy nationality, residency and/or gender</w:t>
            </w:r>
          </w:p>
        </w:tc>
        <w:tc>
          <w:tcPr>
            <w:tcW w:w="240" w:type="dxa"/>
            <w:vAlign w:val="bottom"/>
            <w:tcBorders>
              <w:right w:val="single" w:sz="8" w:color="auto"/>
            </w:tcBorders>
          </w:tcPr>
          <w:p>
            <w:pPr>
              <w:spacing w:after="0"/>
              <w:rPr>
                <w:sz w:val="12"/>
                <w:szCs w:val="12"/>
                <w:color w:val="auto"/>
              </w:rPr>
            </w:pPr>
          </w:p>
        </w:tc>
        <w:tc>
          <w:tcPr>
            <w:tcW w:w="5520" w:type="dxa"/>
            <w:vAlign w:val="bottom"/>
            <w:tcBorders>
              <w:right w:val="single" w:sz="8" w:color="auto"/>
            </w:tcBorders>
            <w:gridSpan w:val="2"/>
          </w:tcPr>
          <w:p>
            <w:pPr>
              <w:ind w:left="20"/>
              <w:spacing w:after="0" w:line="145" w:lineRule="exact"/>
              <w:rPr>
                <w:sz w:val="20"/>
                <w:szCs w:val="20"/>
                <w:color w:val="auto"/>
              </w:rPr>
            </w:pPr>
            <w:r>
              <w:rPr>
                <w:rFonts w:ascii="Arial" w:cs="Arial" w:eastAsia="Arial" w:hAnsi="Arial"/>
                <w:sz w:val="13"/>
                <w:szCs w:val="13"/>
                <w:color w:val="auto"/>
              </w:rPr>
              <w:t>nombre maximum pourra être dépassé s’il est nécessaire de satisfaire à des conditions de</w:t>
            </w:r>
          </w:p>
        </w:tc>
      </w:tr>
      <w:tr>
        <w:trPr>
          <w:trHeight w:val="145"/>
        </w:trPr>
        <w:tc>
          <w:tcPr>
            <w:tcW w:w="5540" w:type="dxa"/>
            <w:vAlign w:val="bottom"/>
            <w:tcBorders>
              <w:left w:val="single" w:sz="8" w:color="auto"/>
              <w:right w:val="single" w:sz="8" w:color="auto"/>
            </w:tcBorders>
            <w:gridSpan w:val="2"/>
          </w:tcPr>
          <w:p>
            <w:pPr>
              <w:ind w:left="40"/>
              <w:spacing w:after="0" w:line="145" w:lineRule="exact"/>
              <w:rPr>
                <w:sz w:val="20"/>
                <w:szCs w:val="20"/>
                <w:color w:val="auto"/>
              </w:rPr>
            </w:pPr>
            <w:r>
              <w:rPr>
                <w:rFonts w:ascii="Arial" w:cs="Arial" w:eastAsia="Arial" w:hAnsi="Arial"/>
                <w:sz w:val="13"/>
                <w:szCs w:val="13"/>
                <w:color w:val="auto"/>
              </w:rPr>
              <w:t>requirements under Swiss or foreign laws. The chairman and the members of the Board of</w:t>
            </w:r>
          </w:p>
        </w:tc>
        <w:tc>
          <w:tcPr>
            <w:tcW w:w="240" w:type="dxa"/>
            <w:vAlign w:val="bottom"/>
            <w:tcBorders>
              <w:right w:val="single" w:sz="8" w:color="auto"/>
            </w:tcBorders>
          </w:tcPr>
          <w:p>
            <w:pPr>
              <w:spacing w:after="0"/>
              <w:rPr>
                <w:sz w:val="12"/>
                <w:szCs w:val="12"/>
                <w:color w:val="auto"/>
              </w:rPr>
            </w:pPr>
          </w:p>
        </w:tc>
        <w:tc>
          <w:tcPr>
            <w:tcW w:w="5520" w:type="dxa"/>
            <w:vAlign w:val="bottom"/>
            <w:tcBorders>
              <w:right w:val="single" w:sz="8" w:color="auto"/>
            </w:tcBorders>
            <w:gridSpan w:val="2"/>
          </w:tcPr>
          <w:p>
            <w:pPr>
              <w:ind w:left="20"/>
              <w:spacing w:after="0" w:line="145" w:lineRule="exact"/>
              <w:rPr>
                <w:sz w:val="20"/>
                <w:szCs w:val="20"/>
                <w:color w:val="auto"/>
              </w:rPr>
            </w:pPr>
            <w:r>
              <w:rPr>
                <w:rFonts w:ascii="Arial" w:cs="Arial" w:eastAsia="Arial" w:hAnsi="Arial"/>
                <w:sz w:val="13"/>
                <w:szCs w:val="13"/>
                <w:color w:val="auto"/>
              </w:rPr>
              <w:t>nationalités, de résidences ou de genres selon le droit suisse ou étranger. Le président et les</w:t>
            </w:r>
          </w:p>
        </w:tc>
      </w:tr>
      <w:tr>
        <w:trPr>
          <w:trHeight w:val="145"/>
        </w:trPr>
        <w:tc>
          <w:tcPr>
            <w:tcW w:w="5540" w:type="dxa"/>
            <w:vAlign w:val="bottom"/>
            <w:tcBorders>
              <w:left w:val="single" w:sz="8" w:color="auto"/>
              <w:right w:val="single" w:sz="8" w:color="auto"/>
            </w:tcBorders>
            <w:gridSpan w:val="2"/>
          </w:tcPr>
          <w:p>
            <w:pPr>
              <w:ind w:left="40"/>
              <w:spacing w:after="0" w:line="145" w:lineRule="exact"/>
              <w:rPr>
                <w:sz w:val="20"/>
                <w:szCs w:val="20"/>
                <w:color w:val="auto"/>
              </w:rPr>
            </w:pPr>
            <w:r>
              <w:rPr>
                <w:rFonts w:ascii="Arial" w:cs="Arial" w:eastAsia="Arial" w:hAnsi="Arial"/>
                <w:sz w:val="13"/>
                <w:szCs w:val="13"/>
                <w:color w:val="auto"/>
              </w:rPr>
              <w:t>Directors are individually elected by the General Meeting for a term of one year until the end of</w:t>
            </w:r>
          </w:p>
        </w:tc>
        <w:tc>
          <w:tcPr>
            <w:tcW w:w="240" w:type="dxa"/>
            <w:vAlign w:val="bottom"/>
            <w:tcBorders>
              <w:right w:val="single" w:sz="8" w:color="auto"/>
            </w:tcBorders>
          </w:tcPr>
          <w:p>
            <w:pPr>
              <w:spacing w:after="0"/>
              <w:rPr>
                <w:sz w:val="12"/>
                <w:szCs w:val="12"/>
                <w:color w:val="auto"/>
              </w:rPr>
            </w:pPr>
          </w:p>
        </w:tc>
        <w:tc>
          <w:tcPr>
            <w:tcW w:w="5520" w:type="dxa"/>
            <w:vAlign w:val="bottom"/>
            <w:tcBorders>
              <w:right w:val="single" w:sz="8" w:color="auto"/>
            </w:tcBorders>
            <w:gridSpan w:val="2"/>
          </w:tcPr>
          <w:p>
            <w:pPr>
              <w:ind w:left="20"/>
              <w:spacing w:after="0" w:line="145" w:lineRule="exact"/>
              <w:rPr>
                <w:sz w:val="20"/>
                <w:szCs w:val="20"/>
                <w:color w:val="auto"/>
              </w:rPr>
            </w:pPr>
            <w:r>
              <w:rPr>
                <w:rFonts w:ascii="Arial" w:cs="Arial" w:eastAsia="Arial" w:hAnsi="Arial"/>
                <w:sz w:val="13"/>
                <w:szCs w:val="13"/>
                <w:color w:val="auto"/>
              </w:rPr>
              <w:t>membres du conseil d'administration sont élus individuellement par l'assemblée générale pour</w:t>
            </w:r>
          </w:p>
        </w:tc>
      </w:tr>
      <w:tr>
        <w:trPr>
          <w:trHeight w:val="145"/>
        </w:trPr>
        <w:tc>
          <w:tcPr>
            <w:tcW w:w="5540" w:type="dxa"/>
            <w:vAlign w:val="bottom"/>
            <w:tcBorders>
              <w:left w:val="single" w:sz="8" w:color="auto"/>
              <w:right w:val="single" w:sz="8" w:color="auto"/>
            </w:tcBorders>
            <w:gridSpan w:val="2"/>
          </w:tcPr>
          <w:p>
            <w:pPr>
              <w:ind w:left="40"/>
              <w:spacing w:after="0" w:line="145" w:lineRule="exact"/>
              <w:rPr>
                <w:sz w:val="20"/>
                <w:szCs w:val="20"/>
                <w:color w:val="auto"/>
              </w:rPr>
            </w:pPr>
            <w:r>
              <w:rPr>
                <w:rFonts w:ascii="Arial" w:cs="Arial" w:eastAsia="Arial" w:hAnsi="Arial"/>
                <w:sz w:val="13"/>
                <w:szCs w:val="13"/>
                <w:color w:val="auto"/>
              </w:rPr>
              <w:t>the next Ordinary General Meeting, provided that he/she does not resign or is not replaced</w:t>
            </w:r>
          </w:p>
        </w:tc>
        <w:tc>
          <w:tcPr>
            <w:tcW w:w="240" w:type="dxa"/>
            <w:vAlign w:val="bottom"/>
            <w:tcBorders>
              <w:right w:val="single" w:sz="8" w:color="auto"/>
            </w:tcBorders>
          </w:tcPr>
          <w:p>
            <w:pPr>
              <w:spacing w:after="0"/>
              <w:rPr>
                <w:sz w:val="12"/>
                <w:szCs w:val="12"/>
                <w:color w:val="auto"/>
              </w:rPr>
            </w:pPr>
          </w:p>
        </w:tc>
        <w:tc>
          <w:tcPr>
            <w:tcW w:w="5520" w:type="dxa"/>
            <w:vAlign w:val="bottom"/>
            <w:tcBorders>
              <w:right w:val="single" w:sz="8" w:color="auto"/>
            </w:tcBorders>
            <w:gridSpan w:val="2"/>
          </w:tcPr>
          <w:p>
            <w:pPr>
              <w:ind w:left="20"/>
              <w:spacing w:after="0" w:line="145" w:lineRule="exact"/>
              <w:rPr>
                <w:sz w:val="20"/>
                <w:szCs w:val="20"/>
                <w:color w:val="auto"/>
              </w:rPr>
            </w:pPr>
            <w:r>
              <w:rPr>
                <w:rFonts w:ascii="Arial" w:cs="Arial" w:eastAsia="Arial" w:hAnsi="Arial"/>
                <w:sz w:val="13"/>
                <w:szCs w:val="13"/>
                <w:color w:val="auto"/>
              </w:rPr>
              <w:t>un mandat d'un an jusqu'à la fin de la prochaine assemblée générale ordinaire, à condition</w:t>
            </w:r>
          </w:p>
        </w:tc>
      </w:tr>
      <w:tr>
        <w:trPr>
          <w:trHeight w:val="168"/>
        </w:trPr>
        <w:tc>
          <w:tcPr>
            <w:tcW w:w="5540" w:type="dxa"/>
            <w:vAlign w:val="bottom"/>
            <w:tcBorders>
              <w:left w:val="single" w:sz="8" w:color="auto"/>
              <w:right w:val="single" w:sz="8" w:color="auto"/>
            </w:tcBorders>
            <w:gridSpan w:val="2"/>
          </w:tcPr>
          <w:p>
            <w:pPr>
              <w:ind w:left="40"/>
              <w:spacing w:after="0"/>
              <w:rPr>
                <w:sz w:val="20"/>
                <w:szCs w:val="20"/>
                <w:color w:val="auto"/>
              </w:rPr>
            </w:pPr>
            <w:r>
              <w:rPr>
                <w:rFonts w:ascii="Arial" w:cs="Arial" w:eastAsia="Arial" w:hAnsi="Arial"/>
                <w:sz w:val="13"/>
                <w:szCs w:val="13"/>
                <w:color w:val="auto"/>
              </w:rPr>
              <w:t>during his/her term.</w:t>
            </w:r>
          </w:p>
        </w:tc>
        <w:tc>
          <w:tcPr>
            <w:tcW w:w="240" w:type="dxa"/>
            <w:vAlign w:val="bottom"/>
            <w:tcBorders>
              <w:right w:val="single" w:sz="8" w:color="auto"/>
            </w:tcBorders>
          </w:tcPr>
          <w:p>
            <w:pPr>
              <w:spacing w:after="0"/>
              <w:rPr>
                <w:sz w:val="14"/>
                <w:szCs w:val="14"/>
                <w:color w:val="auto"/>
              </w:rPr>
            </w:pPr>
          </w:p>
        </w:tc>
        <w:tc>
          <w:tcPr>
            <w:tcW w:w="5520" w:type="dxa"/>
            <w:vAlign w:val="bottom"/>
            <w:tcBorders>
              <w:right w:val="single" w:sz="8" w:color="auto"/>
            </w:tcBorders>
            <w:gridSpan w:val="2"/>
          </w:tcPr>
          <w:p>
            <w:pPr>
              <w:ind w:left="20"/>
              <w:spacing w:after="0"/>
              <w:rPr>
                <w:sz w:val="20"/>
                <w:szCs w:val="20"/>
                <w:color w:val="auto"/>
              </w:rPr>
            </w:pPr>
            <w:r>
              <w:rPr>
                <w:rFonts w:ascii="Arial" w:cs="Arial" w:eastAsia="Arial" w:hAnsi="Arial"/>
                <w:sz w:val="13"/>
                <w:szCs w:val="13"/>
                <w:color w:val="auto"/>
              </w:rPr>
              <w:t>qu'il/elle ne démissionne pas ou ne soit pas remplacé(e) durant son mandat.</w:t>
            </w:r>
          </w:p>
        </w:tc>
      </w:tr>
      <w:tr>
        <w:trPr>
          <w:trHeight w:val="153"/>
        </w:trPr>
        <w:tc>
          <w:tcPr>
            <w:tcW w:w="5540" w:type="dxa"/>
            <w:vAlign w:val="bottom"/>
            <w:tcBorders>
              <w:left w:val="single" w:sz="8" w:color="auto"/>
              <w:bottom w:val="single" w:sz="8" w:color="auto"/>
              <w:right w:val="single" w:sz="8" w:color="auto"/>
            </w:tcBorders>
            <w:gridSpan w:val="2"/>
          </w:tcPr>
          <w:p>
            <w:pPr>
              <w:spacing w:after="0"/>
              <w:rPr>
                <w:sz w:val="13"/>
                <w:szCs w:val="13"/>
                <w:color w:val="auto"/>
              </w:rPr>
            </w:pPr>
          </w:p>
        </w:tc>
        <w:tc>
          <w:tcPr>
            <w:tcW w:w="240" w:type="dxa"/>
            <w:vAlign w:val="bottom"/>
            <w:tcBorders>
              <w:bottom w:val="single" w:sz="8" w:color="auto"/>
              <w:right w:val="single" w:sz="8" w:color="auto"/>
            </w:tcBorders>
          </w:tcPr>
          <w:p>
            <w:pPr>
              <w:spacing w:after="0"/>
              <w:rPr>
                <w:sz w:val="13"/>
                <w:szCs w:val="13"/>
                <w:color w:val="auto"/>
              </w:rPr>
            </w:pPr>
          </w:p>
        </w:tc>
        <w:tc>
          <w:tcPr>
            <w:tcW w:w="5520" w:type="dxa"/>
            <w:vAlign w:val="bottom"/>
            <w:tcBorders>
              <w:bottom w:val="single" w:sz="8" w:color="auto"/>
              <w:right w:val="single" w:sz="8" w:color="auto"/>
            </w:tcBorders>
            <w:gridSpan w:val="2"/>
          </w:tcPr>
          <w:p>
            <w:pPr>
              <w:spacing w:after="0"/>
              <w:rPr>
                <w:sz w:val="13"/>
                <w:szCs w:val="13"/>
                <w:color w:val="auto"/>
              </w:rPr>
            </w:pPr>
          </w:p>
        </w:tc>
      </w:tr>
      <w:tr>
        <w:trPr>
          <w:trHeight w:val="141"/>
        </w:trPr>
        <w:tc>
          <w:tcPr>
            <w:tcW w:w="5540" w:type="dxa"/>
            <w:vAlign w:val="bottom"/>
            <w:tcBorders>
              <w:left w:val="single" w:sz="8" w:color="auto"/>
              <w:right w:val="single" w:sz="8" w:color="auto"/>
            </w:tcBorders>
            <w:gridSpan w:val="2"/>
          </w:tcPr>
          <w:p>
            <w:pPr>
              <w:ind w:left="40"/>
              <w:spacing w:after="0" w:line="141" w:lineRule="exact"/>
              <w:rPr>
                <w:sz w:val="20"/>
                <w:szCs w:val="20"/>
                <w:color w:val="auto"/>
              </w:rPr>
            </w:pPr>
            <w:r>
              <w:rPr>
                <w:rFonts w:ascii="Arial" w:cs="Arial" w:eastAsia="Arial" w:hAnsi="Arial"/>
                <w:sz w:val="13"/>
                <w:szCs w:val="13"/>
                <w:color w:val="auto"/>
                <w:w w:val="99"/>
              </w:rPr>
              <w:t>The members of the Board of Directors may be re-elected without limitation. The maximum age</w:t>
            </w:r>
          </w:p>
        </w:tc>
        <w:tc>
          <w:tcPr>
            <w:tcW w:w="240" w:type="dxa"/>
            <w:vAlign w:val="bottom"/>
            <w:tcBorders>
              <w:right w:val="single" w:sz="8" w:color="auto"/>
            </w:tcBorders>
          </w:tcPr>
          <w:p>
            <w:pPr>
              <w:spacing w:after="0"/>
              <w:rPr>
                <w:sz w:val="12"/>
                <w:szCs w:val="12"/>
                <w:color w:val="auto"/>
              </w:rPr>
            </w:pPr>
          </w:p>
        </w:tc>
        <w:tc>
          <w:tcPr>
            <w:tcW w:w="5520" w:type="dxa"/>
            <w:vAlign w:val="bottom"/>
            <w:tcBorders>
              <w:right w:val="single" w:sz="8" w:color="auto"/>
            </w:tcBorders>
            <w:gridSpan w:val="2"/>
          </w:tcPr>
          <w:p>
            <w:pPr>
              <w:ind w:left="20"/>
              <w:spacing w:after="0" w:line="141" w:lineRule="exact"/>
              <w:rPr>
                <w:sz w:val="20"/>
                <w:szCs w:val="20"/>
                <w:color w:val="auto"/>
              </w:rPr>
            </w:pPr>
            <w:r>
              <w:rPr>
                <w:rFonts w:ascii="Arial" w:cs="Arial" w:eastAsia="Arial" w:hAnsi="Arial"/>
                <w:sz w:val="13"/>
                <w:szCs w:val="13"/>
                <w:color w:val="auto"/>
                <w:w w:val="98"/>
              </w:rPr>
              <w:t>Les membres du conseil d'administration peuvent être réélus sans limitation. La limite d’âge des</w:t>
            </w:r>
          </w:p>
        </w:tc>
      </w:tr>
      <w:tr>
        <w:trPr>
          <w:trHeight w:val="145"/>
        </w:trPr>
        <w:tc>
          <w:tcPr>
            <w:tcW w:w="5540" w:type="dxa"/>
            <w:vAlign w:val="bottom"/>
            <w:tcBorders>
              <w:left w:val="single" w:sz="8" w:color="auto"/>
              <w:right w:val="single" w:sz="8" w:color="auto"/>
            </w:tcBorders>
            <w:gridSpan w:val="2"/>
          </w:tcPr>
          <w:p>
            <w:pPr>
              <w:ind w:left="40"/>
              <w:spacing w:after="0" w:line="145" w:lineRule="exact"/>
              <w:rPr>
                <w:sz w:val="20"/>
                <w:szCs w:val="20"/>
                <w:color w:val="auto"/>
              </w:rPr>
            </w:pPr>
            <w:r>
              <w:rPr>
                <w:rFonts w:ascii="Arial" w:cs="Arial" w:eastAsia="Arial" w:hAnsi="Arial"/>
                <w:sz w:val="13"/>
                <w:szCs w:val="13"/>
                <w:color w:val="auto"/>
              </w:rPr>
              <w:t>limit of members of the Board shall be 75 years. When a member of the Board of Directors</w:t>
            </w:r>
          </w:p>
        </w:tc>
        <w:tc>
          <w:tcPr>
            <w:tcW w:w="240" w:type="dxa"/>
            <w:vAlign w:val="bottom"/>
            <w:tcBorders>
              <w:right w:val="single" w:sz="8" w:color="auto"/>
            </w:tcBorders>
          </w:tcPr>
          <w:p>
            <w:pPr>
              <w:spacing w:after="0"/>
              <w:rPr>
                <w:sz w:val="12"/>
                <w:szCs w:val="12"/>
                <w:color w:val="auto"/>
              </w:rPr>
            </w:pPr>
          </w:p>
        </w:tc>
        <w:tc>
          <w:tcPr>
            <w:tcW w:w="5520" w:type="dxa"/>
            <w:vAlign w:val="bottom"/>
            <w:tcBorders>
              <w:right w:val="single" w:sz="8" w:color="auto"/>
            </w:tcBorders>
            <w:gridSpan w:val="2"/>
          </w:tcPr>
          <w:p>
            <w:pPr>
              <w:ind w:left="20"/>
              <w:spacing w:after="0" w:line="145" w:lineRule="exact"/>
              <w:rPr>
                <w:sz w:val="20"/>
                <w:szCs w:val="20"/>
                <w:color w:val="auto"/>
              </w:rPr>
            </w:pPr>
            <w:r>
              <w:rPr>
                <w:rFonts w:ascii="Arial" w:cs="Arial" w:eastAsia="Arial" w:hAnsi="Arial"/>
                <w:sz w:val="13"/>
                <w:szCs w:val="13"/>
                <w:color w:val="auto"/>
              </w:rPr>
              <w:t>membres du conseil d'administration est fixée à 75 ans. Lorsqu'un membre du conseil</w:t>
            </w:r>
          </w:p>
        </w:tc>
      </w:tr>
      <w:tr>
        <w:trPr>
          <w:trHeight w:val="145"/>
        </w:trPr>
        <w:tc>
          <w:tcPr>
            <w:tcW w:w="5540" w:type="dxa"/>
            <w:vAlign w:val="bottom"/>
            <w:tcBorders>
              <w:left w:val="single" w:sz="8" w:color="auto"/>
              <w:right w:val="single" w:sz="8" w:color="auto"/>
            </w:tcBorders>
            <w:gridSpan w:val="2"/>
          </w:tcPr>
          <w:p>
            <w:pPr>
              <w:ind w:left="40"/>
              <w:spacing w:after="0" w:line="145" w:lineRule="exact"/>
              <w:rPr>
                <w:sz w:val="20"/>
                <w:szCs w:val="20"/>
                <w:color w:val="auto"/>
              </w:rPr>
            </w:pPr>
            <w:r>
              <w:rPr>
                <w:rFonts w:ascii="Arial" w:cs="Arial" w:eastAsia="Arial" w:hAnsi="Arial"/>
                <w:sz w:val="13"/>
                <w:szCs w:val="13"/>
                <w:color w:val="auto"/>
              </w:rPr>
              <w:t>reaches this age limit during his term of office, such term shall automatically extend to the next</w:t>
            </w:r>
          </w:p>
        </w:tc>
        <w:tc>
          <w:tcPr>
            <w:tcW w:w="240" w:type="dxa"/>
            <w:vAlign w:val="bottom"/>
            <w:tcBorders>
              <w:right w:val="single" w:sz="8" w:color="auto"/>
            </w:tcBorders>
          </w:tcPr>
          <w:p>
            <w:pPr>
              <w:spacing w:after="0"/>
              <w:rPr>
                <w:sz w:val="12"/>
                <w:szCs w:val="12"/>
                <w:color w:val="auto"/>
              </w:rPr>
            </w:pPr>
          </w:p>
        </w:tc>
        <w:tc>
          <w:tcPr>
            <w:tcW w:w="5520" w:type="dxa"/>
            <w:vAlign w:val="bottom"/>
            <w:tcBorders>
              <w:right w:val="single" w:sz="8" w:color="auto"/>
            </w:tcBorders>
            <w:gridSpan w:val="2"/>
          </w:tcPr>
          <w:p>
            <w:pPr>
              <w:ind w:left="20"/>
              <w:spacing w:after="0" w:line="145" w:lineRule="exact"/>
              <w:rPr>
                <w:sz w:val="20"/>
                <w:szCs w:val="20"/>
                <w:color w:val="auto"/>
              </w:rPr>
            </w:pPr>
            <w:r>
              <w:rPr>
                <w:rFonts w:ascii="Arial" w:cs="Arial" w:eastAsia="Arial" w:hAnsi="Arial"/>
                <w:sz w:val="13"/>
                <w:szCs w:val="13"/>
                <w:color w:val="auto"/>
              </w:rPr>
              <w:t>d'administration  atteint  cette  limite  d'âge  durant  son  mandat,  ledit  mandat  sera</w:t>
            </w:r>
          </w:p>
        </w:tc>
      </w:tr>
      <w:tr>
        <w:trPr>
          <w:trHeight w:val="145"/>
        </w:trPr>
        <w:tc>
          <w:tcPr>
            <w:tcW w:w="5540" w:type="dxa"/>
            <w:vAlign w:val="bottom"/>
            <w:tcBorders>
              <w:left w:val="single" w:sz="8" w:color="auto"/>
              <w:right w:val="single" w:sz="8" w:color="auto"/>
            </w:tcBorders>
            <w:gridSpan w:val="2"/>
          </w:tcPr>
          <w:p>
            <w:pPr>
              <w:ind w:left="40"/>
              <w:spacing w:after="0" w:line="145" w:lineRule="exact"/>
              <w:rPr>
                <w:sz w:val="20"/>
                <w:szCs w:val="20"/>
                <w:color w:val="auto"/>
              </w:rPr>
            </w:pPr>
            <w:r>
              <w:rPr>
                <w:rFonts w:ascii="Arial" w:cs="Arial" w:eastAsia="Arial" w:hAnsi="Arial"/>
                <w:sz w:val="13"/>
                <w:szCs w:val="13"/>
                <w:color w:val="auto"/>
                <w:w w:val="98"/>
              </w:rPr>
              <w:t>ordinary shareholders' meeting. The shareholders' meeting may resolve to grant an exception to</w:t>
            </w:r>
          </w:p>
        </w:tc>
        <w:tc>
          <w:tcPr>
            <w:tcW w:w="240" w:type="dxa"/>
            <w:vAlign w:val="bottom"/>
            <w:tcBorders>
              <w:right w:val="single" w:sz="8" w:color="auto"/>
            </w:tcBorders>
          </w:tcPr>
          <w:p>
            <w:pPr>
              <w:spacing w:after="0"/>
              <w:rPr>
                <w:sz w:val="12"/>
                <w:szCs w:val="12"/>
                <w:color w:val="auto"/>
              </w:rPr>
            </w:pPr>
          </w:p>
        </w:tc>
        <w:tc>
          <w:tcPr>
            <w:tcW w:w="5520" w:type="dxa"/>
            <w:vAlign w:val="bottom"/>
            <w:tcBorders>
              <w:right w:val="single" w:sz="8" w:color="auto"/>
            </w:tcBorders>
            <w:gridSpan w:val="2"/>
          </w:tcPr>
          <w:p>
            <w:pPr>
              <w:ind w:left="20"/>
              <w:spacing w:after="0" w:line="145" w:lineRule="exact"/>
              <w:rPr>
                <w:sz w:val="20"/>
                <w:szCs w:val="20"/>
                <w:color w:val="auto"/>
              </w:rPr>
            </w:pPr>
            <w:r>
              <w:rPr>
                <w:rFonts w:ascii="Arial" w:cs="Arial" w:eastAsia="Arial" w:hAnsi="Arial"/>
                <w:sz w:val="13"/>
                <w:szCs w:val="13"/>
                <w:color w:val="auto"/>
              </w:rPr>
              <w:t>automatiquement prolongé jusqu'à la prochaine assemblée générale ordinaire. L'assemblée</w:t>
            </w:r>
          </w:p>
        </w:tc>
      </w:tr>
      <w:tr>
        <w:trPr>
          <w:trHeight w:val="173"/>
        </w:trPr>
        <w:tc>
          <w:tcPr>
            <w:tcW w:w="5540" w:type="dxa"/>
            <w:vAlign w:val="bottom"/>
            <w:tcBorders>
              <w:left w:val="single" w:sz="8" w:color="auto"/>
              <w:bottom w:val="single" w:sz="8" w:color="auto"/>
              <w:right w:val="single" w:sz="8" w:color="auto"/>
            </w:tcBorders>
            <w:gridSpan w:val="2"/>
          </w:tcPr>
          <w:p>
            <w:pPr>
              <w:ind w:left="40"/>
              <w:spacing w:after="0"/>
              <w:rPr>
                <w:sz w:val="20"/>
                <w:szCs w:val="20"/>
                <w:color w:val="auto"/>
              </w:rPr>
            </w:pPr>
            <w:r>
              <w:rPr>
                <w:rFonts w:ascii="Arial" w:cs="Arial" w:eastAsia="Arial" w:hAnsi="Arial"/>
                <w:sz w:val="13"/>
                <w:szCs w:val="13"/>
                <w:color w:val="auto"/>
              </w:rPr>
              <w:t>the age limit.</w:t>
            </w:r>
          </w:p>
        </w:tc>
        <w:tc>
          <w:tcPr>
            <w:tcW w:w="240" w:type="dxa"/>
            <w:vAlign w:val="bottom"/>
            <w:tcBorders>
              <w:bottom w:val="single" w:sz="8" w:color="auto"/>
              <w:right w:val="single" w:sz="8" w:color="auto"/>
            </w:tcBorders>
          </w:tcPr>
          <w:p>
            <w:pPr>
              <w:spacing w:after="0"/>
              <w:rPr>
                <w:sz w:val="15"/>
                <w:szCs w:val="15"/>
                <w:color w:val="auto"/>
              </w:rPr>
            </w:pPr>
          </w:p>
        </w:tc>
        <w:tc>
          <w:tcPr>
            <w:tcW w:w="5520" w:type="dxa"/>
            <w:vAlign w:val="bottom"/>
            <w:tcBorders>
              <w:bottom w:val="single" w:sz="8" w:color="auto"/>
              <w:right w:val="single" w:sz="8" w:color="auto"/>
            </w:tcBorders>
            <w:gridSpan w:val="2"/>
          </w:tcPr>
          <w:p>
            <w:pPr>
              <w:ind w:left="20"/>
              <w:spacing w:after="0"/>
              <w:rPr>
                <w:sz w:val="20"/>
                <w:szCs w:val="20"/>
                <w:color w:val="auto"/>
              </w:rPr>
            </w:pPr>
            <w:r>
              <w:rPr>
                <w:rFonts w:ascii="Arial" w:cs="Arial" w:eastAsia="Arial" w:hAnsi="Arial"/>
                <w:sz w:val="13"/>
                <w:szCs w:val="13"/>
                <w:color w:val="auto"/>
              </w:rPr>
              <w:t>générale des actionnaires peut décider d'accorder une dérogation à la limite d'âge.</w:t>
            </w:r>
          </w:p>
        </w:tc>
      </w:tr>
      <w:tr>
        <w:trPr>
          <w:trHeight w:val="177"/>
        </w:trPr>
        <w:tc>
          <w:tcPr>
            <w:tcW w:w="500" w:type="dxa"/>
            <w:vAlign w:val="bottom"/>
            <w:tcBorders>
              <w:left w:val="single" w:sz="8" w:color="auto"/>
            </w:tcBorders>
          </w:tcPr>
          <w:p>
            <w:pPr>
              <w:ind w:left="40"/>
              <w:spacing w:after="0"/>
              <w:rPr>
                <w:sz w:val="20"/>
                <w:szCs w:val="20"/>
                <w:color w:val="auto"/>
              </w:rPr>
            </w:pPr>
            <w:r>
              <w:rPr>
                <w:rFonts w:ascii="Arial" w:cs="Arial" w:eastAsia="Arial" w:hAnsi="Arial"/>
                <w:sz w:val="13"/>
                <w:szCs w:val="13"/>
                <w:b w:val="1"/>
                <w:bCs w:val="1"/>
                <w:color w:val="auto"/>
              </w:rPr>
              <w:t>Art. 21</w:t>
            </w:r>
          </w:p>
        </w:tc>
        <w:tc>
          <w:tcPr>
            <w:tcW w:w="5040" w:type="dxa"/>
            <w:vAlign w:val="bottom"/>
            <w:tcBorders>
              <w:right w:val="single" w:sz="8" w:color="auto"/>
            </w:tcBorders>
          </w:tcPr>
          <w:p>
            <w:pPr>
              <w:ind w:left="80"/>
              <w:spacing w:after="0"/>
              <w:rPr>
                <w:sz w:val="20"/>
                <w:szCs w:val="20"/>
                <w:color w:val="auto"/>
              </w:rPr>
            </w:pPr>
            <w:r>
              <w:rPr>
                <w:rFonts w:ascii="Arial" w:cs="Arial" w:eastAsia="Arial" w:hAnsi="Arial"/>
                <w:sz w:val="13"/>
                <w:szCs w:val="13"/>
                <w:b w:val="1"/>
                <w:bCs w:val="1"/>
                <w:color w:val="auto"/>
              </w:rPr>
              <w:t>Constitution</w:t>
            </w:r>
          </w:p>
        </w:tc>
        <w:tc>
          <w:tcPr>
            <w:tcW w:w="240" w:type="dxa"/>
            <w:vAlign w:val="bottom"/>
            <w:tcBorders>
              <w:right w:val="single" w:sz="8" w:color="auto"/>
            </w:tcBorders>
          </w:tcPr>
          <w:p>
            <w:pPr>
              <w:spacing w:after="0"/>
              <w:rPr>
                <w:sz w:val="15"/>
                <w:szCs w:val="15"/>
                <w:color w:val="auto"/>
              </w:rPr>
            </w:pPr>
          </w:p>
        </w:tc>
        <w:tc>
          <w:tcPr>
            <w:tcW w:w="480" w:type="dxa"/>
            <w:vAlign w:val="bottom"/>
          </w:tcPr>
          <w:p>
            <w:pPr>
              <w:ind w:left="20"/>
              <w:spacing w:after="0"/>
              <w:rPr>
                <w:sz w:val="20"/>
                <w:szCs w:val="20"/>
                <w:color w:val="auto"/>
              </w:rPr>
            </w:pPr>
            <w:r>
              <w:rPr>
                <w:rFonts w:ascii="Arial" w:cs="Arial" w:eastAsia="Arial" w:hAnsi="Arial"/>
                <w:sz w:val="13"/>
                <w:szCs w:val="13"/>
                <w:b w:val="1"/>
                <w:bCs w:val="1"/>
                <w:color w:val="auto"/>
              </w:rPr>
              <w:t>Art. 21</w:t>
            </w:r>
          </w:p>
        </w:tc>
        <w:tc>
          <w:tcPr>
            <w:tcW w:w="5040" w:type="dxa"/>
            <w:vAlign w:val="bottom"/>
            <w:tcBorders>
              <w:right w:val="single" w:sz="8" w:color="auto"/>
            </w:tcBorders>
          </w:tcPr>
          <w:p>
            <w:pPr>
              <w:ind w:left="80"/>
              <w:spacing w:after="0"/>
              <w:rPr>
                <w:sz w:val="20"/>
                <w:szCs w:val="20"/>
                <w:color w:val="auto"/>
              </w:rPr>
            </w:pPr>
            <w:r>
              <w:rPr>
                <w:rFonts w:ascii="Arial" w:cs="Arial" w:eastAsia="Arial" w:hAnsi="Arial"/>
                <w:sz w:val="13"/>
                <w:szCs w:val="13"/>
                <w:b w:val="1"/>
                <w:bCs w:val="1"/>
                <w:color w:val="auto"/>
              </w:rPr>
              <w:t>Constitution</w:t>
            </w:r>
          </w:p>
        </w:tc>
      </w:tr>
      <w:tr>
        <w:trPr>
          <w:trHeight w:val="258"/>
        </w:trPr>
        <w:tc>
          <w:tcPr>
            <w:tcW w:w="5540" w:type="dxa"/>
            <w:vAlign w:val="bottom"/>
            <w:tcBorders>
              <w:left w:val="single" w:sz="8" w:color="auto"/>
              <w:right w:val="single" w:sz="8" w:color="auto"/>
            </w:tcBorders>
            <w:gridSpan w:val="2"/>
          </w:tcPr>
          <w:p>
            <w:pPr>
              <w:ind w:left="40"/>
              <w:spacing w:after="0"/>
              <w:rPr>
                <w:sz w:val="20"/>
                <w:szCs w:val="20"/>
                <w:color w:val="auto"/>
              </w:rPr>
            </w:pPr>
            <w:r>
              <w:rPr>
                <w:rFonts w:ascii="Arial" w:cs="Arial" w:eastAsia="Arial" w:hAnsi="Arial"/>
                <w:sz w:val="13"/>
                <w:szCs w:val="13"/>
                <w:color w:val="auto"/>
              </w:rPr>
              <w:t>Subject to the powers of the General Meeting, the Board of Directors determines its own</w:t>
            </w:r>
          </w:p>
        </w:tc>
        <w:tc>
          <w:tcPr>
            <w:tcW w:w="240" w:type="dxa"/>
            <w:vAlign w:val="bottom"/>
            <w:tcBorders>
              <w:right w:val="single" w:sz="8" w:color="auto"/>
            </w:tcBorders>
          </w:tcPr>
          <w:p>
            <w:pPr>
              <w:spacing w:after="0"/>
              <w:rPr>
                <w:sz w:val="22"/>
                <w:szCs w:val="22"/>
                <w:color w:val="auto"/>
              </w:rPr>
            </w:pPr>
          </w:p>
        </w:tc>
        <w:tc>
          <w:tcPr>
            <w:tcW w:w="5520" w:type="dxa"/>
            <w:vAlign w:val="bottom"/>
            <w:tcBorders>
              <w:right w:val="single" w:sz="8" w:color="auto"/>
            </w:tcBorders>
            <w:gridSpan w:val="2"/>
          </w:tcPr>
          <w:p>
            <w:pPr>
              <w:ind w:left="20"/>
              <w:spacing w:after="0"/>
              <w:rPr>
                <w:sz w:val="20"/>
                <w:szCs w:val="20"/>
                <w:color w:val="auto"/>
              </w:rPr>
            </w:pPr>
            <w:r>
              <w:rPr>
                <w:rFonts w:ascii="Arial" w:cs="Arial" w:eastAsia="Arial" w:hAnsi="Arial"/>
                <w:sz w:val="13"/>
                <w:szCs w:val="13"/>
                <w:color w:val="auto"/>
              </w:rPr>
              <w:t>Sous réserve des pouvoirs de l'assemblée générale, le conseil d'administration détermine sa</w:t>
            </w:r>
          </w:p>
        </w:tc>
      </w:tr>
      <w:tr>
        <w:trPr>
          <w:trHeight w:val="145"/>
        </w:trPr>
        <w:tc>
          <w:tcPr>
            <w:tcW w:w="5540" w:type="dxa"/>
            <w:vAlign w:val="bottom"/>
            <w:tcBorders>
              <w:left w:val="single" w:sz="8" w:color="auto"/>
              <w:right w:val="single" w:sz="8" w:color="auto"/>
            </w:tcBorders>
            <w:gridSpan w:val="2"/>
          </w:tcPr>
          <w:p>
            <w:pPr>
              <w:ind w:left="40"/>
              <w:spacing w:after="0" w:line="145" w:lineRule="exact"/>
              <w:rPr>
                <w:sz w:val="20"/>
                <w:szCs w:val="20"/>
                <w:color w:val="auto"/>
              </w:rPr>
            </w:pPr>
            <w:r>
              <w:rPr>
                <w:rFonts w:ascii="Arial" w:cs="Arial" w:eastAsia="Arial" w:hAnsi="Arial"/>
                <w:sz w:val="13"/>
                <w:szCs w:val="13"/>
                <w:color w:val="auto"/>
              </w:rPr>
              <w:t>organization. It appoints a Secretary who needs not be a member of the Board of Directors.</w:t>
            </w:r>
          </w:p>
        </w:tc>
        <w:tc>
          <w:tcPr>
            <w:tcW w:w="240" w:type="dxa"/>
            <w:vAlign w:val="bottom"/>
            <w:tcBorders>
              <w:right w:val="single" w:sz="8" w:color="auto"/>
            </w:tcBorders>
          </w:tcPr>
          <w:p>
            <w:pPr>
              <w:spacing w:after="0"/>
              <w:rPr>
                <w:sz w:val="12"/>
                <w:szCs w:val="12"/>
                <w:color w:val="auto"/>
              </w:rPr>
            </w:pPr>
          </w:p>
        </w:tc>
        <w:tc>
          <w:tcPr>
            <w:tcW w:w="5520" w:type="dxa"/>
            <w:vAlign w:val="bottom"/>
            <w:tcBorders>
              <w:right w:val="single" w:sz="8" w:color="auto"/>
            </w:tcBorders>
            <w:gridSpan w:val="2"/>
          </w:tcPr>
          <w:p>
            <w:pPr>
              <w:ind w:left="20"/>
              <w:spacing w:after="0" w:line="145" w:lineRule="exact"/>
              <w:rPr>
                <w:sz w:val="20"/>
                <w:szCs w:val="20"/>
                <w:color w:val="auto"/>
              </w:rPr>
            </w:pPr>
            <w:r>
              <w:rPr>
                <w:rFonts w:ascii="Arial" w:cs="Arial" w:eastAsia="Arial" w:hAnsi="Arial"/>
                <w:sz w:val="13"/>
                <w:szCs w:val="13"/>
                <w:color w:val="auto"/>
                <w:w w:val="99"/>
              </w:rPr>
              <w:t>propre organisation. Il nomme un secrétaire qui ne doit pas nécessairement être un membre du</w:t>
            </w:r>
          </w:p>
        </w:tc>
      </w:tr>
      <w:tr>
        <w:trPr>
          <w:trHeight w:val="168"/>
        </w:trPr>
        <w:tc>
          <w:tcPr>
            <w:tcW w:w="500" w:type="dxa"/>
            <w:vAlign w:val="bottom"/>
            <w:tcBorders>
              <w:left w:val="single" w:sz="8" w:color="auto"/>
            </w:tcBorders>
          </w:tcPr>
          <w:p>
            <w:pPr>
              <w:spacing w:after="0"/>
              <w:rPr>
                <w:sz w:val="14"/>
                <w:szCs w:val="14"/>
                <w:color w:val="auto"/>
              </w:rPr>
            </w:pPr>
          </w:p>
        </w:tc>
        <w:tc>
          <w:tcPr>
            <w:tcW w:w="5040" w:type="dxa"/>
            <w:vAlign w:val="bottom"/>
            <w:tcBorders>
              <w:right w:val="single" w:sz="8" w:color="auto"/>
            </w:tcBorders>
          </w:tcPr>
          <w:p>
            <w:pPr>
              <w:spacing w:after="0"/>
              <w:rPr>
                <w:sz w:val="14"/>
                <w:szCs w:val="14"/>
                <w:color w:val="auto"/>
              </w:rPr>
            </w:pPr>
          </w:p>
        </w:tc>
        <w:tc>
          <w:tcPr>
            <w:tcW w:w="240" w:type="dxa"/>
            <w:vAlign w:val="bottom"/>
            <w:tcBorders>
              <w:right w:val="single" w:sz="8" w:color="auto"/>
            </w:tcBorders>
          </w:tcPr>
          <w:p>
            <w:pPr>
              <w:spacing w:after="0"/>
              <w:rPr>
                <w:sz w:val="14"/>
                <w:szCs w:val="14"/>
                <w:color w:val="auto"/>
              </w:rPr>
            </w:pPr>
          </w:p>
        </w:tc>
        <w:tc>
          <w:tcPr>
            <w:tcW w:w="5520" w:type="dxa"/>
            <w:vAlign w:val="bottom"/>
            <w:tcBorders>
              <w:right w:val="single" w:sz="8" w:color="auto"/>
            </w:tcBorders>
            <w:gridSpan w:val="2"/>
          </w:tcPr>
          <w:p>
            <w:pPr>
              <w:ind w:left="20"/>
              <w:spacing w:after="0"/>
              <w:rPr>
                <w:sz w:val="20"/>
                <w:szCs w:val="20"/>
                <w:color w:val="auto"/>
              </w:rPr>
            </w:pPr>
            <w:r>
              <w:rPr>
                <w:rFonts w:ascii="Arial" w:cs="Arial" w:eastAsia="Arial" w:hAnsi="Arial"/>
                <w:sz w:val="13"/>
                <w:szCs w:val="13"/>
                <w:color w:val="auto"/>
              </w:rPr>
              <w:t>conseil d'administration.</w:t>
            </w:r>
          </w:p>
        </w:tc>
      </w:tr>
      <w:tr>
        <w:trPr>
          <w:trHeight w:val="153"/>
        </w:trPr>
        <w:tc>
          <w:tcPr>
            <w:tcW w:w="500" w:type="dxa"/>
            <w:vAlign w:val="bottom"/>
            <w:tcBorders>
              <w:left w:val="single" w:sz="8" w:color="auto"/>
              <w:bottom w:val="single" w:sz="8" w:color="auto"/>
            </w:tcBorders>
          </w:tcPr>
          <w:p>
            <w:pPr>
              <w:spacing w:after="0"/>
              <w:rPr>
                <w:sz w:val="13"/>
                <w:szCs w:val="13"/>
                <w:color w:val="auto"/>
              </w:rPr>
            </w:pPr>
          </w:p>
        </w:tc>
        <w:tc>
          <w:tcPr>
            <w:tcW w:w="5040" w:type="dxa"/>
            <w:vAlign w:val="bottom"/>
            <w:tcBorders>
              <w:bottom w:val="single" w:sz="8" w:color="auto"/>
              <w:right w:val="single" w:sz="8" w:color="auto"/>
            </w:tcBorders>
          </w:tcPr>
          <w:p>
            <w:pPr>
              <w:spacing w:after="0"/>
              <w:rPr>
                <w:sz w:val="13"/>
                <w:szCs w:val="13"/>
                <w:color w:val="auto"/>
              </w:rPr>
            </w:pPr>
          </w:p>
        </w:tc>
        <w:tc>
          <w:tcPr>
            <w:tcW w:w="240" w:type="dxa"/>
            <w:vAlign w:val="bottom"/>
            <w:tcBorders>
              <w:bottom w:val="single" w:sz="8" w:color="auto"/>
              <w:right w:val="single" w:sz="8" w:color="auto"/>
            </w:tcBorders>
          </w:tcPr>
          <w:p>
            <w:pPr>
              <w:spacing w:after="0"/>
              <w:rPr>
                <w:sz w:val="13"/>
                <w:szCs w:val="13"/>
                <w:color w:val="auto"/>
              </w:rPr>
            </w:pPr>
          </w:p>
        </w:tc>
        <w:tc>
          <w:tcPr>
            <w:tcW w:w="480" w:type="dxa"/>
            <w:vAlign w:val="bottom"/>
            <w:tcBorders>
              <w:bottom w:val="single" w:sz="8" w:color="auto"/>
            </w:tcBorders>
          </w:tcPr>
          <w:p>
            <w:pPr>
              <w:spacing w:after="0"/>
              <w:rPr>
                <w:sz w:val="13"/>
                <w:szCs w:val="13"/>
                <w:color w:val="auto"/>
              </w:rPr>
            </w:pPr>
          </w:p>
        </w:tc>
        <w:tc>
          <w:tcPr>
            <w:tcW w:w="5040" w:type="dxa"/>
            <w:vAlign w:val="bottom"/>
            <w:tcBorders>
              <w:bottom w:val="single" w:sz="8" w:color="auto"/>
              <w:right w:val="single" w:sz="8" w:color="auto"/>
            </w:tcBorders>
          </w:tcPr>
          <w:p>
            <w:pPr>
              <w:spacing w:after="0"/>
              <w:rPr>
                <w:sz w:val="13"/>
                <w:szCs w:val="13"/>
                <w:color w:val="auto"/>
              </w:rPr>
            </w:pPr>
          </w:p>
        </w:tc>
      </w:tr>
      <w:tr>
        <w:trPr>
          <w:trHeight w:val="173"/>
        </w:trPr>
        <w:tc>
          <w:tcPr>
            <w:tcW w:w="500" w:type="dxa"/>
            <w:vAlign w:val="bottom"/>
            <w:tcBorders>
              <w:left w:val="single" w:sz="8" w:color="auto"/>
            </w:tcBorders>
          </w:tcPr>
          <w:p>
            <w:pPr>
              <w:ind w:left="40"/>
              <w:spacing w:after="0"/>
              <w:rPr>
                <w:sz w:val="20"/>
                <w:szCs w:val="20"/>
                <w:color w:val="auto"/>
              </w:rPr>
            </w:pPr>
            <w:r>
              <w:rPr>
                <w:rFonts w:ascii="Arial" w:cs="Arial" w:eastAsia="Arial" w:hAnsi="Arial"/>
                <w:sz w:val="13"/>
                <w:szCs w:val="13"/>
                <w:b w:val="1"/>
                <w:bCs w:val="1"/>
                <w:color w:val="auto"/>
              </w:rPr>
              <w:t>Art. 22</w:t>
            </w:r>
          </w:p>
        </w:tc>
        <w:tc>
          <w:tcPr>
            <w:tcW w:w="5040" w:type="dxa"/>
            <w:vAlign w:val="bottom"/>
            <w:tcBorders>
              <w:right w:val="single" w:sz="8" w:color="auto"/>
            </w:tcBorders>
          </w:tcPr>
          <w:p>
            <w:pPr>
              <w:ind w:left="80"/>
              <w:spacing w:after="0"/>
              <w:rPr>
                <w:sz w:val="20"/>
                <w:szCs w:val="20"/>
                <w:color w:val="auto"/>
              </w:rPr>
            </w:pPr>
            <w:r>
              <w:rPr>
                <w:rFonts w:ascii="Arial" w:cs="Arial" w:eastAsia="Arial" w:hAnsi="Arial"/>
                <w:sz w:val="13"/>
                <w:szCs w:val="13"/>
                <w:b w:val="1"/>
                <w:bCs w:val="1"/>
                <w:color w:val="auto"/>
              </w:rPr>
              <w:t>Function, Organization</w:t>
            </w:r>
          </w:p>
        </w:tc>
        <w:tc>
          <w:tcPr>
            <w:tcW w:w="240" w:type="dxa"/>
            <w:vAlign w:val="bottom"/>
            <w:tcBorders>
              <w:right w:val="single" w:sz="8" w:color="auto"/>
            </w:tcBorders>
          </w:tcPr>
          <w:p>
            <w:pPr>
              <w:spacing w:after="0"/>
              <w:rPr>
                <w:sz w:val="15"/>
                <w:szCs w:val="15"/>
                <w:color w:val="auto"/>
              </w:rPr>
            </w:pPr>
          </w:p>
        </w:tc>
        <w:tc>
          <w:tcPr>
            <w:tcW w:w="480" w:type="dxa"/>
            <w:vAlign w:val="bottom"/>
          </w:tcPr>
          <w:p>
            <w:pPr>
              <w:ind w:left="20"/>
              <w:spacing w:after="0"/>
              <w:rPr>
                <w:sz w:val="20"/>
                <w:szCs w:val="20"/>
                <w:color w:val="auto"/>
              </w:rPr>
            </w:pPr>
            <w:r>
              <w:rPr>
                <w:rFonts w:ascii="Arial" w:cs="Arial" w:eastAsia="Arial" w:hAnsi="Arial"/>
                <w:sz w:val="13"/>
                <w:szCs w:val="13"/>
                <w:b w:val="1"/>
                <w:bCs w:val="1"/>
                <w:color w:val="auto"/>
              </w:rPr>
              <w:t>Art. 22</w:t>
            </w:r>
          </w:p>
        </w:tc>
        <w:tc>
          <w:tcPr>
            <w:tcW w:w="5040" w:type="dxa"/>
            <w:vAlign w:val="bottom"/>
            <w:tcBorders>
              <w:right w:val="single" w:sz="8" w:color="auto"/>
            </w:tcBorders>
          </w:tcPr>
          <w:p>
            <w:pPr>
              <w:ind w:left="80"/>
              <w:spacing w:after="0"/>
              <w:rPr>
                <w:sz w:val="20"/>
                <w:szCs w:val="20"/>
                <w:color w:val="auto"/>
              </w:rPr>
            </w:pPr>
            <w:r>
              <w:rPr>
                <w:rFonts w:ascii="Arial" w:cs="Arial" w:eastAsia="Arial" w:hAnsi="Arial"/>
                <w:sz w:val="13"/>
                <w:szCs w:val="13"/>
                <w:b w:val="1"/>
                <w:bCs w:val="1"/>
                <w:color w:val="auto"/>
              </w:rPr>
              <w:t>Fonction, organisation</w:t>
            </w:r>
          </w:p>
        </w:tc>
      </w:tr>
      <w:tr>
        <w:trPr>
          <w:trHeight w:val="258"/>
        </w:trPr>
        <w:tc>
          <w:tcPr>
            <w:tcW w:w="5540" w:type="dxa"/>
            <w:vAlign w:val="bottom"/>
            <w:tcBorders>
              <w:left w:val="single" w:sz="8" w:color="auto"/>
              <w:right w:val="single" w:sz="8" w:color="auto"/>
            </w:tcBorders>
            <w:gridSpan w:val="2"/>
          </w:tcPr>
          <w:p>
            <w:pPr>
              <w:ind w:left="40"/>
              <w:spacing w:after="0"/>
              <w:rPr>
                <w:sz w:val="20"/>
                <w:szCs w:val="20"/>
                <w:color w:val="auto"/>
              </w:rPr>
            </w:pPr>
            <w:r>
              <w:rPr>
                <w:rFonts w:ascii="Arial" w:cs="Arial" w:eastAsia="Arial" w:hAnsi="Arial"/>
                <w:sz w:val="13"/>
                <w:szCs w:val="13"/>
                <w:color w:val="auto"/>
              </w:rPr>
              <w:t>It is the Board of Director's duty to lead the Company and to supervise the management. The</w:t>
            </w:r>
          </w:p>
        </w:tc>
        <w:tc>
          <w:tcPr>
            <w:tcW w:w="240" w:type="dxa"/>
            <w:vAlign w:val="bottom"/>
            <w:tcBorders>
              <w:right w:val="single" w:sz="8" w:color="auto"/>
            </w:tcBorders>
          </w:tcPr>
          <w:p>
            <w:pPr>
              <w:spacing w:after="0"/>
              <w:rPr>
                <w:sz w:val="22"/>
                <w:szCs w:val="22"/>
                <w:color w:val="auto"/>
              </w:rPr>
            </w:pPr>
          </w:p>
        </w:tc>
        <w:tc>
          <w:tcPr>
            <w:tcW w:w="5520" w:type="dxa"/>
            <w:vAlign w:val="bottom"/>
            <w:tcBorders>
              <w:right w:val="single" w:sz="8" w:color="auto"/>
            </w:tcBorders>
            <w:gridSpan w:val="2"/>
          </w:tcPr>
          <w:p>
            <w:pPr>
              <w:ind w:left="20"/>
              <w:spacing w:after="0"/>
              <w:rPr>
                <w:sz w:val="20"/>
                <w:szCs w:val="20"/>
                <w:color w:val="auto"/>
              </w:rPr>
            </w:pPr>
            <w:r>
              <w:rPr>
                <w:rFonts w:ascii="Arial" w:cs="Arial" w:eastAsia="Arial" w:hAnsi="Arial"/>
                <w:sz w:val="13"/>
                <w:szCs w:val="13"/>
                <w:color w:val="auto"/>
              </w:rPr>
              <w:t>Le conseil d'administration exerce la direction de la société et en supervise la gestion. Le</w:t>
            </w:r>
          </w:p>
        </w:tc>
      </w:tr>
      <w:tr>
        <w:trPr>
          <w:trHeight w:val="145"/>
        </w:trPr>
        <w:tc>
          <w:tcPr>
            <w:tcW w:w="5540" w:type="dxa"/>
            <w:vAlign w:val="bottom"/>
            <w:tcBorders>
              <w:left w:val="single" w:sz="8" w:color="auto"/>
              <w:right w:val="single" w:sz="8" w:color="auto"/>
            </w:tcBorders>
            <w:gridSpan w:val="2"/>
          </w:tcPr>
          <w:p>
            <w:pPr>
              <w:ind w:left="40"/>
              <w:spacing w:after="0" w:line="145" w:lineRule="exact"/>
              <w:rPr>
                <w:sz w:val="20"/>
                <w:szCs w:val="20"/>
                <w:color w:val="auto"/>
              </w:rPr>
            </w:pPr>
            <w:r>
              <w:rPr>
                <w:rFonts w:ascii="Arial" w:cs="Arial" w:eastAsia="Arial" w:hAnsi="Arial"/>
                <w:sz w:val="13"/>
                <w:szCs w:val="13"/>
                <w:color w:val="auto"/>
              </w:rPr>
              <w:t>Board of Director represents the Company and may take decisions on all affairs which are not</w:t>
            </w:r>
          </w:p>
        </w:tc>
        <w:tc>
          <w:tcPr>
            <w:tcW w:w="240" w:type="dxa"/>
            <w:vAlign w:val="bottom"/>
            <w:tcBorders>
              <w:right w:val="single" w:sz="8" w:color="auto"/>
            </w:tcBorders>
          </w:tcPr>
          <w:p>
            <w:pPr>
              <w:spacing w:after="0"/>
              <w:rPr>
                <w:sz w:val="12"/>
                <w:szCs w:val="12"/>
                <w:color w:val="auto"/>
              </w:rPr>
            </w:pPr>
          </w:p>
        </w:tc>
        <w:tc>
          <w:tcPr>
            <w:tcW w:w="5520" w:type="dxa"/>
            <w:vAlign w:val="bottom"/>
            <w:tcBorders>
              <w:right w:val="single" w:sz="8" w:color="auto"/>
            </w:tcBorders>
            <w:gridSpan w:val="2"/>
          </w:tcPr>
          <w:p>
            <w:pPr>
              <w:ind w:left="20"/>
              <w:spacing w:after="0" w:line="145" w:lineRule="exact"/>
              <w:rPr>
                <w:sz w:val="20"/>
                <w:szCs w:val="20"/>
                <w:color w:val="auto"/>
              </w:rPr>
            </w:pPr>
            <w:r>
              <w:rPr>
                <w:rFonts w:ascii="Arial" w:cs="Arial" w:eastAsia="Arial" w:hAnsi="Arial"/>
                <w:sz w:val="13"/>
                <w:szCs w:val="13"/>
                <w:color w:val="auto"/>
              </w:rPr>
              <w:t>conseil d'administration représente la société et peut prendre les décisions sur toutes les</w:t>
            </w:r>
          </w:p>
        </w:tc>
      </w:tr>
      <w:tr>
        <w:trPr>
          <w:trHeight w:val="145"/>
        </w:trPr>
        <w:tc>
          <w:tcPr>
            <w:tcW w:w="5540" w:type="dxa"/>
            <w:vAlign w:val="bottom"/>
            <w:tcBorders>
              <w:left w:val="single" w:sz="8" w:color="auto"/>
              <w:right w:val="single" w:sz="8" w:color="auto"/>
            </w:tcBorders>
            <w:gridSpan w:val="2"/>
          </w:tcPr>
          <w:p>
            <w:pPr>
              <w:ind w:left="40"/>
              <w:spacing w:after="0" w:line="145" w:lineRule="exact"/>
              <w:rPr>
                <w:sz w:val="20"/>
                <w:szCs w:val="20"/>
                <w:color w:val="auto"/>
              </w:rPr>
            </w:pPr>
            <w:r>
              <w:rPr>
                <w:rFonts w:ascii="Arial" w:cs="Arial" w:eastAsia="Arial" w:hAnsi="Arial"/>
                <w:sz w:val="13"/>
                <w:szCs w:val="13"/>
                <w:color w:val="auto"/>
              </w:rPr>
              <w:t>assigned to any other body of the Company by law, the Articles of Association or the</w:t>
            </w:r>
          </w:p>
        </w:tc>
        <w:tc>
          <w:tcPr>
            <w:tcW w:w="240" w:type="dxa"/>
            <w:vAlign w:val="bottom"/>
            <w:tcBorders>
              <w:right w:val="single" w:sz="8" w:color="auto"/>
            </w:tcBorders>
          </w:tcPr>
          <w:p>
            <w:pPr>
              <w:spacing w:after="0"/>
              <w:rPr>
                <w:sz w:val="12"/>
                <w:szCs w:val="12"/>
                <w:color w:val="auto"/>
              </w:rPr>
            </w:pPr>
          </w:p>
        </w:tc>
        <w:tc>
          <w:tcPr>
            <w:tcW w:w="5520" w:type="dxa"/>
            <w:vAlign w:val="bottom"/>
            <w:tcBorders>
              <w:right w:val="single" w:sz="8" w:color="auto"/>
            </w:tcBorders>
            <w:gridSpan w:val="2"/>
          </w:tcPr>
          <w:p>
            <w:pPr>
              <w:ind w:left="20"/>
              <w:spacing w:after="0" w:line="145" w:lineRule="exact"/>
              <w:rPr>
                <w:sz w:val="20"/>
                <w:szCs w:val="20"/>
                <w:color w:val="auto"/>
              </w:rPr>
            </w:pPr>
            <w:r>
              <w:rPr>
                <w:rFonts w:ascii="Arial" w:cs="Arial" w:eastAsia="Arial" w:hAnsi="Arial"/>
                <w:sz w:val="13"/>
                <w:szCs w:val="13"/>
                <w:color w:val="auto"/>
              </w:rPr>
              <w:t>affaires qui ne sont pas attribuées à un autre organe de la société par la loi, les statuts ou le</w:t>
            </w:r>
          </w:p>
        </w:tc>
      </w:tr>
      <w:tr>
        <w:trPr>
          <w:trHeight w:val="168"/>
        </w:trPr>
        <w:tc>
          <w:tcPr>
            <w:tcW w:w="5540" w:type="dxa"/>
            <w:vAlign w:val="bottom"/>
            <w:tcBorders>
              <w:left w:val="single" w:sz="8" w:color="auto"/>
              <w:right w:val="single" w:sz="8" w:color="auto"/>
            </w:tcBorders>
            <w:gridSpan w:val="2"/>
          </w:tcPr>
          <w:p>
            <w:pPr>
              <w:ind w:left="40"/>
              <w:spacing w:after="0"/>
              <w:rPr>
                <w:sz w:val="20"/>
                <w:szCs w:val="20"/>
                <w:color w:val="auto"/>
              </w:rPr>
            </w:pPr>
            <w:r>
              <w:rPr>
                <w:rFonts w:ascii="Arial" w:cs="Arial" w:eastAsia="Arial" w:hAnsi="Arial"/>
                <w:sz w:val="13"/>
                <w:szCs w:val="13"/>
                <w:color w:val="auto"/>
              </w:rPr>
              <w:t>organizational regulations.</w:t>
            </w:r>
          </w:p>
        </w:tc>
        <w:tc>
          <w:tcPr>
            <w:tcW w:w="240" w:type="dxa"/>
            <w:vAlign w:val="bottom"/>
            <w:tcBorders>
              <w:right w:val="single" w:sz="8" w:color="auto"/>
            </w:tcBorders>
          </w:tcPr>
          <w:p>
            <w:pPr>
              <w:spacing w:after="0"/>
              <w:rPr>
                <w:sz w:val="14"/>
                <w:szCs w:val="14"/>
                <w:color w:val="auto"/>
              </w:rPr>
            </w:pPr>
          </w:p>
        </w:tc>
        <w:tc>
          <w:tcPr>
            <w:tcW w:w="5520" w:type="dxa"/>
            <w:vAlign w:val="bottom"/>
            <w:tcBorders>
              <w:right w:val="single" w:sz="8" w:color="auto"/>
            </w:tcBorders>
            <w:gridSpan w:val="2"/>
          </w:tcPr>
          <w:p>
            <w:pPr>
              <w:ind w:left="20"/>
              <w:spacing w:after="0"/>
              <w:rPr>
                <w:sz w:val="20"/>
                <w:szCs w:val="20"/>
                <w:color w:val="auto"/>
              </w:rPr>
            </w:pPr>
            <w:r>
              <w:rPr>
                <w:rFonts w:ascii="Arial" w:cs="Arial" w:eastAsia="Arial" w:hAnsi="Arial"/>
                <w:sz w:val="13"/>
                <w:szCs w:val="13"/>
                <w:color w:val="auto"/>
              </w:rPr>
              <w:t>règlement d'organisation.</w:t>
            </w:r>
          </w:p>
        </w:tc>
      </w:tr>
      <w:tr>
        <w:trPr>
          <w:trHeight w:val="153"/>
        </w:trPr>
        <w:tc>
          <w:tcPr>
            <w:tcW w:w="5540" w:type="dxa"/>
            <w:vAlign w:val="bottom"/>
            <w:tcBorders>
              <w:left w:val="single" w:sz="8" w:color="auto"/>
              <w:bottom w:val="single" w:sz="8" w:color="auto"/>
              <w:right w:val="single" w:sz="8" w:color="auto"/>
            </w:tcBorders>
            <w:gridSpan w:val="2"/>
          </w:tcPr>
          <w:p>
            <w:pPr>
              <w:spacing w:after="0"/>
              <w:rPr>
                <w:sz w:val="13"/>
                <w:szCs w:val="13"/>
                <w:color w:val="auto"/>
              </w:rPr>
            </w:pPr>
          </w:p>
        </w:tc>
        <w:tc>
          <w:tcPr>
            <w:tcW w:w="240" w:type="dxa"/>
            <w:vAlign w:val="bottom"/>
            <w:tcBorders>
              <w:bottom w:val="single" w:sz="8" w:color="auto"/>
              <w:right w:val="single" w:sz="8" w:color="auto"/>
            </w:tcBorders>
          </w:tcPr>
          <w:p>
            <w:pPr>
              <w:spacing w:after="0"/>
              <w:rPr>
                <w:sz w:val="13"/>
                <w:szCs w:val="13"/>
                <w:color w:val="auto"/>
              </w:rPr>
            </w:pPr>
          </w:p>
        </w:tc>
        <w:tc>
          <w:tcPr>
            <w:tcW w:w="5520" w:type="dxa"/>
            <w:vAlign w:val="bottom"/>
            <w:tcBorders>
              <w:bottom w:val="single" w:sz="8" w:color="auto"/>
              <w:right w:val="single" w:sz="8" w:color="auto"/>
            </w:tcBorders>
            <w:gridSpan w:val="2"/>
          </w:tcPr>
          <w:p>
            <w:pPr>
              <w:spacing w:after="0"/>
              <w:rPr>
                <w:sz w:val="13"/>
                <w:szCs w:val="13"/>
                <w:color w:val="auto"/>
              </w:rPr>
            </w:pPr>
          </w:p>
        </w:tc>
      </w:tr>
      <w:tr>
        <w:trPr>
          <w:trHeight w:val="141"/>
        </w:trPr>
        <w:tc>
          <w:tcPr>
            <w:tcW w:w="5540" w:type="dxa"/>
            <w:vAlign w:val="bottom"/>
            <w:tcBorders>
              <w:left w:val="single" w:sz="8" w:color="auto"/>
              <w:right w:val="single" w:sz="8" w:color="auto"/>
            </w:tcBorders>
            <w:gridSpan w:val="2"/>
          </w:tcPr>
          <w:p>
            <w:pPr>
              <w:ind w:left="40"/>
              <w:spacing w:after="0" w:line="141" w:lineRule="exact"/>
              <w:rPr>
                <w:sz w:val="20"/>
                <w:szCs w:val="20"/>
                <w:color w:val="auto"/>
              </w:rPr>
            </w:pPr>
            <w:r>
              <w:rPr>
                <w:rFonts w:ascii="Arial" w:cs="Arial" w:eastAsia="Arial" w:hAnsi="Arial"/>
                <w:sz w:val="13"/>
                <w:szCs w:val="13"/>
                <w:color w:val="auto"/>
              </w:rPr>
              <w:t>The  Board  of  Directors  shall  enact  the  organizational  regulations  and  arrange  for  the</w:t>
            </w:r>
          </w:p>
        </w:tc>
        <w:tc>
          <w:tcPr>
            <w:tcW w:w="240" w:type="dxa"/>
            <w:vAlign w:val="bottom"/>
            <w:tcBorders>
              <w:right w:val="single" w:sz="8" w:color="auto"/>
            </w:tcBorders>
          </w:tcPr>
          <w:p>
            <w:pPr>
              <w:spacing w:after="0"/>
              <w:rPr>
                <w:sz w:val="12"/>
                <w:szCs w:val="12"/>
                <w:color w:val="auto"/>
              </w:rPr>
            </w:pPr>
          </w:p>
        </w:tc>
        <w:tc>
          <w:tcPr>
            <w:tcW w:w="5520" w:type="dxa"/>
            <w:vAlign w:val="bottom"/>
            <w:tcBorders>
              <w:right w:val="single" w:sz="8" w:color="auto"/>
            </w:tcBorders>
            <w:gridSpan w:val="2"/>
          </w:tcPr>
          <w:p>
            <w:pPr>
              <w:ind w:left="20"/>
              <w:spacing w:after="0" w:line="141" w:lineRule="exact"/>
              <w:rPr>
                <w:sz w:val="20"/>
                <w:szCs w:val="20"/>
                <w:color w:val="auto"/>
              </w:rPr>
            </w:pPr>
            <w:r>
              <w:rPr>
                <w:rFonts w:ascii="Arial" w:cs="Arial" w:eastAsia="Arial" w:hAnsi="Arial"/>
                <w:sz w:val="13"/>
                <w:szCs w:val="13"/>
                <w:color w:val="auto"/>
              </w:rPr>
              <w:t>Le  conseil  d'administration  édicte  le  règlement  d'organisation  et  s'occupe  des  relations</w:t>
            </w:r>
          </w:p>
        </w:tc>
      </w:tr>
      <w:tr>
        <w:trPr>
          <w:trHeight w:val="173"/>
        </w:trPr>
        <w:tc>
          <w:tcPr>
            <w:tcW w:w="5540" w:type="dxa"/>
            <w:vAlign w:val="bottom"/>
            <w:tcBorders>
              <w:left w:val="single" w:sz="8" w:color="auto"/>
              <w:bottom w:val="single" w:sz="8" w:color="auto"/>
              <w:right w:val="single" w:sz="8" w:color="auto"/>
            </w:tcBorders>
            <w:gridSpan w:val="2"/>
          </w:tcPr>
          <w:p>
            <w:pPr>
              <w:ind w:left="40"/>
              <w:spacing w:after="0"/>
              <w:rPr>
                <w:sz w:val="20"/>
                <w:szCs w:val="20"/>
                <w:color w:val="auto"/>
              </w:rPr>
            </w:pPr>
            <w:r>
              <w:rPr>
                <w:rFonts w:ascii="Arial" w:cs="Arial" w:eastAsia="Arial" w:hAnsi="Arial"/>
                <w:sz w:val="13"/>
                <w:szCs w:val="13"/>
                <w:color w:val="auto"/>
              </w:rPr>
              <w:t>appropriate contractual relationships.</w:t>
            </w:r>
          </w:p>
        </w:tc>
        <w:tc>
          <w:tcPr>
            <w:tcW w:w="240" w:type="dxa"/>
            <w:vAlign w:val="bottom"/>
            <w:tcBorders>
              <w:bottom w:val="single" w:sz="8" w:color="auto"/>
              <w:right w:val="single" w:sz="8" w:color="auto"/>
            </w:tcBorders>
          </w:tcPr>
          <w:p>
            <w:pPr>
              <w:spacing w:after="0"/>
              <w:rPr>
                <w:sz w:val="15"/>
                <w:szCs w:val="15"/>
                <w:color w:val="auto"/>
              </w:rPr>
            </w:pPr>
          </w:p>
        </w:tc>
        <w:tc>
          <w:tcPr>
            <w:tcW w:w="5520" w:type="dxa"/>
            <w:vAlign w:val="bottom"/>
            <w:tcBorders>
              <w:bottom w:val="single" w:sz="8" w:color="auto"/>
              <w:right w:val="single" w:sz="8" w:color="auto"/>
            </w:tcBorders>
            <w:gridSpan w:val="2"/>
          </w:tcPr>
          <w:p>
            <w:pPr>
              <w:ind w:left="20"/>
              <w:spacing w:after="0"/>
              <w:rPr>
                <w:sz w:val="20"/>
                <w:szCs w:val="20"/>
                <w:color w:val="auto"/>
              </w:rPr>
            </w:pPr>
            <w:r>
              <w:rPr>
                <w:rFonts w:ascii="Arial" w:cs="Arial" w:eastAsia="Arial" w:hAnsi="Arial"/>
                <w:sz w:val="13"/>
                <w:szCs w:val="13"/>
                <w:color w:val="auto"/>
              </w:rPr>
              <w:t>contractuelles appropriées.</w:t>
            </w:r>
          </w:p>
        </w:tc>
      </w:tr>
    </w:tbl>
    <w:p>
      <w:pPr>
        <w:spacing w:after="0" w:line="59"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5"/>
          <w:szCs w:val="15"/>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12700</wp:posOffset>
            </wp:positionV>
            <wp:extent cx="7171690" cy="635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71690" cy="6350"/>
                    </a:xfrm>
                    <a:prstGeom prst="rect">
                      <a:avLst/>
                    </a:prstGeom>
                    <a:noFill/>
                  </pic:spPr>
                </pic:pic>
              </a:graphicData>
            </a:graphic>
          </wp:anchor>
        </w:drawing>
      </w:r>
    </w:p>
    <w:p>
      <w:pPr>
        <w:sectPr>
          <w:pgSz w:w="11900" w:h="16838" w:orient="portrait"/>
          <w:cols w:equalWidth="0" w:num="1">
            <w:col w:w="11300"/>
          </w:cols>
          <w:pgMar w:left="300" w:top="448" w:right="299" w:bottom="1440" w:gutter="0" w:footer="0" w:header="0"/>
        </w:sectPr>
      </w:pPr>
    </w:p>
    <w:bookmarkStart w:id="75" w:name="page76"/>
    <w:bookmarkEnd w:id="75"/>
    <w:tbl>
      <w:tblPr>
        <w:tblLayout w:type="fixed"/>
        <w:tblInd w:w="10" w:type="dxa"/>
        <w:tblCellMar>
          <w:top w:w="0" w:type="dxa"/>
          <w:left w:w="0" w:type="dxa"/>
          <w:bottom w:w="0" w:type="dxa"/>
          <w:right w:w="0" w:type="dxa"/>
        </w:tblCellMar>
      </w:tblPr>
      <w:tr>
        <w:trPr>
          <w:trHeight w:val="193"/>
        </w:trPr>
        <w:tc>
          <w:tcPr>
            <w:tcW w:w="5540" w:type="dxa"/>
            <w:vAlign w:val="bottom"/>
            <w:tcBorders>
              <w:top w:val="single" w:sz="8" w:color="auto"/>
              <w:left w:val="single" w:sz="8" w:color="auto"/>
              <w:right w:val="single" w:sz="8" w:color="auto"/>
            </w:tcBorders>
            <w:gridSpan w:val="2"/>
          </w:tcPr>
          <w:p>
            <w:pPr>
              <w:ind w:left="40"/>
              <w:spacing w:after="0"/>
              <w:rPr>
                <w:sz w:val="20"/>
                <w:szCs w:val="20"/>
                <w:color w:val="auto"/>
              </w:rPr>
            </w:pPr>
            <w:r>
              <w:rPr>
                <w:rFonts w:ascii="Arial" w:cs="Arial" w:eastAsia="Arial" w:hAnsi="Arial"/>
                <w:sz w:val="13"/>
                <w:szCs w:val="13"/>
                <w:b w:val="1"/>
                <w:bCs w:val="1"/>
                <w:color w:val="auto"/>
              </w:rPr>
              <w:t>Art. 23  Powers</w:t>
            </w:r>
          </w:p>
        </w:tc>
        <w:tc>
          <w:tcPr>
            <w:tcW w:w="240" w:type="dxa"/>
            <w:vAlign w:val="bottom"/>
            <w:tcBorders>
              <w:top w:val="single" w:sz="8" w:color="auto"/>
              <w:right w:val="single" w:sz="8" w:color="auto"/>
            </w:tcBorders>
          </w:tcPr>
          <w:p>
            <w:pPr>
              <w:spacing w:after="0"/>
              <w:rPr>
                <w:sz w:val="16"/>
                <w:szCs w:val="16"/>
                <w:color w:val="auto"/>
              </w:rPr>
            </w:pPr>
          </w:p>
        </w:tc>
        <w:tc>
          <w:tcPr>
            <w:tcW w:w="5520" w:type="dxa"/>
            <w:vAlign w:val="bottom"/>
            <w:tcBorders>
              <w:top w:val="single" w:sz="8" w:color="auto"/>
              <w:right w:val="single" w:sz="8" w:color="auto"/>
            </w:tcBorders>
          </w:tcPr>
          <w:p>
            <w:pPr>
              <w:ind w:left="20"/>
              <w:spacing w:after="0"/>
              <w:rPr>
                <w:sz w:val="20"/>
                <w:szCs w:val="20"/>
                <w:color w:val="auto"/>
              </w:rPr>
            </w:pPr>
            <w:r>
              <w:rPr>
                <w:rFonts w:ascii="Arial" w:cs="Arial" w:eastAsia="Arial" w:hAnsi="Arial"/>
                <w:sz w:val="13"/>
                <w:szCs w:val="13"/>
                <w:b w:val="1"/>
                <w:bCs w:val="1"/>
                <w:color w:val="auto"/>
              </w:rPr>
              <w:t>Art. 23  Pouvoirs</w:t>
            </w:r>
          </w:p>
        </w:tc>
        <w:tc>
          <w:tcPr>
            <w:tcW w:w="0" w:type="dxa"/>
            <w:vAlign w:val="bottom"/>
          </w:tcPr>
          <w:p>
            <w:pPr>
              <w:spacing w:after="0"/>
              <w:rPr>
                <w:sz w:val="1"/>
                <w:szCs w:val="1"/>
                <w:color w:val="auto"/>
              </w:rPr>
            </w:pPr>
          </w:p>
        </w:tc>
      </w:tr>
      <w:tr>
        <w:trPr>
          <w:trHeight w:val="282"/>
        </w:trPr>
        <w:tc>
          <w:tcPr>
            <w:tcW w:w="5540" w:type="dxa"/>
            <w:vAlign w:val="bottom"/>
            <w:tcBorders>
              <w:left w:val="single" w:sz="8" w:color="auto"/>
              <w:right w:val="single" w:sz="8" w:color="auto"/>
            </w:tcBorders>
            <w:gridSpan w:val="2"/>
          </w:tcPr>
          <w:p>
            <w:pPr>
              <w:ind w:left="40"/>
              <w:spacing w:after="0"/>
              <w:rPr>
                <w:sz w:val="20"/>
                <w:szCs w:val="20"/>
                <w:color w:val="auto"/>
              </w:rPr>
            </w:pPr>
            <w:r>
              <w:rPr>
                <w:rFonts w:ascii="Arial" w:cs="Arial" w:eastAsia="Arial" w:hAnsi="Arial"/>
                <w:sz w:val="13"/>
                <w:szCs w:val="13"/>
                <w:color w:val="auto"/>
              </w:rPr>
              <w:t>The Board of Directors has the following non-delegable and inalienable duties:</w:t>
            </w:r>
          </w:p>
        </w:tc>
        <w:tc>
          <w:tcPr>
            <w:tcW w:w="240" w:type="dxa"/>
            <w:vAlign w:val="bottom"/>
            <w:tcBorders>
              <w:right w:val="single" w:sz="8" w:color="auto"/>
            </w:tcBorders>
          </w:tcPr>
          <w:p>
            <w:pPr>
              <w:spacing w:after="0"/>
              <w:rPr>
                <w:sz w:val="24"/>
                <w:szCs w:val="24"/>
                <w:color w:val="auto"/>
              </w:rPr>
            </w:pPr>
          </w:p>
        </w:tc>
        <w:tc>
          <w:tcPr>
            <w:tcW w:w="5520" w:type="dxa"/>
            <w:vAlign w:val="bottom"/>
            <w:tcBorders>
              <w:right w:val="single" w:sz="8" w:color="auto"/>
            </w:tcBorders>
          </w:tcPr>
          <w:p>
            <w:pPr>
              <w:ind w:left="20"/>
              <w:spacing w:after="0"/>
              <w:rPr>
                <w:sz w:val="20"/>
                <w:szCs w:val="20"/>
                <w:color w:val="auto"/>
              </w:rPr>
            </w:pPr>
            <w:r>
              <w:rPr>
                <w:rFonts w:ascii="Arial" w:cs="Arial" w:eastAsia="Arial" w:hAnsi="Arial"/>
                <w:sz w:val="13"/>
                <w:szCs w:val="13"/>
                <w:color w:val="auto"/>
              </w:rPr>
              <w:t>Le conseil d'administration a les attributions intransmissibles et inaliénables suivantes:</w:t>
            </w:r>
          </w:p>
        </w:tc>
        <w:tc>
          <w:tcPr>
            <w:tcW w:w="0" w:type="dxa"/>
            <w:vAlign w:val="bottom"/>
          </w:tcPr>
          <w:p>
            <w:pPr>
              <w:spacing w:after="0"/>
              <w:rPr>
                <w:sz w:val="1"/>
                <w:szCs w:val="1"/>
                <w:color w:val="auto"/>
              </w:rPr>
            </w:pPr>
          </w:p>
        </w:tc>
      </w:tr>
      <w:tr>
        <w:trPr>
          <w:trHeight w:val="290"/>
        </w:trPr>
        <w:tc>
          <w:tcPr>
            <w:tcW w:w="5540" w:type="dxa"/>
            <w:vAlign w:val="bottom"/>
            <w:tcBorders>
              <w:left w:val="single" w:sz="8" w:color="auto"/>
              <w:right w:val="single" w:sz="8" w:color="auto"/>
            </w:tcBorders>
            <w:gridSpan w:val="2"/>
          </w:tcPr>
          <w:p>
            <w:pPr>
              <w:ind w:left="40"/>
              <w:spacing w:after="0"/>
              <w:rPr>
                <w:sz w:val="20"/>
                <w:szCs w:val="20"/>
                <w:color w:val="auto"/>
              </w:rPr>
            </w:pPr>
            <w:r>
              <w:rPr>
                <w:rFonts w:ascii="Arial" w:cs="Arial" w:eastAsia="Arial" w:hAnsi="Arial"/>
                <w:sz w:val="13"/>
                <w:szCs w:val="13"/>
                <w:color w:val="auto"/>
              </w:rPr>
              <w:t>a)   the overall management of the company and the issuing of all necessary directives;</w:t>
            </w:r>
          </w:p>
        </w:tc>
        <w:tc>
          <w:tcPr>
            <w:tcW w:w="240" w:type="dxa"/>
            <w:vAlign w:val="bottom"/>
            <w:tcBorders>
              <w:right w:val="single" w:sz="8" w:color="auto"/>
            </w:tcBorders>
          </w:tcPr>
          <w:p>
            <w:pPr>
              <w:spacing w:after="0"/>
              <w:rPr>
                <w:sz w:val="24"/>
                <w:szCs w:val="24"/>
                <w:color w:val="auto"/>
              </w:rPr>
            </w:pPr>
          </w:p>
        </w:tc>
        <w:tc>
          <w:tcPr>
            <w:tcW w:w="5520" w:type="dxa"/>
            <w:vAlign w:val="bottom"/>
            <w:tcBorders>
              <w:right w:val="single" w:sz="8" w:color="auto"/>
            </w:tcBorders>
          </w:tcPr>
          <w:p>
            <w:pPr>
              <w:ind w:left="20"/>
              <w:spacing w:after="0"/>
              <w:rPr>
                <w:sz w:val="20"/>
                <w:szCs w:val="20"/>
                <w:color w:val="auto"/>
              </w:rPr>
            </w:pPr>
            <w:r>
              <w:rPr>
                <w:rFonts w:ascii="Arial" w:cs="Arial" w:eastAsia="Arial" w:hAnsi="Arial"/>
                <w:sz w:val="13"/>
                <w:szCs w:val="13"/>
                <w:color w:val="auto"/>
              </w:rPr>
              <w:t>a)  exercer la haute direction de la société et établir les instructions nécessaires;</w:t>
            </w:r>
          </w:p>
        </w:tc>
        <w:tc>
          <w:tcPr>
            <w:tcW w:w="0" w:type="dxa"/>
            <w:vAlign w:val="bottom"/>
          </w:tcPr>
          <w:p>
            <w:pPr>
              <w:spacing w:after="0"/>
              <w:rPr>
                <w:sz w:val="1"/>
                <w:szCs w:val="1"/>
                <w:color w:val="auto"/>
              </w:rPr>
            </w:pPr>
          </w:p>
        </w:tc>
      </w:tr>
      <w:tr>
        <w:trPr>
          <w:trHeight w:val="290"/>
        </w:trPr>
        <w:tc>
          <w:tcPr>
            <w:tcW w:w="5540" w:type="dxa"/>
            <w:vAlign w:val="bottom"/>
            <w:tcBorders>
              <w:left w:val="single" w:sz="8" w:color="auto"/>
              <w:right w:val="single" w:sz="8" w:color="auto"/>
            </w:tcBorders>
            <w:gridSpan w:val="2"/>
          </w:tcPr>
          <w:p>
            <w:pPr>
              <w:ind w:left="40"/>
              <w:spacing w:after="0"/>
              <w:rPr>
                <w:sz w:val="20"/>
                <w:szCs w:val="20"/>
                <w:color w:val="auto"/>
              </w:rPr>
            </w:pPr>
            <w:r>
              <w:rPr>
                <w:rFonts w:ascii="Arial" w:cs="Arial" w:eastAsia="Arial" w:hAnsi="Arial"/>
                <w:sz w:val="13"/>
                <w:szCs w:val="13"/>
                <w:color w:val="auto"/>
              </w:rPr>
              <w:t>b)  determination of the company's organisation;</w:t>
            </w:r>
          </w:p>
        </w:tc>
        <w:tc>
          <w:tcPr>
            <w:tcW w:w="240" w:type="dxa"/>
            <w:vAlign w:val="bottom"/>
            <w:tcBorders>
              <w:right w:val="single" w:sz="8" w:color="auto"/>
            </w:tcBorders>
          </w:tcPr>
          <w:p>
            <w:pPr>
              <w:spacing w:after="0"/>
              <w:rPr>
                <w:sz w:val="24"/>
                <w:szCs w:val="24"/>
                <w:color w:val="auto"/>
              </w:rPr>
            </w:pPr>
          </w:p>
        </w:tc>
        <w:tc>
          <w:tcPr>
            <w:tcW w:w="5520" w:type="dxa"/>
            <w:vAlign w:val="bottom"/>
            <w:tcBorders>
              <w:right w:val="single" w:sz="8" w:color="auto"/>
            </w:tcBorders>
          </w:tcPr>
          <w:p>
            <w:pPr>
              <w:ind w:left="20"/>
              <w:spacing w:after="0"/>
              <w:rPr>
                <w:sz w:val="20"/>
                <w:szCs w:val="20"/>
                <w:color w:val="auto"/>
              </w:rPr>
            </w:pPr>
            <w:r>
              <w:rPr>
                <w:rFonts w:ascii="Arial" w:cs="Arial" w:eastAsia="Arial" w:hAnsi="Arial"/>
                <w:sz w:val="13"/>
                <w:szCs w:val="13"/>
                <w:color w:val="auto"/>
              </w:rPr>
              <w:t>b)  fixer l'organisation;</w:t>
            </w:r>
          </w:p>
        </w:tc>
        <w:tc>
          <w:tcPr>
            <w:tcW w:w="0" w:type="dxa"/>
            <w:vAlign w:val="bottom"/>
          </w:tcPr>
          <w:p>
            <w:pPr>
              <w:spacing w:after="0"/>
              <w:rPr>
                <w:sz w:val="1"/>
                <w:szCs w:val="1"/>
                <w:color w:val="auto"/>
              </w:rPr>
            </w:pPr>
          </w:p>
        </w:tc>
      </w:tr>
      <w:tr>
        <w:trPr>
          <w:trHeight w:val="266"/>
        </w:trPr>
        <w:tc>
          <w:tcPr>
            <w:tcW w:w="220" w:type="dxa"/>
            <w:vAlign w:val="bottom"/>
            <w:tcBorders>
              <w:left w:val="single" w:sz="8" w:color="auto"/>
            </w:tcBorders>
          </w:tcPr>
          <w:p>
            <w:pPr>
              <w:ind w:left="40"/>
              <w:spacing w:after="0"/>
              <w:rPr>
                <w:sz w:val="20"/>
                <w:szCs w:val="20"/>
                <w:color w:val="auto"/>
              </w:rPr>
            </w:pPr>
            <w:r>
              <w:rPr>
                <w:rFonts w:ascii="Arial" w:cs="Arial" w:eastAsia="Arial" w:hAnsi="Arial"/>
                <w:sz w:val="13"/>
                <w:szCs w:val="13"/>
                <w:color w:val="auto"/>
              </w:rPr>
              <w:t>c)</w:t>
            </w:r>
          </w:p>
        </w:tc>
        <w:tc>
          <w:tcPr>
            <w:tcW w:w="5320" w:type="dxa"/>
            <w:vAlign w:val="bottom"/>
            <w:tcBorders>
              <w:right w:val="single" w:sz="8" w:color="auto"/>
            </w:tcBorders>
          </w:tcPr>
          <w:p>
            <w:pPr>
              <w:jc w:val="right"/>
              <w:spacing w:after="0"/>
              <w:rPr>
                <w:sz w:val="20"/>
                <w:szCs w:val="20"/>
                <w:color w:val="auto"/>
              </w:rPr>
            </w:pPr>
            <w:r>
              <w:rPr>
                <w:rFonts w:ascii="Arial" w:cs="Arial" w:eastAsia="Arial" w:hAnsi="Arial"/>
                <w:sz w:val="13"/>
                <w:szCs w:val="13"/>
                <w:color w:val="auto"/>
              </w:rPr>
              <w:t>the organisation of the accounting, financial control and financial planning systems as</w:t>
            </w:r>
          </w:p>
        </w:tc>
        <w:tc>
          <w:tcPr>
            <w:tcW w:w="240" w:type="dxa"/>
            <w:vAlign w:val="bottom"/>
            <w:tcBorders>
              <w:right w:val="single" w:sz="8" w:color="auto"/>
            </w:tcBorders>
          </w:tcPr>
          <w:p>
            <w:pPr>
              <w:spacing w:after="0"/>
              <w:rPr>
                <w:sz w:val="23"/>
                <w:szCs w:val="23"/>
                <w:color w:val="auto"/>
              </w:rPr>
            </w:pPr>
          </w:p>
        </w:tc>
        <w:tc>
          <w:tcPr>
            <w:tcW w:w="5520" w:type="dxa"/>
            <w:vAlign w:val="bottom"/>
            <w:tcBorders>
              <w:right w:val="single" w:sz="8" w:color="auto"/>
            </w:tcBorders>
          </w:tcPr>
          <w:p>
            <w:pPr>
              <w:ind w:left="20"/>
              <w:spacing w:after="0"/>
              <w:rPr>
                <w:sz w:val="20"/>
                <w:szCs w:val="20"/>
                <w:color w:val="auto"/>
              </w:rPr>
            </w:pPr>
            <w:r>
              <w:rPr>
                <w:rFonts w:ascii="Arial" w:cs="Arial" w:eastAsia="Arial" w:hAnsi="Arial"/>
                <w:sz w:val="13"/>
                <w:szCs w:val="13"/>
                <w:color w:val="auto"/>
              </w:rPr>
              <w:t>c)  fixer les principes de la comptabilité et du contrôle financier ainsi que le plan financier pour</w:t>
            </w:r>
          </w:p>
        </w:tc>
        <w:tc>
          <w:tcPr>
            <w:tcW w:w="0" w:type="dxa"/>
            <w:vAlign w:val="bottom"/>
          </w:tcPr>
          <w:p>
            <w:pPr>
              <w:spacing w:after="0"/>
              <w:rPr>
                <w:sz w:val="1"/>
                <w:szCs w:val="1"/>
                <w:color w:val="auto"/>
              </w:rPr>
            </w:pPr>
          </w:p>
        </w:tc>
      </w:tr>
      <w:tr>
        <w:trPr>
          <w:trHeight w:val="168"/>
        </w:trPr>
        <w:tc>
          <w:tcPr>
            <w:tcW w:w="220" w:type="dxa"/>
            <w:vAlign w:val="bottom"/>
            <w:tcBorders>
              <w:left w:val="single" w:sz="8" w:color="auto"/>
            </w:tcBorders>
          </w:tcPr>
          <w:p>
            <w:pPr>
              <w:spacing w:after="0"/>
              <w:rPr>
                <w:sz w:val="14"/>
                <w:szCs w:val="14"/>
                <w:color w:val="auto"/>
              </w:rPr>
            </w:pPr>
          </w:p>
        </w:tc>
        <w:tc>
          <w:tcPr>
            <w:tcW w:w="5320" w:type="dxa"/>
            <w:vAlign w:val="bottom"/>
            <w:tcBorders>
              <w:right w:val="single" w:sz="8" w:color="auto"/>
            </w:tcBorders>
          </w:tcPr>
          <w:p>
            <w:pPr>
              <w:ind w:left="80"/>
              <w:spacing w:after="0"/>
              <w:rPr>
                <w:sz w:val="20"/>
                <w:szCs w:val="20"/>
                <w:color w:val="auto"/>
              </w:rPr>
            </w:pPr>
            <w:r>
              <w:rPr>
                <w:rFonts w:ascii="Arial" w:cs="Arial" w:eastAsia="Arial" w:hAnsi="Arial"/>
                <w:sz w:val="13"/>
                <w:szCs w:val="13"/>
                <w:color w:val="auto"/>
              </w:rPr>
              <w:t>required for management of the company;</w:t>
            </w:r>
          </w:p>
        </w:tc>
        <w:tc>
          <w:tcPr>
            <w:tcW w:w="240" w:type="dxa"/>
            <w:vAlign w:val="bottom"/>
            <w:tcBorders>
              <w:right w:val="single" w:sz="8" w:color="auto"/>
            </w:tcBorders>
          </w:tcPr>
          <w:p>
            <w:pPr>
              <w:spacing w:after="0"/>
              <w:rPr>
                <w:sz w:val="14"/>
                <w:szCs w:val="14"/>
                <w:color w:val="auto"/>
              </w:rPr>
            </w:pPr>
          </w:p>
        </w:tc>
        <w:tc>
          <w:tcPr>
            <w:tcW w:w="5520" w:type="dxa"/>
            <w:vAlign w:val="bottom"/>
            <w:tcBorders>
              <w:right w:val="single" w:sz="8" w:color="auto"/>
            </w:tcBorders>
          </w:tcPr>
          <w:p>
            <w:pPr>
              <w:ind w:left="260"/>
              <w:spacing w:after="0"/>
              <w:rPr>
                <w:sz w:val="20"/>
                <w:szCs w:val="20"/>
                <w:color w:val="auto"/>
              </w:rPr>
            </w:pPr>
            <w:r>
              <w:rPr>
                <w:rFonts w:ascii="Arial" w:cs="Arial" w:eastAsia="Arial" w:hAnsi="Arial"/>
                <w:sz w:val="13"/>
                <w:szCs w:val="13"/>
                <w:color w:val="auto"/>
              </w:rPr>
              <w:t>autant que celui-ci soit nécessaire à la gestion de la société;</w:t>
            </w:r>
          </w:p>
        </w:tc>
        <w:tc>
          <w:tcPr>
            <w:tcW w:w="0" w:type="dxa"/>
            <w:vAlign w:val="bottom"/>
          </w:tcPr>
          <w:p>
            <w:pPr>
              <w:spacing w:after="0"/>
              <w:rPr>
                <w:sz w:val="1"/>
                <w:szCs w:val="1"/>
                <w:color w:val="auto"/>
              </w:rPr>
            </w:pPr>
          </w:p>
        </w:tc>
      </w:tr>
      <w:tr>
        <w:trPr>
          <w:trHeight w:val="266"/>
        </w:trPr>
        <w:tc>
          <w:tcPr>
            <w:tcW w:w="220" w:type="dxa"/>
            <w:vAlign w:val="bottom"/>
            <w:tcBorders>
              <w:left w:val="single" w:sz="8" w:color="auto"/>
            </w:tcBorders>
          </w:tcPr>
          <w:p>
            <w:pPr>
              <w:ind w:left="40"/>
              <w:spacing w:after="0"/>
              <w:rPr>
                <w:sz w:val="20"/>
                <w:szCs w:val="20"/>
                <w:color w:val="auto"/>
              </w:rPr>
            </w:pPr>
            <w:r>
              <w:rPr>
                <w:rFonts w:ascii="Arial" w:cs="Arial" w:eastAsia="Arial" w:hAnsi="Arial"/>
                <w:sz w:val="13"/>
                <w:szCs w:val="13"/>
                <w:color w:val="auto"/>
              </w:rPr>
              <w:t>d)</w:t>
            </w:r>
          </w:p>
        </w:tc>
        <w:tc>
          <w:tcPr>
            <w:tcW w:w="5320" w:type="dxa"/>
            <w:vAlign w:val="bottom"/>
            <w:tcBorders>
              <w:right w:val="single" w:sz="8" w:color="auto"/>
            </w:tcBorders>
          </w:tcPr>
          <w:p>
            <w:pPr>
              <w:jc w:val="right"/>
              <w:spacing w:after="0"/>
              <w:rPr>
                <w:sz w:val="20"/>
                <w:szCs w:val="20"/>
                <w:color w:val="auto"/>
              </w:rPr>
            </w:pPr>
            <w:r>
              <w:rPr>
                <w:rFonts w:ascii="Arial" w:cs="Arial" w:eastAsia="Arial" w:hAnsi="Arial"/>
                <w:sz w:val="13"/>
                <w:szCs w:val="13"/>
                <w:color w:val="auto"/>
              </w:rPr>
              <w:t>the appointment and dismissal of persons entrusted with managing and representing the</w:t>
            </w:r>
          </w:p>
        </w:tc>
        <w:tc>
          <w:tcPr>
            <w:tcW w:w="240" w:type="dxa"/>
            <w:vAlign w:val="bottom"/>
            <w:tcBorders>
              <w:right w:val="single" w:sz="8" w:color="auto"/>
            </w:tcBorders>
          </w:tcPr>
          <w:p>
            <w:pPr>
              <w:spacing w:after="0"/>
              <w:rPr>
                <w:sz w:val="23"/>
                <w:szCs w:val="23"/>
                <w:color w:val="auto"/>
              </w:rPr>
            </w:pPr>
          </w:p>
        </w:tc>
        <w:tc>
          <w:tcPr>
            <w:tcW w:w="5520" w:type="dxa"/>
            <w:vAlign w:val="bottom"/>
            <w:tcBorders>
              <w:right w:val="single" w:sz="8" w:color="auto"/>
            </w:tcBorders>
          </w:tcPr>
          <w:p>
            <w:pPr>
              <w:ind w:left="20"/>
              <w:spacing w:after="0"/>
              <w:rPr>
                <w:sz w:val="20"/>
                <w:szCs w:val="20"/>
                <w:color w:val="auto"/>
              </w:rPr>
            </w:pPr>
            <w:r>
              <w:rPr>
                <w:rFonts w:ascii="Arial" w:cs="Arial" w:eastAsia="Arial" w:hAnsi="Arial"/>
                <w:sz w:val="13"/>
                <w:szCs w:val="13"/>
                <w:color w:val="auto"/>
              </w:rPr>
              <w:t>d)  nommer et révoquer les personnes chargées de la gestion et de la représentation;</w:t>
            </w:r>
          </w:p>
        </w:tc>
        <w:tc>
          <w:tcPr>
            <w:tcW w:w="0" w:type="dxa"/>
            <w:vAlign w:val="bottom"/>
          </w:tcPr>
          <w:p>
            <w:pPr>
              <w:spacing w:after="0"/>
              <w:rPr>
                <w:sz w:val="1"/>
                <w:szCs w:val="1"/>
                <w:color w:val="auto"/>
              </w:rPr>
            </w:pPr>
          </w:p>
        </w:tc>
      </w:tr>
      <w:tr>
        <w:trPr>
          <w:trHeight w:val="168"/>
        </w:trPr>
        <w:tc>
          <w:tcPr>
            <w:tcW w:w="220" w:type="dxa"/>
            <w:vAlign w:val="bottom"/>
            <w:tcBorders>
              <w:left w:val="single" w:sz="8" w:color="auto"/>
            </w:tcBorders>
          </w:tcPr>
          <w:p>
            <w:pPr>
              <w:spacing w:after="0"/>
              <w:rPr>
                <w:sz w:val="14"/>
                <w:szCs w:val="14"/>
                <w:color w:val="auto"/>
              </w:rPr>
            </w:pPr>
          </w:p>
        </w:tc>
        <w:tc>
          <w:tcPr>
            <w:tcW w:w="5320" w:type="dxa"/>
            <w:vAlign w:val="bottom"/>
            <w:tcBorders>
              <w:right w:val="single" w:sz="8" w:color="auto"/>
            </w:tcBorders>
          </w:tcPr>
          <w:p>
            <w:pPr>
              <w:ind w:left="80"/>
              <w:spacing w:after="0"/>
              <w:rPr>
                <w:sz w:val="20"/>
                <w:szCs w:val="20"/>
                <w:color w:val="auto"/>
              </w:rPr>
            </w:pPr>
            <w:r>
              <w:rPr>
                <w:rFonts w:ascii="Arial" w:cs="Arial" w:eastAsia="Arial" w:hAnsi="Arial"/>
                <w:sz w:val="13"/>
                <w:szCs w:val="13"/>
                <w:color w:val="auto"/>
              </w:rPr>
              <w:t>company;</w:t>
            </w:r>
          </w:p>
        </w:tc>
        <w:tc>
          <w:tcPr>
            <w:tcW w:w="240" w:type="dxa"/>
            <w:vAlign w:val="bottom"/>
            <w:tcBorders>
              <w:right w:val="single" w:sz="8" w:color="auto"/>
            </w:tcBorders>
          </w:tcPr>
          <w:p>
            <w:pPr>
              <w:spacing w:after="0"/>
              <w:rPr>
                <w:sz w:val="14"/>
                <w:szCs w:val="14"/>
                <w:color w:val="auto"/>
              </w:rPr>
            </w:pPr>
          </w:p>
        </w:tc>
        <w:tc>
          <w:tcPr>
            <w:tcW w:w="5520" w:type="dxa"/>
            <w:vAlign w:val="bottom"/>
            <w:tcBorders>
              <w:right w:val="single" w:sz="8" w:color="auto"/>
            </w:tcBorders>
            <w:vMerge w:val="restart"/>
          </w:tcPr>
          <w:p>
            <w:pPr>
              <w:ind w:left="20"/>
              <w:spacing w:after="0"/>
              <w:rPr>
                <w:sz w:val="20"/>
                <w:szCs w:val="20"/>
                <w:color w:val="auto"/>
              </w:rPr>
            </w:pPr>
            <w:r>
              <w:rPr>
                <w:rFonts w:ascii="Arial" w:cs="Arial" w:eastAsia="Arial" w:hAnsi="Arial"/>
                <w:sz w:val="13"/>
                <w:szCs w:val="13"/>
                <w:color w:val="auto"/>
              </w:rPr>
              <w:t>e)   exercer la haute surveillance sur les personnes chargées de la gestion pour s'assurer</w:t>
            </w:r>
          </w:p>
        </w:tc>
        <w:tc>
          <w:tcPr>
            <w:tcW w:w="0" w:type="dxa"/>
            <w:vAlign w:val="bottom"/>
          </w:tcPr>
          <w:p>
            <w:pPr>
              <w:spacing w:after="0"/>
              <w:rPr>
                <w:sz w:val="1"/>
                <w:szCs w:val="1"/>
                <w:color w:val="auto"/>
              </w:rPr>
            </w:pPr>
          </w:p>
        </w:tc>
      </w:tr>
      <w:tr>
        <w:trPr>
          <w:trHeight w:val="121"/>
        </w:trPr>
        <w:tc>
          <w:tcPr>
            <w:tcW w:w="220" w:type="dxa"/>
            <w:vAlign w:val="bottom"/>
            <w:tcBorders>
              <w:left w:val="single" w:sz="8" w:color="auto"/>
            </w:tcBorders>
          </w:tcPr>
          <w:p>
            <w:pPr>
              <w:spacing w:after="0"/>
              <w:rPr>
                <w:sz w:val="10"/>
                <w:szCs w:val="10"/>
                <w:color w:val="auto"/>
              </w:rPr>
            </w:pPr>
          </w:p>
        </w:tc>
        <w:tc>
          <w:tcPr>
            <w:tcW w:w="5320" w:type="dxa"/>
            <w:vAlign w:val="bottom"/>
            <w:tcBorders>
              <w:right w:val="single" w:sz="8" w:color="auto"/>
            </w:tcBorders>
          </w:tcPr>
          <w:p>
            <w:pPr>
              <w:spacing w:after="0"/>
              <w:rPr>
                <w:sz w:val="10"/>
                <w:szCs w:val="10"/>
                <w:color w:val="auto"/>
              </w:rPr>
            </w:pPr>
          </w:p>
        </w:tc>
        <w:tc>
          <w:tcPr>
            <w:tcW w:w="240" w:type="dxa"/>
            <w:vAlign w:val="bottom"/>
            <w:tcBorders>
              <w:right w:val="single" w:sz="8" w:color="auto"/>
            </w:tcBorders>
          </w:tcPr>
          <w:p>
            <w:pPr>
              <w:spacing w:after="0"/>
              <w:rPr>
                <w:sz w:val="10"/>
                <w:szCs w:val="10"/>
                <w:color w:val="auto"/>
              </w:rPr>
            </w:pPr>
          </w:p>
        </w:tc>
        <w:tc>
          <w:tcPr>
            <w:tcW w:w="5520" w:type="dxa"/>
            <w:vAlign w:val="bottom"/>
            <w:tcBorders>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45"/>
        </w:trPr>
        <w:tc>
          <w:tcPr>
            <w:tcW w:w="5540" w:type="dxa"/>
            <w:vAlign w:val="bottom"/>
            <w:tcBorders>
              <w:left w:val="single" w:sz="8" w:color="auto"/>
              <w:right w:val="single" w:sz="8" w:color="auto"/>
            </w:tcBorders>
            <w:gridSpan w:val="2"/>
          </w:tcPr>
          <w:p>
            <w:pPr>
              <w:ind w:left="40"/>
              <w:spacing w:after="0" w:line="145" w:lineRule="exact"/>
              <w:rPr>
                <w:sz w:val="20"/>
                <w:szCs w:val="20"/>
                <w:color w:val="auto"/>
              </w:rPr>
            </w:pPr>
            <w:r>
              <w:rPr>
                <w:rFonts w:ascii="Arial" w:cs="Arial" w:eastAsia="Arial" w:hAnsi="Arial"/>
                <w:sz w:val="13"/>
                <w:szCs w:val="13"/>
                <w:color w:val="auto"/>
              </w:rPr>
              <w:t>e)   overall supervision of the persons entrusted with managing the company, in particular with</w:t>
            </w:r>
          </w:p>
        </w:tc>
        <w:tc>
          <w:tcPr>
            <w:tcW w:w="240" w:type="dxa"/>
            <w:vAlign w:val="bottom"/>
            <w:tcBorders>
              <w:right w:val="single" w:sz="8" w:color="auto"/>
            </w:tcBorders>
          </w:tcPr>
          <w:p>
            <w:pPr>
              <w:spacing w:after="0"/>
              <w:rPr>
                <w:sz w:val="12"/>
                <w:szCs w:val="12"/>
                <w:color w:val="auto"/>
              </w:rPr>
            </w:pPr>
          </w:p>
        </w:tc>
        <w:tc>
          <w:tcPr>
            <w:tcW w:w="5520" w:type="dxa"/>
            <w:vAlign w:val="bottom"/>
            <w:tcBorders>
              <w:right w:val="single" w:sz="8" w:color="auto"/>
            </w:tcBorders>
          </w:tcPr>
          <w:p>
            <w:pPr>
              <w:ind w:left="260"/>
              <w:spacing w:after="0" w:line="145" w:lineRule="exact"/>
              <w:rPr>
                <w:sz w:val="20"/>
                <w:szCs w:val="20"/>
                <w:color w:val="auto"/>
              </w:rPr>
            </w:pPr>
            <w:r>
              <w:rPr>
                <w:rFonts w:ascii="Arial" w:cs="Arial" w:eastAsia="Arial" w:hAnsi="Arial"/>
                <w:sz w:val="13"/>
                <w:szCs w:val="13"/>
                <w:color w:val="auto"/>
                <w:w w:val="99"/>
              </w:rPr>
              <w:t>notamment qu'elles observent la loi, les statuts, les règlements et les instructions données;</w:t>
            </w:r>
          </w:p>
        </w:tc>
        <w:tc>
          <w:tcPr>
            <w:tcW w:w="0" w:type="dxa"/>
            <w:vAlign w:val="bottom"/>
          </w:tcPr>
          <w:p>
            <w:pPr>
              <w:spacing w:after="0"/>
              <w:rPr>
                <w:sz w:val="1"/>
                <w:szCs w:val="1"/>
                <w:color w:val="auto"/>
              </w:rPr>
            </w:pPr>
          </w:p>
        </w:tc>
      </w:tr>
      <w:tr>
        <w:trPr>
          <w:trHeight w:val="145"/>
        </w:trPr>
        <w:tc>
          <w:tcPr>
            <w:tcW w:w="220" w:type="dxa"/>
            <w:vAlign w:val="bottom"/>
            <w:tcBorders>
              <w:left w:val="single" w:sz="8" w:color="auto"/>
            </w:tcBorders>
          </w:tcPr>
          <w:p>
            <w:pPr>
              <w:spacing w:after="0"/>
              <w:rPr>
                <w:sz w:val="12"/>
                <w:szCs w:val="12"/>
                <w:color w:val="auto"/>
              </w:rPr>
            </w:pPr>
          </w:p>
        </w:tc>
        <w:tc>
          <w:tcPr>
            <w:tcW w:w="5320" w:type="dxa"/>
            <w:vAlign w:val="bottom"/>
            <w:tcBorders>
              <w:right w:val="single" w:sz="8" w:color="auto"/>
            </w:tcBorders>
          </w:tcPr>
          <w:p>
            <w:pPr>
              <w:ind w:left="80"/>
              <w:spacing w:after="0" w:line="145" w:lineRule="exact"/>
              <w:rPr>
                <w:sz w:val="20"/>
                <w:szCs w:val="20"/>
                <w:color w:val="auto"/>
              </w:rPr>
            </w:pPr>
            <w:r>
              <w:rPr>
                <w:rFonts w:ascii="Arial" w:cs="Arial" w:eastAsia="Arial" w:hAnsi="Arial"/>
                <w:sz w:val="13"/>
                <w:szCs w:val="13"/>
                <w:color w:val="auto"/>
              </w:rPr>
              <w:t>regard to compliance with the law, articles of association, operational regulations and</w:t>
            </w:r>
          </w:p>
        </w:tc>
        <w:tc>
          <w:tcPr>
            <w:tcW w:w="240" w:type="dxa"/>
            <w:vAlign w:val="bottom"/>
            <w:tcBorders>
              <w:right w:val="single" w:sz="8" w:color="auto"/>
            </w:tcBorders>
          </w:tcPr>
          <w:p>
            <w:pPr>
              <w:spacing w:after="0"/>
              <w:rPr>
                <w:sz w:val="12"/>
                <w:szCs w:val="12"/>
                <w:color w:val="auto"/>
              </w:rPr>
            </w:pPr>
          </w:p>
        </w:tc>
        <w:tc>
          <w:tcPr>
            <w:tcW w:w="552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68"/>
        </w:trPr>
        <w:tc>
          <w:tcPr>
            <w:tcW w:w="220" w:type="dxa"/>
            <w:vAlign w:val="bottom"/>
            <w:tcBorders>
              <w:left w:val="single" w:sz="8" w:color="auto"/>
            </w:tcBorders>
          </w:tcPr>
          <w:p>
            <w:pPr>
              <w:spacing w:after="0"/>
              <w:rPr>
                <w:sz w:val="14"/>
                <w:szCs w:val="14"/>
                <w:color w:val="auto"/>
              </w:rPr>
            </w:pPr>
          </w:p>
        </w:tc>
        <w:tc>
          <w:tcPr>
            <w:tcW w:w="5320" w:type="dxa"/>
            <w:vAlign w:val="bottom"/>
            <w:tcBorders>
              <w:right w:val="single" w:sz="8" w:color="auto"/>
            </w:tcBorders>
          </w:tcPr>
          <w:p>
            <w:pPr>
              <w:ind w:left="80"/>
              <w:spacing w:after="0"/>
              <w:rPr>
                <w:sz w:val="20"/>
                <w:szCs w:val="20"/>
                <w:color w:val="auto"/>
              </w:rPr>
            </w:pPr>
            <w:r>
              <w:rPr>
                <w:rFonts w:ascii="Arial" w:cs="Arial" w:eastAsia="Arial" w:hAnsi="Arial"/>
                <w:sz w:val="13"/>
                <w:szCs w:val="13"/>
                <w:color w:val="auto"/>
              </w:rPr>
              <w:t>directives;</w:t>
            </w:r>
          </w:p>
        </w:tc>
        <w:tc>
          <w:tcPr>
            <w:tcW w:w="240" w:type="dxa"/>
            <w:vAlign w:val="bottom"/>
            <w:tcBorders>
              <w:right w:val="single" w:sz="8" w:color="auto"/>
            </w:tcBorders>
          </w:tcPr>
          <w:p>
            <w:pPr>
              <w:spacing w:after="0"/>
              <w:rPr>
                <w:sz w:val="14"/>
                <w:szCs w:val="14"/>
                <w:color w:val="auto"/>
              </w:rPr>
            </w:pPr>
          </w:p>
        </w:tc>
        <w:tc>
          <w:tcPr>
            <w:tcW w:w="5520" w:type="dxa"/>
            <w:vAlign w:val="bottom"/>
            <w:tcBorders>
              <w:right w:val="single" w:sz="8" w:color="auto"/>
            </w:tcBorders>
          </w:tcPr>
          <w:p>
            <w:pPr>
              <w:ind w:left="20"/>
              <w:spacing w:after="0"/>
              <w:rPr>
                <w:sz w:val="20"/>
                <w:szCs w:val="20"/>
                <w:color w:val="auto"/>
              </w:rPr>
            </w:pPr>
            <w:r>
              <w:rPr>
                <w:rFonts w:ascii="Arial" w:cs="Arial" w:eastAsia="Arial" w:hAnsi="Arial"/>
                <w:sz w:val="13"/>
                <w:szCs w:val="13"/>
                <w:color w:val="auto"/>
              </w:rPr>
              <w:t>f)  établir le rapport de gestion, préparer l'assemblée générale et exécuter ses décisions;</w:t>
            </w:r>
          </w:p>
        </w:tc>
        <w:tc>
          <w:tcPr>
            <w:tcW w:w="0" w:type="dxa"/>
            <w:vAlign w:val="bottom"/>
          </w:tcPr>
          <w:p>
            <w:pPr>
              <w:spacing w:after="0"/>
              <w:rPr>
                <w:sz w:val="1"/>
                <w:szCs w:val="1"/>
                <w:color w:val="auto"/>
              </w:rPr>
            </w:pPr>
          </w:p>
        </w:tc>
      </w:tr>
      <w:tr>
        <w:trPr>
          <w:trHeight w:val="266"/>
        </w:trPr>
        <w:tc>
          <w:tcPr>
            <w:tcW w:w="5540" w:type="dxa"/>
            <w:vAlign w:val="bottom"/>
            <w:tcBorders>
              <w:left w:val="single" w:sz="8" w:color="auto"/>
              <w:right w:val="single" w:sz="8" w:color="auto"/>
            </w:tcBorders>
            <w:gridSpan w:val="2"/>
          </w:tcPr>
          <w:p>
            <w:pPr>
              <w:ind w:left="40"/>
              <w:spacing w:after="0"/>
              <w:rPr>
                <w:sz w:val="20"/>
                <w:szCs w:val="20"/>
                <w:color w:val="auto"/>
              </w:rPr>
            </w:pPr>
            <w:r>
              <w:rPr>
                <w:rFonts w:ascii="Arial" w:cs="Arial" w:eastAsia="Arial" w:hAnsi="Arial"/>
                <w:sz w:val="13"/>
                <w:szCs w:val="13"/>
                <w:color w:val="auto"/>
              </w:rPr>
              <w:t>f)   compilation of the annual report, preparation for the general meeting and implementation of</w:t>
            </w:r>
          </w:p>
        </w:tc>
        <w:tc>
          <w:tcPr>
            <w:tcW w:w="240" w:type="dxa"/>
            <w:vAlign w:val="bottom"/>
            <w:tcBorders>
              <w:right w:val="single" w:sz="8" w:color="auto"/>
            </w:tcBorders>
          </w:tcPr>
          <w:p>
            <w:pPr>
              <w:spacing w:after="0"/>
              <w:rPr>
                <w:sz w:val="23"/>
                <w:szCs w:val="23"/>
                <w:color w:val="auto"/>
              </w:rPr>
            </w:pPr>
          </w:p>
        </w:tc>
        <w:tc>
          <w:tcPr>
            <w:tcW w:w="5520" w:type="dxa"/>
            <w:vAlign w:val="bottom"/>
            <w:tcBorders>
              <w:right w:val="single" w:sz="8" w:color="auto"/>
            </w:tcBorders>
          </w:tcPr>
          <w:p>
            <w:pPr>
              <w:ind w:left="20"/>
              <w:spacing w:after="0"/>
              <w:rPr>
                <w:sz w:val="20"/>
                <w:szCs w:val="20"/>
                <w:color w:val="auto"/>
              </w:rPr>
            </w:pPr>
            <w:r>
              <w:rPr>
                <w:rFonts w:ascii="Arial" w:cs="Arial" w:eastAsia="Arial" w:hAnsi="Arial"/>
                <w:sz w:val="13"/>
                <w:szCs w:val="13"/>
                <w:color w:val="auto"/>
              </w:rPr>
              <w:t>g)  la préparation du rapport de rémunération et de demander l'approbation par l'assemblée</w:t>
            </w:r>
          </w:p>
        </w:tc>
        <w:tc>
          <w:tcPr>
            <w:tcW w:w="0" w:type="dxa"/>
            <w:vAlign w:val="bottom"/>
          </w:tcPr>
          <w:p>
            <w:pPr>
              <w:spacing w:after="0"/>
              <w:rPr>
                <w:sz w:val="1"/>
                <w:szCs w:val="1"/>
                <w:color w:val="auto"/>
              </w:rPr>
            </w:pPr>
          </w:p>
        </w:tc>
      </w:tr>
      <w:tr>
        <w:trPr>
          <w:trHeight w:val="145"/>
        </w:trPr>
        <w:tc>
          <w:tcPr>
            <w:tcW w:w="220" w:type="dxa"/>
            <w:vAlign w:val="bottom"/>
            <w:tcBorders>
              <w:left w:val="single" w:sz="8" w:color="auto"/>
            </w:tcBorders>
          </w:tcPr>
          <w:p>
            <w:pPr>
              <w:spacing w:after="0"/>
              <w:rPr>
                <w:sz w:val="12"/>
                <w:szCs w:val="12"/>
                <w:color w:val="auto"/>
              </w:rPr>
            </w:pPr>
          </w:p>
        </w:tc>
        <w:tc>
          <w:tcPr>
            <w:tcW w:w="5320" w:type="dxa"/>
            <w:vAlign w:val="bottom"/>
            <w:tcBorders>
              <w:right w:val="single" w:sz="8" w:color="auto"/>
            </w:tcBorders>
          </w:tcPr>
          <w:p>
            <w:pPr>
              <w:ind w:left="80"/>
              <w:spacing w:after="0" w:line="145" w:lineRule="exact"/>
              <w:rPr>
                <w:sz w:val="20"/>
                <w:szCs w:val="20"/>
                <w:color w:val="auto"/>
              </w:rPr>
            </w:pPr>
            <w:r>
              <w:rPr>
                <w:rFonts w:ascii="Arial" w:cs="Arial" w:eastAsia="Arial" w:hAnsi="Arial"/>
                <w:sz w:val="13"/>
                <w:szCs w:val="13"/>
                <w:color w:val="auto"/>
              </w:rPr>
              <w:t>its resolutions;</w:t>
            </w:r>
          </w:p>
        </w:tc>
        <w:tc>
          <w:tcPr>
            <w:tcW w:w="240" w:type="dxa"/>
            <w:vAlign w:val="bottom"/>
            <w:tcBorders>
              <w:right w:val="single" w:sz="8" w:color="auto"/>
            </w:tcBorders>
          </w:tcPr>
          <w:p>
            <w:pPr>
              <w:spacing w:after="0"/>
              <w:rPr>
                <w:sz w:val="12"/>
                <w:szCs w:val="12"/>
                <w:color w:val="auto"/>
              </w:rPr>
            </w:pPr>
          </w:p>
        </w:tc>
        <w:tc>
          <w:tcPr>
            <w:tcW w:w="5520" w:type="dxa"/>
            <w:vAlign w:val="bottom"/>
            <w:tcBorders>
              <w:right w:val="single" w:sz="8" w:color="auto"/>
            </w:tcBorders>
          </w:tcPr>
          <w:p>
            <w:pPr>
              <w:ind w:left="260"/>
              <w:spacing w:after="0" w:line="145" w:lineRule="exact"/>
              <w:rPr>
                <w:sz w:val="20"/>
                <w:szCs w:val="20"/>
                <w:color w:val="auto"/>
              </w:rPr>
            </w:pPr>
            <w:r>
              <w:rPr>
                <w:rFonts w:ascii="Arial" w:cs="Arial" w:eastAsia="Arial" w:hAnsi="Arial"/>
                <w:sz w:val="13"/>
                <w:szCs w:val="13"/>
                <w:color w:val="auto"/>
              </w:rPr>
              <w:t>générale en ce qui concerne la rémunération du conseil d'administration et du comité</w:t>
            </w:r>
          </w:p>
        </w:tc>
        <w:tc>
          <w:tcPr>
            <w:tcW w:w="0" w:type="dxa"/>
            <w:vAlign w:val="bottom"/>
          </w:tcPr>
          <w:p>
            <w:pPr>
              <w:spacing w:after="0"/>
              <w:rPr>
                <w:sz w:val="1"/>
                <w:szCs w:val="1"/>
                <w:color w:val="auto"/>
              </w:rPr>
            </w:pPr>
          </w:p>
        </w:tc>
      </w:tr>
      <w:tr>
        <w:trPr>
          <w:trHeight w:val="168"/>
        </w:trPr>
        <w:tc>
          <w:tcPr>
            <w:tcW w:w="220" w:type="dxa"/>
            <w:vAlign w:val="bottom"/>
            <w:tcBorders>
              <w:left w:val="single" w:sz="8" w:color="auto"/>
            </w:tcBorders>
            <w:vMerge w:val="restart"/>
          </w:tcPr>
          <w:p>
            <w:pPr>
              <w:ind w:left="40"/>
              <w:spacing w:after="0"/>
              <w:rPr>
                <w:sz w:val="20"/>
                <w:szCs w:val="20"/>
                <w:color w:val="auto"/>
              </w:rPr>
            </w:pPr>
            <w:r>
              <w:rPr>
                <w:rFonts w:ascii="Arial" w:cs="Arial" w:eastAsia="Arial" w:hAnsi="Arial"/>
                <w:sz w:val="13"/>
                <w:szCs w:val="13"/>
                <w:color w:val="auto"/>
              </w:rPr>
              <w:t>g)</w:t>
            </w:r>
          </w:p>
        </w:tc>
        <w:tc>
          <w:tcPr>
            <w:tcW w:w="5320" w:type="dxa"/>
            <w:vAlign w:val="bottom"/>
            <w:tcBorders>
              <w:right w:val="single" w:sz="8" w:color="auto"/>
            </w:tcBorders>
            <w:vMerge w:val="restart"/>
          </w:tcPr>
          <w:p>
            <w:pPr>
              <w:jc w:val="right"/>
              <w:spacing w:after="0"/>
              <w:rPr>
                <w:sz w:val="20"/>
                <w:szCs w:val="20"/>
                <w:color w:val="auto"/>
              </w:rPr>
            </w:pPr>
            <w:r>
              <w:rPr>
                <w:rFonts w:ascii="Arial" w:cs="Arial" w:eastAsia="Arial" w:hAnsi="Arial"/>
                <w:sz w:val="13"/>
                <w:szCs w:val="13"/>
                <w:color w:val="auto"/>
              </w:rPr>
              <w:t>the preparation of the compensation report and to request approval by the General</w:t>
            </w:r>
          </w:p>
        </w:tc>
        <w:tc>
          <w:tcPr>
            <w:tcW w:w="240" w:type="dxa"/>
            <w:vAlign w:val="bottom"/>
            <w:tcBorders>
              <w:right w:val="single" w:sz="8" w:color="auto"/>
            </w:tcBorders>
          </w:tcPr>
          <w:p>
            <w:pPr>
              <w:spacing w:after="0"/>
              <w:rPr>
                <w:sz w:val="14"/>
                <w:szCs w:val="14"/>
                <w:color w:val="auto"/>
              </w:rPr>
            </w:pPr>
          </w:p>
        </w:tc>
        <w:tc>
          <w:tcPr>
            <w:tcW w:w="5520" w:type="dxa"/>
            <w:vAlign w:val="bottom"/>
            <w:tcBorders>
              <w:right w:val="single" w:sz="8" w:color="auto"/>
            </w:tcBorders>
          </w:tcPr>
          <w:p>
            <w:pPr>
              <w:ind w:left="260"/>
              <w:spacing w:after="0"/>
              <w:rPr>
                <w:sz w:val="20"/>
                <w:szCs w:val="20"/>
                <w:color w:val="auto"/>
              </w:rPr>
            </w:pPr>
            <w:r>
              <w:rPr>
                <w:rFonts w:ascii="Arial" w:cs="Arial" w:eastAsia="Arial" w:hAnsi="Arial"/>
                <w:sz w:val="13"/>
                <w:szCs w:val="13"/>
                <w:color w:val="auto"/>
              </w:rPr>
              <w:t>exécutif; et</w:t>
            </w:r>
          </w:p>
        </w:tc>
        <w:tc>
          <w:tcPr>
            <w:tcW w:w="0" w:type="dxa"/>
            <w:vAlign w:val="bottom"/>
          </w:tcPr>
          <w:p>
            <w:pPr>
              <w:spacing w:after="0"/>
              <w:rPr>
                <w:sz w:val="1"/>
                <w:szCs w:val="1"/>
                <w:color w:val="auto"/>
              </w:rPr>
            </w:pPr>
          </w:p>
        </w:tc>
      </w:tr>
      <w:tr>
        <w:trPr>
          <w:trHeight w:val="121"/>
        </w:trPr>
        <w:tc>
          <w:tcPr>
            <w:tcW w:w="220" w:type="dxa"/>
            <w:vAlign w:val="bottom"/>
            <w:tcBorders>
              <w:left w:val="single" w:sz="8" w:color="auto"/>
            </w:tcBorders>
            <w:vMerge w:val="continue"/>
          </w:tcPr>
          <w:p>
            <w:pPr>
              <w:spacing w:after="0"/>
              <w:rPr>
                <w:sz w:val="10"/>
                <w:szCs w:val="10"/>
                <w:color w:val="auto"/>
              </w:rPr>
            </w:pPr>
          </w:p>
        </w:tc>
        <w:tc>
          <w:tcPr>
            <w:tcW w:w="5320" w:type="dxa"/>
            <w:vAlign w:val="bottom"/>
            <w:tcBorders>
              <w:right w:val="single" w:sz="8" w:color="auto"/>
            </w:tcBorders>
            <w:vMerge w:val="continue"/>
          </w:tcPr>
          <w:p>
            <w:pPr>
              <w:spacing w:after="0"/>
              <w:rPr>
                <w:sz w:val="10"/>
                <w:szCs w:val="10"/>
                <w:color w:val="auto"/>
              </w:rPr>
            </w:pPr>
          </w:p>
        </w:tc>
        <w:tc>
          <w:tcPr>
            <w:tcW w:w="240" w:type="dxa"/>
            <w:vAlign w:val="bottom"/>
            <w:tcBorders>
              <w:right w:val="single" w:sz="8" w:color="auto"/>
            </w:tcBorders>
          </w:tcPr>
          <w:p>
            <w:pPr>
              <w:spacing w:after="0"/>
              <w:rPr>
                <w:sz w:val="10"/>
                <w:szCs w:val="10"/>
                <w:color w:val="auto"/>
              </w:rPr>
            </w:pPr>
          </w:p>
        </w:tc>
        <w:tc>
          <w:tcPr>
            <w:tcW w:w="552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45"/>
        </w:trPr>
        <w:tc>
          <w:tcPr>
            <w:tcW w:w="220" w:type="dxa"/>
            <w:vAlign w:val="bottom"/>
            <w:tcBorders>
              <w:left w:val="single" w:sz="8" w:color="auto"/>
            </w:tcBorders>
          </w:tcPr>
          <w:p>
            <w:pPr>
              <w:spacing w:after="0"/>
              <w:rPr>
                <w:sz w:val="12"/>
                <w:szCs w:val="12"/>
                <w:color w:val="auto"/>
              </w:rPr>
            </w:pPr>
          </w:p>
        </w:tc>
        <w:tc>
          <w:tcPr>
            <w:tcW w:w="5320" w:type="dxa"/>
            <w:vAlign w:val="bottom"/>
            <w:tcBorders>
              <w:right w:val="single" w:sz="8" w:color="auto"/>
            </w:tcBorders>
          </w:tcPr>
          <w:p>
            <w:pPr>
              <w:ind w:left="80"/>
              <w:spacing w:after="0" w:line="145" w:lineRule="exact"/>
              <w:rPr>
                <w:sz w:val="20"/>
                <w:szCs w:val="20"/>
                <w:color w:val="auto"/>
              </w:rPr>
            </w:pPr>
            <w:r>
              <w:rPr>
                <w:rFonts w:ascii="Arial" w:cs="Arial" w:eastAsia="Arial" w:hAnsi="Arial"/>
                <w:sz w:val="13"/>
                <w:szCs w:val="13"/>
                <w:color w:val="auto"/>
              </w:rPr>
              <w:t>Meeting regarding compensation of the Board of Directors and the Executive Committee;</w:t>
            </w:r>
          </w:p>
        </w:tc>
        <w:tc>
          <w:tcPr>
            <w:tcW w:w="240" w:type="dxa"/>
            <w:vAlign w:val="bottom"/>
            <w:tcBorders>
              <w:right w:val="single" w:sz="8" w:color="auto"/>
            </w:tcBorders>
          </w:tcPr>
          <w:p>
            <w:pPr>
              <w:spacing w:after="0"/>
              <w:rPr>
                <w:sz w:val="12"/>
                <w:szCs w:val="12"/>
                <w:color w:val="auto"/>
              </w:rPr>
            </w:pPr>
          </w:p>
        </w:tc>
        <w:tc>
          <w:tcPr>
            <w:tcW w:w="5520" w:type="dxa"/>
            <w:vAlign w:val="bottom"/>
            <w:tcBorders>
              <w:right w:val="single" w:sz="8" w:color="auto"/>
            </w:tcBorders>
          </w:tcPr>
          <w:p>
            <w:pPr>
              <w:ind w:left="20"/>
              <w:spacing w:after="0" w:line="145" w:lineRule="exact"/>
              <w:rPr>
                <w:sz w:val="20"/>
                <w:szCs w:val="20"/>
                <w:color w:val="auto"/>
              </w:rPr>
            </w:pPr>
            <w:r>
              <w:rPr>
                <w:rFonts w:ascii="Arial" w:cs="Arial" w:eastAsia="Arial" w:hAnsi="Arial"/>
                <w:sz w:val="13"/>
                <w:szCs w:val="13"/>
                <w:color w:val="auto"/>
              </w:rPr>
              <w:t>h)  informer le juge en cas de surendettement.</w:t>
            </w:r>
          </w:p>
        </w:tc>
        <w:tc>
          <w:tcPr>
            <w:tcW w:w="0" w:type="dxa"/>
            <w:vAlign w:val="bottom"/>
          </w:tcPr>
          <w:p>
            <w:pPr>
              <w:spacing w:after="0"/>
              <w:rPr>
                <w:sz w:val="1"/>
                <w:szCs w:val="1"/>
                <w:color w:val="auto"/>
              </w:rPr>
            </w:pPr>
          </w:p>
        </w:tc>
      </w:tr>
      <w:tr>
        <w:trPr>
          <w:trHeight w:val="168"/>
        </w:trPr>
        <w:tc>
          <w:tcPr>
            <w:tcW w:w="220" w:type="dxa"/>
            <w:vAlign w:val="bottom"/>
            <w:tcBorders>
              <w:left w:val="single" w:sz="8" w:color="auto"/>
            </w:tcBorders>
          </w:tcPr>
          <w:p>
            <w:pPr>
              <w:spacing w:after="0"/>
              <w:rPr>
                <w:sz w:val="14"/>
                <w:szCs w:val="14"/>
                <w:color w:val="auto"/>
              </w:rPr>
            </w:pPr>
          </w:p>
        </w:tc>
        <w:tc>
          <w:tcPr>
            <w:tcW w:w="5320" w:type="dxa"/>
            <w:vAlign w:val="bottom"/>
            <w:tcBorders>
              <w:right w:val="single" w:sz="8" w:color="auto"/>
            </w:tcBorders>
          </w:tcPr>
          <w:p>
            <w:pPr>
              <w:ind w:left="80"/>
              <w:spacing w:after="0"/>
              <w:rPr>
                <w:sz w:val="20"/>
                <w:szCs w:val="20"/>
                <w:color w:val="auto"/>
              </w:rPr>
            </w:pPr>
            <w:r>
              <w:rPr>
                <w:rFonts w:ascii="Arial" w:cs="Arial" w:eastAsia="Arial" w:hAnsi="Arial"/>
                <w:sz w:val="13"/>
                <w:szCs w:val="13"/>
                <w:color w:val="auto"/>
              </w:rPr>
              <w:t>and</w:t>
            </w:r>
          </w:p>
        </w:tc>
        <w:tc>
          <w:tcPr>
            <w:tcW w:w="240" w:type="dxa"/>
            <w:vAlign w:val="bottom"/>
            <w:tcBorders>
              <w:right w:val="single" w:sz="8" w:color="auto"/>
            </w:tcBorders>
          </w:tcPr>
          <w:p>
            <w:pPr>
              <w:spacing w:after="0"/>
              <w:rPr>
                <w:sz w:val="14"/>
                <w:szCs w:val="14"/>
                <w:color w:val="auto"/>
              </w:rPr>
            </w:pPr>
          </w:p>
        </w:tc>
        <w:tc>
          <w:tcPr>
            <w:tcW w:w="552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90"/>
        </w:trPr>
        <w:tc>
          <w:tcPr>
            <w:tcW w:w="5540" w:type="dxa"/>
            <w:vAlign w:val="bottom"/>
            <w:tcBorders>
              <w:left w:val="single" w:sz="8" w:color="auto"/>
              <w:right w:val="single" w:sz="8" w:color="auto"/>
            </w:tcBorders>
            <w:gridSpan w:val="2"/>
          </w:tcPr>
          <w:p>
            <w:pPr>
              <w:ind w:left="40"/>
              <w:spacing w:after="0"/>
              <w:rPr>
                <w:sz w:val="20"/>
                <w:szCs w:val="20"/>
                <w:color w:val="auto"/>
              </w:rPr>
            </w:pPr>
            <w:r>
              <w:rPr>
                <w:rFonts w:ascii="Arial" w:cs="Arial" w:eastAsia="Arial" w:hAnsi="Arial"/>
                <w:sz w:val="13"/>
                <w:szCs w:val="13"/>
                <w:color w:val="auto"/>
              </w:rPr>
              <w:t>h)   notification of the court in the event that the company is overindebted.</w:t>
            </w:r>
          </w:p>
        </w:tc>
        <w:tc>
          <w:tcPr>
            <w:tcW w:w="240" w:type="dxa"/>
            <w:vAlign w:val="bottom"/>
            <w:tcBorders>
              <w:right w:val="single" w:sz="8" w:color="auto"/>
            </w:tcBorders>
          </w:tcPr>
          <w:p>
            <w:pPr>
              <w:spacing w:after="0"/>
              <w:rPr>
                <w:sz w:val="24"/>
                <w:szCs w:val="24"/>
                <w:color w:val="auto"/>
              </w:rPr>
            </w:pPr>
          </w:p>
        </w:tc>
        <w:tc>
          <w:tcPr>
            <w:tcW w:w="55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53"/>
        </w:trPr>
        <w:tc>
          <w:tcPr>
            <w:tcW w:w="5540" w:type="dxa"/>
            <w:vAlign w:val="bottom"/>
            <w:tcBorders>
              <w:left w:val="single" w:sz="8" w:color="auto"/>
              <w:bottom w:val="single" w:sz="8" w:color="auto"/>
              <w:right w:val="single" w:sz="8" w:color="auto"/>
            </w:tcBorders>
            <w:gridSpan w:val="2"/>
          </w:tcPr>
          <w:p>
            <w:pPr>
              <w:spacing w:after="0"/>
              <w:rPr>
                <w:sz w:val="13"/>
                <w:szCs w:val="13"/>
                <w:color w:val="auto"/>
              </w:rPr>
            </w:pPr>
          </w:p>
        </w:tc>
        <w:tc>
          <w:tcPr>
            <w:tcW w:w="240" w:type="dxa"/>
            <w:vAlign w:val="bottom"/>
            <w:tcBorders>
              <w:bottom w:val="single" w:sz="8" w:color="auto"/>
              <w:right w:val="single" w:sz="8" w:color="auto"/>
            </w:tcBorders>
          </w:tcPr>
          <w:p>
            <w:pPr>
              <w:spacing w:after="0"/>
              <w:rPr>
                <w:sz w:val="13"/>
                <w:szCs w:val="13"/>
                <w:color w:val="auto"/>
              </w:rPr>
            </w:pPr>
          </w:p>
        </w:tc>
        <w:tc>
          <w:tcPr>
            <w:tcW w:w="5520" w:type="dxa"/>
            <w:vAlign w:val="bottom"/>
            <w:tcBorders>
              <w:bottom w:val="single" w:sz="8" w:color="auto"/>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41"/>
        </w:trPr>
        <w:tc>
          <w:tcPr>
            <w:tcW w:w="5540" w:type="dxa"/>
            <w:vAlign w:val="bottom"/>
            <w:tcBorders>
              <w:left w:val="single" w:sz="8" w:color="auto"/>
              <w:right w:val="single" w:sz="8" w:color="auto"/>
            </w:tcBorders>
            <w:gridSpan w:val="2"/>
          </w:tcPr>
          <w:p>
            <w:pPr>
              <w:ind w:left="40"/>
              <w:spacing w:after="0" w:line="141" w:lineRule="exact"/>
              <w:rPr>
                <w:sz w:val="20"/>
                <w:szCs w:val="20"/>
                <w:color w:val="auto"/>
              </w:rPr>
            </w:pPr>
            <w:r>
              <w:rPr>
                <w:rFonts w:ascii="Arial" w:cs="Arial" w:eastAsia="Arial" w:hAnsi="Arial"/>
                <w:sz w:val="13"/>
                <w:szCs w:val="13"/>
                <w:color w:val="auto"/>
              </w:rPr>
              <w:t>The board of directors may assign responsibility for preparing and implementing its resolutions</w:t>
            </w:r>
          </w:p>
        </w:tc>
        <w:tc>
          <w:tcPr>
            <w:tcW w:w="240" w:type="dxa"/>
            <w:vAlign w:val="bottom"/>
            <w:tcBorders>
              <w:right w:val="single" w:sz="8" w:color="auto"/>
            </w:tcBorders>
          </w:tcPr>
          <w:p>
            <w:pPr>
              <w:spacing w:after="0"/>
              <w:rPr>
                <w:sz w:val="12"/>
                <w:szCs w:val="12"/>
                <w:color w:val="auto"/>
              </w:rPr>
            </w:pPr>
          </w:p>
        </w:tc>
        <w:tc>
          <w:tcPr>
            <w:tcW w:w="5520" w:type="dxa"/>
            <w:vAlign w:val="bottom"/>
            <w:tcBorders>
              <w:right w:val="single" w:sz="8" w:color="auto"/>
            </w:tcBorders>
          </w:tcPr>
          <w:p>
            <w:pPr>
              <w:ind w:left="20"/>
              <w:spacing w:after="0" w:line="141" w:lineRule="exact"/>
              <w:rPr>
                <w:sz w:val="20"/>
                <w:szCs w:val="20"/>
                <w:color w:val="auto"/>
              </w:rPr>
            </w:pPr>
            <w:r>
              <w:rPr>
                <w:rFonts w:ascii="Arial" w:cs="Arial" w:eastAsia="Arial" w:hAnsi="Arial"/>
                <w:sz w:val="13"/>
                <w:szCs w:val="13"/>
                <w:color w:val="auto"/>
              </w:rPr>
              <w:t>Le conseil d'administration peut déléguer à un ou plusieurs membres, regroupés en comités, la</w:t>
            </w:r>
          </w:p>
        </w:tc>
        <w:tc>
          <w:tcPr>
            <w:tcW w:w="0" w:type="dxa"/>
            <w:vAlign w:val="bottom"/>
          </w:tcPr>
          <w:p>
            <w:pPr>
              <w:spacing w:after="0"/>
              <w:rPr>
                <w:sz w:val="1"/>
                <w:szCs w:val="1"/>
                <w:color w:val="auto"/>
              </w:rPr>
            </w:pPr>
          </w:p>
        </w:tc>
      </w:tr>
      <w:tr>
        <w:trPr>
          <w:trHeight w:val="145"/>
        </w:trPr>
        <w:tc>
          <w:tcPr>
            <w:tcW w:w="5540" w:type="dxa"/>
            <w:vAlign w:val="bottom"/>
            <w:tcBorders>
              <w:left w:val="single" w:sz="8" w:color="auto"/>
              <w:right w:val="single" w:sz="8" w:color="auto"/>
            </w:tcBorders>
            <w:gridSpan w:val="2"/>
          </w:tcPr>
          <w:p>
            <w:pPr>
              <w:ind w:left="40"/>
              <w:spacing w:after="0" w:line="145" w:lineRule="exact"/>
              <w:rPr>
                <w:sz w:val="20"/>
                <w:szCs w:val="20"/>
                <w:color w:val="auto"/>
              </w:rPr>
            </w:pPr>
            <w:r>
              <w:rPr>
                <w:rFonts w:ascii="Arial" w:cs="Arial" w:eastAsia="Arial" w:hAnsi="Arial"/>
                <w:sz w:val="13"/>
                <w:szCs w:val="13"/>
                <w:color w:val="auto"/>
              </w:rPr>
              <w:t>or monitoring transactions to committees or individual members. It must ensure appropriate</w:t>
            </w:r>
          </w:p>
        </w:tc>
        <w:tc>
          <w:tcPr>
            <w:tcW w:w="240" w:type="dxa"/>
            <w:vAlign w:val="bottom"/>
            <w:tcBorders>
              <w:right w:val="single" w:sz="8" w:color="auto"/>
            </w:tcBorders>
          </w:tcPr>
          <w:p>
            <w:pPr>
              <w:spacing w:after="0"/>
              <w:rPr>
                <w:sz w:val="12"/>
                <w:szCs w:val="12"/>
                <w:color w:val="auto"/>
              </w:rPr>
            </w:pPr>
          </w:p>
        </w:tc>
        <w:tc>
          <w:tcPr>
            <w:tcW w:w="5520" w:type="dxa"/>
            <w:vAlign w:val="bottom"/>
            <w:tcBorders>
              <w:right w:val="single" w:sz="8" w:color="auto"/>
            </w:tcBorders>
          </w:tcPr>
          <w:p>
            <w:pPr>
              <w:ind w:left="20"/>
              <w:spacing w:after="0" w:line="145" w:lineRule="exact"/>
              <w:rPr>
                <w:sz w:val="20"/>
                <w:szCs w:val="20"/>
                <w:color w:val="auto"/>
              </w:rPr>
            </w:pPr>
            <w:r>
              <w:rPr>
                <w:rFonts w:ascii="Arial" w:cs="Arial" w:eastAsia="Arial" w:hAnsi="Arial"/>
                <w:sz w:val="13"/>
                <w:szCs w:val="13"/>
                <w:color w:val="auto"/>
              </w:rPr>
              <w:t>charge de préparer et d'exécuter ses décisions ou de surveiller certaines affaires. Il veille à ce</w:t>
            </w:r>
          </w:p>
        </w:tc>
        <w:tc>
          <w:tcPr>
            <w:tcW w:w="0" w:type="dxa"/>
            <w:vAlign w:val="bottom"/>
          </w:tcPr>
          <w:p>
            <w:pPr>
              <w:spacing w:after="0"/>
              <w:rPr>
                <w:sz w:val="1"/>
                <w:szCs w:val="1"/>
                <w:color w:val="auto"/>
              </w:rPr>
            </w:pPr>
          </w:p>
        </w:tc>
      </w:tr>
      <w:tr>
        <w:trPr>
          <w:trHeight w:val="173"/>
        </w:trPr>
        <w:tc>
          <w:tcPr>
            <w:tcW w:w="5540" w:type="dxa"/>
            <w:vAlign w:val="bottom"/>
            <w:tcBorders>
              <w:left w:val="single" w:sz="8" w:color="auto"/>
              <w:bottom w:val="single" w:sz="8" w:color="auto"/>
              <w:right w:val="single" w:sz="8" w:color="auto"/>
            </w:tcBorders>
            <w:gridSpan w:val="2"/>
          </w:tcPr>
          <w:p>
            <w:pPr>
              <w:ind w:left="40"/>
              <w:spacing w:after="0"/>
              <w:rPr>
                <w:sz w:val="20"/>
                <w:szCs w:val="20"/>
                <w:color w:val="auto"/>
              </w:rPr>
            </w:pPr>
            <w:r>
              <w:rPr>
                <w:rFonts w:ascii="Arial" w:cs="Arial" w:eastAsia="Arial" w:hAnsi="Arial"/>
                <w:sz w:val="13"/>
                <w:szCs w:val="13"/>
                <w:color w:val="auto"/>
              </w:rPr>
              <w:t>reporting to its members.</w:t>
            </w:r>
          </w:p>
        </w:tc>
        <w:tc>
          <w:tcPr>
            <w:tcW w:w="240" w:type="dxa"/>
            <w:vAlign w:val="bottom"/>
            <w:tcBorders>
              <w:bottom w:val="single" w:sz="8" w:color="auto"/>
              <w:right w:val="single" w:sz="8" w:color="auto"/>
            </w:tcBorders>
          </w:tcPr>
          <w:p>
            <w:pPr>
              <w:spacing w:after="0"/>
              <w:rPr>
                <w:sz w:val="15"/>
                <w:szCs w:val="15"/>
                <w:color w:val="auto"/>
              </w:rPr>
            </w:pPr>
          </w:p>
        </w:tc>
        <w:tc>
          <w:tcPr>
            <w:tcW w:w="55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3"/>
                <w:szCs w:val="13"/>
                <w:color w:val="auto"/>
              </w:rPr>
              <w:t>que ses membres soient convenablement informés.</w:t>
            </w:r>
          </w:p>
        </w:tc>
        <w:tc>
          <w:tcPr>
            <w:tcW w:w="0" w:type="dxa"/>
            <w:vAlign w:val="bottom"/>
          </w:tcPr>
          <w:p>
            <w:pPr>
              <w:spacing w:after="0"/>
              <w:rPr>
                <w:sz w:val="1"/>
                <w:szCs w:val="1"/>
                <w:color w:val="auto"/>
              </w:rPr>
            </w:pPr>
          </w:p>
        </w:tc>
      </w:tr>
      <w:tr>
        <w:trPr>
          <w:trHeight w:val="177"/>
        </w:trPr>
        <w:tc>
          <w:tcPr>
            <w:tcW w:w="5540" w:type="dxa"/>
            <w:vAlign w:val="bottom"/>
            <w:tcBorders>
              <w:left w:val="single" w:sz="8" w:color="auto"/>
              <w:right w:val="single" w:sz="8" w:color="auto"/>
            </w:tcBorders>
            <w:gridSpan w:val="2"/>
          </w:tcPr>
          <w:p>
            <w:pPr>
              <w:ind w:left="40"/>
              <w:spacing w:after="0"/>
              <w:rPr>
                <w:sz w:val="20"/>
                <w:szCs w:val="20"/>
                <w:color w:val="auto"/>
              </w:rPr>
            </w:pPr>
            <w:r>
              <w:rPr>
                <w:rFonts w:ascii="Arial" w:cs="Arial" w:eastAsia="Arial" w:hAnsi="Arial"/>
                <w:sz w:val="13"/>
                <w:szCs w:val="13"/>
                <w:b w:val="1"/>
                <w:bCs w:val="1"/>
                <w:color w:val="auto"/>
              </w:rPr>
              <w:t>Art. 24  Representation of the Company</w:t>
            </w:r>
          </w:p>
        </w:tc>
        <w:tc>
          <w:tcPr>
            <w:tcW w:w="240" w:type="dxa"/>
            <w:vAlign w:val="bottom"/>
            <w:tcBorders>
              <w:right w:val="single" w:sz="8" w:color="auto"/>
            </w:tcBorders>
          </w:tcPr>
          <w:p>
            <w:pPr>
              <w:spacing w:after="0"/>
              <w:rPr>
                <w:sz w:val="15"/>
                <w:szCs w:val="15"/>
                <w:color w:val="auto"/>
              </w:rPr>
            </w:pPr>
          </w:p>
        </w:tc>
        <w:tc>
          <w:tcPr>
            <w:tcW w:w="5520" w:type="dxa"/>
            <w:vAlign w:val="bottom"/>
            <w:tcBorders>
              <w:right w:val="single" w:sz="8" w:color="auto"/>
            </w:tcBorders>
          </w:tcPr>
          <w:p>
            <w:pPr>
              <w:ind w:left="20"/>
              <w:spacing w:after="0"/>
              <w:rPr>
                <w:sz w:val="20"/>
                <w:szCs w:val="20"/>
                <w:color w:val="auto"/>
              </w:rPr>
            </w:pPr>
            <w:r>
              <w:rPr>
                <w:rFonts w:ascii="Arial" w:cs="Arial" w:eastAsia="Arial" w:hAnsi="Arial"/>
                <w:sz w:val="13"/>
                <w:szCs w:val="13"/>
                <w:b w:val="1"/>
                <w:bCs w:val="1"/>
                <w:color w:val="auto"/>
              </w:rPr>
              <w:t>Art. 24  Représentation de la société</w:t>
            </w:r>
          </w:p>
        </w:tc>
        <w:tc>
          <w:tcPr>
            <w:tcW w:w="0" w:type="dxa"/>
            <w:vAlign w:val="bottom"/>
          </w:tcPr>
          <w:p>
            <w:pPr>
              <w:spacing w:after="0"/>
              <w:rPr>
                <w:sz w:val="1"/>
                <w:szCs w:val="1"/>
                <w:color w:val="auto"/>
              </w:rPr>
            </w:pPr>
          </w:p>
        </w:tc>
      </w:tr>
      <w:tr>
        <w:trPr>
          <w:trHeight w:val="258"/>
        </w:trPr>
        <w:tc>
          <w:tcPr>
            <w:tcW w:w="5540" w:type="dxa"/>
            <w:vAlign w:val="bottom"/>
            <w:tcBorders>
              <w:left w:val="single" w:sz="8" w:color="auto"/>
              <w:right w:val="single" w:sz="8" w:color="auto"/>
            </w:tcBorders>
            <w:gridSpan w:val="2"/>
          </w:tcPr>
          <w:p>
            <w:pPr>
              <w:ind w:left="40"/>
              <w:spacing w:after="0"/>
              <w:rPr>
                <w:sz w:val="20"/>
                <w:szCs w:val="20"/>
                <w:color w:val="auto"/>
              </w:rPr>
            </w:pPr>
            <w:r>
              <w:rPr>
                <w:rFonts w:ascii="Arial" w:cs="Arial" w:eastAsia="Arial" w:hAnsi="Arial"/>
                <w:sz w:val="13"/>
                <w:szCs w:val="13"/>
                <w:color w:val="auto"/>
              </w:rPr>
              <w:t>The Board of Directors shall assign the persons with signatory power for the company and the</w:t>
            </w:r>
          </w:p>
        </w:tc>
        <w:tc>
          <w:tcPr>
            <w:tcW w:w="240" w:type="dxa"/>
            <w:vAlign w:val="bottom"/>
            <w:tcBorders>
              <w:right w:val="single" w:sz="8" w:color="auto"/>
            </w:tcBorders>
          </w:tcPr>
          <w:p>
            <w:pPr>
              <w:spacing w:after="0"/>
              <w:rPr>
                <w:sz w:val="22"/>
                <w:szCs w:val="22"/>
                <w:color w:val="auto"/>
              </w:rPr>
            </w:pPr>
          </w:p>
        </w:tc>
        <w:tc>
          <w:tcPr>
            <w:tcW w:w="5520" w:type="dxa"/>
            <w:vAlign w:val="bottom"/>
            <w:tcBorders>
              <w:right w:val="single" w:sz="8" w:color="auto"/>
            </w:tcBorders>
          </w:tcPr>
          <w:p>
            <w:pPr>
              <w:ind w:left="20"/>
              <w:spacing w:after="0"/>
              <w:rPr>
                <w:sz w:val="20"/>
                <w:szCs w:val="20"/>
                <w:color w:val="auto"/>
              </w:rPr>
            </w:pPr>
            <w:r>
              <w:rPr>
                <w:rFonts w:ascii="Arial" w:cs="Arial" w:eastAsia="Arial" w:hAnsi="Arial"/>
                <w:sz w:val="13"/>
                <w:szCs w:val="13"/>
                <w:color w:val="auto"/>
              </w:rPr>
              <w:t>Le conseil d'administration nomme les personnes pouvant représenter la société ainsi que le</w:t>
            </w:r>
          </w:p>
        </w:tc>
        <w:tc>
          <w:tcPr>
            <w:tcW w:w="0" w:type="dxa"/>
            <w:vAlign w:val="bottom"/>
          </w:tcPr>
          <w:p>
            <w:pPr>
              <w:spacing w:after="0"/>
              <w:rPr>
                <w:sz w:val="1"/>
                <w:szCs w:val="1"/>
                <w:color w:val="auto"/>
              </w:rPr>
            </w:pPr>
          </w:p>
        </w:tc>
      </w:tr>
      <w:tr>
        <w:trPr>
          <w:trHeight w:val="168"/>
        </w:trPr>
        <w:tc>
          <w:tcPr>
            <w:tcW w:w="5540" w:type="dxa"/>
            <w:vAlign w:val="bottom"/>
            <w:tcBorders>
              <w:left w:val="single" w:sz="8" w:color="auto"/>
              <w:right w:val="single" w:sz="8" w:color="auto"/>
            </w:tcBorders>
            <w:gridSpan w:val="2"/>
          </w:tcPr>
          <w:p>
            <w:pPr>
              <w:ind w:left="40"/>
              <w:spacing w:after="0"/>
              <w:rPr>
                <w:sz w:val="20"/>
                <w:szCs w:val="20"/>
                <w:color w:val="auto"/>
              </w:rPr>
            </w:pPr>
            <w:r>
              <w:rPr>
                <w:rFonts w:ascii="Arial" w:cs="Arial" w:eastAsia="Arial" w:hAnsi="Arial"/>
                <w:sz w:val="13"/>
                <w:szCs w:val="13"/>
                <w:color w:val="auto"/>
              </w:rPr>
              <w:t>kind of signatory power.</w:t>
            </w:r>
          </w:p>
        </w:tc>
        <w:tc>
          <w:tcPr>
            <w:tcW w:w="240" w:type="dxa"/>
            <w:vAlign w:val="bottom"/>
            <w:tcBorders>
              <w:right w:val="single" w:sz="8" w:color="auto"/>
            </w:tcBorders>
          </w:tcPr>
          <w:p>
            <w:pPr>
              <w:spacing w:after="0"/>
              <w:rPr>
                <w:sz w:val="14"/>
                <w:szCs w:val="14"/>
                <w:color w:val="auto"/>
              </w:rPr>
            </w:pPr>
          </w:p>
        </w:tc>
        <w:tc>
          <w:tcPr>
            <w:tcW w:w="5520" w:type="dxa"/>
            <w:vAlign w:val="bottom"/>
            <w:tcBorders>
              <w:right w:val="single" w:sz="8" w:color="auto"/>
            </w:tcBorders>
          </w:tcPr>
          <w:p>
            <w:pPr>
              <w:ind w:left="20"/>
              <w:spacing w:after="0"/>
              <w:rPr>
                <w:sz w:val="20"/>
                <w:szCs w:val="20"/>
                <w:color w:val="auto"/>
              </w:rPr>
            </w:pPr>
            <w:r>
              <w:rPr>
                <w:rFonts w:ascii="Arial" w:cs="Arial" w:eastAsia="Arial" w:hAnsi="Arial"/>
                <w:sz w:val="13"/>
                <w:szCs w:val="13"/>
                <w:color w:val="auto"/>
              </w:rPr>
              <w:t>mode de signature.</w:t>
            </w:r>
          </w:p>
        </w:tc>
        <w:tc>
          <w:tcPr>
            <w:tcW w:w="0" w:type="dxa"/>
            <w:vAlign w:val="bottom"/>
          </w:tcPr>
          <w:p>
            <w:pPr>
              <w:spacing w:after="0"/>
              <w:rPr>
                <w:sz w:val="1"/>
                <w:szCs w:val="1"/>
                <w:color w:val="auto"/>
              </w:rPr>
            </w:pPr>
          </w:p>
        </w:tc>
      </w:tr>
      <w:tr>
        <w:trPr>
          <w:trHeight w:val="153"/>
        </w:trPr>
        <w:tc>
          <w:tcPr>
            <w:tcW w:w="220" w:type="dxa"/>
            <w:vAlign w:val="bottom"/>
            <w:tcBorders>
              <w:left w:val="single" w:sz="8" w:color="auto"/>
              <w:bottom w:val="single" w:sz="8" w:color="auto"/>
            </w:tcBorders>
          </w:tcPr>
          <w:p>
            <w:pPr>
              <w:spacing w:after="0"/>
              <w:rPr>
                <w:sz w:val="13"/>
                <w:szCs w:val="13"/>
                <w:color w:val="auto"/>
              </w:rPr>
            </w:pPr>
          </w:p>
        </w:tc>
        <w:tc>
          <w:tcPr>
            <w:tcW w:w="5320" w:type="dxa"/>
            <w:vAlign w:val="bottom"/>
            <w:tcBorders>
              <w:bottom w:val="single" w:sz="8" w:color="auto"/>
              <w:right w:val="single" w:sz="8" w:color="auto"/>
            </w:tcBorders>
          </w:tcPr>
          <w:p>
            <w:pPr>
              <w:spacing w:after="0"/>
              <w:rPr>
                <w:sz w:val="13"/>
                <w:szCs w:val="13"/>
                <w:color w:val="auto"/>
              </w:rPr>
            </w:pPr>
          </w:p>
        </w:tc>
        <w:tc>
          <w:tcPr>
            <w:tcW w:w="240" w:type="dxa"/>
            <w:vAlign w:val="bottom"/>
            <w:tcBorders>
              <w:bottom w:val="single" w:sz="8" w:color="auto"/>
              <w:right w:val="single" w:sz="8" w:color="auto"/>
            </w:tcBorders>
          </w:tcPr>
          <w:p>
            <w:pPr>
              <w:spacing w:after="0"/>
              <w:rPr>
                <w:sz w:val="13"/>
                <w:szCs w:val="13"/>
                <w:color w:val="auto"/>
              </w:rPr>
            </w:pPr>
          </w:p>
        </w:tc>
        <w:tc>
          <w:tcPr>
            <w:tcW w:w="5520" w:type="dxa"/>
            <w:vAlign w:val="bottom"/>
            <w:tcBorders>
              <w:bottom w:val="single" w:sz="8" w:color="auto"/>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241"/>
        </w:trPr>
        <w:tc>
          <w:tcPr>
            <w:tcW w:w="220" w:type="dxa"/>
            <w:vAlign w:val="bottom"/>
            <w:tcBorders>
              <w:bottom w:val="single" w:sz="8" w:color="auto"/>
            </w:tcBorders>
          </w:tcPr>
          <w:p>
            <w:pPr>
              <w:spacing w:after="0"/>
              <w:rPr>
                <w:sz w:val="20"/>
                <w:szCs w:val="20"/>
                <w:color w:val="auto"/>
              </w:rPr>
            </w:pPr>
          </w:p>
        </w:tc>
        <w:tc>
          <w:tcPr>
            <w:tcW w:w="532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5"/>
                <w:szCs w:val="15"/>
                <w:color w:val="auto"/>
                <w:w w:val="93"/>
              </w:rPr>
              <w:t>18</w:t>
            </w:r>
          </w:p>
        </w:tc>
        <w:tc>
          <w:tcPr>
            <w:tcW w:w="552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bl>
    <w:p>
      <w:pPr>
        <w:sectPr>
          <w:pgSz w:w="11900" w:h="16838" w:orient="portrait"/>
          <w:cols w:equalWidth="0" w:num="1">
            <w:col w:w="11300"/>
          </w:cols>
          <w:pgMar w:left="300" w:top="448" w:right="299" w:bottom="1440" w:gutter="0" w:footer="0" w:header="0"/>
        </w:sectPr>
      </w:pPr>
    </w:p>
    <w:bookmarkStart w:id="76" w:name="page77"/>
    <w:bookmarkEnd w:id="76"/>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188595</wp:posOffset>
            </wp:positionH>
            <wp:positionV relativeFrom="page">
              <wp:posOffset>297180</wp:posOffset>
            </wp:positionV>
            <wp:extent cx="7171690" cy="270319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71690" cy="2703195"/>
                    </a:xfrm>
                    <a:prstGeom prst="rect">
                      <a:avLst/>
                    </a:prstGeom>
                    <a:noFill/>
                  </pic:spPr>
                </pic:pic>
              </a:graphicData>
            </a:graphic>
          </wp:anchor>
        </w:drawing>
      </w:r>
    </w:p>
    <w:tbl>
      <w:tblPr>
        <w:tblLayout w:type="fixed"/>
        <w:tblInd w:w="40" w:type="dxa"/>
        <w:tblCellMar>
          <w:top w:w="0" w:type="dxa"/>
          <w:left w:w="0" w:type="dxa"/>
          <w:bottom w:w="0" w:type="dxa"/>
          <w:right w:w="0" w:type="dxa"/>
        </w:tblCellMar>
      </w:tblPr>
      <w:tr>
        <w:trPr>
          <w:trHeight w:val="176"/>
        </w:trPr>
        <w:tc>
          <w:tcPr>
            <w:tcW w:w="5600" w:type="dxa"/>
            <w:vAlign w:val="bottom"/>
          </w:tcPr>
          <w:p>
            <w:pPr>
              <w:spacing w:after="0"/>
              <w:rPr>
                <w:sz w:val="20"/>
                <w:szCs w:val="20"/>
                <w:color w:val="auto"/>
              </w:rPr>
            </w:pPr>
            <w:r>
              <w:rPr>
                <w:rFonts w:ascii="Arial" w:cs="Arial" w:eastAsia="Arial" w:hAnsi="Arial"/>
                <w:sz w:val="13"/>
                <w:szCs w:val="13"/>
                <w:b w:val="1"/>
                <w:bCs w:val="1"/>
                <w:color w:val="auto"/>
              </w:rPr>
              <w:t>Art. 25  Delegation</w:t>
            </w:r>
          </w:p>
        </w:tc>
        <w:tc>
          <w:tcPr>
            <w:tcW w:w="5620" w:type="dxa"/>
            <w:vAlign w:val="bottom"/>
          </w:tcPr>
          <w:p>
            <w:pPr>
              <w:ind w:left="160"/>
              <w:spacing w:after="0"/>
              <w:rPr>
                <w:sz w:val="20"/>
                <w:szCs w:val="20"/>
                <w:color w:val="auto"/>
              </w:rPr>
            </w:pPr>
            <w:r>
              <w:rPr>
                <w:rFonts w:ascii="Arial" w:cs="Arial" w:eastAsia="Arial" w:hAnsi="Arial"/>
                <w:sz w:val="13"/>
                <w:szCs w:val="13"/>
                <w:b w:val="1"/>
                <w:bCs w:val="1"/>
                <w:color w:val="auto"/>
              </w:rPr>
              <w:t>Art. 25  Délégation</w:t>
            </w:r>
          </w:p>
        </w:tc>
      </w:tr>
      <w:tr>
        <w:trPr>
          <w:trHeight w:val="258"/>
        </w:trPr>
        <w:tc>
          <w:tcPr>
            <w:tcW w:w="5600" w:type="dxa"/>
            <w:vAlign w:val="bottom"/>
          </w:tcPr>
          <w:p>
            <w:pPr>
              <w:spacing w:after="0"/>
              <w:rPr>
                <w:sz w:val="20"/>
                <w:szCs w:val="20"/>
                <w:color w:val="auto"/>
              </w:rPr>
            </w:pPr>
            <w:r>
              <w:rPr>
                <w:rFonts w:ascii="Arial" w:cs="Arial" w:eastAsia="Arial" w:hAnsi="Arial"/>
                <w:sz w:val="13"/>
                <w:szCs w:val="13"/>
                <w:color w:val="auto"/>
              </w:rPr>
              <w:t>Moreover, the Board of Directors is authorized to delegate, in part or entirely, the management</w:t>
            </w:r>
          </w:p>
        </w:tc>
        <w:tc>
          <w:tcPr>
            <w:tcW w:w="5620" w:type="dxa"/>
            <w:vAlign w:val="bottom"/>
          </w:tcPr>
          <w:p>
            <w:pPr>
              <w:ind w:left="160"/>
              <w:spacing w:after="0"/>
              <w:rPr>
                <w:sz w:val="20"/>
                <w:szCs w:val="20"/>
                <w:color w:val="auto"/>
              </w:rPr>
            </w:pPr>
            <w:r>
              <w:rPr>
                <w:rFonts w:ascii="Arial" w:cs="Arial" w:eastAsia="Arial" w:hAnsi="Arial"/>
                <w:sz w:val="13"/>
                <w:szCs w:val="13"/>
                <w:color w:val="auto"/>
              </w:rPr>
              <w:t>En outre, le conseil d'administration peut, dans les limites de la loi, déléguer, en partie ou</w:t>
            </w:r>
          </w:p>
        </w:tc>
      </w:tr>
      <w:tr>
        <w:trPr>
          <w:trHeight w:val="145"/>
        </w:trPr>
        <w:tc>
          <w:tcPr>
            <w:tcW w:w="5600" w:type="dxa"/>
            <w:vAlign w:val="bottom"/>
          </w:tcPr>
          <w:p>
            <w:pPr>
              <w:spacing w:after="0" w:line="145" w:lineRule="exact"/>
              <w:rPr>
                <w:sz w:val="20"/>
                <w:szCs w:val="20"/>
                <w:color w:val="auto"/>
              </w:rPr>
            </w:pPr>
            <w:r>
              <w:rPr>
                <w:rFonts w:ascii="Arial" w:cs="Arial" w:eastAsia="Arial" w:hAnsi="Arial"/>
                <w:sz w:val="13"/>
                <w:szCs w:val="13"/>
                <w:color w:val="auto"/>
              </w:rPr>
              <w:t>and the representation of the Company, within the limits of the law, to one or more individual</w:t>
            </w:r>
          </w:p>
        </w:tc>
        <w:tc>
          <w:tcPr>
            <w:tcW w:w="5620" w:type="dxa"/>
            <w:vAlign w:val="bottom"/>
          </w:tcPr>
          <w:p>
            <w:pPr>
              <w:ind w:left="160"/>
              <w:spacing w:after="0" w:line="145" w:lineRule="exact"/>
              <w:rPr>
                <w:sz w:val="20"/>
                <w:szCs w:val="20"/>
                <w:color w:val="auto"/>
              </w:rPr>
            </w:pPr>
            <w:r>
              <w:rPr>
                <w:rFonts w:ascii="Arial" w:cs="Arial" w:eastAsia="Arial" w:hAnsi="Arial"/>
                <w:sz w:val="13"/>
                <w:szCs w:val="13"/>
                <w:color w:val="auto"/>
              </w:rPr>
              <w:t>entièrement, la gestion et la représentation de la société à un ou plusieurs administrateurs</w:t>
            </w:r>
          </w:p>
        </w:tc>
      </w:tr>
      <w:tr>
        <w:trPr>
          <w:trHeight w:val="168"/>
        </w:trPr>
        <w:tc>
          <w:tcPr>
            <w:tcW w:w="5600" w:type="dxa"/>
            <w:vAlign w:val="bottom"/>
          </w:tcPr>
          <w:p>
            <w:pPr>
              <w:spacing w:after="0"/>
              <w:rPr>
                <w:sz w:val="20"/>
                <w:szCs w:val="20"/>
                <w:color w:val="auto"/>
              </w:rPr>
            </w:pPr>
            <w:r>
              <w:rPr>
                <w:rFonts w:ascii="Arial" w:cs="Arial" w:eastAsia="Arial" w:hAnsi="Arial"/>
                <w:sz w:val="13"/>
                <w:szCs w:val="13"/>
                <w:color w:val="auto"/>
              </w:rPr>
              <w:t>directors (Delegates) or to third parties pursuant to organizational regulations.</w:t>
            </w:r>
          </w:p>
        </w:tc>
        <w:tc>
          <w:tcPr>
            <w:tcW w:w="5620" w:type="dxa"/>
            <w:vAlign w:val="bottom"/>
          </w:tcPr>
          <w:p>
            <w:pPr>
              <w:ind w:left="160"/>
              <w:spacing w:after="0"/>
              <w:rPr>
                <w:sz w:val="20"/>
                <w:szCs w:val="20"/>
                <w:color w:val="auto"/>
              </w:rPr>
            </w:pPr>
            <w:r>
              <w:rPr>
                <w:rFonts w:ascii="Arial" w:cs="Arial" w:eastAsia="Arial" w:hAnsi="Arial"/>
                <w:sz w:val="13"/>
                <w:szCs w:val="13"/>
                <w:color w:val="auto"/>
              </w:rPr>
              <w:t>(délégués) ou à des tiers conformément au règlement d'organisation.</w:t>
            </w:r>
          </w:p>
        </w:tc>
      </w:tr>
    </w:tbl>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5520" w:type="dxa"/>
            <w:vAlign w:val="bottom"/>
          </w:tcPr>
          <w:p>
            <w:pPr>
              <w:ind w:left="40"/>
              <w:spacing w:after="0"/>
              <w:rPr>
                <w:sz w:val="20"/>
                <w:szCs w:val="20"/>
                <w:color w:val="auto"/>
              </w:rPr>
            </w:pPr>
            <w:r>
              <w:rPr>
                <w:rFonts w:ascii="Arial" w:cs="Arial" w:eastAsia="Arial" w:hAnsi="Arial"/>
                <w:sz w:val="13"/>
                <w:szCs w:val="13"/>
                <w:b w:val="1"/>
                <w:bCs w:val="1"/>
                <w:color w:val="auto"/>
              </w:rPr>
              <w:t>Art. 26  Meetings, Resolutions and Minutes</w:t>
            </w:r>
          </w:p>
        </w:tc>
        <w:tc>
          <w:tcPr>
            <w:tcW w:w="5780" w:type="dxa"/>
            <w:vAlign w:val="bottom"/>
          </w:tcPr>
          <w:p>
            <w:pPr>
              <w:ind w:left="280"/>
              <w:spacing w:after="0"/>
              <w:rPr>
                <w:sz w:val="20"/>
                <w:szCs w:val="20"/>
                <w:color w:val="auto"/>
              </w:rPr>
            </w:pPr>
            <w:r>
              <w:rPr>
                <w:rFonts w:ascii="Arial" w:cs="Arial" w:eastAsia="Arial" w:hAnsi="Arial"/>
                <w:sz w:val="13"/>
                <w:szCs w:val="13"/>
                <w:b w:val="1"/>
                <w:bCs w:val="1"/>
                <w:color w:val="auto"/>
              </w:rPr>
              <w:t>Art. 26  Réunions, décisions et procès-verbal</w:t>
            </w:r>
          </w:p>
        </w:tc>
      </w:tr>
      <w:tr>
        <w:trPr>
          <w:trHeight w:val="258"/>
        </w:trPr>
        <w:tc>
          <w:tcPr>
            <w:tcW w:w="5520" w:type="dxa"/>
            <w:vAlign w:val="bottom"/>
          </w:tcPr>
          <w:p>
            <w:pPr>
              <w:ind w:left="40"/>
              <w:spacing w:after="0"/>
              <w:rPr>
                <w:sz w:val="20"/>
                <w:szCs w:val="20"/>
                <w:color w:val="auto"/>
              </w:rPr>
            </w:pPr>
            <w:r>
              <w:rPr>
                <w:rFonts w:ascii="Arial" w:cs="Arial" w:eastAsia="Arial" w:hAnsi="Arial"/>
                <w:sz w:val="13"/>
                <w:szCs w:val="13"/>
                <w:color w:val="auto"/>
              </w:rPr>
              <w:t>The organization of the meetings, the presence quorum and the passing of resolutions of the</w:t>
            </w:r>
          </w:p>
        </w:tc>
        <w:tc>
          <w:tcPr>
            <w:tcW w:w="5780" w:type="dxa"/>
            <w:vAlign w:val="bottom"/>
          </w:tcPr>
          <w:p>
            <w:pPr>
              <w:ind w:left="280"/>
              <w:spacing w:after="0"/>
              <w:rPr>
                <w:sz w:val="20"/>
                <w:szCs w:val="20"/>
                <w:color w:val="auto"/>
              </w:rPr>
            </w:pPr>
            <w:r>
              <w:rPr>
                <w:rFonts w:ascii="Arial" w:cs="Arial" w:eastAsia="Arial" w:hAnsi="Arial"/>
                <w:sz w:val="13"/>
                <w:szCs w:val="13"/>
                <w:color w:val="auto"/>
              </w:rPr>
              <w:t>L'organisation des réunions, le quorum de présence et l'adoption de décisions du conseil</w:t>
            </w:r>
          </w:p>
        </w:tc>
      </w:tr>
      <w:tr>
        <w:trPr>
          <w:trHeight w:val="145"/>
        </w:trPr>
        <w:tc>
          <w:tcPr>
            <w:tcW w:w="5520" w:type="dxa"/>
            <w:vAlign w:val="bottom"/>
          </w:tcPr>
          <w:p>
            <w:pPr>
              <w:ind w:left="40"/>
              <w:spacing w:after="0" w:line="145" w:lineRule="exact"/>
              <w:rPr>
                <w:sz w:val="20"/>
                <w:szCs w:val="20"/>
                <w:color w:val="auto"/>
              </w:rPr>
            </w:pPr>
            <w:r>
              <w:rPr>
                <w:rFonts w:ascii="Arial" w:cs="Arial" w:eastAsia="Arial" w:hAnsi="Arial"/>
                <w:sz w:val="13"/>
                <w:szCs w:val="13"/>
                <w:color w:val="auto"/>
              </w:rPr>
              <w:t>Board of Directors is determined by the organizational regulations. No presence quorum is</w:t>
            </w:r>
          </w:p>
        </w:tc>
        <w:tc>
          <w:tcPr>
            <w:tcW w:w="5780" w:type="dxa"/>
            <w:vAlign w:val="bottom"/>
          </w:tcPr>
          <w:p>
            <w:pPr>
              <w:ind w:left="280"/>
              <w:spacing w:after="0" w:line="145" w:lineRule="exact"/>
              <w:rPr>
                <w:sz w:val="20"/>
                <w:szCs w:val="20"/>
                <w:color w:val="auto"/>
              </w:rPr>
            </w:pPr>
            <w:r>
              <w:rPr>
                <w:rFonts w:ascii="Arial" w:cs="Arial" w:eastAsia="Arial" w:hAnsi="Arial"/>
                <w:sz w:val="13"/>
                <w:szCs w:val="13"/>
                <w:color w:val="auto"/>
                <w:w w:val="99"/>
              </w:rPr>
              <w:t>d'administration sont prévus dans le règlement d'organisation. Aucun quorum de présence n'est</w:t>
            </w:r>
          </w:p>
        </w:tc>
      </w:tr>
      <w:tr>
        <w:trPr>
          <w:trHeight w:val="168"/>
        </w:trPr>
        <w:tc>
          <w:tcPr>
            <w:tcW w:w="5520" w:type="dxa"/>
            <w:vAlign w:val="bottom"/>
          </w:tcPr>
          <w:p>
            <w:pPr>
              <w:ind w:left="40"/>
              <w:spacing w:after="0"/>
              <w:rPr>
                <w:sz w:val="20"/>
                <w:szCs w:val="20"/>
                <w:color w:val="auto"/>
              </w:rPr>
            </w:pPr>
            <w:r>
              <w:rPr>
                <w:rFonts w:ascii="Arial" w:cs="Arial" w:eastAsia="Arial" w:hAnsi="Arial"/>
                <w:sz w:val="13"/>
                <w:szCs w:val="13"/>
                <w:color w:val="auto"/>
              </w:rPr>
              <w:t>required for the approval of the capital increase.</w:t>
            </w:r>
          </w:p>
        </w:tc>
        <w:tc>
          <w:tcPr>
            <w:tcW w:w="5780" w:type="dxa"/>
            <w:vAlign w:val="bottom"/>
          </w:tcPr>
          <w:p>
            <w:pPr>
              <w:ind w:left="280"/>
              <w:spacing w:after="0"/>
              <w:rPr>
                <w:sz w:val="20"/>
                <w:szCs w:val="20"/>
                <w:color w:val="auto"/>
              </w:rPr>
            </w:pPr>
            <w:r>
              <w:rPr>
                <w:rFonts w:ascii="Arial" w:cs="Arial" w:eastAsia="Arial" w:hAnsi="Arial"/>
                <w:sz w:val="13"/>
                <w:szCs w:val="13"/>
                <w:color w:val="auto"/>
              </w:rPr>
              <w:t>nécessaire pour l'approbation d'un rapport d'augmentation de capital.</w:t>
            </w:r>
          </w:p>
        </w:tc>
      </w:tr>
      <w:tr>
        <w:trPr>
          <w:trHeight w:val="153"/>
        </w:trPr>
        <w:tc>
          <w:tcPr>
            <w:tcW w:w="5520" w:type="dxa"/>
            <w:vAlign w:val="bottom"/>
            <w:tcBorders>
              <w:bottom w:val="single" w:sz="8" w:color="auto"/>
            </w:tcBorders>
          </w:tcPr>
          <w:p>
            <w:pPr>
              <w:spacing w:after="0"/>
              <w:rPr>
                <w:sz w:val="13"/>
                <w:szCs w:val="13"/>
                <w:color w:val="auto"/>
              </w:rPr>
            </w:pPr>
          </w:p>
        </w:tc>
        <w:tc>
          <w:tcPr>
            <w:tcW w:w="5780" w:type="dxa"/>
            <w:vAlign w:val="bottom"/>
            <w:tcBorders>
              <w:bottom w:val="single" w:sz="8" w:color="auto"/>
            </w:tcBorders>
          </w:tcPr>
          <w:p>
            <w:pPr>
              <w:spacing w:after="0"/>
              <w:rPr>
                <w:sz w:val="13"/>
                <w:szCs w:val="13"/>
                <w:color w:val="auto"/>
              </w:rPr>
            </w:pPr>
          </w:p>
        </w:tc>
      </w:tr>
      <w:tr>
        <w:trPr>
          <w:trHeight w:val="141"/>
        </w:trPr>
        <w:tc>
          <w:tcPr>
            <w:tcW w:w="5520" w:type="dxa"/>
            <w:vAlign w:val="bottom"/>
          </w:tcPr>
          <w:p>
            <w:pPr>
              <w:ind w:left="40"/>
              <w:spacing w:after="0" w:line="141" w:lineRule="exact"/>
              <w:rPr>
                <w:sz w:val="20"/>
                <w:szCs w:val="20"/>
                <w:color w:val="auto"/>
              </w:rPr>
            </w:pPr>
            <w:r>
              <w:rPr>
                <w:rFonts w:ascii="Arial" w:cs="Arial" w:eastAsia="Arial" w:hAnsi="Arial"/>
                <w:sz w:val="13"/>
                <w:szCs w:val="13"/>
                <w:color w:val="auto"/>
                <w:w w:val="99"/>
              </w:rPr>
              <w:t>Resolutions may be passed via telephone or videoconference. Resolutions may also be passed</w:t>
            </w:r>
          </w:p>
        </w:tc>
        <w:tc>
          <w:tcPr>
            <w:tcW w:w="5780" w:type="dxa"/>
            <w:vAlign w:val="bottom"/>
          </w:tcPr>
          <w:p>
            <w:pPr>
              <w:ind w:left="280"/>
              <w:spacing w:after="0" w:line="141" w:lineRule="exact"/>
              <w:rPr>
                <w:sz w:val="20"/>
                <w:szCs w:val="20"/>
                <w:color w:val="auto"/>
              </w:rPr>
            </w:pPr>
            <w:r>
              <w:rPr>
                <w:rFonts w:ascii="Arial" w:cs="Arial" w:eastAsia="Arial" w:hAnsi="Arial"/>
                <w:sz w:val="13"/>
                <w:szCs w:val="13"/>
                <w:color w:val="auto"/>
                <w:w w:val="99"/>
              </w:rPr>
              <w:t>Les décisions peuvent être prises par téléphone ou par vidéoconférence. Les décisions peuvent</w:t>
            </w:r>
          </w:p>
        </w:tc>
      </w:tr>
      <w:tr>
        <w:trPr>
          <w:trHeight w:val="145"/>
        </w:trPr>
        <w:tc>
          <w:tcPr>
            <w:tcW w:w="5520" w:type="dxa"/>
            <w:vAlign w:val="bottom"/>
          </w:tcPr>
          <w:p>
            <w:pPr>
              <w:ind w:left="40"/>
              <w:spacing w:after="0" w:line="145" w:lineRule="exact"/>
              <w:rPr>
                <w:sz w:val="20"/>
                <w:szCs w:val="20"/>
                <w:color w:val="auto"/>
              </w:rPr>
            </w:pPr>
            <w:r>
              <w:rPr>
                <w:rFonts w:ascii="Arial" w:cs="Arial" w:eastAsia="Arial" w:hAnsi="Arial"/>
                <w:sz w:val="13"/>
                <w:szCs w:val="13"/>
                <w:color w:val="auto"/>
              </w:rPr>
              <w:t>by way of circulation, provided that no member requests oral deliberation.</w:t>
            </w:r>
          </w:p>
        </w:tc>
        <w:tc>
          <w:tcPr>
            <w:tcW w:w="5780" w:type="dxa"/>
            <w:vAlign w:val="bottom"/>
          </w:tcPr>
          <w:p>
            <w:pPr>
              <w:ind w:left="280"/>
              <w:spacing w:after="0" w:line="145" w:lineRule="exact"/>
              <w:rPr>
                <w:sz w:val="20"/>
                <w:szCs w:val="20"/>
                <w:color w:val="auto"/>
              </w:rPr>
            </w:pPr>
            <w:r>
              <w:rPr>
                <w:rFonts w:ascii="Arial" w:cs="Arial" w:eastAsia="Arial" w:hAnsi="Arial"/>
                <w:sz w:val="13"/>
                <w:szCs w:val="13"/>
                <w:color w:val="auto"/>
              </w:rPr>
              <w:t>également être prises par voie de circulation, à condition qu'aucun membre ne demande une</w:t>
            </w:r>
          </w:p>
        </w:tc>
      </w:tr>
      <w:tr>
        <w:trPr>
          <w:trHeight w:val="173"/>
        </w:trPr>
        <w:tc>
          <w:tcPr>
            <w:tcW w:w="5520" w:type="dxa"/>
            <w:vAlign w:val="bottom"/>
            <w:tcBorders>
              <w:bottom w:val="single" w:sz="8" w:color="auto"/>
            </w:tcBorders>
          </w:tcPr>
          <w:p>
            <w:pPr>
              <w:spacing w:after="0"/>
              <w:rPr>
                <w:sz w:val="15"/>
                <w:szCs w:val="15"/>
                <w:color w:val="auto"/>
              </w:rPr>
            </w:pPr>
          </w:p>
        </w:tc>
        <w:tc>
          <w:tcPr>
            <w:tcW w:w="5780" w:type="dxa"/>
            <w:vAlign w:val="bottom"/>
            <w:tcBorders>
              <w:bottom w:val="single" w:sz="8" w:color="auto"/>
            </w:tcBorders>
          </w:tcPr>
          <w:p>
            <w:pPr>
              <w:ind w:left="280"/>
              <w:spacing w:after="0"/>
              <w:rPr>
                <w:sz w:val="20"/>
                <w:szCs w:val="20"/>
                <w:color w:val="auto"/>
              </w:rPr>
            </w:pPr>
            <w:r>
              <w:rPr>
                <w:rFonts w:ascii="Arial" w:cs="Arial" w:eastAsia="Arial" w:hAnsi="Arial"/>
                <w:sz w:val="13"/>
                <w:szCs w:val="13"/>
                <w:color w:val="auto"/>
              </w:rPr>
              <w:t>délibération orale.</w:t>
            </w:r>
          </w:p>
        </w:tc>
      </w:tr>
      <w:tr>
        <w:trPr>
          <w:trHeight w:val="145"/>
        </w:trPr>
        <w:tc>
          <w:tcPr>
            <w:tcW w:w="5520" w:type="dxa"/>
            <w:vAlign w:val="bottom"/>
          </w:tcPr>
          <w:p>
            <w:pPr>
              <w:ind w:left="40"/>
              <w:spacing w:after="0" w:line="146" w:lineRule="exact"/>
              <w:rPr>
                <w:sz w:val="20"/>
                <w:szCs w:val="20"/>
                <w:color w:val="auto"/>
              </w:rPr>
            </w:pPr>
            <w:r>
              <w:rPr>
                <w:rFonts w:ascii="Arial" w:cs="Arial" w:eastAsia="Arial" w:hAnsi="Arial"/>
                <w:sz w:val="13"/>
                <w:szCs w:val="13"/>
                <w:color w:val="auto"/>
                <w:w w:val="99"/>
              </w:rPr>
              <w:t>Minutes are kept of the board's discussions and resolutions and signed by the chairman and the</w:t>
            </w:r>
          </w:p>
        </w:tc>
        <w:tc>
          <w:tcPr>
            <w:tcW w:w="5780" w:type="dxa"/>
            <w:vAlign w:val="bottom"/>
          </w:tcPr>
          <w:p>
            <w:pPr>
              <w:ind w:left="280"/>
              <w:spacing w:after="0" w:line="146" w:lineRule="exact"/>
              <w:rPr>
                <w:sz w:val="20"/>
                <w:szCs w:val="20"/>
                <w:color w:val="auto"/>
              </w:rPr>
            </w:pPr>
            <w:r>
              <w:rPr>
                <w:rFonts w:ascii="Arial" w:cs="Arial" w:eastAsia="Arial" w:hAnsi="Arial"/>
                <w:sz w:val="13"/>
                <w:szCs w:val="13"/>
                <w:color w:val="auto"/>
              </w:rPr>
              <w:t>Les délibérations et les décisions du conseil d'administration sont consignées dans un procès-</w:t>
            </w:r>
          </w:p>
        </w:tc>
      </w:tr>
      <w:tr>
        <w:trPr>
          <w:trHeight w:val="173"/>
        </w:trPr>
        <w:tc>
          <w:tcPr>
            <w:tcW w:w="5520" w:type="dxa"/>
            <w:vAlign w:val="bottom"/>
            <w:tcBorders>
              <w:bottom w:val="single" w:sz="8" w:color="auto"/>
            </w:tcBorders>
          </w:tcPr>
          <w:p>
            <w:pPr>
              <w:ind w:left="40"/>
              <w:spacing w:after="0"/>
              <w:rPr>
                <w:sz w:val="20"/>
                <w:szCs w:val="20"/>
                <w:color w:val="auto"/>
              </w:rPr>
            </w:pPr>
            <w:r>
              <w:rPr>
                <w:rFonts w:ascii="Arial" w:cs="Arial" w:eastAsia="Arial" w:hAnsi="Arial"/>
                <w:sz w:val="13"/>
                <w:szCs w:val="13"/>
                <w:color w:val="auto"/>
              </w:rPr>
              <w:t>minute-taker.</w:t>
            </w:r>
          </w:p>
        </w:tc>
        <w:tc>
          <w:tcPr>
            <w:tcW w:w="5780" w:type="dxa"/>
            <w:vAlign w:val="bottom"/>
            <w:tcBorders>
              <w:bottom w:val="single" w:sz="8" w:color="auto"/>
            </w:tcBorders>
          </w:tcPr>
          <w:p>
            <w:pPr>
              <w:ind w:left="280"/>
              <w:spacing w:after="0"/>
              <w:rPr>
                <w:sz w:val="20"/>
                <w:szCs w:val="20"/>
                <w:color w:val="auto"/>
              </w:rPr>
            </w:pPr>
            <w:r>
              <w:rPr>
                <w:rFonts w:ascii="Arial" w:cs="Arial" w:eastAsia="Arial" w:hAnsi="Arial"/>
                <w:sz w:val="13"/>
                <w:szCs w:val="13"/>
                <w:color w:val="auto"/>
              </w:rPr>
              <w:t>verbal signé par le président et le rédacteur du procès-verbal.</w:t>
            </w:r>
          </w:p>
        </w:tc>
      </w:tr>
      <w:tr>
        <w:trPr>
          <w:trHeight w:val="177"/>
        </w:trPr>
        <w:tc>
          <w:tcPr>
            <w:tcW w:w="5520" w:type="dxa"/>
            <w:vAlign w:val="bottom"/>
          </w:tcPr>
          <w:p>
            <w:pPr>
              <w:ind w:left="40"/>
              <w:spacing w:after="0"/>
              <w:rPr>
                <w:sz w:val="20"/>
                <w:szCs w:val="20"/>
                <w:color w:val="auto"/>
              </w:rPr>
            </w:pPr>
            <w:r>
              <w:rPr>
                <w:rFonts w:ascii="Arial" w:cs="Arial" w:eastAsia="Arial" w:hAnsi="Arial"/>
                <w:sz w:val="13"/>
                <w:szCs w:val="13"/>
                <w:b w:val="1"/>
                <w:bCs w:val="1"/>
                <w:color w:val="auto"/>
              </w:rPr>
              <w:t>Art. 27  Right to information and inspection</w:t>
            </w:r>
          </w:p>
        </w:tc>
        <w:tc>
          <w:tcPr>
            <w:tcW w:w="5780" w:type="dxa"/>
            <w:vAlign w:val="bottom"/>
          </w:tcPr>
          <w:p>
            <w:pPr>
              <w:ind w:left="280"/>
              <w:spacing w:after="0"/>
              <w:rPr>
                <w:sz w:val="20"/>
                <w:szCs w:val="20"/>
                <w:color w:val="auto"/>
              </w:rPr>
            </w:pPr>
            <w:r>
              <w:rPr>
                <w:rFonts w:ascii="Arial" w:cs="Arial" w:eastAsia="Arial" w:hAnsi="Arial"/>
                <w:sz w:val="13"/>
                <w:szCs w:val="13"/>
                <w:b w:val="1"/>
                <w:bCs w:val="1"/>
                <w:color w:val="auto"/>
              </w:rPr>
              <w:t>Art. 27  Droit aux renseignements et à la consultation</w:t>
            </w:r>
          </w:p>
        </w:tc>
      </w:tr>
      <w:tr>
        <w:trPr>
          <w:trHeight w:val="258"/>
        </w:trPr>
        <w:tc>
          <w:tcPr>
            <w:tcW w:w="5520" w:type="dxa"/>
            <w:vAlign w:val="bottom"/>
          </w:tcPr>
          <w:p>
            <w:pPr>
              <w:ind w:left="40"/>
              <w:spacing w:after="0"/>
              <w:rPr>
                <w:sz w:val="20"/>
                <w:szCs w:val="20"/>
                <w:color w:val="auto"/>
              </w:rPr>
            </w:pPr>
            <w:r>
              <w:rPr>
                <w:rFonts w:ascii="Arial" w:cs="Arial" w:eastAsia="Arial" w:hAnsi="Arial"/>
                <w:sz w:val="13"/>
                <w:szCs w:val="13"/>
                <w:color w:val="auto"/>
              </w:rPr>
              <w:t>Any member of the board of directors may request information on any company business.</w:t>
            </w:r>
          </w:p>
        </w:tc>
        <w:tc>
          <w:tcPr>
            <w:tcW w:w="5780" w:type="dxa"/>
            <w:vAlign w:val="bottom"/>
          </w:tcPr>
          <w:p>
            <w:pPr>
              <w:ind w:left="280"/>
              <w:spacing w:after="0"/>
              <w:rPr>
                <w:sz w:val="20"/>
                <w:szCs w:val="20"/>
                <w:color w:val="auto"/>
              </w:rPr>
            </w:pPr>
            <w:r>
              <w:rPr>
                <w:rFonts w:ascii="Arial" w:cs="Arial" w:eastAsia="Arial" w:hAnsi="Arial"/>
                <w:sz w:val="13"/>
                <w:szCs w:val="13"/>
                <w:color w:val="auto"/>
              </w:rPr>
              <w:t>Chaque membre du conseil d'administration a le droit d'obtenir des renseignements sur toutes</w:t>
            </w:r>
          </w:p>
        </w:tc>
      </w:tr>
      <w:tr>
        <w:trPr>
          <w:trHeight w:val="168"/>
        </w:trPr>
        <w:tc>
          <w:tcPr>
            <w:tcW w:w="5520" w:type="dxa"/>
            <w:vAlign w:val="bottom"/>
          </w:tcPr>
          <w:p>
            <w:pPr>
              <w:spacing w:after="0"/>
              <w:rPr>
                <w:sz w:val="14"/>
                <w:szCs w:val="14"/>
                <w:color w:val="auto"/>
              </w:rPr>
            </w:pPr>
          </w:p>
        </w:tc>
        <w:tc>
          <w:tcPr>
            <w:tcW w:w="5780" w:type="dxa"/>
            <w:vAlign w:val="bottom"/>
          </w:tcPr>
          <w:p>
            <w:pPr>
              <w:ind w:left="280"/>
              <w:spacing w:after="0"/>
              <w:rPr>
                <w:sz w:val="20"/>
                <w:szCs w:val="20"/>
                <w:color w:val="auto"/>
              </w:rPr>
            </w:pPr>
            <w:r>
              <w:rPr>
                <w:rFonts w:ascii="Arial" w:cs="Arial" w:eastAsia="Arial" w:hAnsi="Arial"/>
                <w:sz w:val="13"/>
                <w:szCs w:val="13"/>
                <w:color w:val="auto"/>
              </w:rPr>
              <w:t>les affaires de la société.</w:t>
            </w:r>
          </w:p>
        </w:tc>
      </w:tr>
      <w:tr>
        <w:trPr>
          <w:trHeight w:val="153"/>
        </w:trPr>
        <w:tc>
          <w:tcPr>
            <w:tcW w:w="5520" w:type="dxa"/>
            <w:vAlign w:val="bottom"/>
            <w:tcBorders>
              <w:bottom w:val="single" w:sz="8" w:color="auto"/>
            </w:tcBorders>
          </w:tcPr>
          <w:p>
            <w:pPr>
              <w:spacing w:after="0"/>
              <w:rPr>
                <w:sz w:val="13"/>
                <w:szCs w:val="13"/>
                <w:color w:val="auto"/>
              </w:rPr>
            </w:pPr>
          </w:p>
        </w:tc>
        <w:tc>
          <w:tcPr>
            <w:tcW w:w="5780" w:type="dxa"/>
            <w:vAlign w:val="bottom"/>
            <w:tcBorders>
              <w:bottom w:val="single" w:sz="8" w:color="auto"/>
            </w:tcBorders>
          </w:tcPr>
          <w:p>
            <w:pPr>
              <w:spacing w:after="0"/>
              <w:rPr>
                <w:sz w:val="13"/>
                <w:szCs w:val="13"/>
                <w:color w:val="auto"/>
              </w:rPr>
            </w:pPr>
          </w:p>
        </w:tc>
      </w:tr>
      <w:tr>
        <w:trPr>
          <w:trHeight w:val="141"/>
        </w:trPr>
        <w:tc>
          <w:tcPr>
            <w:tcW w:w="5520" w:type="dxa"/>
            <w:vAlign w:val="bottom"/>
          </w:tcPr>
          <w:p>
            <w:pPr>
              <w:ind w:left="40"/>
              <w:spacing w:after="0" w:line="141" w:lineRule="exact"/>
              <w:rPr>
                <w:sz w:val="20"/>
                <w:szCs w:val="20"/>
                <w:color w:val="auto"/>
              </w:rPr>
            </w:pPr>
            <w:r>
              <w:rPr>
                <w:rFonts w:ascii="Arial" w:cs="Arial" w:eastAsia="Arial" w:hAnsi="Arial"/>
                <w:sz w:val="13"/>
                <w:szCs w:val="13"/>
                <w:color w:val="auto"/>
              </w:rPr>
              <w:t>Outside meetings, any member may request information from the persons entrusted with</w:t>
            </w:r>
          </w:p>
        </w:tc>
        <w:tc>
          <w:tcPr>
            <w:tcW w:w="5780" w:type="dxa"/>
            <w:vAlign w:val="bottom"/>
          </w:tcPr>
          <w:p>
            <w:pPr>
              <w:ind w:left="280"/>
              <w:spacing w:after="0" w:line="141" w:lineRule="exact"/>
              <w:rPr>
                <w:sz w:val="20"/>
                <w:szCs w:val="20"/>
                <w:color w:val="auto"/>
              </w:rPr>
            </w:pPr>
            <w:r>
              <w:rPr>
                <w:rFonts w:ascii="Arial" w:cs="Arial" w:eastAsia="Arial" w:hAnsi="Arial"/>
                <w:sz w:val="13"/>
                <w:szCs w:val="13"/>
                <w:color w:val="auto"/>
                <w:w w:val="99"/>
              </w:rPr>
              <w:t>En dehors des séances, chaque membre du conseil d'administration peut exiger des personnes</w:t>
            </w:r>
          </w:p>
        </w:tc>
      </w:tr>
      <w:tr>
        <w:trPr>
          <w:trHeight w:val="145"/>
        </w:trPr>
        <w:tc>
          <w:tcPr>
            <w:tcW w:w="5520" w:type="dxa"/>
            <w:vAlign w:val="bottom"/>
          </w:tcPr>
          <w:p>
            <w:pPr>
              <w:ind w:left="40"/>
              <w:spacing w:after="0" w:line="145" w:lineRule="exact"/>
              <w:rPr>
                <w:sz w:val="20"/>
                <w:szCs w:val="20"/>
                <w:color w:val="auto"/>
              </w:rPr>
            </w:pPr>
            <w:r>
              <w:rPr>
                <w:rFonts w:ascii="Arial" w:cs="Arial" w:eastAsia="Arial" w:hAnsi="Arial"/>
                <w:sz w:val="13"/>
                <w:szCs w:val="13"/>
                <w:color w:val="auto"/>
              </w:rPr>
              <w:t>managing the company's business concerning the company's business performance and, with</w:t>
            </w:r>
          </w:p>
        </w:tc>
        <w:tc>
          <w:tcPr>
            <w:tcW w:w="5780" w:type="dxa"/>
            <w:vAlign w:val="bottom"/>
          </w:tcPr>
          <w:p>
            <w:pPr>
              <w:ind w:left="280"/>
              <w:spacing w:after="0" w:line="145" w:lineRule="exact"/>
              <w:rPr>
                <w:sz w:val="20"/>
                <w:szCs w:val="20"/>
                <w:color w:val="auto"/>
              </w:rPr>
            </w:pPr>
            <w:r>
              <w:rPr>
                <w:rFonts w:ascii="Arial" w:cs="Arial" w:eastAsia="Arial" w:hAnsi="Arial"/>
                <w:sz w:val="13"/>
                <w:szCs w:val="13"/>
                <w:color w:val="auto"/>
              </w:rPr>
              <w:t>chargées de la gestion des renseignements sur la marche de l'entreprise et, avec l'autorisation</w:t>
            </w:r>
          </w:p>
        </w:tc>
      </w:tr>
      <w:tr>
        <w:trPr>
          <w:trHeight w:val="173"/>
        </w:trPr>
        <w:tc>
          <w:tcPr>
            <w:tcW w:w="5520" w:type="dxa"/>
            <w:vAlign w:val="bottom"/>
            <w:tcBorders>
              <w:bottom w:val="single" w:sz="8" w:color="auto"/>
            </w:tcBorders>
          </w:tcPr>
          <w:p>
            <w:pPr>
              <w:ind w:left="40"/>
              <w:spacing w:after="0"/>
              <w:rPr>
                <w:sz w:val="20"/>
                <w:szCs w:val="20"/>
                <w:color w:val="auto"/>
              </w:rPr>
            </w:pPr>
            <w:r>
              <w:rPr>
                <w:rFonts w:ascii="Arial" w:cs="Arial" w:eastAsia="Arial" w:hAnsi="Arial"/>
                <w:sz w:val="13"/>
                <w:szCs w:val="13"/>
                <w:color w:val="auto"/>
              </w:rPr>
              <w:t>the chairman's authorisation, specific transactions.</w:t>
            </w:r>
          </w:p>
        </w:tc>
        <w:tc>
          <w:tcPr>
            <w:tcW w:w="5780" w:type="dxa"/>
            <w:vAlign w:val="bottom"/>
            <w:tcBorders>
              <w:bottom w:val="single" w:sz="8" w:color="auto"/>
            </w:tcBorders>
          </w:tcPr>
          <w:p>
            <w:pPr>
              <w:ind w:left="280"/>
              <w:spacing w:after="0"/>
              <w:rPr>
                <w:sz w:val="20"/>
                <w:szCs w:val="20"/>
                <w:color w:val="auto"/>
              </w:rPr>
            </w:pPr>
            <w:r>
              <w:rPr>
                <w:rFonts w:ascii="Arial" w:cs="Arial" w:eastAsia="Arial" w:hAnsi="Arial"/>
                <w:sz w:val="13"/>
                <w:szCs w:val="13"/>
                <w:color w:val="auto"/>
              </w:rPr>
              <w:t>du président, sur des affaires déterminées.</w:t>
            </w:r>
          </w:p>
        </w:tc>
      </w:tr>
      <w:tr>
        <w:trPr>
          <w:trHeight w:val="145"/>
        </w:trPr>
        <w:tc>
          <w:tcPr>
            <w:tcW w:w="5520" w:type="dxa"/>
            <w:vAlign w:val="bottom"/>
          </w:tcPr>
          <w:p>
            <w:pPr>
              <w:ind w:left="40"/>
              <w:spacing w:after="0" w:line="146" w:lineRule="exact"/>
              <w:rPr>
                <w:sz w:val="20"/>
                <w:szCs w:val="20"/>
                <w:color w:val="auto"/>
              </w:rPr>
            </w:pPr>
            <w:r>
              <w:rPr>
                <w:rFonts w:ascii="Arial" w:cs="Arial" w:eastAsia="Arial" w:hAnsi="Arial"/>
                <w:sz w:val="13"/>
                <w:szCs w:val="13"/>
                <w:color w:val="auto"/>
              </w:rPr>
              <w:t>Where required for the performance of his duties, any member may request the chairman to</w:t>
            </w:r>
          </w:p>
        </w:tc>
        <w:tc>
          <w:tcPr>
            <w:tcW w:w="5780" w:type="dxa"/>
            <w:vAlign w:val="bottom"/>
          </w:tcPr>
          <w:p>
            <w:pPr>
              <w:ind w:left="280"/>
              <w:spacing w:after="0" w:line="146" w:lineRule="exact"/>
              <w:rPr>
                <w:sz w:val="20"/>
                <w:szCs w:val="20"/>
                <w:color w:val="auto"/>
              </w:rPr>
            </w:pPr>
            <w:r>
              <w:rPr>
                <w:rFonts w:ascii="Arial" w:cs="Arial" w:eastAsia="Arial" w:hAnsi="Arial"/>
                <w:sz w:val="13"/>
                <w:szCs w:val="13"/>
                <w:color w:val="auto"/>
              </w:rPr>
              <w:t>Dans la mesure où cela est nécessaire à l'accomplissement de ses tâches, chaque membre du</w:t>
            </w:r>
          </w:p>
        </w:tc>
      </w:tr>
      <w:tr>
        <w:trPr>
          <w:trHeight w:val="173"/>
        </w:trPr>
        <w:tc>
          <w:tcPr>
            <w:tcW w:w="5520" w:type="dxa"/>
            <w:vAlign w:val="bottom"/>
            <w:tcBorders>
              <w:bottom w:val="single" w:sz="8" w:color="auto"/>
            </w:tcBorders>
          </w:tcPr>
          <w:p>
            <w:pPr>
              <w:ind w:left="40"/>
              <w:spacing w:after="0"/>
              <w:rPr>
                <w:sz w:val="20"/>
                <w:szCs w:val="20"/>
                <w:color w:val="auto"/>
              </w:rPr>
            </w:pPr>
            <w:r>
              <w:rPr>
                <w:rFonts w:ascii="Arial" w:cs="Arial" w:eastAsia="Arial" w:hAnsi="Arial"/>
                <w:sz w:val="13"/>
                <w:szCs w:val="13"/>
                <w:color w:val="auto"/>
              </w:rPr>
              <w:t>have books of account and documents made available to him for inspection.</w:t>
            </w:r>
          </w:p>
        </w:tc>
        <w:tc>
          <w:tcPr>
            <w:tcW w:w="5780" w:type="dxa"/>
            <w:vAlign w:val="bottom"/>
            <w:tcBorders>
              <w:bottom w:val="single" w:sz="8" w:color="auto"/>
            </w:tcBorders>
          </w:tcPr>
          <w:p>
            <w:pPr>
              <w:ind w:left="280"/>
              <w:spacing w:after="0"/>
              <w:rPr>
                <w:sz w:val="20"/>
                <w:szCs w:val="20"/>
                <w:color w:val="auto"/>
              </w:rPr>
            </w:pPr>
            <w:r>
              <w:rPr>
                <w:rFonts w:ascii="Arial" w:cs="Arial" w:eastAsia="Arial" w:hAnsi="Arial"/>
                <w:sz w:val="13"/>
                <w:szCs w:val="13"/>
                <w:color w:val="auto"/>
              </w:rPr>
              <w:t>conseil d'administration peut demander au président la production des livres ou des dossiers.</w:t>
            </w:r>
          </w:p>
        </w:tc>
      </w:tr>
      <w:tr>
        <w:trPr>
          <w:trHeight w:val="245"/>
        </w:trPr>
        <w:tc>
          <w:tcPr>
            <w:tcW w:w="5520" w:type="dxa"/>
            <w:vAlign w:val="bottom"/>
            <w:tcBorders>
              <w:bottom w:val="single" w:sz="8" w:color="auto"/>
            </w:tcBorders>
          </w:tcPr>
          <w:p>
            <w:pPr>
              <w:spacing w:after="0"/>
              <w:rPr>
                <w:sz w:val="21"/>
                <w:szCs w:val="21"/>
                <w:color w:val="auto"/>
              </w:rPr>
            </w:pPr>
          </w:p>
        </w:tc>
        <w:tc>
          <w:tcPr>
            <w:tcW w:w="57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5"/>
                <w:szCs w:val="15"/>
                <w:color w:val="auto"/>
              </w:rPr>
              <w:t>19</w:t>
            </w:r>
          </w:p>
        </w:tc>
      </w:tr>
    </w:tbl>
    <w:p>
      <w:pPr>
        <w:sectPr>
          <w:pgSz w:w="11900" w:h="16838" w:orient="portrait"/>
          <w:cols w:equalWidth="0" w:num="1">
            <w:col w:w="11300"/>
          </w:cols>
          <w:pgMar w:left="300" w:top="484" w:right="299" w:bottom="1440" w:gutter="0" w:footer="0" w:header="0"/>
        </w:sectPr>
      </w:pPr>
    </w:p>
    <w:bookmarkStart w:id="77" w:name="page78"/>
    <w:bookmarkEnd w:id="77"/>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188595</wp:posOffset>
            </wp:positionH>
            <wp:positionV relativeFrom="page">
              <wp:posOffset>297180</wp:posOffset>
            </wp:positionV>
            <wp:extent cx="7171690" cy="282575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71690" cy="282575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49"/>
        </w:trPr>
        <w:tc>
          <w:tcPr>
            <w:tcW w:w="5640" w:type="dxa"/>
            <w:vAlign w:val="bottom"/>
            <w:gridSpan w:val="2"/>
          </w:tcPr>
          <w:p>
            <w:pPr>
              <w:ind w:left="40"/>
              <w:spacing w:after="0"/>
              <w:rPr>
                <w:sz w:val="20"/>
                <w:szCs w:val="20"/>
                <w:color w:val="auto"/>
              </w:rPr>
            </w:pPr>
            <w:r>
              <w:rPr>
                <w:rFonts w:ascii="Arial" w:cs="Arial" w:eastAsia="Arial" w:hAnsi="Arial"/>
                <w:sz w:val="13"/>
                <w:szCs w:val="13"/>
                <w:color w:val="auto"/>
              </w:rPr>
              <w:t>If the chairman refuses a request for information, a request to be heard or an application to</w:t>
            </w:r>
          </w:p>
        </w:tc>
        <w:tc>
          <w:tcPr>
            <w:tcW w:w="5660" w:type="dxa"/>
            <w:vAlign w:val="bottom"/>
            <w:gridSpan w:val="2"/>
          </w:tcPr>
          <w:p>
            <w:pPr>
              <w:ind w:left="160"/>
              <w:spacing w:after="0"/>
              <w:rPr>
                <w:sz w:val="20"/>
                <w:szCs w:val="20"/>
                <w:color w:val="auto"/>
              </w:rPr>
            </w:pPr>
            <w:r>
              <w:rPr>
                <w:rFonts w:ascii="Arial" w:cs="Arial" w:eastAsia="Arial" w:hAnsi="Arial"/>
                <w:sz w:val="13"/>
                <w:szCs w:val="13"/>
                <w:color w:val="auto"/>
              </w:rPr>
              <w:t>Si le président rejette une demande de renseignement, d'audition ou de consultation, le conseil</w:t>
            </w:r>
          </w:p>
        </w:tc>
        <w:tc>
          <w:tcPr>
            <w:tcW w:w="0" w:type="dxa"/>
            <w:vAlign w:val="bottom"/>
          </w:tcPr>
          <w:p>
            <w:pPr>
              <w:spacing w:after="0"/>
              <w:rPr>
                <w:sz w:val="1"/>
                <w:szCs w:val="1"/>
                <w:color w:val="auto"/>
              </w:rPr>
            </w:pPr>
          </w:p>
        </w:tc>
      </w:tr>
      <w:tr>
        <w:trPr>
          <w:trHeight w:val="173"/>
        </w:trPr>
        <w:tc>
          <w:tcPr>
            <w:tcW w:w="5640" w:type="dxa"/>
            <w:vAlign w:val="bottom"/>
            <w:tcBorders>
              <w:bottom w:val="single" w:sz="8" w:color="auto"/>
            </w:tcBorders>
            <w:gridSpan w:val="2"/>
          </w:tcPr>
          <w:p>
            <w:pPr>
              <w:ind w:left="40"/>
              <w:spacing w:after="0"/>
              <w:rPr>
                <w:sz w:val="20"/>
                <w:szCs w:val="20"/>
                <w:color w:val="auto"/>
              </w:rPr>
            </w:pPr>
            <w:r>
              <w:rPr>
                <w:rFonts w:ascii="Arial" w:cs="Arial" w:eastAsia="Arial" w:hAnsi="Arial"/>
                <w:sz w:val="13"/>
                <w:szCs w:val="13"/>
                <w:color w:val="auto"/>
              </w:rPr>
              <w:t>inspect documents, the board of directors rules on the matter.</w:t>
            </w:r>
          </w:p>
        </w:tc>
        <w:tc>
          <w:tcPr>
            <w:tcW w:w="5660" w:type="dxa"/>
            <w:vAlign w:val="bottom"/>
            <w:tcBorders>
              <w:bottom w:val="single" w:sz="8" w:color="auto"/>
            </w:tcBorders>
            <w:gridSpan w:val="2"/>
          </w:tcPr>
          <w:p>
            <w:pPr>
              <w:ind w:left="160"/>
              <w:spacing w:after="0"/>
              <w:rPr>
                <w:sz w:val="20"/>
                <w:szCs w:val="20"/>
                <w:color w:val="auto"/>
              </w:rPr>
            </w:pPr>
            <w:r>
              <w:rPr>
                <w:rFonts w:ascii="Arial" w:cs="Arial" w:eastAsia="Arial" w:hAnsi="Arial"/>
                <w:sz w:val="13"/>
                <w:szCs w:val="13"/>
                <w:color w:val="auto"/>
              </w:rPr>
              <w:t>d'administration tranche.</w:t>
            </w:r>
          </w:p>
        </w:tc>
        <w:tc>
          <w:tcPr>
            <w:tcW w:w="0" w:type="dxa"/>
            <w:vAlign w:val="bottom"/>
          </w:tcPr>
          <w:p>
            <w:pPr>
              <w:spacing w:after="0"/>
              <w:rPr>
                <w:sz w:val="1"/>
                <w:szCs w:val="1"/>
                <w:color w:val="auto"/>
              </w:rPr>
            </w:pPr>
          </w:p>
        </w:tc>
      </w:tr>
      <w:tr>
        <w:trPr>
          <w:trHeight w:val="177"/>
        </w:trPr>
        <w:tc>
          <w:tcPr>
            <w:tcW w:w="5640" w:type="dxa"/>
            <w:vAlign w:val="bottom"/>
            <w:gridSpan w:val="2"/>
          </w:tcPr>
          <w:p>
            <w:pPr>
              <w:ind w:left="40"/>
              <w:spacing w:after="0"/>
              <w:rPr>
                <w:sz w:val="20"/>
                <w:szCs w:val="20"/>
                <w:color w:val="auto"/>
              </w:rPr>
            </w:pPr>
            <w:r>
              <w:rPr>
                <w:rFonts w:ascii="Arial" w:cs="Arial" w:eastAsia="Arial" w:hAnsi="Arial"/>
                <w:sz w:val="13"/>
                <w:szCs w:val="13"/>
                <w:b w:val="1"/>
                <w:bCs w:val="1"/>
                <w:color w:val="auto"/>
              </w:rPr>
              <w:t>Art. 28  Compensation Committee</w:t>
            </w:r>
          </w:p>
        </w:tc>
        <w:tc>
          <w:tcPr>
            <w:tcW w:w="5660" w:type="dxa"/>
            <w:vAlign w:val="bottom"/>
            <w:gridSpan w:val="2"/>
          </w:tcPr>
          <w:p>
            <w:pPr>
              <w:ind w:left="160"/>
              <w:spacing w:after="0"/>
              <w:rPr>
                <w:sz w:val="20"/>
                <w:szCs w:val="20"/>
                <w:color w:val="auto"/>
              </w:rPr>
            </w:pPr>
            <w:r>
              <w:rPr>
                <w:rFonts w:ascii="Arial" w:cs="Arial" w:eastAsia="Arial" w:hAnsi="Arial"/>
                <w:sz w:val="13"/>
                <w:szCs w:val="13"/>
                <w:b w:val="1"/>
                <w:bCs w:val="1"/>
                <w:color w:val="auto"/>
              </w:rPr>
              <w:t>Art. 28  Comité de rémunération</w:t>
            </w:r>
          </w:p>
        </w:tc>
        <w:tc>
          <w:tcPr>
            <w:tcW w:w="0" w:type="dxa"/>
            <w:vAlign w:val="bottom"/>
          </w:tcPr>
          <w:p>
            <w:pPr>
              <w:spacing w:after="0"/>
              <w:rPr>
                <w:sz w:val="1"/>
                <w:szCs w:val="1"/>
                <w:color w:val="auto"/>
              </w:rPr>
            </w:pPr>
          </w:p>
        </w:tc>
      </w:tr>
      <w:tr>
        <w:trPr>
          <w:trHeight w:val="258"/>
        </w:trPr>
        <w:tc>
          <w:tcPr>
            <w:tcW w:w="5640" w:type="dxa"/>
            <w:vAlign w:val="bottom"/>
            <w:gridSpan w:val="2"/>
          </w:tcPr>
          <w:p>
            <w:pPr>
              <w:ind w:left="40"/>
              <w:spacing w:after="0"/>
              <w:rPr>
                <w:sz w:val="20"/>
                <w:szCs w:val="20"/>
                <w:color w:val="auto"/>
              </w:rPr>
            </w:pPr>
            <w:r>
              <w:rPr>
                <w:rFonts w:ascii="Arial" w:cs="Arial" w:eastAsia="Arial" w:hAnsi="Arial"/>
                <w:sz w:val="13"/>
                <w:szCs w:val="13"/>
                <w:color w:val="auto"/>
              </w:rPr>
              <w:t>The Compensation Committee shall comprise at least 2 members. The members of the</w:t>
            </w:r>
          </w:p>
        </w:tc>
        <w:tc>
          <w:tcPr>
            <w:tcW w:w="5660" w:type="dxa"/>
            <w:vAlign w:val="bottom"/>
            <w:gridSpan w:val="2"/>
          </w:tcPr>
          <w:p>
            <w:pPr>
              <w:ind w:left="160"/>
              <w:spacing w:after="0"/>
              <w:rPr>
                <w:sz w:val="20"/>
                <w:szCs w:val="20"/>
                <w:color w:val="auto"/>
              </w:rPr>
            </w:pPr>
            <w:r>
              <w:rPr>
                <w:rFonts w:ascii="Arial" w:cs="Arial" w:eastAsia="Arial" w:hAnsi="Arial"/>
                <w:sz w:val="13"/>
                <w:szCs w:val="13"/>
                <w:color w:val="auto"/>
              </w:rPr>
              <w:t>Le comité de rémunération se compose d'au moins 2 membres. Les membres du comité de</w:t>
            </w:r>
          </w:p>
        </w:tc>
        <w:tc>
          <w:tcPr>
            <w:tcW w:w="0" w:type="dxa"/>
            <w:vAlign w:val="bottom"/>
          </w:tcPr>
          <w:p>
            <w:pPr>
              <w:spacing w:after="0"/>
              <w:rPr>
                <w:sz w:val="1"/>
                <w:szCs w:val="1"/>
                <w:color w:val="auto"/>
              </w:rPr>
            </w:pPr>
          </w:p>
        </w:tc>
      </w:tr>
      <w:tr>
        <w:trPr>
          <w:trHeight w:val="145"/>
        </w:trPr>
        <w:tc>
          <w:tcPr>
            <w:tcW w:w="5640" w:type="dxa"/>
            <w:vAlign w:val="bottom"/>
            <w:gridSpan w:val="2"/>
          </w:tcPr>
          <w:p>
            <w:pPr>
              <w:ind w:left="40"/>
              <w:spacing w:after="0" w:line="145" w:lineRule="exact"/>
              <w:rPr>
                <w:sz w:val="20"/>
                <w:szCs w:val="20"/>
                <w:color w:val="auto"/>
              </w:rPr>
            </w:pPr>
            <w:r>
              <w:rPr>
                <w:rFonts w:ascii="Arial" w:cs="Arial" w:eastAsia="Arial" w:hAnsi="Arial"/>
                <w:sz w:val="13"/>
                <w:szCs w:val="13"/>
                <w:color w:val="auto"/>
              </w:rPr>
              <w:t>Compensation Committee shall be individually elected by the Ordinary General Meeting from</w:t>
            </w:r>
          </w:p>
        </w:tc>
        <w:tc>
          <w:tcPr>
            <w:tcW w:w="5660" w:type="dxa"/>
            <w:vAlign w:val="bottom"/>
            <w:gridSpan w:val="2"/>
          </w:tcPr>
          <w:p>
            <w:pPr>
              <w:ind w:left="160"/>
              <w:spacing w:after="0" w:line="145" w:lineRule="exact"/>
              <w:rPr>
                <w:sz w:val="20"/>
                <w:szCs w:val="20"/>
                <w:color w:val="auto"/>
              </w:rPr>
            </w:pPr>
            <w:r>
              <w:rPr>
                <w:rFonts w:ascii="Arial" w:cs="Arial" w:eastAsia="Arial" w:hAnsi="Arial"/>
                <w:sz w:val="13"/>
                <w:szCs w:val="13"/>
                <w:color w:val="auto"/>
              </w:rPr>
              <w:t>rémunération sont élus par l'assemblée générale ordinaire parmi les membres du conseil</w:t>
            </w:r>
          </w:p>
        </w:tc>
        <w:tc>
          <w:tcPr>
            <w:tcW w:w="0" w:type="dxa"/>
            <w:vAlign w:val="bottom"/>
          </w:tcPr>
          <w:p>
            <w:pPr>
              <w:spacing w:after="0"/>
              <w:rPr>
                <w:sz w:val="1"/>
                <w:szCs w:val="1"/>
                <w:color w:val="auto"/>
              </w:rPr>
            </w:pPr>
          </w:p>
        </w:tc>
      </w:tr>
      <w:tr>
        <w:trPr>
          <w:trHeight w:val="145"/>
        </w:trPr>
        <w:tc>
          <w:tcPr>
            <w:tcW w:w="5640" w:type="dxa"/>
            <w:vAlign w:val="bottom"/>
            <w:gridSpan w:val="2"/>
          </w:tcPr>
          <w:p>
            <w:pPr>
              <w:ind w:left="40"/>
              <w:spacing w:after="0" w:line="145" w:lineRule="exact"/>
              <w:rPr>
                <w:sz w:val="20"/>
                <w:szCs w:val="20"/>
                <w:color w:val="auto"/>
              </w:rPr>
            </w:pPr>
            <w:r>
              <w:rPr>
                <w:rFonts w:ascii="Arial" w:cs="Arial" w:eastAsia="Arial" w:hAnsi="Arial"/>
                <w:sz w:val="13"/>
                <w:szCs w:val="13"/>
                <w:color w:val="auto"/>
              </w:rPr>
              <w:t>among the members of the Board of Directors for a term of one year until the next Ordinary</w:t>
            </w:r>
          </w:p>
        </w:tc>
        <w:tc>
          <w:tcPr>
            <w:tcW w:w="5660" w:type="dxa"/>
            <w:vAlign w:val="bottom"/>
            <w:gridSpan w:val="2"/>
          </w:tcPr>
          <w:p>
            <w:pPr>
              <w:ind w:left="160"/>
              <w:spacing w:after="0" w:line="145" w:lineRule="exact"/>
              <w:rPr>
                <w:sz w:val="20"/>
                <w:szCs w:val="20"/>
                <w:color w:val="auto"/>
              </w:rPr>
            </w:pPr>
            <w:r>
              <w:rPr>
                <w:rFonts w:ascii="Arial" w:cs="Arial" w:eastAsia="Arial" w:hAnsi="Arial"/>
                <w:sz w:val="13"/>
                <w:szCs w:val="13"/>
                <w:color w:val="auto"/>
              </w:rPr>
              <w:t>d'administration pour un mandat d'un an jusqu'à la prochaine assemblée générale ordinaire.</w:t>
            </w:r>
          </w:p>
        </w:tc>
        <w:tc>
          <w:tcPr>
            <w:tcW w:w="0" w:type="dxa"/>
            <w:vAlign w:val="bottom"/>
          </w:tcPr>
          <w:p>
            <w:pPr>
              <w:spacing w:after="0"/>
              <w:rPr>
                <w:sz w:val="1"/>
                <w:szCs w:val="1"/>
                <w:color w:val="auto"/>
              </w:rPr>
            </w:pPr>
          </w:p>
        </w:tc>
      </w:tr>
      <w:tr>
        <w:trPr>
          <w:trHeight w:val="145"/>
        </w:trPr>
        <w:tc>
          <w:tcPr>
            <w:tcW w:w="5640" w:type="dxa"/>
            <w:vAlign w:val="bottom"/>
            <w:gridSpan w:val="2"/>
          </w:tcPr>
          <w:p>
            <w:pPr>
              <w:ind w:left="40"/>
              <w:spacing w:after="0" w:line="145" w:lineRule="exact"/>
              <w:rPr>
                <w:sz w:val="20"/>
                <w:szCs w:val="20"/>
                <w:color w:val="auto"/>
              </w:rPr>
            </w:pPr>
            <w:r>
              <w:rPr>
                <w:rFonts w:ascii="Arial" w:cs="Arial" w:eastAsia="Arial" w:hAnsi="Arial"/>
                <w:sz w:val="13"/>
                <w:szCs w:val="13"/>
                <w:color w:val="auto"/>
              </w:rPr>
              <w:t>General Meeting. Re-election is permitted. The Compensation Committee has the following</w:t>
            </w:r>
          </w:p>
        </w:tc>
        <w:tc>
          <w:tcPr>
            <w:tcW w:w="5660" w:type="dxa"/>
            <w:vAlign w:val="bottom"/>
            <w:gridSpan w:val="2"/>
          </w:tcPr>
          <w:p>
            <w:pPr>
              <w:ind w:left="160"/>
              <w:spacing w:after="0" w:line="145" w:lineRule="exact"/>
              <w:rPr>
                <w:sz w:val="20"/>
                <w:szCs w:val="20"/>
                <w:color w:val="auto"/>
              </w:rPr>
            </w:pPr>
            <w:r>
              <w:rPr>
                <w:rFonts w:ascii="Arial" w:cs="Arial" w:eastAsia="Arial" w:hAnsi="Arial"/>
                <w:sz w:val="13"/>
                <w:szCs w:val="13"/>
                <w:color w:val="auto"/>
              </w:rPr>
              <w:t>Une réélection est possible. Le comité de rémunération a les fonctions suivantes:</w:t>
            </w:r>
          </w:p>
        </w:tc>
        <w:tc>
          <w:tcPr>
            <w:tcW w:w="0" w:type="dxa"/>
            <w:vAlign w:val="bottom"/>
          </w:tcPr>
          <w:p>
            <w:pPr>
              <w:spacing w:after="0"/>
              <w:rPr>
                <w:sz w:val="1"/>
                <w:szCs w:val="1"/>
                <w:color w:val="auto"/>
              </w:rPr>
            </w:pPr>
          </w:p>
        </w:tc>
      </w:tr>
      <w:tr>
        <w:trPr>
          <w:trHeight w:val="168"/>
        </w:trPr>
        <w:tc>
          <w:tcPr>
            <w:tcW w:w="5640" w:type="dxa"/>
            <w:vAlign w:val="bottom"/>
            <w:gridSpan w:val="2"/>
          </w:tcPr>
          <w:p>
            <w:pPr>
              <w:ind w:left="40"/>
              <w:spacing w:after="0"/>
              <w:rPr>
                <w:sz w:val="20"/>
                <w:szCs w:val="20"/>
                <w:color w:val="auto"/>
              </w:rPr>
            </w:pPr>
            <w:r>
              <w:rPr>
                <w:rFonts w:ascii="Arial" w:cs="Arial" w:eastAsia="Arial" w:hAnsi="Arial"/>
                <w:sz w:val="13"/>
                <w:szCs w:val="13"/>
                <w:color w:val="auto"/>
              </w:rPr>
              <w:t>duties:</w:t>
            </w:r>
          </w:p>
        </w:tc>
        <w:tc>
          <w:tcPr>
            <w:tcW w:w="380" w:type="dxa"/>
            <w:vAlign w:val="bottom"/>
            <w:vMerge w:val="restart"/>
          </w:tcPr>
          <w:p>
            <w:pPr>
              <w:ind w:left="160"/>
              <w:spacing w:after="0"/>
              <w:rPr>
                <w:sz w:val="20"/>
                <w:szCs w:val="20"/>
                <w:color w:val="auto"/>
              </w:rPr>
            </w:pPr>
            <w:r>
              <w:rPr>
                <w:rFonts w:ascii="Arial" w:cs="Arial" w:eastAsia="Arial" w:hAnsi="Arial"/>
                <w:sz w:val="13"/>
                <w:szCs w:val="13"/>
                <w:color w:val="auto"/>
              </w:rPr>
              <w:t>a)</w:t>
            </w:r>
          </w:p>
        </w:tc>
        <w:tc>
          <w:tcPr>
            <w:tcW w:w="5280" w:type="dxa"/>
            <w:vAlign w:val="bottom"/>
            <w:vMerge w:val="restart"/>
          </w:tcPr>
          <w:p>
            <w:pPr>
              <w:jc w:val="right"/>
              <w:spacing w:after="0"/>
              <w:rPr>
                <w:sz w:val="20"/>
                <w:szCs w:val="20"/>
                <w:color w:val="auto"/>
              </w:rPr>
            </w:pPr>
            <w:r>
              <w:rPr>
                <w:rFonts w:ascii="Arial" w:cs="Arial" w:eastAsia="Arial" w:hAnsi="Arial"/>
                <w:sz w:val="13"/>
                <w:szCs w:val="13"/>
                <w:color w:val="auto"/>
              </w:rPr>
              <w:t>élaborer des principes de rémunération des membres du conseil d'administration et du</w:t>
            </w:r>
          </w:p>
        </w:tc>
        <w:tc>
          <w:tcPr>
            <w:tcW w:w="0" w:type="dxa"/>
            <w:vAlign w:val="bottom"/>
          </w:tcPr>
          <w:p>
            <w:pPr>
              <w:spacing w:after="0"/>
              <w:rPr>
                <w:sz w:val="1"/>
                <w:szCs w:val="1"/>
                <w:color w:val="auto"/>
              </w:rPr>
            </w:pPr>
          </w:p>
        </w:tc>
      </w:tr>
      <w:tr>
        <w:trPr>
          <w:trHeight w:val="121"/>
        </w:trPr>
        <w:tc>
          <w:tcPr>
            <w:tcW w:w="220" w:type="dxa"/>
            <w:vAlign w:val="bottom"/>
          </w:tcPr>
          <w:p>
            <w:pPr>
              <w:spacing w:after="0"/>
              <w:rPr>
                <w:sz w:val="10"/>
                <w:szCs w:val="10"/>
                <w:color w:val="auto"/>
              </w:rPr>
            </w:pPr>
          </w:p>
        </w:tc>
        <w:tc>
          <w:tcPr>
            <w:tcW w:w="5420" w:type="dxa"/>
            <w:vAlign w:val="bottom"/>
          </w:tcPr>
          <w:p>
            <w:pPr>
              <w:spacing w:after="0"/>
              <w:rPr>
                <w:sz w:val="10"/>
                <w:szCs w:val="10"/>
                <w:color w:val="auto"/>
              </w:rPr>
            </w:pPr>
          </w:p>
        </w:tc>
        <w:tc>
          <w:tcPr>
            <w:tcW w:w="380" w:type="dxa"/>
            <w:vAlign w:val="bottom"/>
            <w:vMerge w:val="continue"/>
          </w:tcPr>
          <w:p>
            <w:pPr>
              <w:spacing w:after="0"/>
              <w:rPr>
                <w:sz w:val="10"/>
                <w:szCs w:val="10"/>
                <w:color w:val="auto"/>
              </w:rPr>
            </w:pPr>
          </w:p>
        </w:tc>
        <w:tc>
          <w:tcPr>
            <w:tcW w:w="52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45"/>
        </w:trPr>
        <w:tc>
          <w:tcPr>
            <w:tcW w:w="220" w:type="dxa"/>
            <w:vAlign w:val="bottom"/>
          </w:tcPr>
          <w:p>
            <w:pPr>
              <w:ind w:left="40"/>
              <w:spacing w:after="0" w:line="145" w:lineRule="exact"/>
              <w:rPr>
                <w:sz w:val="20"/>
                <w:szCs w:val="20"/>
                <w:color w:val="auto"/>
              </w:rPr>
            </w:pPr>
            <w:r>
              <w:rPr>
                <w:rFonts w:ascii="Arial" w:cs="Arial" w:eastAsia="Arial" w:hAnsi="Arial"/>
                <w:sz w:val="13"/>
                <w:szCs w:val="13"/>
                <w:color w:val="auto"/>
              </w:rPr>
              <w:t>a)</w:t>
            </w:r>
          </w:p>
        </w:tc>
        <w:tc>
          <w:tcPr>
            <w:tcW w:w="5420" w:type="dxa"/>
            <w:vAlign w:val="bottom"/>
          </w:tcPr>
          <w:p>
            <w:pPr>
              <w:jc w:val="right"/>
              <w:ind w:right="76"/>
              <w:spacing w:after="0" w:line="145" w:lineRule="exact"/>
              <w:rPr>
                <w:sz w:val="20"/>
                <w:szCs w:val="20"/>
                <w:color w:val="auto"/>
              </w:rPr>
            </w:pPr>
            <w:r>
              <w:rPr>
                <w:rFonts w:ascii="Arial" w:cs="Arial" w:eastAsia="Arial" w:hAnsi="Arial"/>
                <w:sz w:val="13"/>
                <w:szCs w:val="13"/>
                <w:color w:val="auto"/>
              </w:rPr>
              <w:t>to draw up principles for compensation of members of the Board of Directors and the</w:t>
            </w:r>
          </w:p>
        </w:tc>
        <w:tc>
          <w:tcPr>
            <w:tcW w:w="380" w:type="dxa"/>
            <w:vAlign w:val="bottom"/>
          </w:tcPr>
          <w:p>
            <w:pPr>
              <w:spacing w:after="0"/>
              <w:rPr>
                <w:sz w:val="12"/>
                <w:szCs w:val="12"/>
                <w:color w:val="auto"/>
              </w:rPr>
            </w:pPr>
          </w:p>
        </w:tc>
        <w:tc>
          <w:tcPr>
            <w:tcW w:w="5280" w:type="dxa"/>
            <w:vAlign w:val="bottom"/>
          </w:tcPr>
          <w:p>
            <w:pPr>
              <w:ind w:left="100"/>
              <w:spacing w:after="0" w:line="145" w:lineRule="exact"/>
              <w:rPr>
                <w:sz w:val="20"/>
                <w:szCs w:val="20"/>
                <w:color w:val="auto"/>
              </w:rPr>
            </w:pPr>
            <w:r>
              <w:rPr>
                <w:rFonts w:ascii="Arial" w:cs="Arial" w:eastAsia="Arial" w:hAnsi="Arial"/>
                <w:sz w:val="13"/>
                <w:szCs w:val="13"/>
                <w:color w:val="auto"/>
              </w:rPr>
              <w:t>comité exécutif et de les soumettre au conseil d'administration pour approbation;</w:t>
            </w:r>
          </w:p>
        </w:tc>
        <w:tc>
          <w:tcPr>
            <w:tcW w:w="0" w:type="dxa"/>
            <w:vAlign w:val="bottom"/>
          </w:tcPr>
          <w:p>
            <w:pPr>
              <w:spacing w:after="0"/>
              <w:rPr>
                <w:sz w:val="1"/>
                <w:szCs w:val="1"/>
                <w:color w:val="auto"/>
              </w:rPr>
            </w:pPr>
          </w:p>
        </w:tc>
      </w:tr>
      <w:tr>
        <w:trPr>
          <w:trHeight w:val="168"/>
        </w:trPr>
        <w:tc>
          <w:tcPr>
            <w:tcW w:w="220" w:type="dxa"/>
            <w:vAlign w:val="bottom"/>
          </w:tcPr>
          <w:p>
            <w:pPr>
              <w:spacing w:after="0"/>
              <w:rPr>
                <w:sz w:val="14"/>
                <w:szCs w:val="14"/>
                <w:color w:val="auto"/>
              </w:rPr>
            </w:pPr>
          </w:p>
        </w:tc>
        <w:tc>
          <w:tcPr>
            <w:tcW w:w="5420" w:type="dxa"/>
            <w:vAlign w:val="bottom"/>
          </w:tcPr>
          <w:p>
            <w:pPr>
              <w:ind w:left="80"/>
              <w:spacing w:after="0"/>
              <w:rPr>
                <w:sz w:val="20"/>
                <w:szCs w:val="20"/>
                <w:color w:val="auto"/>
              </w:rPr>
            </w:pPr>
            <w:r>
              <w:rPr>
                <w:rFonts w:ascii="Arial" w:cs="Arial" w:eastAsia="Arial" w:hAnsi="Arial"/>
                <w:sz w:val="13"/>
                <w:szCs w:val="13"/>
                <w:color w:val="auto"/>
              </w:rPr>
              <w:t>Executive Committee and to submit them to the Board of Directors for approval;</w:t>
            </w:r>
          </w:p>
        </w:tc>
        <w:tc>
          <w:tcPr>
            <w:tcW w:w="380" w:type="dxa"/>
            <w:vAlign w:val="bottom"/>
            <w:vMerge w:val="restart"/>
          </w:tcPr>
          <w:p>
            <w:pPr>
              <w:ind w:left="160"/>
              <w:spacing w:after="0"/>
              <w:rPr>
                <w:sz w:val="20"/>
                <w:szCs w:val="20"/>
                <w:color w:val="auto"/>
              </w:rPr>
            </w:pPr>
            <w:r>
              <w:rPr>
                <w:rFonts w:ascii="Arial" w:cs="Arial" w:eastAsia="Arial" w:hAnsi="Arial"/>
                <w:sz w:val="13"/>
                <w:szCs w:val="13"/>
                <w:color w:val="auto"/>
              </w:rPr>
              <w:t>b)</w:t>
            </w:r>
          </w:p>
        </w:tc>
        <w:tc>
          <w:tcPr>
            <w:tcW w:w="5280" w:type="dxa"/>
            <w:vAlign w:val="bottom"/>
            <w:vMerge w:val="restart"/>
          </w:tcPr>
          <w:p>
            <w:pPr>
              <w:jc w:val="right"/>
              <w:spacing w:after="0"/>
              <w:rPr>
                <w:sz w:val="20"/>
                <w:szCs w:val="20"/>
                <w:color w:val="auto"/>
              </w:rPr>
            </w:pPr>
            <w:r>
              <w:rPr>
                <w:rFonts w:ascii="Arial" w:cs="Arial" w:eastAsia="Arial" w:hAnsi="Arial"/>
                <w:sz w:val="13"/>
                <w:szCs w:val="13"/>
                <w:color w:val="auto"/>
              </w:rPr>
              <w:t>proposer au conseil d'administration la décision sera soumise à l'assemblée générale</w:t>
            </w:r>
          </w:p>
        </w:tc>
        <w:tc>
          <w:tcPr>
            <w:tcW w:w="0" w:type="dxa"/>
            <w:vAlign w:val="bottom"/>
          </w:tcPr>
          <w:p>
            <w:pPr>
              <w:spacing w:after="0"/>
              <w:rPr>
                <w:sz w:val="1"/>
                <w:szCs w:val="1"/>
                <w:color w:val="auto"/>
              </w:rPr>
            </w:pPr>
          </w:p>
        </w:tc>
      </w:tr>
      <w:tr>
        <w:trPr>
          <w:trHeight w:val="121"/>
        </w:trPr>
        <w:tc>
          <w:tcPr>
            <w:tcW w:w="220" w:type="dxa"/>
            <w:vAlign w:val="bottom"/>
          </w:tcPr>
          <w:p>
            <w:pPr>
              <w:spacing w:after="0"/>
              <w:rPr>
                <w:sz w:val="10"/>
                <w:szCs w:val="10"/>
                <w:color w:val="auto"/>
              </w:rPr>
            </w:pPr>
          </w:p>
        </w:tc>
        <w:tc>
          <w:tcPr>
            <w:tcW w:w="5420" w:type="dxa"/>
            <w:vAlign w:val="bottom"/>
          </w:tcPr>
          <w:p>
            <w:pPr>
              <w:spacing w:after="0"/>
              <w:rPr>
                <w:sz w:val="10"/>
                <w:szCs w:val="10"/>
                <w:color w:val="auto"/>
              </w:rPr>
            </w:pPr>
          </w:p>
        </w:tc>
        <w:tc>
          <w:tcPr>
            <w:tcW w:w="380" w:type="dxa"/>
            <w:vAlign w:val="bottom"/>
            <w:vMerge w:val="continue"/>
          </w:tcPr>
          <w:p>
            <w:pPr>
              <w:spacing w:after="0"/>
              <w:rPr>
                <w:sz w:val="10"/>
                <w:szCs w:val="10"/>
                <w:color w:val="auto"/>
              </w:rPr>
            </w:pPr>
          </w:p>
        </w:tc>
        <w:tc>
          <w:tcPr>
            <w:tcW w:w="52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45"/>
        </w:trPr>
        <w:tc>
          <w:tcPr>
            <w:tcW w:w="5640" w:type="dxa"/>
            <w:vAlign w:val="bottom"/>
            <w:gridSpan w:val="2"/>
          </w:tcPr>
          <w:p>
            <w:pPr>
              <w:ind w:left="40"/>
              <w:spacing w:after="0" w:line="145" w:lineRule="exact"/>
              <w:rPr>
                <w:sz w:val="20"/>
                <w:szCs w:val="20"/>
                <w:color w:val="auto"/>
              </w:rPr>
            </w:pPr>
            <w:r>
              <w:rPr>
                <w:rFonts w:ascii="Arial" w:cs="Arial" w:eastAsia="Arial" w:hAnsi="Arial"/>
                <w:sz w:val="13"/>
                <w:szCs w:val="13"/>
                <w:color w:val="auto"/>
              </w:rPr>
              <w:t>b)  to propose to the Board of Directors the resolution to be submitted to the Ordinary General</w:t>
            </w:r>
          </w:p>
        </w:tc>
        <w:tc>
          <w:tcPr>
            <w:tcW w:w="380" w:type="dxa"/>
            <w:vAlign w:val="bottom"/>
          </w:tcPr>
          <w:p>
            <w:pPr>
              <w:spacing w:after="0"/>
              <w:rPr>
                <w:sz w:val="12"/>
                <w:szCs w:val="12"/>
                <w:color w:val="auto"/>
              </w:rPr>
            </w:pPr>
          </w:p>
        </w:tc>
        <w:tc>
          <w:tcPr>
            <w:tcW w:w="5280" w:type="dxa"/>
            <w:vAlign w:val="bottom"/>
          </w:tcPr>
          <w:p>
            <w:pPr>
              <w:ind w:left="100"/>
              <w:spacing w:after="0" w:line="145" w:lineRule="exact"/>
              <w:rPr>
                <w:sz w:val="20"/>
                <w:szCs w:val="20"/>
                <w:color w:val="auto"/>
              </w:rPr>
            </w:pPr>
            <w:r>
              <w:rPr>
                <w:rFonts w:ascii="Arial" w:cs="Arial" w:eastAsia="Arial" w:hAnsi="Arial"/>
                <w:sz w:val="13"/>
                <w:szCs w:val="13"/>
                <w:color w:val="auto"/>
              </w:rPr>
              <w:t>ordinaire pour la rémunération totale maximale du conseil d'administration et du comité</w:t>
            </w:r>
          </w:p>
        </w:tc>
        <w:tc>
          <w:tcPr>
            <w:tcW w:w="0" w:type="dxa"/>
            <w:vAlign w:val="bottom"/>
          </w:tcPr>
          <w:p>
            <w:pPr>
              <w:spacing w:after="0"/>
              <w:rPr>
                <w:sz w:val="1"/>
                <w:szCs w:val="1"/>
                <w:color w:val="auto"/>
              </w:rPr>
            </w:pPr>
          </w:p>
        </w:tc>
      </w:tr>
      <w:tr>
        <w:trPr>
          <w:trHeight w:val="145"/>
        </w:trPr>
        <w:tc>
          <w:tcPr>
            <w:tcW w:w="220" w:type="dxa"/>
            <w:vAlign w:val="bottom"/>
          </w:tcPr>
          <w:p>
            <w:pPr>
              <w:spacing w:after="0"/>
              <w:rPr>
                <w:sz w:val="12"/>
                <w:szCs w:val="12"/>
                <w:color w:val="auto"/>
              </w:rPr>
            </w:pPr>
          </w:p>
        </w:tc>
        <w:tc>
          <w:tcPr>
            <w:tcW w:w="5420" w:type="dxa"/>
            <w:vAlign w:val="bottom"/>
          </w:tcPr>
          <w:p>
            <w:pPr>
              <w:ind w:left="80"/>
              <w:spacing w:after="0" w:line="145" w:lineRule="exact"/>
              <w:rPr>
                <w:sz w:val="20"/>
                <w:szCs w:val="20"/>
                <w:color w:val="auto"/>
              </w:rPr>
            </w:pPr>
            <w:r>
              <w:rPr>
                <w:rFonts w:ascii="Arial" w:cs="Arial" w:eastAsia="Arial" w:hAnsi="Arial"/>
                <w:sz w:val="13"/>
                <w:szCs w:val="13"/>
                <w:color w:val="auto"/>
              </w:rPr>
              <w:t>Meeting for the maximum total compensation of the Board of Directors and Executive</w:t>
            </w:r>
          </w:p>
        </w:tc>
        <w:tc>
          <w:tcPr>
            <w:tcW w:w="380" w:type="dxa"/>
            <w:vAlign w:val="bottom"/>
          </w:tcPr>
          <w:p>
            <w:pPr>
              <w:spacing w:after="0"/>
              <w:rPr>
                <w:sz w:val="12"/>
                <w:szCs w:val="12"/>
                <w:color w:val="auto"/>
              </w:rPr>
            </w:pPr>
          </w:p>
        </w:tc>
        <w:tc>
          <w:tcPr>
            <w:tcW w:w="5280" w:type="dxa"/>
            <w:vAlign w:val="bottom"/>
          </w:tcPr>
          <w:p>
            <w:pPr>
              <w:ind w:left="100"/>
              <w:spacing w:after="0" w:line="145" w:lineRule="exact"/>
              <w:rPr>
                <w:sz w:val="20"/>
                <w:szCs w:val="20"/>
                <w:color w:val="auto"/>
              </w:rPr>
            </w:pPr>
            <w:r>
              <w:rPr>
                <w:rFonts w:ascii="Arial" w:cs="Arial" w:eastAsia="Arial" w:hAnsi="Arial"/>
                <w:sz w:val="13"/>
                <w:szCs w:val="13"/>
                <w:color w:val="auto"/>
              </w:rPr>
              <w:t>exécutif;</w:t>
            </w:r>
          </w:p>
        </w:tc>
        <w:tc>
          <w:tcPr>
            <w:tcW w:w="0" w:type="dxa"/>
            <w:vAlign w:val="bottom"/>
          </w:tcPr>
          <w:p>
            <w:pPr>
              <w:spacing w:after="0"/>
              <w:rPr>
                <w:sz w:val="1"/>
                <w:szCs w:val="1"/>
                <w:color w:val="auto"/>
              </w:rPr>
            </w:pPr>
          </w:p>
        </w:tc>
      </w:tr>
      <w:tr>
        <w:trPr>
          <w:trHeight w:val="168"/>
        </w:trPr>
        <w:tc>
          <w:tcPr>
            <w:tcW w:w="220" w:type="dxa"/>
            <w:vAlign w:val="bottom"/>
          </w:tcPr>
          <w:p>
            <w:pPr>
              <w:spacing w:after="0"/>
              <w:rPr>
                <w:sz w:val="14"/>
                <w:szCs w:val="14"/>
                <w:color w:val="auto"/>
              </w:rPr>
            </w:pPr>
          </w:p>
        </w:tc>
        <w:tc>
          <w:tcPr>
            <w:tcW w:w="5420" w:type="dxa"/>
            <w:vAlign w:val="bottom"/>
          </w:tcPr>
          <w:p>
            <w:pPr>
              <w:ind w:left="80"/>
              <w:spacing w:after="0"/>
              <w:rPr>
                <w:sz w:val="20"/>
                <w:szCs w:val="20"/>
                <w:color w:val="auto"/>
              </w:rPr>
            </w:pPr>
            <w:r>
              <w:rPr>
                <w:rFonts w:ascii="Arial" w:cs="Arial" w:eastAsia="Arial" w:hAnsi="Arial"/>
                <w:sz w:val="13"/>
                <w:szCs w:val="13"/>
                <w:color w:val="auto"/>
              </w:rPr>
              <w:t>Committee;</w:t>
            </w:r>
          </w:p>
        </w:tc>
        <w:tc>
          <w:tcPr>
            <w:tcW w:w="380" w:type="dxa"/>
            <w:vAlign w:val="bottom"/>
            <w:vMerge w:val="restart"/>
          </w:tcPr>
          <w:p>
            <w:pPr>
              <w:ind w:left="160"/>
              <w:spacing w:after="0"/>
              <w:rPr>
                <w:sz w:val="20"/>
                <w:szCs w:val="20"/>
                <w:color w:val="auto"/>
              </w:rPr>
            </w:pPr>
            <w:r>
              <w:rPr>
                <w:rFonts w:ascii="Arial" w:cs="Arial" w:eastAsia="Arial" w:hAnsi="Arial"/>
                <w:sz w:val="13"/>
                <w:szCs w:val="13"/>
                <w:color w:val="auto"/>
              </w:rPr>
              <w:t>c)</w:t>
            </w:r>
          </w:p>
        </w:tc>
        <w:tc>
          <w:tcPr>
            <w:tcW w:w="5280" w:type="dxa"/>
            <w:vAlign w:val="bottom"/>
            <w:vMerge w:val="restart"/>
          </w:tcPr>
          <w:p>
            <w:pPr>
              <w:ind w:left="120"/>
              <w:spacing w:after="0"/>
              <w:rPr>
                <w:sz w:val="20"/>
                <w:szCs w:val="20"/>
                <w:color w:val="auto"/>
              </w:rPr>
            </w:pPr>
            <w:r>
              <w:rPr>
                <w:rFonts w:ascii="Arial" w:cs="Arial" w:eastAsia="Arial" w:hAnsi="Arial"/>
                <w:sz w:val="13"/>
                <w:szCs w:val="13"/>
                <w:color w:val="auto"/>
              </w:rPr>
              <w:t>sous réserve et dans les limites de la rémunération maximale approuvée par l'assemblée</w:t>
            </w:r>
          </w:p>
        </w:tc>
        <w:tc>
          <w:tcPr>
            <w:tcW w:w="0" w:type="dxa"/>
            <w:vAlign w:val="bottom"/>
          </w:tcPr>
          <w:p>
            <w:pPr>
              <w:spacing w:after="0"/>
              <w:rPr>
                <w:sz w:val="1"/>
                <w:szCs w:val="1"/>
                <w:color w:val="auto"/>
              </w:rPr>
            </w:pPr>
          </w:p>
        </w:tc>
      </w:tr>
      <w:tr>
        <w:trPr>
          <w:trHeight w:val="121"/>
        </w:trPr>
        <w:tc>
          <w:tcPr>
            <w:tcW w:w="220" w:type="dxa"/>
            <w:vAlign w:val="bottom"/>
          </w:tcPr>
          <w:p>
            <w:pPr>
              <w:spacing w:after="0"/>
              <w:rPr>
                <w:sz w:val="10"/>
                <w:szCs w:val="10"/>
                <w:color w:val="auto"/>
              </w:rPr>
            </w:pPr>
          </w:p>
        </w:tc>
        <w:tc>
          <w:tcPr>
            <w:tcW w:w="5420" w:type="dxa"/>
            <w:vAlign w:val="bottom"/>
          </w:tcPr>
          <w:p>
            <w:pPr>
              <w:spacing w:after="0"/>
              <w:rPr>
                <w:sz w:val="10"/>
                <w:szCs w:val="10"/>
                <w:color w:val="auto"/>
              </w:rPr>
            </w:pPr>
          </w:p>
        </w:tc>
        <w:tc>
          <w:tcPr>
            <w:tcW w:w="380" w:type="dxa"/>
            <w:vAlign w:val="bottom"/>
            <w:vMerge w:val="continue"/>
          </w:tcPr>
          <w:p>
            <w:pPr>
              <w:spacing w:after="0"/>
              <w:rPr>
                <w:sz w:val="10"/>
                <w:szCs w:val="10"/>
                <w:color w:val="auto"/>
              </w:rPr>
            </w:pPr>
          </w:p>
        </w:tc>
        <w:tc>
          <w:tcPr>
            <w:tcW w:w="52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45"/>
        </w:trPr>
        <w:tc>
          <w:tcPr>
            <w:tcW w:w="5640" w:type="dxa"/>
            <w:vAlign w:val="bottom"/>
            <w:gridSpan w:val="2"/>
          </w:tcPr>
          <w:p>
            <w:pPr>
              <w:ind w:left="40"/>
              <w:spacing w:after="0" w:line="145" w:lineRule="exact"/>
              <w:rPr>
                <w:sz w:val="20"/>
                <w:szCs w:val="20"/>
                <w:color w:val="auto"/>
              </w:rPr>
            </w:pPr>
            <w:r>
              <w:rPr>
                <w:rFonts w:ascii="Arial" w:cs="Arial" w:eastAsia="Arial" w:hAnsi="Arial"/>
                <w:sz w:val="13"/>
                <w:szCs w:val="13"/>
                <w:color w:val="auto"/>
              </w:rPr>
              <w:t>c)   subject to and within the bounds of the maximum compensation approved by the Ordinary</w:t>
            </w:r>
          </w:p>
        </w:tc>
        <w:tc>
          <w:tcPr>
            <w:tcW w:w="380" w:type="dxa"/>
            <w:vAlign w:val="bottom"/>
          </w:tcPr>
          <w:p>
            <w:pPr>
              <w:spacing w:after="0"/>
              <w:rPr>
                <w:sz w:val="12"/>
                <w:szCs w:val="12"/>
                <w:color w:val="auto"/>
              </w:rPr>
            </w:pPr>
          </w:p>
        </w:tc>
        <w:tc>
          <w:tcPr>
            <w:tcW w:w="5280" w:type="dxa"/>
            <w:vAlign w:val="bottom"/>
          </w:tcPr>
          <w:p>
            <w:pPr>
              <w:ind w:left="100"/>
              <w:spacing w:after="0" w:line="145" w:lineRule="exact"/>
              <w:rPr>
                <w:sz w:val="20"/>
                <w:szCs w:val="20"/>
                <w:color w:val="auto"/>
              </w:rPr>
            </w:pPr>
            <w:r>
              <w:rPr>
                <w:rFonts w:ascii="Arial" w:cs="Arial" w:eastAsia="Arial" w:hAnsi="Arial"/>
                <w:sz w:val="13"/>
                <w:szCs w:val="13"/>
                <w:color w:val="auto"/>
              </w:rPr>
              <w:t>générale ordinaire, demander l'approbation du conseil d'administration quant aux paquets</w:t>
            </w:r>
          </w:p>
        </w:tc>
        <w:tc>
          <w:tcPr>
            <w:tcW w:w="0" w:type="dxa"/>
            <w:vAlign w:val="bottom"/>
          </w:tcPr>
          <w:p>
            <w:pPr>
              <w:spacing w:after="0"/>
              <w:rPr>
                <w:sz w:val="1"/>
                <w:szCs w:val="1"/>
                <w:color w:val="auto"/>
              </w:rPr>
            </w:pPr>
          </w:p>
        </w:tc>
      </w:tr>
      <w:tr>
        <w:trPr>
          <w:trHeight w:val="145"/>
        </w:trPr>
        <w:tc>
          <w:tcPr>
            <w:tcW w:w="220" w:type="dxa"/>
            <w:vAlign w:val="bottom"/>
          </w:tcPr>
          <w:p>
            <w:pPr>
              <w:spacing w:after="0"/>
              <w:rPr>
                <w:sz w:val="12"/>
                <w:szCs w:val="12"/>
                <w:color w:val="auto"/>
              </w:rPr>
            </w:pPr>
          </w:p>
        </w:tc>
        <w:tc>
          <w:tcPr>
            <w:tcW w:w="5420" w:type="dxa"/>
            <w:vAlign w:val="bottom"/>
          </w:tcPr>
          <w:p>
            <w:pPr>
              <w:ind w:left="80"/>
              <w:spacing w:after="0" w:line="145" w:lineRule="exact"/>
              <w:rPr>
                <w:sz w:val="20"/>
                <w:szCs w:val="20"/>
                <w:color w:val="auto"/>
              </w:rPr>
            </w:pPr>
            <w:r>
              <w:rPr>
                <w:rFonts w:ascii="Arial" w:cs="Arial" w:eastAsia="Arial" w:hAnsi="Arial"/>
                <w:sz w:val="13"/>
                <w:szCs w:val="13"/>
                <w:color w:val="auto"/>
              </w:rPr>
              <w:t>General  Meeting,  to  request  approval  by  the  Board  of  Directors  of  the  individual</w:t>
            </w:r>
          </w:p>
        </w:tc>
        <w:tc>
          <w:tcPr>
            <w:tcW w:w="380" w:type="dxa"/>
            <w:vAlign w:val="bottom"/>
          </w:tcPr>
          <w:p>
            <w:pPr>
              <w:spacing w:after="0"/>
              <w:rPr>
                <w:sz w:val="12"/>
                <w:szCs w:val="12"/>
                <w:color w:val="auto"/>
              </w:rPr>
            </w:pPr>
          </w:p>
        </w:tc>
        <w:tc>
          <w:tcPr>
            <w:tcW w:w="5280" w:type="dxa"/>
            <w:vAlign w:val="bottom"/>
          </w:tcPr>
          <w:p>
            <w:pPr>
              <w:ind w:left="100"/>
              <w:spacing w:after="0" w:line="145" w:lineRule="exact"/>
              <w:rPr>
                <w:sz w:val="20"/>
                <w:szCs w:val="20"/>
                <w:color w:val="auto"/>
              </w:rPr>
            </w:pPr>
            <w:r>
              <w:rPr>
                <w:rFonts w:ascii="Arial" w:cs="Arial" w:eastAsia="Arial" w:hAnsi="Arial"/>
                <w:sz w:val="13"/>
                <w:szCs w:val="13"/>
                <w:color w:val="auto"/>
              </w:rPr>
              <w:t>de rémunération individuels devant être versés aux membres du conseil d'administration</w:t>
            </w:r>
          </w:p>
        </w:tc>
        <w:tc>
          <w:tcPr>
            <w:tcW w:w="0" w:type="dxa"/>
            <w:vAlign w:val="bottom"/>
          </w:tcPr>
          <w:p>
            <w:pPr>
              <w:spacing w:after="0"/>
              <w:rPr>
                <w:sz w:val="1"/>
                <w:szCs w:val="1"/>
                <w:color w:val="auto"/>
              </w:rPr>
            </w:pPr>
          </w:p>
        </w:tc>
      </w:tr>
      <w:tr>
        <w:trPr>
          <w:trHeight w:val="145"/>
        </w:trPr>
        <w:tc>
          <w:tcPr>
            <w:tcW w:w="220" w:type="dxa"/>
            <w:vAlign w:val="bottom"/>
          </w:tcPr>
          <w:p>
            <w:pPr>
              <w:spacing w:after="0"/>
              <w:rPr>
                <w:sz w:val="12"/>
                <w:szCs w:val="12"/>
                <w:color w:val="auto"/>
              </w:rPr>
            </w:pPr>
          </w:p>
        </w:tc>
        <w:tc>
          <w:tcPr>
            <w:tcW w:w="5420" w:type="dxa"/>
            <w:vAlign w:val="bottom"/>
          </w:tcPr>
          <w:p>
            <w:pPr>
              <w:ind w:left="80"/>
              <w:spacing w:after="0" w:line="145" w:lineRule="exact"/>
              <w:rPr>
                <w:sz w:val="20"/>
                <w:szCs w:val="20"/>
                <w:color w:val="auto"/>
              </w:rPr>
            </w:pPr>
            <w:r>
              <w:rPr>
                <w:rFonts w:ascii="Arial" w:cs="Arial" w:eastAsia="Arial" w:hAnsi="Arial"/>
                <w:sz w:val="13"/>
                <w:szCs w:val="13"/>
                <w:color w:val="auto"/>
              </w:rPr>
              <w:t>remuneration packages to be paid to members of the Board of Directors and members of</w:t>
            </w:r>
          </w:p>
        </w:tc>
        <w:tc>
          <w:tcPr>
            <w:tcW w:w="380" w:type="dxa"/>
            <w:vAlign w:val="bottom"/>
          </w:tcPr>
          <w:p>
            <w:pPr>
              <w:spacing w:after="0"/>
              <w:rPr>
                <w:sz w:val="12"/>
                <w:szCs w:val="12"/>
                <w:color w:val="auto"/>
              </w:rPr>
            </w:pPr>
          </w:p>
        </w:tc>
        <w:tc>
          <w:tcPr>
            <w:tcW w:w="5280" w:type="dxa"/>
            <w:vAlign w:val="bottom"/>
          </w:tcPr>
          <w:p>
            <w:pPr>
              <w:ind w:left="100"/>
              <w:spacing w:after="0" w:line="145" w:lineRule="exact"/>
              <w:rPr>
                <w:sz w:val="20"/>
                <w:szCs w:val="20"/>
                <w:color w:val="auto"/>
              </w:rPr>
            </w:pPr>
            <w:r>
              <w:rPr>
                <w:rFonts w:ascii="Arial" w:cs="Arial" w:eastAsia="Arial" w:hAnsi="Arial"/>
                <w:sz w:val="13"/>
                <w:szCs w:val="13"/>
                <w:color w:val="auto"/>
              </w:rPr>
              <w:t>et aux membres du comité exécutif;</w:t>
            </w:r>
          </w:p>
        </w:tc>
        <w:tc>
          <w:tcPr>
            <w:tcW w:w="0" w:type="dxa"/>
            <w:vAlign w:val="bottom"/>
          </w:tcPr>
          <w:p>
            <w:pPr>
              <w:spacing w:after="0"/>
              <w:rPr>
                <w:sz w:val="1"/>
                <w:szCs w:val="1"/>
                <w:color w:val="auto"/>
              </w:rPr>
            </w:pPr>
          </w:p>
        </w:tc>
      </w:tr>
      <w:tr>
        <w:trPr>
          <w:trHeight w:val="168"/>
        </w:trPr>
        <w:tc>
          <w:tcPr>
            <w:tcW w:w="220" w:type="dxa"/>
            <w:vAlign w:val="bottom"/>
          </w:tcPr>
          <w:p>
            <w:pPr>
              <w:spacing w:after="0"/>
              <w:rPr>
                <w:sz w:val="14"/>
                <w:szCs w:val="14"/>
                <w:color w:val="auto"/>
              </w:rPr>
            </w:pPr>
          </w:p>
        </w:tc>
        <w:tc>
          <w:tcPr>
            <w:tcW w:w="5420" w:type="dxa"/>
            <w:vAlign w:val="bottom"/>
          </w:tcPr>
          <w:p>
            <w:pPr>
              <w:ind w:left="80"/>
              <w:spacing w:after="0"/>
              <w:rPr>
                <w:sz w:val="20"/>
                <w:szCs w:val="20"/>
                <w:color w:val="auto"/>
              </w:rPr>
            </w:pPr>
            <w:r>
              <w:rPr>
                <w:rFonts w:ascii="Arial" w:cs="Arial" w:eastAsia="Arial" w:hAnsi="Arial"/>
                <w:sz w:val="13"/>
                <w:szCs w:val="13"/>
                <w:color w:val="auto"/>
              </w:rPr>
              <w:t>the Executive Committee;</w:t>
            </w:r>
          </w:p>
        </w:tc>
        <w:tc>
          <w:tcPr>
            <w:tcW w:w="380" w:type="dxa"/>
            <w:vAlign w:val="bottom"/>
            <w:vMerge w:val="restart"/>
          </w:tcPr>
          <w:p>
            <w:pPr>
              <w:ind w:left="160"/>
              <w:spacing w:after="0"/>
              <w:rPr>
                <w:sz w:val="20"/>
                <w:szCs w:val="20"/>
                <w:color w:val="auto"/>
              </w:rPr>
            </w:pPr>
            <w:r>
              <w:rPr>
                <w:rFonts w:ascii="Arial" w:cs="Arial" w:eastAsia="Arial" w:hAnsi="Arial"/>
                <w:sz w:val="13"/>
                <w:szCs w:val="13"/>
                <w:color w:val="auto"/>
              </w:rPr>
              <w:t>d)</w:t>
            </w:r>
          </w:p>
        </w:tc>
        <w:tc>
          <w:tcPr>
            <w:tcW w:w="5280" w:type="dxa"/>
            <w:vAlign w:val="bottom"/>
            <w:vMerge w:val="restart"/>
          </w:tcPr>
          <w:p>
            <w:pPr>
              <w:jc w:val="right"/>
              <w:spacing w:after="0"/>
              <w:rPr>
                <w:sz w:val="20"/>
                <w:szCs w:val="20"/>
                <w:color w:val="auto"/>
              </w:rPr>
            </w:pPr>
            <w:r>
              <w:rPr>
                <w:rFonts w:ascii="Arial" w:cs="Arial" w:eastAsia="Arial" w:hAnsi="Arial"/>
                <w:sz w:val="13"/>
                <w:szCs w:val="13"/>
                <w:color w:val="auto"/>
              </w:rPr>
              <w:t>requérir l'approbation du conseil d'administration sur la fixation d'objectifs liés à la</w:t>
            </w:r>
          </w:p>
        </w:tc>
        <w:tc>
          <w:tcPr>
            <w:tcW w:w="0" w:type="dxa"/>
            <w:vAlign w:val="bottom"/>
          </w:tcPr>
          <w:p>
            <w:pPr>
              <w:spacing w:after="0"/>
              <w:rPr>
                <w:sz w:val="1"/>
                <w:szCs w:val="1"/>
                <w:color w:val="auto"/>
              </w:rPr>
            </w:pPr>
          </w:p>
        </w:tc>
      </w:tr>
      <w:tr>
        <w:trPr>
          <w:trHeight w:val="121"/>
        </w:trPr>
        <w:tc>
          <w:tcPr>
            <w:tcW w:w="220" w:type="dxa"/>
            <w:vAlign w:val="bottom"/>
          </w:tcPr>
          <w:p>
            <w:pPr>
              <w:spacing w:after="0"/>
              <w:rPr>
                <w:sz w:val="10"/>
                <w:szCs w:val="10"/>
                <w:color w:val="auto"/>
              </w:rPr>
            </w:pPr>
          </w:p>
        </w:tc>
        <w:tc>
          <w:tcPr>
            <w:tcW w:w="5420" w:type="dxa"/>
            <w:vAlign w:val="bottom"/>
          </w:tcPr>
          <w:p>
            <w:pPr>
              <w:spacing w:after="0"/>
              <w:rPr>
                <w:sz w:val="10"/>
                <w:szCs w:val="10"/>
                <w:color w:val="auto"/>
              </w:rPr>
            </w:pPr>
          </w:p>
        </w:tc>
        <w:tc>
          <w:tcPr>
            <w:tcW w:w="380" w:type="dxa"/>
            <w:vAlign w:val="bottom"/>
            <w:vMerge w:val="continue"/>
          </w:tcPr>
          <w:p>
            <w:pPr>
              <w:spacing w:after="0"/>
              <w:rPr>
                <w:sz w:val="10"/>
                <w:szCs w:val="10"/>
                <w:color w:val="auto"/>
              </w:rPr>
            </w:pPr>
          </w:p>
        </w:tc>
        <w:tc>
          <w:tcPr>
            <w:tcW w:w="52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45"/>
        </w:trPr>
        <w:tc>
          <w:tcPr>
            <w:tcW w:w="220" w:type="dxa"/>
            <w:vAlign w:val="bottom"/>
          </w:tcPr>
          <w:p>
            <w:pPr>
              <w:ind w:left="40"/>
              <w:spacing w:after="0" w:line="145" w:lineRule="exact"/>
              <w:rPr>
                <w:sz w:val="20"/>
                <w:szCs w:val="20"/>
                <w:color w:val="auto"/>
              </w:rPr>
            </w:pPr>
            <w:r>
              <w:rPr>
                <w:rFonts w:ascii="Arial" w:cs="Arial" w:eastAsia="Arial" w:hAnsi="Arial"/>
                <w:sz w:val="13"/>
                <w:szCs w:val="13"/>
                <w:color w:val="auto"/>
              </w:rPr>
              <w:t>d)</w:t>
            </w:r>
          </w:p>
        </w:tc>
        <w:tc>
          <w:tcPr>
            <w:tcW w:w="5420" w:type="dxa"/>
            <w:vAlign w:val="bottom"/>
          </w:tcPr>
          <w:p>
            <w:pPr>
              <w:jc w:val="right"/>
              <w:ind w:right="76"/>
              <w:spacing w:after="0" w:line="145" w:lineRule="exact"/>
              <w:rPr>
                <w:sz w:val="20"/>
                <w:szCs w:val="20"/>
                <w:color w:val="auto"/>
              </w:rPr>
            </w:pPr>
            <w:r>
              <w:rPr>
                <w:rFonts w:ascii="Arial" w:cs="Arial" w:eastAsia="Arial" w:hAnsi="Arial"/>
                <w:sz w:val="13"/>
                <w:szCs w:val="13"/>
                <w:color w:val="auto"/>
              </w:rPr>
              <w:t>to request approval by the Board of Directors regarding the determination of the</w:t>
            </w:r>
          </w:p>
        </w:tc>
        <w:tc>
          <w:tcPr>
            <w:tcW w:w="380" w:type="dxa"/>
            <w:vAlign w:val="bottom"/>
          </w:tcPr>
          <w:p>
            <w:pPr>
              <w:spacing w:after="0"/>
              <w:rPr>
                <w:sz w:val="12"/>
                <w:szCs w:val="12"/>
                <w:color w:val="auto"/>
              </w:rPr>
            </w:pPr>
          </w:p>
        </w:tc>
        <w:tc>
          <w:tcPr>
            <w:tcW w:w="5280" w:type="dxa"/>
            <w:vAlign w:val="bottom"/>
          </w:tcPr>
          <w:p>
            <w:pPr>
              <w:ind w:left="100"/>
              <w:spacing w:after="0" w:line="145" w:lineRule="exact"/>
              <w:rPr>
                <w:sz w:val="20"/>
                <w:szCs w:val="20"/>
                <w:color w:val="auto"/>
              </w:rPr>
            </w:pPr>
            <w:r>
              <w:rPr>
                <w:rFonts w:ascii="Arial" w:cs="Arial" w:eastAsia="Arial" w:hAnsi="Arial"/>
                <w:sz w:val="13"/>
                <w:szCs w:val="13"/>
                <w:color w:val="auto"/>
              </w:rPr>
              <w:t>rémunération pour le comité exécutif;</w:t>
            </w:r>
          </w:p>
        </w:tc>
        <w:tc>
          <w:tcPr>
            <w:tcW w:w="0" w:type="dxa"/>
            <w:vAlign w:val="bottom"/>
          </w:tcPr>
          <w:p>
            <w:pPr>
              <w:spacing w:after="0"/>
              <w:rPr>
                <w:sz w:val="1"/>
                <w:szCs w:val="1"/>
                <w:color w:val="auto"/>
              </w:rPr>
            </w:pPr>
          </w:p>
        </w:tc>
      </w:tr>
      <w:tr>
        <w:trPr>
          <w:trHeight w:val="168"/>
        </w:trPr>
        <w:tc>
          <w:tcPr>
            <w:tcW w:w="220" w:type="dxa"/>
            <w:vAlign w:val="bottom"/>
          </w:tcPr>
          <w:p>
            <w:pPr>
              <w:spacing w:after="0"/>
              <w:rPr>
                <w:sz w:val="14"/>
                <w:szCs w:val="14"/>
                <w:color w:val="auto"/>
              </w:rPr>
            </w:pPr>
          </w:p>
        </w:tc>
        <w:tc>
          <w:tcPr>
            <w:tcW w:w="5420" w:type="dxa"/>
            <w:vAlign w:val="bottom"/>
          </w:tcPr>
          <w:p>
            <w:pPr>
              <w:ind w:left="80"/>
              <w:spacing w:after="0"/>
              <w:rPr>
                <w:sz w:val="20"/>
                <w:szCs w:val="20"/>
                <w:color w:val="auto"/>
              </w:rPr>
            </w:pPr>
            <w:r>
              <w:rPr>
                <w:rFonts w:ascii="Arial" w:cs="Arial" w:eastAsia="Arial" w:hAnsi="Arial"/>
                <w:sz w:val="13"/>
                <w:szCs w:val="13"/>
                <w:color w:val="auto"/>
              </w:rPr>
              <w:t>compensation-related targets for the Executive Committee;</w:t>
            </w:r>
          </w:p>
        </w:tc>
        <w:tc>
          <w:tcPr>
            <w:tcW w:w="380" w:type="dxa"/>
            <w:vAlign w:val="bottom"/>
            <w:vMerge w:val="restart"/>
          </w:tcPr>
          <w:p>
            <w:pPr>
              <w:ind w:left="160"/>
              <w:spacing w:after="0"/>
              <w:rPr>
                <w:sz w:val="20"/>
                <w:szCs w:val="20"/>
                <w:color w:val="auto"/>
              </w:rPr>
            </w:pPr>
            <w:r>
              <w:rPr>
                <w:rFonts w:ascii="Arial" w:cs="Arial" w:eastAsia="Arial" w:hAnsi="Arial"/>
                <w:sz w:val="13"/>
                <w:szCs w:val="13"/>
                <w:color w:val="auto"/>
              </w:rPr>
              <w:t>e)</w:t>
            </w:r>
          </w:p>
        </w:tc>
        <w:tc>
          <w:tcPr>
            <w:tcW w:w="5280" w:type="dxa"/>
            <w:vAlign w:val="bottom"/>
            <w:vMerge w:val="restart"/>
          </w:tcPr>
          <w:p>
            <w:pPr>
              <w:jc w:val="right"/>
              <w:spacing w:after="0"/>
              <w:rPr>
                <w:sz w:val="20"/>
                <w:szCs w:val="20"/>
                <w:color w:val="auto"/>
              </w:rPr>
            </w:pPr>
            <w:r>
              <w:rPr>
                <w:rFonts w:ascii="Arial" w:cs="Arial" w:eastAsia="Arial" w:hAnsi="Arial"/>
                <w:sz w:val="13"/>
                <w:szCs w:val="13"/>
                <w:color w:val="auto"/>
              </w:rPr>
              <w:t>requérir l'approbation du conseil d'administration sur les adaptations des statuts relatives</w:t>
            </w:r>
          </w:p>
        </w:tc>
        <w:tc>
          <w:tcPr>
            <w:tcW w:w="0" w:type="dxa"/>
            <w:vAlign w:val="bottom"/>
          </w:tcPr>
          <w:p>
            <w:pPr>
              <w:spacing w:after="0"/>
              <w:rPr>
                <w:sz w:val="1"/>
                <w:szCs w:val="1"/>
                <w:color w:val="auto"/>
              </w:rPr>
            </w:pPr>
          </w:p>
        </w:tc>
      </w:tr>
      <w:tr>
        <w:trPr>
          <w:trHeight w:val="121"/>
        </w:trPr>
        <w:tc>
          <w:tcPr>
            <w:tcW w:w="220" w:type="dxa"/>
            <w:vAlign w:val="bottom"/>
          </w:tcPr>
          <w:p>
            <w:pPr>
              <w:spacing w:after="0"/>
              <w:rPr>
                <w:sz w:val="10"/>
                <w:szCs w:val="10"/>
                <w:color w:val="auto"/>
              </w:rPr>
            </w:pPr>
          </w:p>
        </w:tc>
        <w:tc>
          <w:tcPr>
            <w:tcW w:w="5420" w:type="dxa"/>
            <w:vAlign w:val="bottom"/>
          </w:tcPr>
          <w:p>
            <w:pPr>
              <w:spacing w:after="0"/>
              <w:rPr>
                <w:sz w:val="10"/>
                <w:szCs w:val="10"/>
                <w:color w:val="auto"/>
              </w:rPr>
            </w:pPr>
          </w:p>
        </w:tc>
        <w:tc>
          <w:tcPr>
            <w:tcW w:w="380" w:type="dxa"/>
            <w:vAlign w:val="bottom"/>
            <w:vMerge w:val="continue"/>
          </w:tcPr>
          <w:p>
            <w:pPr>
              <w:spacing w:after="0"/>
              <w:rPr>
                <w:sz w:val="10"/>
                <w:szCs w:val="10"/>
                <w:color w:val="auto"/>
              </w:rPr>
            </w:pPr>
          </w:p>
        </w:tc>
        <w:tc>
          <w:tcPr>
            <w:tcW w:w="52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45"/>
        </w:trPr>
        <w:tc>
          <w:tcPr>
            <w:tcW w:w="5640" w:type="dxa"/>
            <w:vAlign w:val="bottom"/>
            <w:gridSpan w:val="2"/>
          </w:tcPr>
          <w:p>
            <w:pPr>
              <w:ind w:left="40"/>
              <w:spacing w:after="0" w:line="145" w:lineRule="exact"/>
              <w:rPr>
                <w:sz w:val="20"/>
                <w:szCs w:val="20"/>
                <w:color w:val="auto"/>
              </w:rPr>
            </w:pPr>
            <w:r>
              <w:rPr>
                <w:rFonts w:ascii="Arial" w:cs="Arial" w:eastAsia="Arial" w:hAnsi="Arial"/>
                <w:sz w:val="13"/>
                <w:szCs w:val="13"/>
                <w:color w:val="auto"/>
              </w:rPr>
              <w:t>e)   to request approval by the Board of Directors regarding the adjustments to the Articles of</w:t>
            </w:r>
          </w:p>
        </w:tc>
        <w:tc>
          <w:tcPr>
            <w:tcW w:w="380" w:type="dxa"/>
            <w:vAlign w:val="bottom"/>
          </w:tcPr>
          <w:p>
            <w:pPr>
              <w:spacing w:after="0"/>
              <w:rPr>
                <w:sz w:val="12"/>
                <w:szCs w:val="12"/>
                <w:color w:val="auto"/>
              </w:rPr>
            </w:pPr>
          </w:p>
        </w:tc>
        <w:tc>
          <w:tcPr>
            <w:tcW w:w="5280" w:type="dxa"/>
            <w:vAlign w:val="bottom"/>
          </w:tcPr>
          <w:p>
            <w:pPr>
              <w:ind w:left="100"/>
              <w:spacing w:after="0" w:line="145" w:lineRule="exact"/>
              <w:rPr>
                <w:sz w:val="20"/>
                <w:szCs w:val="20"/>
                <w:color w:val="auto"/>
              </w:rPr>
            </w:pPr>
            <w:r>
              <w:rPr>
                <w:rFonts w:ascii="Arial" w:cs="Arial" w:eastAsia="Arial" w:hAnsi="Arial"/>
                <w:sz w:val="13"/>
                <w:szCs w:val="13"/>
                <w:color w:val="auto"/>
              </w:rPr>
              <w:t>à la rémunération; et</w:t>
            </w:r>
          </w:p>
        </w:tc>
        <w:tc>
          <w:tcPr>
            <w:tcW w:w="0" w:type="dxa"/>
            <w:vAlign w:val="bottom"/>
          </w:tcPr>
          <w:p>
            <w:pPr>
              <w:spacing w:after="0"/>
              <w:rPr>
                <w:sz w:val="1"/>
                <w:szCs w:val="1"/>
                <w:color w:val="auto"/>
              </w:rPr>
            </w:pPr>
          </w:p>
        </w:tc>
      </w:tr>
      <w:tr>
        <w:trPr>
          <w:trHeight w:val="157"/>
        </w:trPr>
        <w:tc>
          <w:tcPr>
            <w:tcW w:w="220" w:type="dxa"/>
            <w:vAlign w:val="bottom"/>
          </w:tcPr>
          <w:p>
            <w:pPr>
              <w:spacing w:after="0"/>
              <w:rPr>
                <w:sz w:val="13"/>
                <w:szCs w:val="13"/>
                <w:color w:val="auto"/>
              </w:rPr>
            </w:pPr>
          </w:p>
        </w:tc>
        <w:tc>
          <w:tcPr>
            <w:tcW w:w="5420" w:type="dxa"/>
            <w:vAlign w:val="bottom"/>
          </w:tcPr>
          <w:p>
            <w:pPr>
              <w:ind w:left="80"/>
              <w:spacing w:after="0"/>
              <w:rPr>
                <w:sz w:val="20"/>
                <w:szCs w:val="20"/>
                <w:color w:val="auto"/>
              </w:rPr>
            </w:pPr>
            <w:r>
              <w:rPr>
                <w:rFonts w:ascii="Arial" w:cs="Arial" w:eastAsia="Arial" w:hAnsi="Arial"/>
                <w:sz w:val="13"/>
                <w:szCs w:val="13"/>
                <w:color w:val="auto"/>
              </w:rPr>
              <w:t>Association relating to remuneration; and</w:t>
            </w:r>
          </w:p>
        </w:tc>
        <w:tc>
          <w:tcPr>
            <w:tcW w:w="380" w:type="dxa"/>
            <w:vAlign w:val="bottom"/>
          </w:tcPr>
          <w:p>
            <w:pPr>
              <w:spacing w:after="0"/>
              <w:rPr>
                <w:sz w:val="13"/>
                <w:szCs w:val="13"/>
                <w:color w:val="auto"/>
              </w:rPr>
            </w:pPr>
          </w:p>
        </w:tc>
        <w:tc>
          <w:tcPr>
            <w:tcW w:w="5280" w:type="dxa"/>
            <w:vAlign w:val="bottom"/>
          </w:tcPr>
          <w:p>
            <w:pPr>
              <w:spacing w:after="0"/>
              <w:rPr>
                <w:sz w:val="13"/>
                <w:szCs w:val="13"/>
                <w:color w:val="auto"/>
              </w:rPr>
            </w:pPr>
          </w:p>
        </w:tc>
        <w:tc>
          <w:tcPr>
            <w:tcW w:w="0" w:type="dxa"/>
            <w:vAlign w:val="bottom"/>
          </w:tcPr>
          <w:p>
            <w:pPr>
              <w:spacing w:after="0"/>
              <w:rPr>
                <w:sz w:val="1"/>
                <w:szCs w:val="1"/>
                <w:color w:val="auto"/>
              </w:rPr>
            </w:pPr>
          </w:p>
        </w:tc>
      </w:tr>
    </w:tbl>
    <w:p>
      <w:pPr>
        <w:ind w:left="5800"/>
        <w:spacing w:after="0" w:line="232" w:lineRule="auto"/>
        <w:tabs>
          <w:tab w:leader="none" w:pos="6000" w:val="left"/>
        </w:tabs>
        <w:rPr>
          <w:sz w:val="20"/>
          <w:szCs w:val="20"/>
          <w:color w:val="auto"/>
        </w:rPr>
      </w:pPr>
      <w:r>
        <w:rPr>
          <w:rFonts w:ascii="Arial" w:cs="Arial" w:eastAsia="Arial" w:hAnsi="Arial"/>
          <w:sz w:val="13"/>
          <w:szCs w:val="13"/>
          <w:color w:val="auto"/>
        </w:rPr>
        <w:t>f)</w:t>
        <w:tab/>
        <w:t>préparer le rapport de rémunération et de le soumettre au conseil d'administration.</w:t>
      </w:r>
    </w:p>
    <w:p>
      <w:pPr>
        <w:ind w:left="260" w:hanging="227"/>
        <w:spacing w:after="0"/>
        <w:tabs>
          <w:tab w:leader="none" w:pos="260" w:val="left"/>
        </w:tabs>
        <w:numPr>
          <w:ilvl w:val="0"/>
          <w:numId w:val="8"/>
        </w:numPr>
        <w:rPr>
          <w:rFonts w:ascii="Arial" w:cs="Arial" w:eastAsia="Arial" w:hAnsi="Arial"/>
          <w:sz w:val="13"/>
          <w:szCs w:val="13"/>
          <w:color w:val="auto"/>
        </w:rPr>
      </w:pPr>
      <w:r>
        <w:rPr>
          <w:rFonts w:ascii="Arial" w:cs="Arial" w:eastAsia="Arial" w:hAnsi="Arial"/>
          <w:sz w:val="13"/>
          <w:szCs w:val="13"/>
          <w:color w:val="auto"/>
        </w:rPr>
        <w:t>to prepare the Compensation Report and submit it to the Board of Directors.</w:t>
      </w:r>
    </w:p>
    <w:p>
      <w:pPr>
        <w:spacing w:after="0" w:line="228"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5"/>
          <w:szCs w:val="15"/>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12700</wp:posOffset>
            </wp:positionV>
            <wp:extent cx="7171690" cy="635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71690" cy="6350"/>
                    </a:xfrm>
                    <a:prstGeom prst="rect">
                      <a:avLst/>
                    </a:prstGeom>
                    <a:noFill/>
                  </pic:spPr>
                </pic:pic>
              </a:graphicData>
            </a:graphic>
          </wp:anchor>
        </w:drawing>
      </w:r>
    </w:p>
    <w:p>
      <w:pPr>
        <w:sectPr>
          <w:pgSz w:w="11900" w:h="16838" w:orient="portrait"/>
          <w:cols w:equalWidth="0" w:num="1">
            <w:col w:w="11300"/>
          </w:cols>
          <w:pgMar w:left="300" w:top="479" w:right="299" w:bottom="1440" w:gutter="0" w:footer="0" w:header="0"/>
        </w:sectPr>
      </w:pPr>
    </w:p>
    <w:bookmarkStart w:id="78" w:name="page79"/>
    <w:bookmarkEnd w:id="78"/>
    <w:tbl>
      <w:tblPr>
        <w:tblLayout w:type="fixed"/>
        <w:tblInd w:w="10" w:type="dxa"/>
        <w:tblCellMar>
          <w:top w:w="0" w:type="dxa"/>
          <w:left w:w="0" w:type="dxa"/>
          <w:bottom w:w="0" w:type="dxa"/>
          <w:right w:w="0" w:type="dxa"/>
        </w:tblCellMar>
      </w:tblPr>
      <w:tr>
        <w:trPr>
          <w:trHeight w:val="161"/>
        </w:trPr>
        <w:tc>
          <w:tcPr>
            <w:tcW w:w="5540" w:type="dxa"/>
            <w:vAlign w:val="bottom"/>
            <w:tcBorders>
              <w:top w:val="single" w:sz="8" w:color="auto"/>
              <w:left w:val="single" w:sz="8" w:color="auto"/>
              <w:right w:val="single" w:sz="8" w:color="auto"/>
            </w:tcBorders>
          </w:tcPr>
          <w:p>
            <w:pPr>
              <w:ind w:left="40"/>
              <w:spacing w:after="0"/>
              <w:rPr>
                <w:sz w:val="20"/>
                <w:szCs w:val="20"/>
                <w:color w:val="auto"/>
              </w:rPr>
            </w:pPr>
            <w:r>
              <w:rPr>
                <w:rFonts w:ascii="Arial" w:cs="Arial" w:eastAsia="Arial" w:hAnsi="Arial"/>
                <w:sz w:val="13"/>
                <w:szCs w:val="13"/>
                <w:color w:val="auto"/>
              </w:rPr>
              <w:t>The Board of Directors shall set out any further duties and responsibilities vested on the</w:t>
            </w:r>
          </w:p>
        </w:tc>
        <w:tc>
          <w:tcPr>
            <w:tcW w:w="240" w:type="dxa"/>
            <w:vAlign w:val="bottom"/>
            <w:tcBorders>
              <w:top w:val="single" w:sz="8" w:color="auto"/>
              <w:right w:val="single" w:sz="8" w:color="auto"/>
            </w:tcBorders>
          </w:tcPr>
          <w:p>
            <w:pPr>
              <w:spacing w:after="0"/>
              <w:rPr>
                <w:sz w:val="14"/>
                <w:szCs w:val="14"/>
                <w:color w:val="auto"/>
              </w:rPr>
            </w:pPr>
          </w:p>
        </w:tc>
        <w:tc>
          <w:tcPr>
            <w:tcW w:w="5520" w:type="dxa"/>
            <w:vAlign w:val="bottom"/>
            <w:tcBorders>
              <w:top w:val="single" w:sz="8" w:color="auto"/>
              <w:right w:val="single" w:sz="8" w:color="auto"/>
            </w:tcBorders>
          </w:tcPr>
          <w:p>
            <w:pPr>
              <w:ind w:left="20"/>
              <w:spacing w:after="0"/>
              <w:rPr>
                <w:sz w:val="20"/>
                <w:szCs w:val="20"/>
                <w:color w:val="auto"/>
              </w:rPr>
            </w:pPr>
            <w:r>
              <w:rPr>
                <w:rFonts w:ascii="Arial" w:cs="Arial" w:eastAsia="Arial" w:hAnsi="Arial"/>
                <w:sz w:val="13"/>
                <w:szCs w:val="13"/>
                <w:color w:val="auto"/>
                <w:w w:val="98"/>
              </w:rPr>
              <w:t>Le conseil d'administration fixe toutes les autres fonctions et responsabilités dévolues au comité</w:t>
            </w:r>
          </w:p>
        </w:tc>
      </w:tr>
      <w:tr>
        <w:trPr>
          <w:trHeight w:val="173"/>
        </w:trPr>
        <w:tc>
          <w:tcPr>
            <w:tcW w:w="554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3"/>
                <w:szCs w:val="13"/>
                <w:color w:val="auto"/>
              </w:rPr>
              <w:t>Compensation Committee in the Company's Organizational Rules.</w:t>
            </w:r>
          </w:p>
        </w:tc>
        <w:tc>
          <w:tcPr>
            <w:tcW w:w="240" w:type="dxa"/>
            <w:vAlign w:val="bottom"/>
            <w:tcBorders>
              <w:bottom w:val="single" w:sz="8" w:color="auto"/>
              <w:right w:val="single" w:sz="8" w:color="auto"/>
            </w:tcBorders>
          </w:tcPr>
          <w:p>
            <w:pPr>
              <w:spacing w:after="0"/>
              <w:rPr>
                <w:sz w:val="15"/>
                <w:szCs w:val="15"/>
                <w:color w:val="auto"/>
              </w:rPr>
            </w:pPr>
          </w:p>
        </w:tc>
        <w:tc>
          <w:tcPr>
            <w:tcW w:w="55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3"/>
                <w:szCs w:val="13"/>
                <w:color w:val="auto"/>
              </w:rPr>
              <w:t>de rémunération dans le règlement d'organisation de la société.</w:t>
            </w:r>
          </w:p>
        </w:tc>
      </w:tr>
      <w:tr>
        <w:trPr>
          <w:trHeight w:val="145"/>
        </w:trPr>
        <w:tc>
          <w:tcPr>
            <w:tcW w:w="5540" w:type="dxa"/>
            <w:vAlign w:val="bottom"/>
            <w:tcBorders>
              <w:left w:val="single" w:sz="8" w:color="auto"/>
              <w:right w:val="single" w:sz="8" w:color="auto"/>
            </w:tcBorders>
          </w:tcPr>
          <w:p>
            <w:pPr>
              <w:ind w:left="40"/>
              <w:spacing w:after="0" w:line="146" w:lineRule="exact"/>
              <w:rPr>
                <w:sz w:val="20"/>
                <w:szCs w:val="20"/>
                <w:color w:val="auto"/>
              </w:rPr>
            </w:pPr>
            <w:r>
              <w:rPr>
                <w:rFonts w:ascii="Arial" w:cs="Arial" w:eastAsia="Arial" w:hAnsi="Arial"/>
                <w:sz w:val="13"/>
                <w:szCs w:val="13"/>
                <w:color w:val="auto"/>
              </w:rPr>
              <w:t>If there are vacancies on the Compensation Committee, the Board of Directors may appoint</w:t>
            </w:r>
          </w:p>
        </w:tc>
        <w:tc>
          <w:tcPr>
            <w:tcW w:w="240" w:type="dxa"/>
            <w:vAlign w:val="bottom"/>
            <w:tcBorders>
              <w:right w:val="single" w:sz="8" w:color="auto"/>
            </w:tcBorders>
          </w:tcPr>
          <w:p>
            <w:pPr>
              <w:spacing w:after="0"/>
              <w:rPr>
                <w:sz w:val="12"/>
                <w:szCs w:val="12"/>
                <w:color w:val="auto"/>
              </w:rPr>
            </w:pPr>
          </w:p>
        </w:tc>
        <w:tc>
          <w:tcPr>
            <w:tcW w:w="5520" w:type="dxa"/>
            <w:vAlign w:val="bottom"/>
            <w:tcBorders>
              <w:right w:val="single" w:sz="8" w:color="auto"/>
            </w:tcBorders>
          </w:tcPr>
          <w:p>
            <w:pPr>
              <w:ind w:left="20"/>
              <w:spacing w:after="0" w:line="146" w:lineRule="exact"/>
              <w:rPr>
                <w:sz w:val="20"/>
                <w:szCs w:val="20"/>
                <w:color w:val="auto"/>
              </w:rPr>
            </w:pPr>
            <w:r>
              <w:rPr>
                <w:rFonts w:ascii="Arial" w:cs="Arial" w:eastAsia="Arial" w:hAnsi="Arial"/>
                <w:sz w:val="13"/>
                <w:szCs w:val="13"/>
                <w:color w:val="auto"/>
              </w:rPr>
              <w:t>S'il y a des postes vacants au sein du comité de rémunération, le conseil d'administration peut</w:t>
            </w:r>
          </w:p>
        </w:tc>
      </w:tr>
      <w:tr>
        <w:trPr>
          <w:trHeight w:val="173"/>
        </w:trPr>
        <w:tc>
          <w:tcPr>
            <w:tcW w:w="554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3"/>
                <w:szCs w:val="13"/>
                <w:color w:val="auto"/>
              </w:rPr>
              <w:t>substitutes from amongst its members for the remaining term of office.</w:t>
            </w:r>
          </w:p>
        </w:tc>
        <w:tc>
          <w:tcPr>
            <w:tcW w:w="240" w:type="dxa"/>
            <w:vAlign w:val="bottom"/>
            <w:tcBorders>
              <w:bottom w:val="single" w:sz="8" w:color="auto"/>
              <w:right w:val="single" w:sz="8" w:color="auto"/>
            </w:tcBorders>
          </w:tcPr>
          <w:p>
            <w:pPr>
              <w:spacing w:after="0"/>
              <w:rPr>
                <w:sz w:val="15"/>
                <w:szCs w:val="15"/>
                <w:color w:val="auto"/>
              </w:rPr>
            </w:pPr>
          </w:p>
        </w:tc>
        <w:tc>
          <w:tcPr>
            <w:tcW w:w="55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3"/>
                <w:szCs w:val="13"/>
                <w:color w:val="auto"/>
              </w:rPr>
              <w:t>désigner des substituts parmi ses membres pour la durée restante du terme de fonction.</w:t>
            </w:r>
          </w:p>
        </w:tc>
      </w:tr>
      <w:tr>
        <w:trPr>
          <w:trHeight w:val="173"/>
        </w:trPr>
        <w:tc>
          <w:tcPr>
            <w:tcW w:w="554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3"/>
                <w:szCs w:val="13"/>
                <w:color w:val="auto"/>
              </w:rPr>
              <w:t>The Board of Directors shall elect a chairman of the Compensation Committee.</w:t>
            </w:r>
          </w:p>
        </w:tc>
        <w:tc>
          <w:tcPr>
            <w:tcW w:w="240" w:type="dxa"/>
            <w:vAlign w:val="bottom"/>
            <w:tcBorders>
              <w:bottom w:val="single" w:sz="8" w:color="auto"/>
              <w:right w:val="single" w:sz="8" w:color="auto"/>
            </w:tcBorders>
          </w:tcPr>
          <w:p>
            <w:pPr>
              <w:spacing w:after="0"/>
              <w:rPr>
                <w:sz w:val="15"/>
                <w:szCs w:val="15"/>
                <w:color w:val="auto"/>
              </w:rPr>
            </w:pPr>
          </w:p>
        </w:tc>
        <w:tc>
          <w:tcPr>
            <w:tcW w:w="55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3"/>
                <w:szCs w:val="13"/>
                <w:color w:val="auto"/>
              </w:rPr>
              <w:t>Le conseil d'administration élit un président du comité de rémunération.</w:t>
            </w:r>
          </w:p>
        </w:tc>
      </w:tr>
      <w:tr>
        <w:trPr>
          <w:trHeight w:val="177"/>
        </w:trPr>
        <w:tc>
          <w:tcPr>
            <w:tcW w:w="554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3"/>
                <w:szCs w:val="13"/>
                <w:b w:val="1"/>
                <w:bCs w:val="1"/>
                <w:color w:val="auto"/>
              </w:rPr>
              <w:t>Art. 29  Indemnification</w:t>
            </w:r>
          </w:p>
        </w:tc>
        <w:tc>
          <w:tcPr>
            <w:tcW w:w="240" w:type="dxa"/>
            <w:vAlign w:val="bottom"/>
            <w:tcBorders>
              <w:bottom w:val="single" w:sz="8" w:color="auto"/>
              <w:right w:val="single" w:sz="8" w:color="auto"/>
            </w:tcBorders>
          </w:tcPr>
          <w:p>
            <w:pPr>
              <w:spacing w:after="0"/>
              <w:rPr>
                <w:sz w:val="15"/>
                <w:szCs w:val="15"/>
                <w:color w:val="auto"/>
              </w:rPr>
            </w:pPr>
          </w:p>
        </w:tc>
        <w:tc>
          <w:tcPr>
            <w:tcW w:w="55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3"/>
                <w:szCs w:val="13"/>
                <w:b w:val="1"/>
                <w:bCs w:val="1"/>
                <w:color w:val="auto"/>
              </w:rPr>
              <w:t>Art. 29  Indemnisation</w:t>
            </w:r>
          </w:p>
        </w:tc>
      </w:tr>
      <w:tr>
        <w:trPr>
          <w:trHeight w:val="141"/>
        </w:trPr>
        <w:tc>
          <w:tcPr>
            <w:tcW w:w="5540" w:type="dxa"/>
            <w:vAlign w:val="bottom"/>
            <w:tcBorders>
              <w:left w:val="single" w:sz="8" w:color="auto"/>
              <w:right w:val="single" w:sz="8" w:color="auto"/>
            </w:tcBorders>
          </w:tcPr>
          <w:p>
            <w:pPr>
              <w:ind w:left="40"/>
              <w:spacing w:after="0" w:line="141" w:lineRule="exact"/>
              <w:rPr>
                <w:sz w:val="20"/>
                <w:szCs w:val="20"/>
                <w:color w:val="auto"/>
              </w:rPr>
            </w:pPr>
            <w:r>
              <w:rPr>
                <w:rFonts w:ascii="Arial" w:cs="Arial" w:eastAsia="Arial" w:hAnsi="Arial"/>
                <w:sz w:val="13"/>
                <w:szCs w:val="13"/>
                <w:color w:val="auto"/>
              </w:rPr>
              <w:t>As far as is permissible under applicable law, the Company shall indemnify any current or</w:t>
            </w:r>
          </w:p>
        </w:tc>
        <w:tc>
          <w:tcPr>
            <w:tcW w:w="240" w:type="dxa"/>
            <w:vAlign w:val="bottom"/>
            <w:tcBorders>
              <w:right w:val="single" w:sz="8" w:color="auto"/>
            </w:tcBorders>
          </w:tcPr>
          <w:p>
            <w:pPr>
              <w:spacing w:after="0"/>
              <w:rPr>
                <w:sz w:val="12"/>
                <w:szCs w:val="12"/>
                <w:color w:val="auto"/>
              </w:rPr>
            </w:pPr>
          </w:p>
        </w:tc>
        <w:tc>
          <w:tcPr>
            <w:tcW w:w="5520" w:type="dxa"/>
            <w:vAlign w:val="bottom"/>
            <w:tcBorders>
              <w:right w:val="single" w:sz="8" w:color="auto"/>
            </w:tcBorders>
          </w:tcPr>
          <w:p>
            <w:pPr>
              <w:ind w:left="20"/>
              <w:spacing w:after="0" w:line="141" w:lineRule="exact"/>
              <w:rPr>
                <w:sz w:val="20"/>
                <w:szCs w:val="20"/>
                <w:color w:val="auto"/>
              </w:rPr>
            </w:pPr>
            <w:r>
              <w:rPr>
                <w:rFonts w:ascii="Arial" w:cs="Arial" w:eastAsia="Arial" w:hAnsi="Arial"/>
                <w:sz w:val="13"/>
                <w:szCs w:val="13"/>
                <w:color w:val="auto"/>
              </w:rPr>
              <w:t>Dans la mesure permise par la loi applicable, la société indemnisera tout membre actuel ou</w:t>
            </w:r>
          </w:p>
        </w:tc>
      </w:tr>
      <w:tr>
        <w:trPr>
          <w:trHeight w:val="145"/>
        </w:trPr>
        <w:tc>
          <w:tcPr>
            <w:tcW w:w="5540" w:type="dxa"/>
            <w:vAlign w:val="bottom"/>
            <w:tcBorders>
              <w:left w:val="single" w:sz="8" w:color="auto"/>
              <w:right w:val="single" w:sz="8" w:color="auto"/>
            </w:tcBorders>
          </w:tcPr>
          <w:p>
            <w:pPr>
              <w:ind w:left="40"/>
              <w:spacing w:after="0" w:line="145" w:lineRule="exact"/>
              <w:rPr>
                <w:sz w:val="20"/>
                <w:szCs w:val="20"/>
                <w:color w:val="auto"/>
              </w:rPr>
            </w:pPr>
            <w:r>
              <w:rPr>
                <w:rFonts w:ascii="Arial" w:cs="Arial" w:eastAsia="Arial" w:hAnsi="Arial"/>
                <w:sz w:val="13"/>
                <w:szCs w:val="13"/>
                <w:color w:val="auto"/>
              </w:rPr>
              <w:t>former member of the Board of Directors, former members of the Executive Committee, or any</w:t>
            </w:r>
          </w:p>
        </w:tc>
        <w:tc>
          <w:tcPr>
            <w:tcW w:w="240" w:type="dxa"/>
            <w:vAlign w:val="bottom"/>
            <w:tcBorders>
              <w:right w:val="single" w:sz="8" w:color="auto"/>
            </w:tcBorders>
          </w:tcPr>
          <w:p>
            <w:pPr>
              <w:spacing w:after="0"/>
              <w:rPr>
                <w:sz w:val="12"/>
                <w:szCs w:val="12"/>
                <w:color w:val="auto"/>
              </w:rPr>
            </w:pPr>
          </w:p>
        </w:tc>
        <w:tc>
          <w:tcPr>
            <w:tcW w:w="5520" w:type="dxa"/>
            <w:vAlign w:val="bottom"/>
            <w:tcBorders>
              <w:right w:val="single" w:sz="8" w:color="auto"/>
            </w:tcBorders>
          </w:tcPr>
          <w:p>
            <w:pPr>
              <w:ind w:left="20"/>
              <w:spacing w:after="0" w:line="145" w:lineRule="exact"/>
              <w:rPr>
                <w:sz w:val="20"/>
                <w:szCs w:val="20"/>
                <w:color w:val="auto"/>
              </w:rPr>
            </w:pPr>
            <w:r>
              <w:rPr>
                <w:rFonts w:ascii="Arial" w:cs="Arial" w:eastAsia="Arial" w:hAnsi="Arial"/>
                <w:sz w:val="13"/>
                <w:szCs w:val="13"/>
                <w:color w:val="auto"/>
              </w:rPr>
              <w:t>ancien du conseil d'administration, les anciens membres du comité exécutif, ou toute personne</w:t>
            </w:r>
          </w:p>
        </w:tc>
      </w:tr>
      <w:tr>
        <w:trPr>
          <w:trHeight w:val="145"/>
        </w:trPr>
        <w:tc>
          <w:tcPr>
            <w:tcW w:w="5540" w:type="dxa"/>
            <w:vAlign w:val="bottom"/>
            <w:tcBorders>
              <w:left w:val="single" w:sz="8" w:color="auto"/>
              <w:right w:val="single" w:sz="8" w:color="auto"/>
            </w:tcBorders>
          </w:tcPr>
          <w:p>
            <w:pPr>
              <w:ind w:left="40"/>
              <w:spacing w:after="0" w:line="145" w:lineRule="exact"/>
              <w:rPr>
                <w:sz w:val="20"/>
                <w:szCs w:val="20"/>
                <w:color w:val="auto"/>
              </w:rPr>
            </w:pPr>
            <w:r>
              <w:rPr>
                <w:rFonts w:ascii="Arial" w:cs="Arial" w:eastAsia="Arial" w:hAnsi="Arial"/>
                <w:sz w:val="13"/>
                <w:szCs w:val="13"/>
                <w:color w:val="auto"/>
              </w:rPr>
              <w:t>person who is serving or has served at the request of the Company as a member of the Board</w:t>
            </w:r>
          </w:p>
        </w:tc>
        <w:tc>
          <w:tcPr>
            <w:tcW w:w="240" w:type="dxa"/>
            <w:vAlign w:val="bottom"/>
            <w:tcBorders>
              <w:right w:val="single" w:sz="8" w:color="auto"/>
            </w:tcBorders>
          </w:tcPr>
          <w:p>
            <w:pPr>
              <w:spacing w:after="0"/>
              <w:rPr>
                <w:sz w:val="12"/>
                <w:szCs w:val="12"/>
                <w:color w:val="auto"/>
              </w:rPr>
            </w:pPr>
          </w:p>
        </w:tc>
        <w:tc>
          <w:tcPr>
            <w:tcW w:w="5520" w:type="dxa"/>
            <w:vAlign w:val="bottom"/>
            <w:tcBorders>
              <w:right w:val="single" w:sz="8" w:color="auto"/>
            </w:tcBorders>
          </w:tcPr>
          <w:p>
            <w:pPr>
              <w:ind w:left="20"/>
              <w:spacing w:after="0" w:line="145" w:lineRule="exact"/>
              <w:rPr>
                <w:sz w:val="20"/>
                <w:szCs w:val="20"/>
                <w:color w:val="auto"/>
              </w:rPr>
            </w:pPr>
            <w:r>
              <w:rPr>
                <w:rFonts w:ascii="Arial" w:cs="Arial" w:eastAsia="Arial" w:hAnsi="Arial"/>
                <w:sz w:val="13"/>
                <w:szCs w:val="13"/>
                <w:color w:val="auto"/>
              </w:rPr>
              <w:t>qui sert ou a servi à la demande de la société en tant que membre du conseil d'administration</w:t>
            </w:r>
          </w:p>
        </w:tc>
      </w:tr>
      <w:tr>
        <w:trPr>
          <w:trHeight w:val="145"/>
        </w:trPr>
        <w:tc>
          <w:tcPr>
            <w:tcW w:w="5540" w:type="dxa"/>
            <w:vAlign w:val="bottom"/>
            <w:tcBorders>
              <w:left w:val="single" w:sz="8" w:color="auto"/>
              <w:right w:val="single" w:sz="8" w:color="auto"/>
            </w:tcBorders>
          </w:tcPr>
          <w:p>
            <w:pPr>
              <w:ind w:left="40"/>
              <w:spacing w:after="0" w:line="145" w:lineRule="exact"/>
              <w:rPr>
                <w:sz w:val="20"/>
                <w:szCs w:val="20"/>
                <w:color w:val="auto"/>
              </w:rPr>
            </w:pPr>
            <w:r>
              <w:rPr>
                <w:rFonts w:ascii="Arial" w:cs="Arial" w:eastAsia="Arial" w:hAnsi="Arial"/>
                <w:sz w:val="13"/>
                <w:szCs w:val="13"/>
                <w:color w:val="auto"/>
              </w:rPr>
              <w:t>of Directors or member of the Executive Committee (each individually, a "Covered Person"),</w:t>
            </w:r>
          </w:p>
        </w:tc>
        <w:tc>
          <w:tcPr>
            <w:tcW w:w="240" w:type="dxa"/>
            <w:vAlign w:val="bottom"/>
            <w:tcBorders>
              <w:right w:val="single" w:sz="8" w:color="auto"/>
            </w:tcBorders>
          </w:tcPr>
          <w:p>
            <w:pPr>
              <w:spacing w:after="0"/>
              <w:rPr>
                <w:sz w:val="12"/>
                <w:szCs w:val="12"/>
                <w:color w:val="auto"/>
              </w:rPr>
            </w:pPr>
          </w:p>
        </w:tc>
        <w:tc>
          <w:tcPr>
            <w:tcW w:w="5520" w:type="dxa"/>
            <w:vAlign w:val="bottom"/>
            <w:tcBorders>
              <w:right w:val="single" w:sz="8" w:color="auto"/>
            </w:tcBorders>
          </w:tcPr>
          <w:p>
            <w:pPr>
              <w:ind w:left="20"/>
              <w:spacing w:after="0" w:line="145" w:lineRule="exact"/>
              <w:rPr>
                <w:sz w:val="20"/>
                <w:szCs w:val="20"/>
                <w:color w:val="auto"/>
              </w:rPr>
            </w:pPr>
            <w:r>
              <w:rPr>
                <w:rFonts w:ascii="Arial" w:cs="Arial" w:eastAsia="Arial" w:hAnsi="Arial"/>
                <w:sz w:val="13"/>
                <w:szCs w:val="13"/>
                <w:color w:val="auto"/>
                <w:w w:val="99"/>
              </w:rPr>
              <w:t>ou membre du comité exécutif (chacun individuellement, une "Personne Couverte"), pour toutes</w:t>
            </w:r>
          </w:p>
        </w:tc>
      </w:tr>
      <w:tr>
        <w:trPr>
          <w:trHeight w:val="145"/>
        </w:trPr>
        <w:tc>
          <w:tcPr>
            <w:tcW w:w="5540" w:type="dxa"/>
            <w:vAlign w:val="bottom"/>
            <w:tcBorders>
              <w:left w:val="single" w:sz="8" w:color="auto"/>
              <w:right w:val="single" w:sz="8" w:color="auto"/>
            </w:tcBorders>
          </w:tcPr>
          <w:p>
            <w:pPr>
              <w:ind w:left="40"/>
              <w:spacing w:after="0" w:line="145" w:lineRule="exact"/>
              <w:rPr>
                <w:sz w:val="20"/>
                <w:szCs w:val="20"/>
                <w:color w:val="auto"/>
              </w:rPr>
            </w:pPr>
            <w:r>
              <w:rPr>
                <w:rFonts w:ascii="Arial" w:cs="Arial" w:eastAsia="Arial" w:hAnsi="Arial"/>
                <w:sz w:val="13"/>
                <w:szCs w:val="13"/>
                <w:color w:val="auto"/>
              </w:rPr>
              <w:t>against any expenses, including attorneys' fees, judgments, fines, and amounts paid in</w:t>
            </w:r>
          </w:p>
        </w:tc>
        <w:tc>
          <w:tcPr>
            <w:tcW w:w="240" w:type="dxa"/>
            <w:vAlign w:val="bottom"/>
            <w:tcBorders>
              <w:right w:val="single" w:sz="8" w:color="auto"/>
            </w:tcBorders>
          </w:tcPr>
          <w:p>
            <w:pPr>
              <w:spacing w:after="0"/>
              <w:rPr>
                <w:sz w:val="12"/>
                <w:szCs w:val="12"/>
                <w:color w:val="auto"/>
              </w:rPr>
            </w:pPr>
          </w:p>
        </w:tc>
        <w:tc>
          <w:tcPr>
            <w:tcW w:w="5520" w:type="dxa"/>
            <w:vAlign w:val="bottom"/>
            <w:tcBorders>
              <w:right w:val="single" w:sz="8" w:color="auto"/>
            </w:tcBorders>
          </w:tcPr>
          <w:p>
            <w:pPr>
              <w:ind w:left="20"/>
              <w:spacing w:after="0" w:line="145" w:lineRule="exact"/>
              <w:rPr>
                <w:sz w:val="20"/>
                <w:szCs w:val="20"/>
                <w:color w:val="auto"/>
              </w:rPr>
            </w:pPr>
            <w:r>
              <w:rPr>
                <w:rFonts w:ascii="Arial" w:cs="Arial" w:eastAsia="Arial" w:hAnsi="Arial"/>
                <w:sz w:val="13"/>
                <w:szCs w:val="13"/>
                <w:color w:val="auto"/>
              </w:rPr>
              <w:t>les dépenses, y compris les honoraires d'avocat, jugements, amendes, et montants versés</w:t>
            </w:r>
          </w:p>
        </w:tc>
      </w:tr>
      <w:tr>
        <w:trPr>
          <w:trHeight w:val="145"/>
        </w:trPr>
        <w:tc>
          <w:tcPr>
            <w:tcW w:w="5540" w:type="dxa"/>
            <w:vAlign w:val="bottom"/>
            <w:tcBorders>
              <w:left w:val="single" w:sz="8" w:color="auto"/>
              <w:right w:val="single" w:sz="8" w:color="auto"/>
            </w:tcBorders>
          </w:tcPr>
          <w:p>
            <w:pPr>
              <w:ind w:left="40"/>
              <w:spacing w:after="0" w:line="145" w:lineRule="exact"/>
              <w:rPr>
                <w:sz w:val="20"/>
                <w:szCs w:val="20"/>
                <w:color w:val="auto"/>
              </w:rPr>
            </w:pPr>
            <w:r>
              <w:rPr>
                <w:rFonts w:ascii="Arial" w:cs="Arial" w:eastAsia="Arial" w:hAnsi="Arial"/>
                <w:sz w:val="13"/>
                <w:szCs w:val="13"/>
                <w:color w:val="auto"/>
              </w:rPr>
              <w:t>settlement actually and reasonably incurred by him or her in connection with any threatened,</w:t>
            </w:r>
          </w:p>
        </w:tc>
        <w:tc>
          <w:tcPr>
            <w:tcW w:w="240" w:type="dxa"/>
            <w:vAlign w:val="bottom"/>
            <w:tcBorders>
              <w:right w:val="single" w:sz="8" w:color="auto"/>
            </w:tcBorders>
          </w:tcPr>
          <w:p>
            <w:pPr>
              <w:spacing w:after="0"/>
              <w:rPr>
                <w:sz w:val="12"/>
                <w:szCs w:val="12"/>
                <w:color w:val="auto"/>
              </w:rPr>
            </w:pPr>
          </w:p>
        </w:tc>
        <w:tc>
          <w:tcPr>
            <w:tcW w:w="5520" w:type="dxa"/>
            <w:vAlign w:val="bottom"/>
            <w:tcBorders>
              <w:right w:val="single" w:sz="8" w:color="auto"/>
            </w:tcBorders>
          </w:tcPr>
          <w:p>
            <w:pPr>
              <w:ind w:left="20"/>
              <w:spacing w:after="0" w:line="145" w:lineRule="exact"/>
              <w:rPr>
                <w:sz w:val="20"/>
                <w:szCs w:val="20"/>
                <w:color w:val="auto"/>
              </w:rPr>
            </w:pPr>
            <w:r>
              <w:rPr>
                <w:rFonts w:ascii="Arial" w:cs="Arial" w:eastAsia="Arial" w:hAnsi="Arial"/>
                <w:sz w:val="13"/>
                <w:szCs w:val="13"/>
                <w:color w:val="auto"/>
              </w:rPr>
              <w:t>effectivement et raisonnablement à titre de règlement dans le cadre de toute action, poursuite</w:t>
            </w:r>
          </w:p>
        </w:tc>
      </w:tr>
      <w:tr>
        <w:trPr>
          <w:trHeight w:val="145"/>
        </w:trPr>
        <w:tc>
          <w:tcPr>
            <w:tcW w:w="5540" w:type="dxa"/>
            <w:vAlign w:val="bottom"/>
            <w:tcBorders>
              <w:left w:val="single" w:sz="8" w:color="auto"/>
              <w:right w:val="single" w:sz="8" w:color="auto"/>
            </w:tcBorders>
          </w:tcPr>
          <w:p>
            <w:pPr>
              <w:ind w:left="40"/>
              <w:spacing w:after="0" w:line="145" w:lineRule="exact"/>
              <w:rPr>
                <w:sz w:val="20"/>
                <w:szCs w:val="20"/>
                <w:color w:val="auto"/>
              </w:rPr>
            </w:pPr>
            <w:r>
              <w:rPr>
                <w:rFonts w:ascii="Arial" w:cs="Arial" w:eastAsia="Arial" w:hAnsi="Arial"/>
                <w:sz w:val="13"/>
                <w:szCs w:val="13"/>
                <w:color w:val="auto"/>
              </w:rPr>
              <w:t>pending, or completed action, suit or proceeding, whether civil, criminal or administrative, to</w:t>
            </w:r>
          </w:p>
        </w:tc>
        <w:tc>
          <w:tcPr>
            <w:tcW w:w="240" w:type="dxa"/>
            <w:vAlign w:val="bottom"/>
            <w:tcBorders>
              <w:right w:val="single" w:sz="8" w:color="auto"/>
            </w:tcBorders>
          </w:tcPr>
          <w:p>
            <w:pPr>
              <w:spacing w:after="0"/>
              <w:rPr>
                <w:sz w:val="12"/>
                <w:szCs w:val="12"/>
                <w:color w:val="auto"/>
              </w:rPr>
            </w:pPr>
          </w:p>
        </w:tc>
        <w:tc>
          <w:tcPr>
            <w:tcW w:w="5520" w:type="dxa"/>
            <w:vAlign w:val="bottom"/>
            <w:tcBorders>
              <w:right w:val="single" w:sz="8" w:color="auto"/>
            </w:tcBorders>
          </w:tcPr>
          <w:p>
            <w:pPr>
              <w:ind w:left="20"/>
              <w:spacing w:after="0" w:line="145" w:lineRule="exact"/>
              <w:rPr>
                <w:sz w:val="20"/>
                <w:szCs w:val="20"/>
                <w:color w:val="auto"/>
              </w:rPr>
            </w:pPr>
            <w:r>
              <w:rPr>
                <w:rFonts w:ascii="Arial" w:cs="Arial" w:eastAsia="Arial" w:hAnsi="Arial"/>
                <w:sz w:val="13"/>
                <w:szCs w:val="13"/>
                <w:color w:val="auto"/>
              </w:rPr>
              <w:t>ou procédure imminente, pendante ou terminée, qu'elle soit civile, pénale ou administrative, à</w:t>
            </w:r>
          </w:p>
        </w:tc>
      </w:tr>
      <w:tr>
        <w:trPr>
          <w:trHeight w:val="145"/>
        </w:trPr>
        <w:tc>
          <w:tcPr>
            <w:tcW w:w="5540" w:type="dxa"/>
            <w:vAlign w:val="bottom"/>
            <w:tcBorders>
              <w:left w:val="single" w:sz="8" w:color="auto"/>
              <w:right w:val="single" w:sz="8" w:color="auto"/>
            </w:tcBorders>
          </w:tcPr>
          <w:p>
            <w:pPr>
              <w:ind w:left="40"/>
              <w:spacing w:after="0" w:line="145" w:lineRule="exact"/>
              <w:rPr>
                <w:sz w:val="20"/>
                <w:szCs w:val="20"/>
                <w:color w:val="auto"/>
              </w:rPr>
            </w:pPr>
            <w:r>
              <w:rPr>
                <w:rFonts w:ascii="Arial" w:cs="Arial" w:eastAsia="Arial" w:hAnsi="Arial"/>
                <w:sz w:val="13"/>
                <w:szCs w:val="13"/>
                <w:color w:val="auto"/>
              </w:rPr>
              <w:t>which he or she was, is, or is threatened to be made a party, or is otherwise involved (a</w:t>
            </w:r>
          </w:p>
        </w:tc>
        <w:tc>
          <w:tcPr>
            <w:tcW w:w="240" w:type="dxa"/>
            <w:vAlign w:val="bottom"/>
            <w:tcBorders>
              <w:right w:val="single" w:sz="8" w:color="auto"/>
            </w:tcBorders>
          </w:tcPr>
          <w:p>
            <w:pPr>
              <w:spacing w:after="0"/>
              <w:rPr>
                <w:sz w:val="12"/>
                <w:szCs w:val="12"/>
                <w:color w:val="auto"/>
              </w:rPr>
            </w:pPr>
          </w:p>
        </w:tc>
        <w:tc>
          <w:tcPr>
            <w:tcW w:w="5520" w:type="dxa"/>
            <w:vAlign w:val="bottom"/>
            <w:tcBorders>
              <w:right w:val="single" w:sz="8" w:color="auto"/>
            </w:tcBorders>
          </w:tcPr>
          <w:p>
            <w:pPr>
              <w:ind w:left="20"/>
              <w:spacing w:after="0" w:line="145" w:lineRule="exact"/>
              <w:rPr>
                <w:sz w:val="20"/>
                <w:szCs w:val="20"/>
                <w:color w:val="auto"/>
              </w:rPr>
            </w:pPr>
            <w:r>
              <w:rPr>
                <w:rFonts w:ascii="Arial" w:cs="Arial" w:eastAsia="Arial" w:hAnsi="Arial"/>
                <w:sz w:val="13"/>
                <w:szCs w:val="13"/>
                <w:color w:val="auto"/>
                <w:w w:val="99"/>
              </w:rPr>
              <w:t>laquelle il ou elle a été, est, ou est menacé d'être partie, ou est impliqué de toute autre manière</w:t>
            </w:r>
          </w:p>
        </w:tc>
      </w:tr>
      <w:tr>
        <w:trPr>
          <w:trHeight w:val="145"/>
        </w:trPr>
        <w:tc>
          <w:tcPr>
            <w:tcW w:w="5540" w:type="dxa"/>
            <w:vAlign w:val="bottom"/>
            <w:tcBorders>
              <w:left w:val="single" w:sz="8" w:color="auto"/>
              <w:right w:val="single" w:sz="8" w:color="auto"/>
            </w:tcBorders>
          </w:tcPr>
          <w:p>
            <w:pPr>
              <w:ind w:left="40"/>
              <w:spacing w:after="0" w:line="145" w:lineRule="exact"/>
              <w:rPr>
                <w:sz w:val="20"/>
                <w:szCs w:val="20"/>
                <w:color w:val="auto"/>
              </w:rPr>
            </w:pPr>
            <w:r>
              <w:rPr>
                <w:rFonts w:ascii="Arial" w:cs="Arial" w:eastAsia="Arial" w:hAnsi="Arial"/>
                <w:sz w:val="13"/>
                <w:szCs w:val="13"/>
                <w:color w:val="auto"/>
              </w:rPr>
              <w:t>"Proceeding"). This provision shall not indemnify any Covered Person against any liability</w:t>
            </w:r>
          </w:p>
        </w:tc>
        <w:tc>
          <w:tcPr>
            <w:tcW w:w="240" w:type="dxa"/>
            <w:vAlign w:val="bottom"/>
            <w:tcBorders>
              <w:right w:val="single" w:sz="8" w:color="auto"/>
            </w:tcBorders>
          </w:tcPr>
          <w:p>
            <w:pPr>
              <w:spacing w:after="0"/>
              <w:rPr>
                <w:sz w:val="12"/>
                <w:szCs w:val="12"/>
                <w:color w:val="auto"/>
              </w:rPr>
            </w:pPr>
          </w:p>
        </w:tc>
        <w:tc>
          <w:tcPr>
            <w:tcW w:w="5520" w:type="dxa"/>
            <w:vAlign w:val="bottom"/>
            <w:tcBorders>
              <w:right w:val="single" w:sz="8" w:color="auto"/>
            </w:tcBorders>
          </w:tcPr>
          <w:p>
            <w:pPr>
              <w:ind w:left="20"/>
              <w:spacing w:after="0" w:line="145" w:lineRule="exact"/>
              <w:rPr>
                <w:sz w:val="20"/>
                <w:szCs w:val="20"/>
                <w:color w:val="auto"/>
              </w:rPr>
            </w:pPr>
            <w:r>
              <w:rPr>
                <w:rFonts w:ascii="Arial" w:cs="Arial" w:eastAsia="Arial" w:hAnsi="Arial"/>
                <w:sz w:val="13"/>
                <w:szCs w:val="13"/>
                <w:color w:val="auto"/>
                <w:w w:val="99"/>
              </w:rPr>
              <w:t>(une "Procédure"). Cette disposition ne doit pas indemniser une Personne Couverte contre une</w:t>
            </w:r>
          </w:p>
        </w:tc>
      </w:tr>
      <w:tr>
        <w:trPr>
          <w:trHeight w:val="145"/>
        </w:trPr>
        <w:tc>
          <w:tcPr>
            <w:tcW w:w="5540" w:type="dxa"/>
            <w:vAlign w:val="bottom"/>
            <w:tcBorders>
              <w:left w:val="single" w:sz="8" w:color="auto"/>
              <w:right w:val="single" w:sz="8" w:color="auto"/>
            </w:tcBorders>
          </w:tcPr>
          <w:p>
            <w:pPr>
              <w:ind w:left="40"/>
              <w:spacing w:after="0" w:line="145" w:lineRule="exact"/>
              <w:rPr>
                <w:sz w:val="20"/>
                <w:szCs w:val="20"/>
                <w:color w:val="auto"/>
              </w:rPr>
            </w:pPr>
            <w:r>
              <w:rPr>
                <w:rFonts w:ascii="Arial" w:cs="Arial" w:eastAsia="Arial" w:hAnsi="Arial"/>
                <w:sz w:val="13"/>
                <w:szCs w:val="13"/>
                <w:color w:val="auto"/>
              </w:rPr>
              <w:t>arising out of (a) any fraud or dishonesty in the performance of such Covered Person's duty to</w:t>
            </w:r>
          </w:p>
        </w:tc>
        <w:tc>
          <w:tcPr>
            <w:tcW w:w="240" w:type="dxa"/>
            <w:vAlign w:val="bottom"/>
            <w:tcBorders>
              <w:right w:val="single" w:sz="8" w:color="auto"/>
            </w:tcBorders>
          </w:tcPr>
          <w:p>
            <w:pPr>
              <w:spacing w:after="0"/>
              <w:rPr>
                <w:sz w:val="12"/>
                <w:szCs w:val="12"/>
                <w:color w:val="auto"/>
              </w:rPr>
            </w:pPr>
          </w:p>
        </w:tc>
        <w:tc>
          <w:tcPr>
            <w:tcW w:w="5520" w:type="dxa"/>
            <w:vAlign w:val="bottom"/>
            <w:tcBorders>
              <w:right w:val="single" w:sz="8" w:color="auto"/>
            </w:tcBorders>
          </w:tcPr>
          <w:p>
            <w:pPr>
              <w:ind w:left="20"/>
              <w:spacing w:after="0" w:line="145" w:lineRule="exact"/>
              <w:rPr>
                <w:sz w:val="20"/>
                <w:szCs w:val="20"/>
                <w:color w:val="auto"/>
              </w:rPr>
            </w:pPr>
            <w:r>
              <w:rPr>
                <w:rFonts w:ascii="Arial" w:cs="Arial" w:eastAsia="Arial" w:hAnsi="Arial"/>
                <w:sz w:val="13"/>
                <w:szCs w:val="13"/>
                <w:color w:val="auto"/>
              </w:rPr>
              <w:t>responsabilité découlant de (a) une fraude ou une malhonnêteté de cette Personne Couverte</w:t>
            </w:r>
          </w:p>
        </w:tc>
      </w:tr>
      <w:tr>
        <w:trPr>
          <w:trHeight w:val="145"/>
        </w:trPr>
        <w:tc>
          <w:tcPr>
            <w:tcW w:w="5540" w:type="dxa"/>
            <w:vAlign w:val="bottom"/>
            <w:tcBorders>
              <w:left w:val="single" w:sz="8" w:color="auto"/>
              <w:right w:val="single" w:sz="8" w:color="auto"/>
            </w:tcBorders>
          </w:tcPr>
          <w:p>
            <w:pPr>
              <w:ind w:left="40"/>
              <w:spacing w:after="0" w:line="145" w:lineRule="exact"/>
              <w:rPr>
                <w:sz w:val="20"/>
                <w:szCs w:val="20"/>
                <w:color w:val="auto"/>
              </w:rPr>
            </w:pPr>
            <w:r>
              <w:rPr>
                <w:rFonts w:ascii="Arial" w:cs="Arial" w:eastAsia="Arial" w:hAnsi="Arial"/>
                <w:sz w:val="13"/>
                <w:szCs w:val="13"/>
                <w:color w:val="auto"/>
              </w:rPr>
              <w:t>the Company, or (b) such Covered Party's conscious, intentional or willful or grossly negligent</w:t>
            </w:r>
          </w:p>
        </w:tc>
        <w:tc>
          <w:tcPr>
            <w:tcW w:w="240" w:type="dxa"/>
            <w:vAlign w:val="bottom"/>
            <w:tcBorders>
              <w:right w:val="single" w:sz="8" w:color="auto"/>
            </w:tcBorders>
          </w:tcPr>
          <w:p>
            <w:pPr>
              <w:spacing w:after="0"/>
              <w:rPr>
                <w:sz w:val="12"/>
                <w:szCs w:val="12"/>
                <w:color w:val="auto"/>
              </w:rPr>
            </w:pPr>
          </w:p>
        </w:tc>
        <w:tc>
          <w:tcPr>
            <w:tcW w:w="5520" w:type="dxa"/>
            <w:vAlign w:val="bottom"/>
            <w:tcBorders>
              <w:right w:val="single" w:sz="8" w:color="auto"/>
            </w:tcBorders>
          </w:tcPr>
          <w:p>
            <w:pPr>
              <w:ind w:left="20"/>
              <w:spacing w:after="0" w:line="145" w:lineRule="exact"/>
              <w:rPr>
                <w:sz w:val="20"/>
                <w:szCs w:val="20"/>
                <w:color w:val="auto"/>
              </w:rPr>
            </w:pPr>
            <w:r>
              <w:rPr>
                <w:rFonts w:ascii="Arial" w:cs="Arial" w:eastAsia="Arial" w:hAnsi="Arial"/>
                <w:sz w:val="13"/>
                <w:szCs w:val="13"/>
                <w:color w:val="auto"/>
              </w:rPr>
              <w:t>dans l'exercice de ses fonctions vis-à-vis de la société, ou (b) une violation consciente,</w:t>
            </w:r>
          </w:p>
        </w:tc>
      </w:tr>
      <w:tr>
        <w:trPr>
          <w:trHeight w:val="145"/>
        </w:trPr>
        <w:tc>
          <w:tcPr>
            <w:tcW w:w="5540" w:type="dxa"/>
            <w:vAlign w:val="bottom"/>
            <w:tcBorders>
              <w:left w:val="single" w:sz="8" w:color="auto"/>
              <w:right w:val="single" w:sz="8" w:color="auto"/>
            </w:tcBorders>
          </w:tcPr>
          <w:p>
            <w:pPr>
              <w:ind w:left="40"/>
              <w:spacing w:after="0" w:line="145" w:lineRule="exact"/>
              <w:rPr>
                <w:sz w:val="20"/>
                <w:szCs w:val="20"/>
                <w:color w:val="auto"/>
              </w:rPr>
            </w:pPr>
            <w:r>
              <w:rPr>
                <w:rFonts w:ascii="Arial" w:cs="Arial" w:eastAsia="Arial" w:hAnsi="Arial"/>
                <w:sz w:val="13"/>
                <w:szCs w:val="13"/>
                <w:color w:val="auto"/>
              </w:rPr>
              <w:t>breach of the obligation to act honestly and in good faith with a view to the best interests of the</w:t>
            </w:r>
          </w:p>
        </w:tc>
        <w:tc>
          <w:tcPr>
            <w:tcW w:w="240" w:type="dxa"/>
            <w:vAlign w:val="bottom"/>
            <w:tcBorders>
              <w:right w:val="single" w:sz="8" w:color="auto"/>
            </w:tcBorders>
          </w:tcPr>
          <w:p>
            <w:pPr>
              <w:spacing w:after="0"/>
              <w:rPr>
                <w:sz w:val="12"/>
                <w:szCs w:val="12"/>
                <w:color w:val="auto"/>
              </w:rPr>
            </w:pPr>
          </w:p>
        </w:tc>
        <w:tc>
          <w:tcPr>
            <w:tcW w:w="5520" w:type="dxa"/>
            <w:vAlign w:val="bottom"/>
            <w:tcBorders>
              <w:right w:val="single" w:sz="8" w:color="auto"/>
            </w:tcBorders>
          </w:tcPr>
          <w:p>
            <w:pPr>
              <w:ind w:left="20"/>
              <w:spacing w:after="0" w:line="145" w:lineRule="exact"/>
              <w:rPr>
                <w:sz w:val="20"/>
                <w:szCs w:val="20"/>
                <w:color w:val="auto"/>
              </w:rPr>
            </w:pPr>
            <w:r>
              <w:rPr>
                <w:rFonts w:ascii="Arial" w:cs="Arial" w:eastAsia="Arial" w:hAnsi="Arial"/>
                <w:sz w:val="13"/>
                <w:szCs w:val="13"/>
                <w:color w:val="auto"/>
                <w:w w:val="99"/>
              </w:rPr>
              <w:t>intentionnelle ou volontaire ou gravement négligente de l'obligation de cette Personne Couverte</w:t>
            </w:r>
          </w:p>
        </w:tc>
      </w:tr>
      <w:tr>
        <w:trPr>
          <w:trHeight w:val="145"/>
        </w:trPr>
        <w:tc>
          <w:tcPr>
            <w:tcW w:w="5540" w:type="dxa"/>
            <w:vAlign w:val="bottom"/>
            <w:tcBorders>
              <w:left w:val="single" w:sz="8" w:color="auto"/>
              <w:right w:val="single" w:sz="8" w:color="auto"/>
            </w:tcBorders>
          </w:tcPr>
          <w:p>
            <w:pPr>
              <w:ind w:left="40"/>
              <w:spacing w:after="0" w:line="145" w:lineRule="exact"/>
              <w:rPr>
                <w:sz w:val="20"/>
                <w:szCs w:val="20"/>
                <w:color w:val="auto"/>
              </w:rPr>
            </w:pPr>
            <w:r>
              <w:rPr>
                <w:rFonts w:ascii="Arial" w:cs="Arial" w:eastAsia="Arial" w:hAnsi="Arial"/>
                <w:sz w:val="13"/>
                <w:szCs w:val="13"/>
                <w:color w:val="auto"/>
              </w:rPr>
              <w:t>Company. Notwithstanding the preceding sentence, this section shall not extend to any person</w:t>
            </w:r>
          </w:p>
        </w:tc>
        <w:tc>
          <w:tcPr>
            <w:tcW w:w="240" w:type="dxa"/>
            <w:vAlign w:val="bottom"/>
            <w:tcBorders>
              <w:right w:val="single" w:sz="8" w:color="auto"/>
            </w:tcBorders>
          </w:tcPr>
          <w:p>
            <w:pPr>
              <w:spacing w:after="0"/>
              <w:rPr>
                <w:sz w:val="12"/>
                <w:szCs w:val="12"/>
                <w:color w:val="auto"/>
              </w:rPr>
            </w:pPr>
          </w:p>
        </w:tc>
        <w:tc>
          <w:tcPr>
            <w:tcW w:w="5520" w:type="dxa"/>
            <w:vAlign w:val="bottom"/>
            <w:tcBorders>
              <w:right w:val="single" w:sz="8" w:color="auto"/>
            </w:tcBorders>
          </w:tcPr>
          <w:p>
            <w:pPr>
              <w:ind w:left="20"/>
              <w:spacing w:after="0" w:line="145" w:lineRule="exact"/>
              <w:rPr>
                <w:sz w:val="20"/>
                <w:szCs w:val="20"/>
                <w:color w:val="auto"/>
              </w:rPr>
            </w:pPr>
            <w:r>
              <w:rPr>
                <w:rFonts w:ascii="Arial" w:cs="Arial" w:eastAsia="Arial" w:hAnsi="Arial"/>
                <w:sz w:val="13"/>
                <w:szCs w:val="13"/>
                <w:color w:val="auto"/>
              </w:rPr>
              <w:t>d'agir avec honnêteté en tenant compte du meilleur intérêt de la société. Nonobstant ce qui</w:t>
            </w:r>
          </w:p>
        </w:tc>
      </w:tr>
      <w:tr>
        <w:trPr>
          <w:trHeight w:val="145"/>
        </w:trPr>
        <w:tc>
          <w:tcPr>
            <w:tcW w:w="5540" w:type="dxa"/>
            <w:vAlign w:val="bottom"/>
            <w:tcBorders>
              <w:left w:val="single" w:sz="8" w:color="auto"/>
              <w:right w:val="single" w:sz="8" w:color="auto"/>
            </w:tcBorders>
          </w:tcPr>
          <w:p>
            <w:pPr>
              <w:ind w:left="40"/>
              <w:spacing w:after="0" w:line="145" w:lineRule="exact"/>
              <w:rPr>
                <w:sz w:val="20"/>
                <w:szCs w:val="20"/>
                <w:color w:val="auto"/>
              </w:rPr>
            </w:pPr>
            <w:r>
              <w:rPr>
                <w:rFonts w:ascii="Arial" w:cs="Arial" w:eastAsia="Arial" w:hAnsi="Arial"/>
                <w:sz w:val="13"/>
                <w:szCs w:val="13"/>
                <w:color w:val="auto"/>
              </w:rPr>
              <w:t>holding the office of auditor or special auditor of the Company.</w:t>
            </w:r>
          </w:p>
        </w:tc>
        <w:tc>
          <w:tcPr>
            <w:tcW w:w="240" w:type="dxa"/>
            <w:vAlign w:val="bottom"/>
            <w:tcBorders>
              <w:right w:val="single" w:sz="8" w:color="auto"/>
            </w:tcBorders>
          </w:tcPr>
          <w:p>
            <w:pPr>
              <w:spacing w:after="0"/>
              <w:rPr>
                <w:sz w:val="12"/>
                <w:szCs w:val="12"/>
                <w:color w:val="auto"/>
              </w:rPr>
            </w:pPr>
          </w:p>
        </w:tc>
        <w:tc>
          <w:tcPr>
            <w:tcW w:w="5520" w:type="dxa"/>
            <w:vAlign w:val="bottom"/>
            <w:tcBorders>
              <w:right w:val="single" w:sz="8" w:color="auto"/>
            </w:tcBorders>
          </w:tcPr>
          <w:p>
            <w:pPr>
              <w:ind w:left="20"/>
              <w:spacing w:after="0" w:line="145" w:lineRule="exact"/>
              <w:rPr>
                <w:sz w:val="20"/>
                <w:szCs w:val="20"/>
                <w:color w:val="auto"/>
              </w:rPr>
            </w:pPr>
            <w:r>
              <w:rPr>
                <w:rFonts w:ascii="Arial" w:cs="Arial" w:eastAsia="Arial" w:hAnsi="Arial"/>
                <w:sz w:val="13"/>
                <w:szCs w:val="13"/>
                <w:color w:val="auto"/>
              </w:rPr>
              <w:t>précède, cette disposition ne s'étend pas aux personnes qui occupent le poste de réviseur ou</w:t>
            </w:r>
          </w:p>
        </w:tc>
      </w:tr>
      <w:tr>
        <w:trPr>
          <w:trHeight w:val="173"/>
        </w:trPr>
        <w:tc>
          <w:tcPr>
            <w:tcW w:w="5540" w:type="dxa"/>
            <w:vAlign w:val="bottom"/>
            <w:tcBorders>
              <w:left w:val="single" w:sz="8" w:color="auto"/>
              <w:bottom w:val="single" w:sz="8" w:color="auto"/>
              <w:right w:val="single" w:sz="8" w:color="auto"/>
            </w:tcBorders>
          </w:tcPr>
          <w:p>
            <w:pPr>
              <w:spacing w:after="0"/>
              <w:rPr>
                <w:sz w:val="15"/>
                <w:szCs w:val="15"/>
                <w:color w:val="auto"/>
              </w:rPr>
            </w:pPr>
          </w:p>
        </w:tc>
        <w:tc>
          <w:tcPr>
            <w:tcW w:w="240" w:type="dxa"/>
            <w:vAlign w:val="bottom"/>
            <w:tcBorders>
              <w:bottom w:val="single" w:sz="8" w:color="auto"/>
              <w:right w:val="single" w:sz="8" w:color="auto"/>
            </w:tcBorders>
          </w:tcPr>
          <w:p>
            <w:pPr>
              <w:spacing w:after="0"/>
              <w:rPr>
                <w:sz w:val="15"/>
                <w:szCs w:val="15"/>
                <w:color w:val="auto"/>
              </w:rPr>
            </w:pPr>
          </w:p>
        </w:tc>
        <w:tc>
          <w:tcPr>
            <w:tcW w:w="55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3"/>
                <w:szCs w:val="13"/>
                <w:color w:val="auto"/>
              </w:rPr>
              <w:t>de réviseur spécial de la société.</w:t>
            </w:r>
          </w:p>
        </w:tc>
      </w:tr>
    </w:tbl>
    <w:p>
      <w:pPr>
        <w:spacing w:after="0" w:line="59"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5"/>
          <w:szCs w:val="15"/>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12700</wp:posOffset>
            </wp:positionV>
            <wp:extent cx="7171690" cy="635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71690" cy="6350"/>
                    </a:xfrm>
                    <a:prstGeom prst="rect">
                      <a:avLst/>
                    </a:prstGeom>
                    <a:noFill/>
                  </pic:spPr>
                </pic:pic>
              </a:graphicData>
            </a:graphic>
          </wp:anchor>
        </w:drawing>
      </w:r>
    </w:p>
    <w:p>
      <w:pPr>
        <w:sectPr>
          <w:pgSz w:w="11900" w:h="16838" w:orient="portrait"/>
          <w:cols w:equalWidth="0" w:num="1">
            <w:col w:w="11300"/>
          </w:cols>
          <w:pgMar w:left="300" w:top="448" w:right="299" w:bottom="1440" w:gutter="0" w:footer="0" w:header="0"/>
        </w:sectPr>
      </w:pPr>
    </w:p>
    <w:bookmarkStart w:id="79" w:name="page80"/>
    <w:bookmarkEnd w:id="79"/>
    <w:tbl>
      <w:tblPr>
        <w:tblLayout w:type="fixed"/>
        <w:tblInd w:w="10" w:type="dxa"/>
        <w:tblCellMar>
          <w:top w:w="0" w:type="dxa"/>
          <w:left w:w="0" w:type="dxa"/>
          <w:bottom w:w="0" w:type="dxa"/>
          <w:right w:w="0" w:type="dxa"/>
        </w:tblCellMar>
      </w:tblPr>
      <w:tr>
        <w:trPr>
          <w:trHeight w:val="161"/>
        </w:trPr>
        <w:tc>
          <w:tcPr>
            <w:tcW w:w="5540" w:type="dxa"/>
            <w:vAlign w:val="bottom"/>
            <w:tcBorders>
              <w:top w:val="single" w:sz="8" w:color="auto"/>
              <w:left w:val="single" w:sz="8" w:color="auto"/>
              <w:right w:val="single" w:sz="8" w:color="auto"/>
            </w:tcBorders>
          </w:tcPr>
          <w:p>
            <w:pPr>
              <w:ind w:left="40"/>
              <w:spacing w:after="0"/>
              <w:rPr>
                <w:sz w:val="20"/>
                <w:szCs w:val="20"/>
                <w:color w:val="auto"/>
              </w:rPr>
            </w:pPr>
            <w:r>
              <w:rPr>
                <w:rFonts w:ascii="Arial" w:cs="Arial" w:eastAsia="Arial" w:hAnsi="Arial"/>
                <w:sz w:val="13"/>
                <w:szCs w:val="13"/>
                <w:color w:val="auto"/>
              </w:rPr>
              <w:t>In the case of any Proceeding by or in the name of the Company, the Company shall indemnify</w:t>
            </w:r>
          </w:p>
        </w:tc>
        <w:tc>
          <w:tcPr>
            <w:tcW w:w="240" w:type="dxa"/>
            <w:vAlign w:val="bottom"/>
            <w:tcBorders>
              <w:top w:val="single" w:sz="8" w:color="auto"/>
              <w:right w:val="single" w:sz="8" w:color="auto"/>
            </w:tcBorders>
          </w:tcPr>
          <w:p>
            <w:pPr>
              <w:spacing w:after="0"/>
              <w:rPr>
                <w:sz w:val="14"/>
                <w:szCs w:val="14"/>
                <w:color w:val="auto"/>
              </w:rPr>
            </w:pPr>
          </w:p>
        </w:tc>
        <w:tc>
          <w:tcPr>
            <w:tcW w:w="5520" w:type="dxa"/>
            <w:vAlign w:val="bottom"/>
            <w:tcBorders>
              <w:top w:val="single" w:sz="8" w:color="auto"/>
              <w:right w:val="single" w:sz="8" w:color="auto"/>
            </w:tcBorders>
          </w:tcPr>
          <w:p>
            <w:pPr>
              <w:ind w:left="20"/>
              <w:spacing w:after="0"/>
              <w:rPr>
                <w:sz w:val="20"/>
                <w:szCs w:val="20"/>
                <w:color w:val="auto"/>
              </w:rPr>
            </w:pPr>
            <w:r>
              <w:rPr>
                <w:rFonts w:ascii="Arial" w:cs="Arial" w:eastAsia="Arial" w:hAnsi="Arial"/>
                <w:sz w:val="13"/>
                <w:szCs w:val="13"/>
                <w:color w:val="auto"/>
                <w:w w:val="99"/>
              </w:rPr>
              <w:t>Dans le cas de toute Procédure intentée par ou au nom de la société, la société doit indemniser</w:t>
            </w:r>
          </w:p>
        </w:tc>
      </w:tr>
      <w:tr>
        <w:trPr>
          <w:trHeight w:val="145"/>
        </w:trPr>
        <w:tc>
          <w:tcPr>
            <w:tcW w:w="5540" w:type="dxa"/>
            <w:vAlign w:val="bottom"/>
            <w:tcBorders>
              <w:left w:val="single" w:sz="8" w:color="auto"/>
              <w:right w:val="single" w:sz="8" w:color="auto"/>
            </w:tcBorders>
          </w:tcPr>
          <w:p>
            <w:pPr>
              <w:ind w:left="40"/>
              <w:spacing w:after="0" w:line="145" w:lineRule="exact"/>
              <w:rPr>
                <w:sz w:val="20"/>
                <w:szCs w:val="20"/>
                <w:color w:val="auto"/>
              </w:rPr>
            </w:pPr>
            <w:r>
              <w:rPr>
                <w:rFonts w:ascii="Arial" w:cs="Arial" w:eastAsia="Arial" w:hAnsi="Arial"/>
                <w:sz w:val="13"/>
                <w:szCs w:val="13"/>
                <w:color w:val="auto"/>
              </w:rPr>
              <w:t>each Covered Person against expenses, including attorneys' fees, actually and reasonably</w:t>
            </w:r>
          </w:p>
        </w:tc>
        <w:tc>
          <w:tcPr>
            <w:tcW w:w="240" w:type="dxa"/>
            <w:vAlign w:val="bottom"/>
            <w:tcBorders>
              <w:right w:val="single" w:sz="8" w:color="auto"/>
            </w:tcBorders>
          </w:tcPr>
          <w:p>
            <w:pPr>
              <w:spacing w:after="0"/>
              <w:rPr>
                <w:sz w:val="12"/>
                <w:szCs w:val="12"/>
                <w:color w:val="auto"/>
              </w:rPr>
            </w:pPr>
          </w:p>
        </w:tc>
        <w:tc>
          <w:tcPr>
            <w:tcW w:w="5520" w:type="dxa"/>
            <w:vAlign w:val="bottom"/>
            <w:tcBorders>
              <w:right w:val="single" w:sz="8" w:color="auto"/>
            </w:tcBorders>
          </w:tcPr>
          <w:p>
            <w:pPr>
              <w:ind w:left="20"/>
              <w:spacing w:after="0" w:line="145" w:lineRule="exact"/>
              <w:rPr>
                <w:sz w:val="20"/>
                <w:szCs w:val="20"/>
                <w:color w:val="auto"/>
              </w:rPr>
            </w:pPr>
            <w:r>
              <w:rPr>
                <w:rFonts w:ascii="Arial" w:cs="Arial" w:eastAsia="Arial" w:hAnsi="Arial"/>
                <w:sz w:val="13"/>
                <w:szCs w:val="13"/>
                <w:color w:val="auto"/>
              </w:rPr>
              <w:t>chaque  Personne  Couverte  pour  les  dépenses,  y  compris  les  honoraires  d'avocat,</w:t>
            </w:r>
          </w:p>
        </w:tc>
      </w:tr>
      <w:tr>
        <w:trPr>
          <w:trHeight w:val="145"/>
        </w:trPr>
        <w:tc>
          <w:tcPr>
            <w:tcW w:w="5540" w:type="dxa"/>
            <w:vAlign w:val="bottom"/>
            <w:tcBorders>
              <w:left w:val="single" w:sz="8" w:color="auto"/>
              <w:right w:val="single" w:sz="8" w:color="auto"/>
            </w:tcBorders>
          </w:tcPr>
          <w:p>
            <w:pPr>
              <w:ind w:left="40"/>
              <w:spacing w:after="0" w:line="145" w:lineRule="exact"/>
              <w:rPr>
                <w:sz w:val="20"/>
                <w:szCs w:val="20"/>
                <w:color w:val="auto"/>
              </w:rPr>
            </w:pPr>
            <w:r>
              <w:rPr>
                <w:rFonts w:ascii="Arial" w:cs="Arial" w:eastAsia="Arial" w:hAnsi="Arial"/>
                <w:sz w:val="13"/>
                <w:szCs w:val="13"/>
                <w:color w:val="auto"/>
                <w:w w:val="99"/>
              </w:rPr>
              <w:t>incurred in connection with the defense or settlement thereof, except no indemnification shall be</w:t>
            </w:r>
          </w:p>
        </w:tc>
        <w:tc>
          <w:tcPr>
            <w:tcW w:w="240" w:type="dxa"/>
            <w:vAlign w:val="bottom"/>
            <w:tcBorders>
              <w:right w:val="single" w:sz="8" w:color="auto"/>
            </w:tcBorders>
          </w:tcPr>
          <w:p>
            <w:pPr>
              <w:spacing w:after="0"/>
              <w:rPr>
                <w:sz w:val="12"/>
                <w:szCs w:val="12"/>
                <w:color w:val="auto"/>
              </w:rPr>
            </w:pPr>
          </w:p>
        </w:tc>
        <w:tc>
          <w:tcPr>
            <w:tcW w:w="5520" w:type="dxa"/>
            <w:vAlign w:val="bottom"/>
            <w:tcBorders>
              <w:right w:val="single" w:sz="8" w:color="auto"/>
            </w:tcBorders>
          </w:tcPr>
          <w:p>
            <w:pPr>
              <w:ind w:left="20"/>
              <w:spacing w:after="0" w:line="145" w:lineRule="exact"/>
              <w:rPr>
                <w:sz w:val="20"/>
                <w:szCs w:val="20"/>
                <w:color w:val="auto"/>
              </w:rPr>
            </w:pPr>
            <w:r>
              <w:rPr>
                <w:rFonts w:ascii="Arial" w:cs="Arial" w:eastAsia="Arial" w:hAnsi="Arial"/>
                <w:sz w:val="13"/>
                <w:szCs w:val="13"/>
                <w:color w:val="auto"/>
              </w:rPr>
              <w:t>effectivement et raisonnablement encourus dans le cadre de la défense ou du règlement dans</w:t>
            </w:r>
          </w:p>
        </w:tc>
      </w:tr>
      <w:tr>
        <w:trPr>
          <w:trHeight w:val="145"/>
        </w:trPr>
        <w:tc>
          <w:tcPr>
            <w:tcW w:w="5540" w:type="dxa"/>
            <w:vAlign w:val="bottom"/>
            <w:tcBorders>
              <w:left w:val="single" w:sz="8" w:color="auto"/>
              <w:right w:val="single" w:sz="8" w:color="auto"/>
            </w:tcBorders>
          </w:tcPr>
          <w:p>
            <w:pPr>
              <w:ind w:left="40"/>
              <w:spacing w:after="0" w:line="145" w:lineRule="exact"/>
              <w:rPr>
                <w:sz w:val="20"/>
                <w:szCs w:val="20"/>
                <w:color w:val="auto"/>
              </w:rPr>
            </w:pPr>
            <w:r>
              <w:rPr>
                <w:rFonts w:ascii="Arial" w:cs="Arial" w:eastAsia="Arial" w:hAnsi="Arial"/>
                <w:sz w:val="13"/>
                <w:szCs w:val="13"/>
                <w:color w:val="auto"/>
              </w:rPr>
              <w:t>made in respect of any claim, issue or matter as to which a Covered Person shall have been</w:t>
            </w:r>
          </w:p>
        </w:tc>
        <w:tc>
          <w:tcPr>
            <w:tcW w:w="240" w:type="dxa"/>
            <w:vAlign w:val="bottom"/>
            <w:tcBorders>
              <w:right w:val="single" w:sz="8" w:color="auto"/>
            </w:tcBorders>
          </w:tcPr>
          <w:p>
            <w:pPr>
              <w:spacing w:after="0"/>
              <w:rPr>
                <w:sz w:val="12"/>
                <w:szCs w:val="12"/>
                <w:color w:val="auto"/>
              </w:rPr>
            </w:pPr>
          </w:p>
        </w:tc>
        <w:tc>
          <w:tcPr>
            <w:tcW w:w="5520" w:type="dxa"/>
            <w:vAlign w:val="bottom"/>
            <w:tcBorders>
              <w:right w:val="single" w:sz="8" w:color="auto"/>
            </w:tcBorders>
          </w:tcPr>
          <w:p>
            <w:pPr>
              <w:ind w:left="20"/>
              <w:spacing w:after="0" w:line="145" w:lineRule="exact"/>
              <w:rPr>
                <w:sz w:val="20"/>
                <w:szCs w:val="20"/>
                <w:color w:val="auto"/>
              </w:rPr>
            </w:pPr>
            <w:r>
              <w:rPr>
                <w:rFonts w:ascii="Arial" w:cs="Arial" w:eastAsia="Arial" w:hAnsi="Arial"/>
                <w:sz w:val="13"/>
                <w:szCs w:val="13"/>
                <w:color w:val="auto"/>
              </w:rPr>
              <w:t>le cadre de la Procédure. Aucune indemnisation ne sera octroyée pour une réclamation,</w:t>
            </w:r>
          </w:p>
        </w:tc>
      </w:tr>
      <w:tr>
        <w:trPr>
          <w:trHeight w:val="145"/>
        </w:trPr>
        <w:tc>
          <w:tcPr>
            <w:tcW w:w="5540" w:type="dxa"/>
            <w:vAlign w:val="bottom"/>
            <w:tcBorders>
              <w:left w:val="single" w:sz="8" w:color="auto"/>
              <w:right w:val="single" w:sz="8" w:color="auto"/>
            </w:tcBorders>
          </w:tcPr>
          <w:p>
            <w:pPr>
              <w:ind w:left="40"/>
              <w:spacing w:after="0" w:line="145" w:lineRule="exact"/>
              <w:rPr>
                <w:sz w:val="20"/>
                <w:szCs w:val="20"/>
                <w:color w:val="auto"/>
              </w:rPr>
            </w:pPr>
            <w:r>
              <w:rPr>
                <w:rFonts w:ascii="Arial" w:cs="Arial" w:eastAsia="Arial" w:hAnsi="Arial"/>
                <w:sz w:val="13"/>
                <w:szCs w:val="13"/>
                <w:color w:val="auto"/>
              </w:rPr>
              <w:t>adjudged to be liable for fraud or dishonesty in the performance of his or her duty to the</w:t>
            </w:r>
          </w:p>
        </w:tc>
        <w:tc>
          <w:tcPr>
            <w:tcW w:w="240" w:type="dxa"/>
            <w:vAlign w:val="bottom"/>
            <w:tcBorders>
              <w:right w:val="single" w:sz="8" w:color="auto"/>
            </w:tcBorders>
          </w:tcPr>
          <w:p>
            <w:pPr>
              <w:spacing w:after="0"/>
              <w:rPr>
                <w:sz w:val="12"/>
                <w:szCs w:val="12"/>
                <w:color w:val="auto"/>
              </w:rPr>
            </w:pPr>
          </w:p>
        </w:tc>
        <w:tc>
          <w:tcPr>
            <w:tcW w:w="5520" w:type="dxa"/>
            <w:vAlign w:val="bottom"/>
            <w:tcBorders>
              <w:right w:val="single" w:sz="8" w:color="auto"/>
            </w:tcBorders>
          </w:tcPr>
          <w:p>
            <w:pPr>
              <w:ind w:left="20"/>
              <w:spacing w:after="0" w:line="145" w:lineRule="exact"/>
              <w:rPr>
                <w:sz w:val="20"/>
                <w:szCs w:val="20"/>
                <w:color w:val="auto"/>
              </w:rPr>
            </w:pPr>
            <w:r>
              <w:rPr>
                <w:rFonts w:ascii="Arial" w:cs="Arial" w:eastAsia="Arial" w:hAnsi="Arial"/>
                <w:sz w:val="13"/>
                <w:szCs w:val="13"/>
                <w:color w:val="auto"/>
              </w:rPr>
              <w:t>problème ou affaire pour laquelle une Personne Couverte est tenue responsable à la suite de</w:t>
            </w:r>
          </w:p>
        </w:tc>
      </w:tr>
      <w:tr>
        <w:trPr>
          <w:trHeight w:val="145"/>
        </w:trPr>
        <w:tc>
          <w:tcPr>
            <w:tcW w:w="5540" w:type="dxa"/>
            <w:vAlign w:val="bottom"/>
            <w:tcBorders>
              <w:left w:val="single" w:sz="8" w:color="auto"/>
              <w:right w:val="single" w:sz="8" w:color="auto"/>
            </w:tcBorders>
          </w:tcPr>
          <w:p>
            <w:pPr>
              <w:ind w:left="40"/>
              <w:spacing w:after="0" w:line="145" w:lineRule="exact"/>
              <w:rPr>
                <w:sz w:val="20"/>
                <w:szCs w:val="20"/>
                <w:color w:val="auto"/>
              </w:rPr>
            </w:pPr>
            <w:r>
              <w:rPr>
                <w:rFonts w:ascii="Arial" w:cs="Arial" w:eastAsia="Arial" w:hAnsi="Arial"/>
                <w:sz w:val="13"/>
                <w:szCs w:val="13"/>
                <w:color w:val="auto"/>
              </w:rPr>
              <w:t>Company, or for conscious, intentional or willful or grossly negligent breach of his or her</w:t>
            </w:r>
          </w:p>
        </w:tc>
        <w:tc>
          <w:tcPr>
            <w:tcW w:w="240" w:type="dxa"/>
            <w:vAlign w:val="bottom"/>
            <w:tcBorders>
              <w:right w:val="single" w:sz="8" w:color="auto"/>
            </w:tcBorders>
          </w:tcPr>
          <w:p>
            <w:pPr>
              <w:spacing w:after="0"/>
              <w:rPr>
                <w:sz w:val="12"/>
                <w:szCs w:val="12"/>
                <w:color w:val="auto"/>
              </w:rPr>
            </w:pPr>
          </w:p>
        </w:tc>
        <w:tc>
          <w:tcPr>
            <w:tcW w:w="5520" w:type="dxa"/>
            <w:vAlign w:val="bottom"/>
            <w:tcBorders>
              <w:right w:val="single" w:sz="8" w:color="auto"/>
            </w:tcBorders>
          </w:tcPr>
          <w:p>
            <w:pPr>
              <w:ind w:left="20"/>
              <w:spacing w:after="0" w:line="145" w:lineRule="exact"/>
              <w:rPr>
                <w:sz w:val="20"/>
                <w:szCs w:val="20"/>
                <w:color w:val="auto"/>
              </w:rPr>
            </w:pPr>
            <w:r>
              <w:rPr>
                <w:rFonts w:ascii="Arial" w:cs="Arial" w:eastAsia="Arial" w:hAnsi="Arial"/>
                <w:sz w:val="13"/>
                <w:szCs w:val="13"/>
                <w:color w:val="auto"/>
              </w:rPr>
              <w:t>fraude ou de malhonnêteté dans l'exercice de ses fonctions vis-à-vis de la société, ou à cause</w:t>
            </w:r>
          </w:p>
        </w:tc>
      </w:tr>
      <w:tr>
        <w:trPr>
          <w:trHeight w:val="145"/>
        </w:trPr>
        <w:tc>
          <w:tcPr>
            <w:tcW w:w="5540" w:type="dxa"/>
            <w:vAlign w:val="bottom"/>
            <w:tcBorders>
              <w:left w:val="single" w:sz="8" w:color="auto"/>
              <w:right w:val="single" w:sz="8" w:color="auto"/>
            </w:tcBorders>
          </w:tcPr>
          <w:p>
            <w:pPr>
              <w:ind w:left="40"/>
              <w:spacing w:after="0" w:line="145" w:lineRule="exact"/>
              <w:rPr>
                <w:sz w:val="20"/>
                <w:szCs w:val="20"/>
                <w:color w:val="auto"/>
              </w:rPr>
            </w:pPr>
            <w:r>
              <w:rPr>
                <w:rFonts w:ascii="Arial" w:cs="Arial" w:eastAsia="Arial" w:hAnsi="Arial"/>
                <w:sz w:val="13"/>
                <w:szCs w:val="13"/>
                <w:color w:val="auto"/>
              </w:rPr>
              <w:t>obligation to act honestly and in good faith with a view to the best interests of the Company,</w:t>
            </w:r>
          </w:p>
        </w:tc>
        <w:tc>
          <w:tcPr>
            <w:tcW w:w="240" w:type="dxa"/>
            <w:vAlign w:val="bottom"/>
            <w:tcBorders>
              <w:right w:val="single" w:sz="8" w:color="auto"/>
            </w:tcBorders>
          </w:tcPr>
          <w:p>
            <w:pPr>
              <w:spacing w:after="0"/>
              <w:rPr>
                <w:sz w:val="12"/>
                <w:szCs w:val="12"/>
                <w:color w:val="auto"/>
              </w:rPr>
            </w:pPr>
          </w:p>
        </w:tc>
        <w:tc>
          <w:tcPr>
            <w:tcW w:w="5520" w:type="dxa"/>
            <w:vAlign w:val="bottom"/>
            <w:tcBorders>
              <w:right w:val="single" w:sz="8" w:color="auto"/>
            </w:tcBorders>
          </w:tcPr>
          <w:p>
            <w:pPr>
              <w:ind w:left="20"/>
              <w:spacing w:after="0" w:line="145" w:lineRule="exact"/>
              <w:rPr>
                <w:sz w:val="20"/>
                <w:szCs w:val="20"/>
                <w:color w:val="auto"/>
              </w:rPr>
            </w:pPr>
            <w:r>
              <w:rPr>
                <w:rFonts w:ascii="Arial" w:cs="Arial" w:eastAsia="Arial" w:hAnsi="Arial"/>
                <w:sz w:val="13"/>
                <w:szCs w:val="13"/>
                <w:color w:val="auto"/>
              </w:rPr>
              <w:t>d'une violation consciente, intentionnelle ou volontaire ou gravement négligente de l'obligation</w:t>
            </w:r>
          </w:p>
        </w:tc>
      </w:tr>
      <w:tr>
        <w:trPr>
          <w:trHeight w:val="145"/>
        </w:trPr>
        <w:tc>
          <w:tcPr>
            <w:tcW w:w="5540" w:type="dxa"/>
            <w:vAlign w:val="bottom"/>
            <w:tcBorders>
              <w:left w:val="single" w:sz="8" w:color="auto"/>
              <w:right w:val="single" w:sz="8" w:color="auto"/>
            </w:tcBorders>
          </w:tcPr>
          <w:p>
            <w:pPr>
              <w:ind w:left="40"/>
              <w:spacing w:after="0" w:line="145" w:lineRule="exact"/>
              <w:rPr>
                <w:sz w:val="20"/>
                <w:szCs w:val="20"/>
                <w:color w:val="auto"/>
              </w:rPr>
            </w:pPr>
            <w:r>
              <w:rPr>
                <w:rFonts w:ascii="Arial" w:cs="Arial" w:eastAsia="Arial" w:hAnsi="Arial"/>
                <w:sz w:val="13"/>
                <w:szCs w:val="13"/>
                <w:color w:val="auto"/>
              </w:rPr>
              <w:t>unless and only to the extent that a court in which such action or suit was brought shall</w:t>
            </w:r>
          </w:p>
        </w:tc>
        <w:tc>
          <w:tcPr>
            <w:tcW w:w="240" w:type="dxa"/>
            <w:vAlign w:val="bottom"/>
            <w:tcBorders>
              <w:right w:val="single" w:sz="8" w:color="auto"/>
            </w:tcBorders>
          </w:tcPr>
          <w:p>
            <w:pPr>
              <w:spacing w:after="0"/>
              <w:rPr>
                <w:sz w:val="12"/>
                <w:szCs w:val="12"/>
                <w:color w:val="auto"/>
              </w:rPr>
            </w:pPr>
          </w:p>
        </w:tc>
        <w:tc>
          <w:tcPr>
            <w:tcW w:w="5520" w:type="dxa"/>
            <w:vAlign w:val="bottom"/>
            <w:tcBorders>
              <w:right w:val="single" w:sz="8" w:color="auto"/>
            </w:tcBorders>
          </w:tcPr>
          <w:p>
            <w:pPr>
              <w:ind w:left="20"/>
              <w:spacing w:after="0" w:line="145" w:lineRule="exact"/>
              <w:rPr>
                <w:sz w:val="20"/>
                <w:szCs w:val="20"/>
                <w:color w:val="auto"/>
              </w:rPr>
            </w:pPr>
            <w:r>
              <w:rPr>
                <w:rFonts w:ascii="Arial" w:cs="Arial" w:eastAsia="Arial" w:hAnsi="Arial"/>
                <w:sz w:val="13"/>
                <w:szCs w:val="13"/>
                <w:color w:val="auto"/>
              </w:rPr>
              <w:t>de la Personne Couverte d'agir avec honnêteté en tenant compte du meilleur intérêt de la</w:t>
            </w:r>
          </w:p>
        </w:tc>
      </w:tr>
      <w:tr>
        <w:trPr>
          <w:trHeight w:val="145"/>
        </w:trPr>
        <w:tc>
          <w:tcPr>
            <w:tcW w:w="5540" w:type="dxa"/>
            <w:vAlign w:val="bottom"/>
            <w:tcBorders>
              <w:left w:val="single" w:sz="8" w:color="auto"/>
              <w:right w:val="single" w:sz="8" w:color="auto"/>
            </w:tcBorders>
          </w:tcPr>
          <w:p>
            <w:pPr>
              <w:ind w:left="40"/>
              <w:spacing w:after="0" w:line="145" w:lineRule="exact"/>
              <w:rPr>
                <w:sz w:val="20"/>
                <w:szCs w:val="20"/>
                <w:color w:val="auto"/>
              </w:rPr>
            </w:pPr>
            <w:r>
              <w:rPr>
                <w:rFonts w:ascii="Arial" w:cs="Arial" w:eastAsia="Arial" w:hAnsi="Arial"/>
                <w:sz w:val="13"/>
                <w:szCs w:val="13"/>
                <w:color w:val="auto"/>
              </w:rPr>
              <w:t>determine upon application that despite the adjudication of liability, but in view of all the</w:t>
            </w:r>
          </w:p>
        </w:tc>
        <w:tc>
          <w:tcPr>
            <w:tcW w:w="240" w:type="dxa"/>
            <w:vAlign w:val="bottom"/>
            <w:tcBorders>
              <w:right w:val="single" w:sz="8" w:color="auto"/>
            </w:tcBorders>
          </w:tcPr>
          <w:p>
            <w:pPr>
              <w:spacing w:after="0"/>
              <w:rPr>
                <w:sz w:val="12"/>
                <w:szCs w:val="12"/>
                <w:color w:val="auto"/>
              </w:rPr>
            </w:pPr>
          </w:p>
        </w:tc>
        <w:tc>
          <w:tcPr>
            <w:tcW w:w="5520" w:type="dxa"/>
            <w:vAlign w:val="bottom"/>
            <w:tcBorders>
              <w:right w:val="single" w:sz="8" w:color="auto"/>
            </w:tcBorders>
          </w:tcPr>
          <w:p>
            <w:pPr>
              <w:ind w:left="20"/>
              <w:spacing w:after="0" w:line="145" w:lineRule="exact"/>
              <w:rPr>
                <w:sz w:val="20"/>
                <w:szCs w:val="20"/>
                <w:color w:val="auto"/>
              </w:rPr>
            </w:pPr>
            <w:r>
              <w:rPr>
                <w:rFonts w:ascii="Arial" w:cs="Arial" w:eastAsia="Arial" w:hAnsi="Arial"/>
                <w:sz w:val="13"/>
                <w:szCs w:val="13"/>
                <w:color w:val="auto"/>
              </w:rPr>
              <w:t>société, sauf et uniquement si un tribunal auquel une telle action ou poursuite a été porté</w:t>
            </w:r>
          </w:p>
        </w:tc>
      </w:tr>
      <w:tr>
        <w:trPr>
          <w:trHeight w:val="145"/>
        </w:trPr>
        <w:tc>
          <w:tcPr>
            <w:tcW w:w="5540" w:type="dxa"/>
            <w:vAlign w:val="bottom"/>
            <w:tcBorders>
              <w:left w:val="single" w:sz="8" w:color="auto"/>
              <w:right w:val="single" w:sz="8" w:color="auto"/>
            </w:tcBorders>
          </w:tcPr>
          <w:p>
            <w:pPr>
              <w:ind w:left="40"/>
              <w:spacing w:after="0" w:line="145" w:lineRule="exact"/>
              <w:rPr>
                <w:sz w:val="20"/>
                <w:szCs w:val="20"/>
                <w:color w:val="auto"/>
              </w:rPr>
            </w:pPr>
            <w:r>
              <w:rPr>
                <w:rFonts w:ascii="Arial" w:cs="Arial" w:eastAsia="Arial" w:hAnsi="Arial"/>
                <w:sz w:val="13"/>
                <w:szCs w:val="13"/>
                <w:color w:val="auto"/>
              </w:rPr>
              <w:t>circumstances of the case, such Covered Person is fairly and reasonably entitled to indemnity</w:t>
            </w:r>
          </w:p>
        </w:tc>
        <w:tc>
          <w:tcPr>
            <w:tcW w:w="240" w:type="dxa"/>
            <w:vAlign w:val="bottom"/>
            <w:tcBorders>
              <w:right w:val="single" w:sz="8" w:color="auto"/>
            </w:tcBorders>
          </w:tcPr>
          <w:p>
            <w:pPr>
              <w:spacing w:after="0"/>
              <w:rPr>
                <w:sz w:val="12"/>
                <w:szCs w:val="12"/>
                <w:color w:val="auto"/>
              </w:rPr>
            </w:pPr>
          </w:p>
        </w:tc>
        <w:tc>
          <w:tcPr>
            <w:tcW w:w="5520" w:type="dxa"/>
            <w:vAlign w:val="bottom"/>
            <w:tcBorders>
              <w:right w:val="single" w:sz="8" w:color="auto"/>
            </w:tcBorders>
          </w:tcPr>
          <w:p>
            <w:pPr>
              <w:ind w:left="20"/>
              <w:spacing w:after="0" w:line="145" w:lineRule="exact"/>
              <w:rPr>
                <w:sz w:val="20"/>
                <w:szCs w:val="20"/>
                <w:color w:val="auto"/>
              </w:rPr>
            </w:pPr>
            <w:r>
              <w:rPr>
                <w:rFonts w:ascii="Arial" w:cs="Arial" w:eastAsia="Arial" w:hAnsi="Arial"/>
                <w:sz w:val="13"/>
                <w:szCs w:val="13"/>
                <w:color w:val="auto"/>
              </w:rPr>
              <w:t>détermine que, malgré la reconnaissance de la responsabilité, mais compte tenu de toutes les</w:t>
            </w:r>
          </w:p>
        </w:tc>
      </w:tr>
      <w:tr>
        <w:trPr>
          <w:trHeight w:val="145"/>
        </w:trPr>
        <w:tc>
          <w:tcPr>
            <w:tcW w:w="5540" w:type="dxa"/>
            <w:vAlign w:val="bottom"/>
            <w:tcBorders>
              <w:left w:val="single" w:sz="8" w:color="auto"/>
              <w:right w:val="single" w:sz="8" w:color="auto"/>
            </w:tcBorders>
          </w:tcPr>
          <w:p>
            <w:pPr>
              <w:ind w:left="40"/>
              <w:spacing w:after="0" w:line="145" w:lineRule="exact"/>
              <w:rPr>
                <w:sz w:val="20"/>
                <w:szCs w:val="20"/>
                <w:color w:val="auto"/>
              </w:rPr>
            </w:pPr>
            <w:r>
              <w:rPr>
                <w:rFonts w:ascii="Arial" w:cs="Arial" w:eastAsia="Arial" w:hAnsi="Arial"/>
                <w:sz w:val="13"/>
                <w:szCs w:val="13"/>
                <w:color w:val="auto"/>
                <w:w w:val="99"/>
              </w:rPr>
              <w:t>for such expenses as the court shall deem proper. Notwithstanding the preceding sentence, this</w:t>
            </w:r>
          </w:p>
        </w:tc>
        <w:tc>
          <w:tcPr>
            <w:tcW w:w="240" w:type="dxa"/>
            <w:vAlign w:val="bottom"/>
            <w:tcBorders>
              <w:right w:val="single" w:sz="8" w:color="auto"/>
            </w:tcBorders>
          </w:tcPr>
          <w:p>
            <w:pPr>
              <w:spacing w:after="0"/>
              <w:rPr>
                <w:sz w:val="12"/>
                <w:szCs w:val="12"/>
                <w:color w:val="auto"/>
              </w:rPr>
            </w:pPr>
          </w:p>
        </w:tc>
        <w:tc>
          <w:tcPr>
            <w:tcW w:w="5520" w:type="dxa"/>
            <w:vAlign w:val="bottom"/>
            <w:tcBorders>
              <w:right w:val="single" w:sz="8" w:color="auto"/>
            </w:tcBorders>
          </w:tcPr>
          <w:p>
            <w:pPr>
              <w:ind w:left="20"/>
              <w:spacing w:after="0" w:line="145" w:lineRule="exact"/>
              <w:rPr>
                <w:sz w:val="20"/>
                <w:szCs w:val="20"/>
                <w:color w:val="auto"/>
              </w:rPr>
            </w:pPr>
            <w:r>
              <w:rPr>
                <w:rFonts w:ascii="Arial" w:cs="Arial" w:eastAsia="Arial" w:hAnsi="Arial"/>
                <w:sz w:val="13"/>
                <w:szCs w:val="13"/>
                <w:color w:val="auto"/>
              </w:rPr>
              <w:t>circonstances du cas d'espèce, cette Personne Couverte a équitablement et raisonnablement</w:t>
            </w:r>
          </w:p>
        </w:tc>
      </w:tr>
      <w:tr>
        <w:trPr>
          <w:trHeight w:val="145"/>
        </w:trPr>
        <w:tc>
          <w:tcPr>
            <w:tcW w:w="5540" w:type="dxa"/>
            <w:vAlign w:val="bottom"/>
            <w:tcBorders>
              <w:left w:val="single" w:sz="8" w:color="auto"/>
              <w:right w:val="single" w:sz="8" w:color="auto"/>
            </w:tcBorders>
          </w:tcPr>
          <w:p>
            <w:pPr>
              <w:ind w:left="40"/>
              <w:spacing w:after="0" w:line="145" w:lineRule="exact"/>
              <w:rPr>
                <w:sz w:val="20"/>
                <w:szCs w:val="20"/>
                <w:color w:val="auto"/>
              </w:rPr>
            </w:pPr>
            <w:r>
              <w:rPr>
                <w:rFonts w:ascii="Arial" w:cs="Arial" w:eastAsia="Arial" w:hAnsi="Arial"/>
                <w:sz w:val="13"/>
                <w:szCs w:val="13"/>
                <w:color w:val="auto"/>
              </w:rPr>
              <w:t>section shall not extend to any person holding the office of auditor or special auditor of the</w:t>
            </w:r>
          </w:p>
        </w:tc>
        <w:tc>
          <w:tcPr>
            <w:tcW w:w="240" w:type="dxa"/>
            <w:vAlign w:val="bottom"/>
            <w:tcBorders>
              <w:right w:val="single" w:sz="8" w:color="auto"/>
            </w:tcBorders>
          </w:tcPr>
          <w:p>
            <w:pPr>
              <w:spacing w:after="0"/>
              <w:rPr>
                <w:sz w:val="12"/>
                <w:szCs w:val="12"/>
                <w:color w:val="auto"/>
              </w:rPr>
            </w:pPr>
          </w:p>
        </w:tc>
        <w:tc>
          <w:tcPr>
            <w:tcW w:w="5520" w:type="dxa"/>
            <w:vAlign w:val="bottom"/>
            <w:tcBorders>
              <w:right w:val="single" w:sz="8" w:color="auto"/>
            </w:tcBorders>
          </w:tcPr>
          <w:p>
            <w:pPr>
              <w:ind w:left="20"/>
              <w:spacing w:after="0" w:line="145" w:lineRule="exact"/>
              <w:rPr>
                <w:sz w:val="20"/>
                <w:szCs w:val="20"/>
                <w:color w:val="auto"/>
              </w:rPr>
            </w:pPr>
            <w:r>
              <w:rPr>
                <w:rFonts w:ascii="Arial" w:cs="Arial" w:eastAsia="Arial" w:hAnsi="Arial"/>
                <w:sz w:val="13"/>
                <w:szCs w:val="13"/>
                <w:color w:val="auto"/>
              </w:rPr>
              <w:t>droit à une indemnisation de ces dépenses, mais uniquement à hauteur du montant que le</w:t>
            </w:r>
          </w:p>
        </w:tc>
      </w:tr>
      <w:tr>
        <w:trPr>
          <w:trHeight w:val="145"/>
        </w:trPr>
        <w:tc>
          <w:tcPr>
            <w:tcW w:w="5540" w:type="dxa"/>
            <w:vAlign w:val="bottom"/>
            <w:tcBorders>
              <w:left w:val="single" w:sz="8" w:color="auto"/>
              <w:right w:val="single" w:sz="8" w:color="auto"/>
            </w:tcBorders>
          </w:tcPr>
          <w:p>
            <w:pPr>
              <w:ind w:left="40"/>
              <w:spacing w:after="0" w:line="145" w:lineRule="exact"/>
              <w:rPr>
                <w:sz w:val="20"/>
                <w:szCs w:val="20"/>
                <w:color w:val="auto"/>
              </w:rPr>
            </w:pPr>
            <w:r>
              <w:rPr>
                <w:rFonts w:ascii="Arial" w:cs="Arial" w:eastAsia="Arial" w:hAnsi="Arial"/>
                <w:sz w:val="13"/>
                <w:szCs w:val="13"/>
                <w:color w:val="auto"/>
              </w:rPr>
              <w:t>Company.</w:t>
            </w:r>
          </w:p>
        </w:tc>
        <w:tc>
          <w:tcPr>
            <w:tcW w:w="240" w:type="dxa"/>
            <w:vAlign w:val="bottom"/>
            <w:tcBorders>
              <w:right w:val="single" w:sz="8" w:color="auto"/>
            </w:tcBorders>
          </w:tcPr>
          <w:p>
            <w:pPr>
              <w:spacing w:after="0"/>
              <w:rPr>
                <w:sz w:val="12"/>
                <w:szCs w:val="12"/>
                <w:color w:val="auto"/>
              </w:rPr>
            </w:pPr>
          </w:p>
        </w:tc>
        <w:tc>
          <w:tcPr>
            <w:tcW w:w="5520" w:type="dxa"/>
            <w:vAlign w:val="bottom"/>
            <w:tcBorders>
              <w:right w:val="single" w:sz="8" w:color="auto"/>
            </w:tcBorders>
          </w:tcPr>
          <w:p>
            <w:pPr>
              <w:ind w:left="20"/>
              <w:spacing w:after="0" w:line="145" w:lineRule="exact"/>
              <w:rPr>
                <w:sz w:val="20"/>
                <w:szCs w:val="20"/>
                <w:color w:val="auto"/>
              </w:rPr>
            </w:pPr>
            <w:r>
              <w:rPr>
                <w:rFonts w:ascii="Arial" w:cs="Arial" w:eastAsia="Arial" w:hAnsi="Arial"/>
                <w:sz w:val="13"/>
                <w:szCs w:val="13"/>
                <w:color w:val="auto"/>
              </w:rPr>
              <w:t>tribunal jugera convenable. Nonobstant la phrase précédente, cette disposition ne s'étend pas</w:t>
            </w:r>
          </w:p>
        </w:tc>
      </w:tr>
      <w:tr>
        <w:trPr>
          <w:trHeight w:val="173"/>
        </w:trPr>
        <w:tc>
          <w:tcPr>
            <w:tcW w:w="5540" w:type="dxa"/>
            <w:vAlign w:val="bottom"/>
            <w:tcBorders>
              <w:left w:val="single" w:sz="8" w:color="auto"/>
              <w:bottom w:val="single" w:sz="8" w:color="auto"/>
              <w:right w:val="single" w:sz="8" w:color="auto"/>
            </w:tcBorders>
          </w:tcPr>
          <w:p>
            <w:pPr>
              <w:spacing w:after="0"/>
              <w:rPr>
                <w:sz w:val="15"/>
                <w:szCs w:val="15"/>
                <w:color w:val="auto"/>
              </w:rPr>
            </w:pPr>
          </w:p>
        </w:tc>
        <w:tc>
          <w:tcPr>
            <w:tcW w:w="240" w:type="dxa"/>
            <w:vAlign w:val="bottom"/>
            <w:tcBorders>
              <w:bottom w:val="single" w:sz="8" w:color="auto"/>
              <w:right w:val="single" w:sz="8" w:color="auto"/>
            </w:tcBorders>
          </w:tcPr>
          <w:p>
            <w:pPr>
              <w:spacing w:after="0"/>
              <w:rPr>
                <w:sz w:val="15"/>
                <w:szCs w:val="15"/>
                <w:color w:val="auto"/>
              </w:rPr>
            </w:pPr>
          </w:p>
        </w:tc>
        <w:tc>
          <w:tcPr>
            <w:tcW w:w="55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3"/>
                <w:szCs w:val="13"/>
                <w:color w:val="auto"/>
              </w:rPr>
              <w:t>aux personnes qui occupent le poste de réviseur ou de réviseur spécial de la société.</w:t>
            </w:r>
          </w:p>
        </w:tc>
      </w:tr>
      <w:tr>
        <w:trPr>
          <w:trHeight w:val="145"/>
        </w:trPr>
        <w:tc>
          <w:tcPr>
            <w:tcW w:w="5540" w:type="dxa"/>
            <w:vAlign w:val="bottom"/>
            <w:tcBorders>
              <w:left w:val="single" w:sz="8" w:color="auto"/>
              <w:right w:val="single" w:sz="8" w:color="auto"/>
            </w:tcBorders>
          </w:tcPr>
          <w:p>
            <w:pPr>
              <w:ind w:left="40"/>
              <w:spacing w:after="0" w:line="146" w:lineRule="exact"/>
              <w:rPr>
                <w:sz w:val="20"/>
                <w:szCs w:val="20"/>
                <w:color w:val="auto"/>
              </w:rPr>
            </w:pPr>
            <w:r>
              <w:rPr>
                <w:rFonts w:ascii="Arial" w:cs="Arial" w:eastAsia="Arial" w:hAnsi="Arial"/>
                <w:sz w:val="13"/>
                <w:szCs w:val="13"/>
                <w:color w:val="auto"/>
              </w:rPr>
              <w:t>Any indemnification under this Article 29 (unless ordered by a court) shall be made by the</w:t>
            </w:r>
          </w:p>
        </w:tc>
        <w:tc>
          <w:tcPr>
            <w:tcW w:w="240" w:type="dxa"/>
            <w:vAlign w:val="bottom"/>
            <w:tcBorders>
              <w:right w:val="single" w:sz="8" w:color="auto"/>
            </w:tcBorders>
          </w:tcPr>
          <w:p>
            <w:pPr>
              <w:spacing w:after="0"/>
              <w:rPr>
                <w:sz w:val="12"/>
                <w:szCs w:val="12"/>
                <w:color w:val="auto"/>
              </w:rPr>
            </w:pPr>
          </w:p>
        </w:tc>
        <w:tc>
          <w:tcPr>
            <w:tcW w:w="5520" w:type="dxa"/>
            <w:vAlign w:val="bottom"/>
            <w:tcBorders>
              <w:right w:val="single" w:sz="8" w:color="auto"/>
            </w:tcBorders>
          </w:tcPr>
          <w:p>
            <w:pPr>
              <w:ind w:left="20"/>
              <w:spacing w:after="0" w:line="146" w:lineRule="exact"/>
              <w:rPr>
                <w:sz w:val="20"/>
                <w:szCs w:val="20"/>
                <w:color w:val="auto"/>
              </w:rPr>
            </w:pPr>
            <w:r>
              <w:rPr>
                <w:rFonts w:ascii="Arial" w:cs="Arial" w:eastAsia="Arial" w:hAnsi="Arial"/>
                <w:sz w:val="13"/>
                <w:szCs w:val="13"/>
                <w:color w:val="auto"/>
              </w:rPr>
              <w:t>Toute indemnisation en vertu du présent article 29 (sauf si ordonnée par un tribunal) doit être</w:t>
            </w:r>
          </w:p>
        </w:tc>
      </w:tr>
      <w:tr>
        <w:trPr>
          <w:trHeight w:val="145"/>
        </w:trPr>
        <w:tc>
          <w:tcPr>
            <w:tcW w:w="5540" w:type="dxa"/>
            <w:vAlign w:val="bottom"/>
            <w:tcBorders>
              <w:left w:val="single" w:sz="8" w:color="auto"/>
              <w:right w:val="single" w:sz="8" w:color="auto"/>
            </w:tcBorders>
          </w:tcPr>
          <w:p>
            <w:pPr>
              <w:ind w:left="40"/>
              <w:spacing w:after="0" w:line="145" w:lineRule="exact"/>
              <w:rPr>
                <w:sz w:val="20"/>
                <w:szCs w:val="20"/>
                <w:color w:val="auto"/>
              </w:rPr>
            </w:pPr>
            <w:r>
              <w:rPr>
                <w:rFonts w:ascii="Arial" w:cs="Arial" w:eastAsia="Arial" w:hAnsi="Arial"/>
                <w:sz w:val="13"/>
                <w:szCs w:val="13"/>
                <w:color w:val="auto"/>
              </w:rPr>
              <w:t>Company only as authorized in the specific case upon a determination that indemnification of</w:t>
            </w:r>
          </w:p>
        </w:tc>
        <w:tc>
          <w:tcPr>
            <w:tcW w:w="240" w:type="dxa"/>
            <w:vAlign w:val="bottom"/>
            <w:tcBorders>
              <w:right w:val="single" w:sz="8" w:color="auto"/>
            </w:tcBorders>
          </w:tcPr>
          <w:p>
            <w:pPr>
              <w:spacing w:after="0"/>
              <w:rPr>
                <w:sz w:val="12"/>
                <w:szCs w:val="12"/>
                <w:color w:val="auto"/>
              </w:rPr>
            </w:pPr>
          </w:p>
        </w:tc>
        <w:tc>
          <w:tcPr>
            <w:tcW w:w="5520" w:type="dxa"/>
            <w:vAlign w:val="bottom"/>
            <w:tcBorders>
              <w:right w:val="single" w:sz="8" w:color="auto"/>
            </w:tcBorders>
          </w:tcPr>
          <w:p>
            <w:pPr>
              <w:ind w:left="20"/>
              <w:spacing w:after="0" w:line="145" w:lineRule="exact"/>
              <w:rPr>
                <w:sz w:val="20"/>
                <w:szCs w:val="20"/>
                <w:color w:val="auto"/>
              </w:rPr>
            </w:pPr>
            <w:r>
              <w:rPr>
                <w:rFonts w:ascii="Arial" w:cs="Arial" w:eastAsia="Arial" w:hAnsi="Arial"/>
                <w:sz w:val="13"/>
                <w:szCs w:val="13"/>
                <w:color w:val="auto"/>
              </w:rPr>
              <w:t>octroyée par la société dans chaque cas dans les limites de l'autorisation sur la base d'une</w:t>
            </w:r>
          </w:p>
        </w:tc>
      </w:tr>
      <w:tr>
        <w:trPr>
          <w:trHeight w:val="145"/>
        </w:trPr>
        <w:tc>
          <w:tcPr>
            <w:tcW w:w="5540" w:type="dxa"/>
            <w:vAlign w:val="bottom"/>
            <w:tcBorders>
              <w:left w:val="single" w:sz="8" w:color="auto"/>
              <w:right w:val="single" w:sz="8" w:color="auto"/>
            </w:tcBorders>
          </w:tcPr>
          <w:p>
            <w:pPr>
              <w:ind w:left="40"/>
              <w:spacing w:after="0" w:line="145" w:lineRule="exact"/>
              <w:rPr>
                <w:sz w:val="20"/>
                <w:szCs w:val="20"/>
                <w:color w:val="auto"/>
              </w:rPr>
            </w:pPr>
            <w:r>
              <w:rPr>
                <w:rFonts w:ascii="Arial" w:cs="Arial" w:eastAsia="Arial" w:hAnsi="Arial"/>
                <w:sz w:val="13"/>
                <w:szCs w:val="13"/>
                <w:color w:val="auto"/>
              </w:rPr>
              <w:t>the Covered Person is proper in the circumstances because such person has met the</w:t>
            </w:r>
          </w:p>
        </w:tc>
        <w:tc>
          <w:tcPr>
            <w:tcW w:w="240" w:type="dxa"/>
            <w:vAlign w:val="bottom"/>
            <w:tcBorders>
              <w:right w:val="single" w:sz="8" w:color="auto"/>
            </w:tcBorders>
          </w:tcPr>
          <w:p>
            <w:pPr>
              <w:spacing w:after="0"/>
              <w:rPr>
                <w:sz w:val="12"/>
                <w:szCs w:val="12"/>
                <w:color w:val="auto"/>
              </w:rPr>
            </w:pPr>
          </w:p>
        </w:tc>
        <w:tc>
          <w:tcPr>
            <w:tcW w:w="5520" w:type="dxa"/>
            <w:vAlign w:val="bottom"/>
            <w:tcBorders>
              <w:right w:val="single" w:sz="8" w:color="auto"/>
            </w:tcBorders>
          </w:tcPr>
          <w:p>
            <w:pPr>
              <w:ind w:left="20"/>
              <w:spacing w:after="0" w:line="145" w:lineRule="exact"/>
              <w:rPr>
                <w:sz w:val="20"/>
                <w:szCs w:val="20"/>
                <w:color w:val="auto"/>
              </w:rPr>
            </w:pPr>
            <w:r>
              <w:rPr>
                <w:rFonts w:ascii="Arial" w:cs="Arial" w:eastAsia="Arial" w:hAnsi="Arial"/>
                <w:sz w:val="13"/>
                <w:szCs w:val="13"/>
                <w:color w:val="auto"/>
              </w:rPr>
              <w:t>détermination  que  l'indemnisation  de  la  Personne  Couverte  est  appropriée  dans  les</w:t>
            </w:r>
          </w:p>
        </w:tc>
      </w:tr>
      <w:tr>
        <w:trPr>
          <w:trHeight w:val="145"/>
        </w:trPr>
        <w:tc>
          <w:tcPr>
            <w:tcW w:w="5540" w:type="dxa"/>
            <w:vAlign w:val="bottom"/>
            <w:tcBorders>
              <w:left w:val="single" w:sz="8" w:color="auto"/>
              <w:right w:val="single" w:sz="8" w:color="auto"/>
            </w:tcBorders>
          </w:tcPr>
          <w:p>
            <w:pPr>
              <w:ind w:left="40"/>
              <w:spacing w:after="0" w:line="145" w:lineRule="exact"/>
              <w:rPr>
                <w:sz w:val="20"/>
                <w:szCs w:val="20"/>
                <w:color w:val="auto"/>
              </w:rPr>
            </w:pPr>
            <w:r>
              <w:rPr>
                <w:rFonts w:ascii="Arial" w:cs="Arial" w:eastAsia="Arial" w:hAnsi="Arial"/>
                <w:sz w:val="13"/>
                <w:szCs w:val="13"/>
                <w:color w:val="auto"/>
              </w:rPr>
              <w:t>applicable Standard of conduct set forth in this Article 29. Such determination shall be made,</w:t>
            </w:r>
          </w:p>
        </w:tc>
        <w:tc>
          <w:tcPr>
            <w:tcW w:w="240" w:type="dxa"/>
            <w:vAlign w:val="bottom"/>
            <w:tcBorders>
              <w:right w:val="single" w:sz="8" w:color="auto"/>
            </w:tcBorders>
          </w:tcPr>
          <w:p>
            <w:pPr>
              <w:spacing w:after="0"/>
              <w:rPr>
                <w:sz w:val="12"/>
                <w:szCs w:val="12"/>
                <w:color w:val="auto"/>
              </w:rPr>
            </w:pPr>
          </w:p>
        </w:tc>
        <w:tc>
          <w:tcPr>
            <w:tcW w:w="5520" w:type="dxa"/>
            <w:vAlign w:val="bottom"/>
            <w:tcBorders>
              <w:right w:val="single" w:sz="8" w:color="auto"/>
            </w:tcBorders>
          </w:tcPr>
          <w:p>
            <w:pPr>
              <w:ind w:left="20"/>
              <w:spacing w:after="0" w:line="145" w:lineRule="exact"/>
              <w:rPr>
                <w:sz w:val="20"/>
                <w:szCs w:val="20"/>
                <w:color w:val="auto"/>
              </w:rPr>
            </w:pPr>
            <w:r>
              <w:rPr>
                <w:rFonts w:ascii="Arial" w:cs="Arial" w:eastAsia="Arial" w:hAnsi="Arial"/>
                <w:sz w:val="13"/>
                <w:szCs w:val="13"/>
                <w:color w:val="auto"/>
              </w:rPr>
              <w:t>circonstances parce que cette personne a satisfait au standard de conduite applicable énoncé</w:t>
            </w:r>
          </w:p>
        </w:tc>
      </w:tr>
      <w:tr>
        <w:trPr>
          <w:trHeight w:val="145"/>
        </w:trPr>
        <w:tc>
          <w:tcPr>
            <w:tcW w:w="5540" w:type="dxa"/>
            <w:vAlign w:val="bottom"/>
            <w:tcBorders>
              <w:left w:val="single" w:sz="8" w:color="auto"/>
              <w:right w:val="single" w:sz="8" w:color="auto"/>
            </w:tcBorders>
          </w:tcPr>
          <w:p>
            <w:pPr>
              <w:ind w:left="40"/>
              <w:spacing w:after="0" w:line="145" w:lineRule="exact"/>
              <w:rPr>
                <w:sz w:val="20"/>
                <w:szCs w:val="20"/>
                <w:color w:val="auto"/>
              </w:rPr>
            </w:pPr>
            <w:r>
              <w:rPr>
                <w:rFonts w:ascii="Arial" w:cs="Arial" w:eastAsia="Arial" w:hAnsi="Arial"/>
                <w:sz w:val="13"/>
                <w:szCs w:val="13"/>
                <w:color w:val="auto"/>
              </w:rPr>
              <w:t>with respect to a Covered Person (a) by a majority vote of the members of the Board of</w:t>
            </w:r>
          </w:p>
        </w:tc>
        <w:tc>
          <w:tcPr>
            <w:tcW w:w="240" w:type="dxa"/>
            <w:vAlign w:val="bottom"/>
            <w:tcBorders>
              <w:right w:val="single" w:sz="8" w:color="auto"/>
            </w:tcBorders>
          </w:tcPr>
          <w:p>
            <w:pPr>
              <w:spacing w:after="0"/>
              <w:rPr>
                <w:sz w:val="12"/>
                <w:szCs w:val="12"/>
                <w:color w:val="auto"/>
              </w:rPr>
            </w:pPr>
          </w:p>
        </w:tc>
        <w:tc>
          <w:tcPr>
            <w:tcW w:w="5520" w:type="dxa"/>
            <w:vAlign w:val="bottom"/>
            <w:tcBorders>
              <w:right w:val="single" w:sz="8" w:color="auto"/>
            </w:tcBorders>
          </w:tcPr>
          <w:p>
            <w:pPr>
              <w:ind w:left="20"/>
              <w:spacing w:after="0" w:line="145" w:lineRule="exact"/>
              <w:rPr>
                <w:sz w:val="20"/>
                <w:szCs w:val="20"/>
                <w:color w:val="auto"/>
              </w:rPr>
            </w:pPr>
            <w:r>
              <w:rPr>
                <w:rFonts w:ascii="Arial" w:cs="Arial" w:eastAsia="Arial" w:hAnsi="Arial"/>
                <w:sz w:val="13"/>
                <w:szCs w:val="13"/>
                <w:color w:val="auto"/>
                <w:w w:val="99"/>
              </w:rPr>
              <w:t>dans le présent article 29. Une telle décision concernant une Personne Couverte doit être prise</w:t>
            </w:r>
          </w:p>
        </w:tc>
      </w:tr>
      <w:tr>
        <w:trPr>
          <w:trHeight w:val="145"/>
        </w:trPr>
        <w:tc>
          <w:tcPr>
            <w:tcW w:w="5540" w:type="dxa"/>
            <w:vAlign w:val="bottom"/>
            <w:tcBorders>
              <w:left w:val="single" w:sz="8" w:color="auto"/>
              <w:right w:val="single" w:sz="8" w:color="auto"/>
            </w:tcBorders>
          </w:tcPr>
          <w:p>
            <w:pPr>
              <w:ind w:left="40"/>
              <w:spacing w:after="0" w:line="145" w:lineRule="exact"/>
              <w:rPr>
                <w:sz w:val="20"/>
                <w:szCs w:val="20"/>
                <w:color w:val="auto"/>
              </w:rPr>
            </w:pPr>
            <w:r>
              <w:rPr>
                <w:rFonts w:ascii="Arial" w:cs="Arial" w:eastAsia="Arial" w:hAnsi="Arial"/>
                <w:sz w:val="13"/>
                <w:szCs w:val="13"/>
                <w:color w:val="auto"/>
              </w:rPr>
              <w:t>Directors who are not parties to such proceeding, even though less than a quorum; (b) by a</w:t>
            </w:r>
          </w:p>
        </w:tc>
        <w:tc>
          <w:tcPr>
            <w:tcW w:w="240" w:type="dxa"/>
            <w:vAlign w:val="bottom"/>
            <w:tcBorders>
              <w:right w:val="single" w:sz="8" w:color="auto"/>
            </w:tcBorders>
          </w:tcPr>
          <w:p>
            <w:pPr>
              <w:spacing w:after="0"/>
              <w:rPr>
                <w:sz w:val="12"/>
                <w:szCs w:val="12"/>
                <w:color w:val="auto"/>
              </w:rPr>
            </w:pPr>
          </w:p>
        </w:tc>
        <w:tc>
          <w:tcPr>
            <w:tcW w:w="5520" w:type="dxa"/>
            <w:vAlign w:val="bottom"/>
            <w:tcBorders>
              <w:right w:val="single" w:sz="8" w:color="auto"/>
            </w:tcBorders>
          </w:tcPr>
          <w:p>
            <w:pPr>
              <w:ind w:left="20"/>
              <w:spacing w:after="0" w:line="145" w:lineRule="exact"/>
              <w:rPr>
                <w:sz w:val="20"/>
                <w:szCs w:val="20"/>
                <w:color w:val="auto"/>
              </w:rPr>
            </w:pPr>
            <w:r>
              <w:rPr>
                <w:rFonts w:ascii="Arial" w:cs="Arial" w:eastAsia="Arial" w:hAnsi="Arial"/>
                <w:sz w:val="13"/>
                <w:szCs w:val="13"/>
                <w:color w:val="auto"/>
              </w:rPr>
              <w:t>(a) par la majorité des votes des membres du conseil d'administration qui ne sont pas parties à</w:t>
            </w:r>
          </w:p>
        </w:tc>
      </w:tr>
      <w:tr>
        <w:trPr>
          <w:trHeight w:val="145"/>
        </w:trPr>
        <w:tc>
          <w:tcPr>
            <w:tcW w:w="5540" w:type="dxa"/>
            <w:vAlign w:val="bottom"/>
            <w:tcBorders>
              <w:left w:val="single" w:sz="8" w:color="auto"/>
              <w:right w:val="single" w:sz="8" w:color="auto"/>
            </w:tcBorders>
          </w:tcPr>
          <w:p>
            <w:pPr>
              <w:ind w:left="40"/>
              <w:spacing w:after="0" w:line="145" w:lineRule="exact"/>
              <w:rPr>
                <w:sz w:val="20"/>
                <w:szCs w:val="20"/>
                <w:color w:val="auto"/>
              </w:rPr>
            </w:pPr>
            <w:r>
              <w:rPr>
                <w:rFonts w:ascii="Arial" w:cs="Arial" w:eastAsia="Arial" w:hAnsi="Arial"/>
                <w:sz w:val="13"/>
                <w:szCs w:val="13"/>
                <w:color w:val="auto"/>
                <w:w w:val="99"/>
              </w:rPr>
              <w:t>committee of such members of the Board of Directors designated by a majority vote of such the</w:t>
            </w:r>
          </w:p>
        </w:tc>
        <w:tc>
          <w:tcPr>
            <w:tcW w:w="240" w:type="dxa"/>
            <w:vAlign w:val="bottom"/>
            <w:tcBorders>
              <w:right w:val="single" w:sz="8" w:color="auto"/>
            </w:tcBorders>
          </w:tcPr>
          <w:p>
            <w:pPr>
              <w:spacing w:after="0"/>
              <w:rPr>
                <w:sz w:val="12"/>
                <w:szCs w:val="12"/>
                <w:color w:val="auto"/>
              </w:rPr>
            </w:pPr>
          </w:p>
        </w:tc>
        <w:tc>
          <w:tcPr>
            <w:tcW w:w="5520" w:type="dxa"/>
            <w:vAlign w:val="bottom"/>
            <w:tcBorders>
              <w:right w:val="single" w:sz="8" w:color="auto"/>
            </w:tcBorders>
          </w:tcPr>
          <w:p>
            <w:pPr>
              <w:ind w:left="20"/>
              <w:spacing w:after="0" w:line="145" w:lineRule="exact"/>
              <w:rPr>
                <w:sz w:val="20"/>
                <w:szCs w:val="20"/>
                <w:color w:val="auto"/>
              </w:rPr>
            </w:pPr>
            <w:r>
              <w:rPr>
                <w:rFonts w:ascii="Arial" w:cs="Arial" w:eastAsia="Arial" w:hAnsi="Arial"/>
                <w:sz w:val="13"/>
                <w:szCs w:val="13"/>
                <w:color w:val="auto"/>
              </w:rPr>
              <w:t>cette procédure, même si le quorum requis n'est pas réuni; (b) par un comité de membres du</w:t>
            </w:r>
          </w:p>
        </w:tc>
      </w:tr>
      <w:tr>
        <w:trPr>
          <w:trHeight w:val="173"/>
        </w:trPr>
        <w:tc>
          <w:tcPr>
            <w:tcW w:w="554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3"/>
                <w:szCs w:val="13"/>
                <w:color w:val="auto"/>
              </w:rPr>
              <w:t>Board of Directors, even though less than a quorum; (c) if there are no such</w:t>
            </w:r>
          </w:p>
        </w:tc>
        <w:tc>
          <w:tcPr>
            <w:tcW w:w="240" w:type="dxa"/>
            <w:vAlign w:val="bottom"/>
            <w:tcBorders>
              <w:bottom w:val="single" w:sz="8" w:color="auto"/>
              <w:right w:val="single" w:sz="8" w:color="auto"/>
            </w:tcBorders>
          </w:tcPr>
          <w:p>
            <w:pPr>
              <w:spacing w:after="0"/>
              <w:rPr>
                <w:sz w:val="15"/>
                <w:szCs w:val="15"/>
                <w:color w:val="auto"/>
              </w:rPr>
            </w:pPr>
          </w:p>
        </w:tc>
        <w:tc>
          <w:tcPr>
            <w:tcW w:w="55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3"/>
                <w:szCs w:val="13"/>
                <w:color w:val="auto"/>
                <w:w w:val="99"/>
              </w:rPr>
              <w:t>conseil d'administration désignés par une majorité des votes du conseil d'administration, même</w:t>
            </w:r>
          </w:p>
        </w:tc>
      </w:tr>
    </w:tbl>
    <w:p>
      <w:pPr>
        <w:spacing w:after="0" w:line="59"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5"/>
          <w:szCs w:val="15"/>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12700</wp:posOffset>
            </wp:positionV>
            <wp:extent cx="7171690" cy="635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71690" cy="6350"/>
                    </a:xfrm>
                    <a:prstGeom prst="rect">
                      <a:avLst/>
                    </a:prstGeom>
                    <a:noFill/>
                  </pic:spPr>
                </pic:pic>
              </a:graphicData>
            </a:graphic>
          </wp:anchor>
        </w:drawing>
      </w:r>
    </w:p>
    <w:p>
      <w:pPr>
        <w:sectPr>
          <w:pgSz w:w="11900" w:h="16838" w:orient="portrait"/>
          <w:cols w:equalWidth="0" w:num="1">
            <w:col w:w="11300"/>
          </w:cols>
          <w:pgMar w:left="300" w:top="448" w:right="299" w:bottom="1440" w:gutter="0" w:footer="0" w:header="0"/>
        </w:sectPr>
      </w:pPr>
    </w:p>
    <w:bookmarkStart w:id="80" w:name="page81"/>
    <w:bookmarkEnd w:id="80"/>
    <w:tbl>
      <w:tblPr>
        <w:tblLayout w:type="fixed"/>
        <w:tblInd w:w="10" w:type="dxa"/>
        <w:tblCellMar>
          <w:top w:w="0" w:type="dxa"/>
          <w:left w:w="0" w:type="dxa"/>
          <w:bottom w:w="0" w:type="dxa"/>
          <w:right w:w="0" w:type="dxa"/>
        </w:tblCellMar>
      </w:tblPr>
      <w:tr>
        <w:trPr>
          <w:trHeight w:val="161"/>
        </w:trPr>
        <w:tc>
          <w:tcPr>
            <w:tcW w:w="5540" w:type="dxa"/>
            <w:vAlign w:val="bottom"/>
            <w:tcBorders>
              <w:top w:val="single" w:sz="8" w:color="auto"/>
              <w:left w:val="single" w:sz="8" w:color="auto"/>
              <w:right w:val="single" w:sz="8" w:color="auto"/>
            </w:tcBorders>
          </w:tcPr>
          <w:p>
            <w:pPr>
              <w:ind w:left="40"/>
              <w:spacing w:after="0"/>
              <w:rPr>
                <w:sz w:val="20"/>
                <w:szCs w:val="20"/>
                <w:color w:val="auto"/>
              </w:rPr>
            </w:pPr>
            <w:r>
              <w:rPr>
                <w:rFonts w:ascii="Arial" w:cs="Arial" w:eastAsia="Arial" w:hAnsi="Arial"/>
                <w:sz w:val="13"/>
                <w:szCs w:val="13"/>
                <w:color w:val="auto"/>
              </w:rPr>
              <w:t>member of the Board of Directors, or if such member of the Board of Directors so direct, by</w:t>
            </w:r>
          </w:p>
        </w:tc>
        <w:tc>
          <w:tcPr>
            <w:tcW w:w="240" w:type="dxa"/>
            <w:vAlign w:val="bottom"/>
            <w:tcBorders>
              <w:top w:val="single" w:sz="8" w:color="auto"/>
              <w:right w:val="single" w:sz="8" w:color="auto"/>
            </w:tcBorders>
          </w:tcPr>
          <w:p>
            <w:pPr>
              <w:spacing w:after="0"/>
              <w:rPr>
                <w:sz w:val="14"/>
                <w:szCs w:val="14"/>
                <w:color w:val="auto"/>
              </w:rPr>
            </w:pPr>
          </w:p>
        </w:tc>
        <w:tc>
          <w:tcPr>
            <w:tcW w:w="5520" w:type="dxa"/>
            <w:vAlign w:val="bottom"/>
            <w:tcBorders>
              <w:top w:val="single" w:sz="8" w:color="auto"/>
              <w:right w:val="single" w:sz="8" w:color="auto"/>
            </w:tcBorders>
          </w:tcPr>
          <w:p>
            <w:pPr>
              <w:ind w:left="20"/>
              <w:spacing w:after="0"/>
              <w:rPr>
                <w:sz w:val="20"/>
                <w:szCs w:val="20"/>
                <w:color w:val="auto"/>
              </w:rPr>
            </w:pPr>
            <w:r>
              <w:rPr>
                <w:rFonts w:ascii="Arial" w:cs="Arial" w:eastAsia="Arial" w:hAnsi="Arial"/>
                <w:sz w:val="13"/>
                <w:szCs w:val="13"/>
                <w:color w:val="auto"/>
              </w:rPr>
              <w:t>si le quorum requis n'est pas réuni; (c) s'il n'y a pas de tel membre du conseil d'administration,</w:t>
            </w:r>
          </w:p>
        </w:tc>
      </w:tr>
      <w:tr>
        <w:trPr>
          <w:trHeight w:val="145"/>
        </w:trPr>
        <w:tc>
          <w:tcPr>
            <w:tcW w:w="5540" w:type="dxa"/>
            <w:vAlign w:val="bottom"/>
            <w:tcBorders>
              <w:left w:val="single" w:sz="8" w:color="auto"/>
              <w:right w:val="single" w:sz="8" w:color="auto"/>
            </w:tcBorders>
          </w:tcPr>
          <w:p>
            <w:pPr>
              <w:ind w:left="40"/>
              <w:spacing w:after="0" w:line="145" w:lineRule="exact"/>
              <w:rPr>
                <w:sz w:val="20"/>
                <w:szCs w:val="20"/>
                <w:color w:val="auto"/>
              </w:rPr>
            </w:pPr>
            <w:r>
              <w:rPr>
                <w:rFonts w:ascii="Arial" w:cs="Arial" w:eastAsia="Arial" w:hAnsi="Arial"/>
                <w:sz w:val="13"/>
                <w:szCs w:val="13"/>
                <w:color w:val="auto"/>
              </w:rPr>
              <w:t>independent legal counsel in a written opinion; or (d) by the General Meeting of Shareholders.</w:t>
            </w:r>
          </w:p>
        </w:tc>
        <w:tc>
          <w:tcPr>
            <w:tcW w:w="240" w:type="dxa"/>
            <w:vAlign w:val="bottom"/>
            <w:tcBorders>
              <w:right w:val="single" w:sz="8" w:color="auto"/>
            </w:tcBorders>
          </w:tcPr>
          <w:p>
            <w:pPr>
              <w:spacing w:after="0"/>
              <w:rPr>
                <w:sz w:val="12"/>
                <w:szCs w:val="12"/>
                <w:color w:val="auto"/>
              </w:rPr>
            </w:pPr>
          </w:p>
        </w:tc>
        <w:tc>
          <w:tcPr>
            <w:tcW w:w="5520" w:type="dxa"/>
            <w:vAlign w:val="bottom"/>
            <w:tcBorders>
              <w:right w:val="single" w:sz="8" w:color="auto"/>
            </w:tcBorders>
          </w:tcPr>
          <w:p>
            <w:pPr>
              <w:ind w:left="20"/>
              <w:spacing w:after="0" w:line="145" w:lineRule="exact"/>
              <w:rPr>
                <w:sz w:val="20"/>
                <w:szCs w:val="20"/>
                <w:color w:val="auto"/>
              </w:rPr>
            </w:pPr>
            <w:r>
              <w:rPr>
                <w:rFonts w:ascii="Arial" w:cs="Arial" w:eastAsia="Arial" w:hAnsi="Arial"/>
                <w:sz w:val="13"/>
                <w:szCs w:val="13"/>
                <w:color w:val="auto"/>
              </w:rPr>
              <w:t>ou si ce membre du conseil d'administration l'ordonne, par un conseiller juridique indépendant</w:t>
            </w:r>
          </w:p>
        </w:tc>
      </w:tr>
      <w:tr>
        <w:trPr>
          <w:trHeight w:val="145"/>
        </w:trPr>
        <w:tc>
          <w:tcPr>
            <w:tcW w:w="5540" w:type="dxa"/>
            <w:vAlign w:val="bottom"/>
            <w:tcBorders>
              <w:left w:val="single" w:sz="8" w:color="auto"/>
              <w:right w:val="single" w:sz="8" w:color="auto"/>
            </w:tcBorders>
          </w:tcPr>
          <w:p>
            <w:pPr>
              <w:ind w:left="40"/>
              <w:spacing w:after="0" w:line="145" w:lineRule="exact"/>
              <w:rPr>
                <w:sz w:val="20"/>
                <w:szCs w:val="20"/>
                <w:color w:val="auto"/>
              </w:rPr>
            </w:pPr>
            <w:r>
              <w:rPr>
                <w:rFonts w:ascii="Arial" w:cs="Arial" w:eastAsia="Arial" w:hAnsi="Arial"/>
                <w:sz w:val="13"/>
                <w:szCs w:val="13"/>
                <w:color w:val="auto"/>
                <w:w w:val="99"/>
              </w:rPr>
              <w:t>Such determination shall be made, with respect to any other Covered Person, by any person or</w:t>
            </w:r>
          </w:p>
        </w:tc>
        <w:tc>
          <w:tcPr>
            <w:tcW w:w="240" w:type="dxa"/>
            <w:vAlign w:val="bottom"/>
            <w:tcBorders>
              <w:right w:val="single" w:sz="8" w:color="auto"/>
            </w:tcBorders>
          </w:tcPr>
          <w:p>
            <w:pPr>
              <w:spacing w:after="0"/>
              <w:rPr>
                <w:sz w:val="12"/>
                <w:szCs w:val="12"/>
                <w:color w:val="auto"/>
              </w:rPr>
            </w:pPr>
          </w:p>
        </w:tc>
        <w:tc>
          <w:tcPr>
            <w:tcW w:w="5520" w:type="dxa"/>
            <w:vAlign w:val="bottom"/>
            <w:tcBorders>
              <w:right w:val="single" w:sz="8" w:color="auto"/>
            </w:tcBorders>
          </w:tcPr>
          <w:p>
            <w:pPr>
              <w:ind w:left="20"/>
              <w:spacing w:after="0" w:line="145" w:lineRule="exact"/>
              <w:rPr>
                <w:sz w:val="20"/>
                <w:szCs w:val="20"/>
                <w:color w:val="auto"/>
              </w:rPr>
            </w:pPr>
            <w:r>
              <w:rPr>
                <w:rFonts w:ascii="Arial" w:cs="Arial" w:eastAsia="Arial" w:hAnsi="Arial"/>
                <w:sz w:val="13"/>
                <w:szCs w:val="13"/>
                <w:color w:val="auto"/>
              </w:rPr>
              <w:t>dans un avis écrit; ou (d) par l'assemblée générale des actionnaires. Une telle décision</w:t>
            </w:r>
          </w:p>
        </w:tc>
      </w:tr>
      <w:tr>
        <w:trPr>
          <w:trHeight w:val="145"/>
        </w:trPr>
        <w:tc>
          <w:tcPr>
            <w:tcW w:w="5540" w:type="dxa"/>
            <w:vAlign w:val="bottom"/>
            <w:tcBorders>
              <w:left w:val="single" w:sz="8" w:color="auto"/>
              <w:right w:val="single" w:sz="8" w:color="auto"/>
            </w:tcBorders>
          </w:tcPr>
          <w:p>
            <w:pPr>
              <w:ind w:left="40"/>
              <w:spacing w:after="0" w:line="145" w:lineRule="exact"/>
              <w:rPr>
                <w:sz w:val="20"/>
                <w:szCs w:val="20"/>
                <w:color w:val="auto"/>
              </w:rPr>
            </w:pPr>
            <w:r>
              <w:rPr>
                <w:rFonts w:ascii="Arial" w:cs="Arial" w:eastAsia="Arial" w:hAnsi="Arial"/>
                <w:sz w:val="13"/>
                <w:szCs w:val="13"/>
                <w:color w:val="auto"/>
              </w:rPr>
              <w:t>persons having the authority to act on the matter on behalf of the Company. To the extent,</w:t>
            </w:r>
          </w:p>
        </w:tc>
        <w:tc>
          <w:tcPr>
            <w:tcW w:w="240" w:type="dxa"/>
            <w:vAlign w:val="bottom"/>
            <w:tcBorders>
              <w:right w:val="single" w:sz="8" w:color="auto"/>
            </w:tcBorders>
          </w:tcPr>
          <w:p>
            <w:pPr>
              <w:spacing w:after="0"/>
              <w:rPr>
                <w:sz w:val="12"/>
                <w:szCs w:val="12"/>
                <w:color w:val="auto"/>
              </w:rPr>
            </w:pPr>
          </w:p>
        </w:tc>
        <w:tc>
          <w:tcPr>
            <w:tcW w:w="5520" w:type="dxa"/>
            <w:vAlign w:val="bottom"/>
            <w:tcBorders>
              <w:right w:val="single" w:sz="8" w:color="auto"/>
            </w:tcBorders>
          </w:tcPr>
          <w:p>
            <w:pPr>
              <w:ind w:left="20"/>
              <w:spacing w:after="0" w:line="145" w:lineRule="exact"/>
              <w:rPr>
                <w:sz w:val="20"/>
                <w:szCs w:val="20"/>
                <w:color w:val="auto"/>
              </w:rPr>
            </w:pPr>
            <w:r>
              <w:rPr>
                <w:rFonts w:ascii="Arial" w:cs="Arial" w:eastAsia="Arial" w:hAnsi="Arial"/>
                <w:sz w:val="13"/>
                <w:szCs w:val="13"/>
                <w:color w:val="auto"/>
                <w:w w:val="99"/>
              </w:rPr>
              <w:t>concernant une Personne Couverte doit être prise par une personne ou des personnes ayant le</w:t>
            </w:r>
          </w:p>
        </w:tc>
      </w:tr>
      <w:tr>
        <w:trPr>
          <w:trHeight w:val="145"/>
        </w:trPr>
        <w:tc>
          <w:tcPr>
            <w:tcW w:w="5540" w:type="dxa"/>
            <w:vAlign w:val="bottom"/>
            <w:tcBorders>
              <w:left w:val="single" w:sz="8" w:color="auto"/>
              <w:right w:val="single" w:sz="8" w:color="auto"/>
            </w:tcBorders>
          </w:tcPr>
          <w:p>
            <w:pPr>
              <w:ind w:left="40"/>
              <w:spacing w:after="0" w:line="145" w:lineRule="exact"/>
              <w:rPr>
                <w:sz w:val="20"/>
                <w:szCs w:val="20"/>
                <w:color w:val="auto"/>
              </w:rPr>
            </w:pPr>
            <w:r>
              <w:rPr>
                <w:rFonts w:ascii="Arial" w:cs="Arial" w:eastAsia="Arial" w:hAnsi="Arial"/>
                <w:sz w:val="13"/>
                <w:szCs w:val="13"/>
                <w:color w:val="auto"/>
                <w:w w:val="98"/>
              </w:rPr>
              <w:t>however, that any Covered Person has been successful on the merits or otherwise in defense of</w:t>
            </w:r>
          </w:p>
        </w:tc>
        <w:tc>
          <w:tcPr>
            <w:tcW w:w="240" w:type="dxa"/>
            <w:vAlign w:val="bottom"/>
            <w:tcBorders>
              <w:right w:val="single" w:sz="8" w:color="auto"/>
            </w:tcBorders>
          </w:tcPr>
          <w:p>
            <w:pPr>
              <w:spacing w:after="0"/>
              <w:rPr>
                <w:sz w:val="12"/>
                <w:szCs w:val="12"/>
                <w:color w:val="auto"/>
              </w:rPr>
            </w:pPr>
          </w:p>
        </w:tc>
        <w:tc>
          <w:tcPr>
            <w:tcW w:w="5520" w:type="dxa"/>
            <w:vAlign w:val="bottom"/>
            <w:tcBorders>
              <w:right w:val="single" w:sz="8" w:color="auto"/>
            </w:tcBorders>
          </w:tcPr>
          <w:p>
            <w:pPr>
              <w:ind w:left="20"/>
              <w:spacing w:after="0" w:line="145" w:lineRule="exact"/>
              <w:rPr>
                <w:sz w:val="20"/>
                <w:szCs w:val="20"/>
                <w:color w:val="auto"/>
              </w:rPr>
            </w:pPr>
            <w:r>
              <w:rPr>
                <w:rFonts w:ascii="Arial" w:cs="Arial" w:eastAsia="Arial" w:hAnsi="Arial"/>
                <w:sz w:val="13"/>
                <w:szCs w:val="13"/>
                <w:color w:val="auto"/>
              </w:rPr>
              <w:t>pouvoir d'agir dans cet affaire au nom de la société. Dans la mesure, cependant, où une</w:t>
            </w:r>
          </w:p>
        </w:tc>
      </w:tr>
      <w:tr>
        <w:trPr>
          <w:trHeight w:val="145"/>
        </w:trPr>
        <w:tc>
          <w:tcPr>
            <w:tcW w:w="5540" w:type="dxa"/>
            <w:vAlign w:val="bottom"/>
            <w:tcBorders>
              <w:left w:val="single" w:sz="8" w:color="auto"/>
              <w:right w:val="single" w:sz="8" w:color="auto"/>
            </w:tcBorders>
          </w:tcPr>
          <w:p>
            <w:pPr>
              <w:ind w:left="40"/>
              <w:spacing w:after="0" w:line="145" w:lineRule="exact"/>
              <w:rPr>
                <w:sz w:val="20"/>
                <w:szCs w:val="20"/>
                <w:color w:val="auto"/>
              </w:rPr>
            </w:pPr>
            <w:r>
              <w:rPr>
                <w:rFonts w:ascii="Arial" w:cs="Arial" w:eastAsia="Arial" w:hAnsi="Arial"/>
                <w:sz w:val="13"/>
                <w:szCs w:val="13"/>
                <w:color w:val="auto"/>
              </w:rPr>
              <w:t>any proceeding, or in defense of any claim, issue or matter therein, such Covered Person shall</w:t>
            </w:r>
          </w:p>
        </w:tc>
        <w:tc>
          <w:tcPr>
            <w:tcW w:w="240" w:type="dxa"/>
            <w:vAlign w:val="bottom"/>
            <w:tcBorders>
              <w:right w:val="single" w:sz="8" w:color="auto"/>
            </w:tcBorders>
          </w:tcPr>
          <w:p>
            <w:pPr>
              <w:spacing w:after="0"/>
              <w:rPr>
                <w:sz w:val="12"/>
                <w:szCs w:val="12"/>
                <w:color w:val="auto"/>
              </w:rPr>
            </w:pPr>
          </w:p>
        </w:tc>
        <w:tc>
          <w:tcPr>
            <w:tcW w:w="5520" w:type="dxa"/>
            <w:vAlign w:val="bottom"/>
            <w:tcBorders>
              <w:right w:val="single" w:sz="8" w:color="auto"/>
            </w:tcBorders>
          </w:tcPr>
          <w:p>
            <w:pPr>
              <w:ind w:left="20"/>
              <w:spacing w:after="0" w:line="145" w:lineRule="exact"/>
              <w:rPr>
                <w:sz w:val="20"/>
                <w:szCs w:val="20"/>
                <w:color w:val="auto"/>
              </w:rPr>
            </w:pPr>
            <w:r>
              <w:rPr>
                <w:rFonts w:ascii="Arial" w:cs="Arial" w:eastAsia="Arial" w:hAnsi="Arial"/>
                <w:sz w:val="13"/>
                <w:szCs w:val="13"/>
                <w:color w:val="auto"/>
              </w:rPr>
              <w:t>Personne Couverte a gagné sur le fond ou autrement dans la défense d'une procédure, ou</w:t>
            </w:r>
          </w:p>
        </w:tc>
      </w:tr>
      <w:tr>
        <w:trPr>
          <w:trHeight w:val="145"/>
        </w:trPr>
        <w:tc>
          <w:tcPr>
            <w:tcW w:w="5540" w:type="dxa"/>
            <w:vAlign w:val="bottom"/>
            <w:tcBorders>
              <w:left w:val="single" w:sz="8" w:color="auto"/>
              <w:right w:val="single" w:sz="8" w:color="auto"/>
            </w:tcBorders>
          </w:tcPr>
          <w:p>
            <w:pPr>
              <w:ind w:left="40"/>
              <w:spacing w:after="0" w:line="145" w:lineRule="exact"/>
              <w:rPr>
                <w:sz w:val="20"/>
                <w:szCs w:val="20"/>
                <w:color w:val="auto"/>
              </w:rPr>
            </w:pPr>
            <w:r>
              <w:rPr>
                <w:rFonts w:ascii="Arial" w:cs="Arial" w:eastAsia="Arial" w:hAnsi="Arial"/>
                <w:sz w:val="13"/>
                <w:szCs w:val="13"/>
                <w:color w:val="auto"/>
                <w:w w:val="99"/>
              </w:rPr>
              <w:t>be indemnified against expenses (including attorneys' fees) actually and reasonably incurred by</w:t>
            </w:r>
          </w:p>
        </w:tc>
        <w:tc>
          <w:tcPr>
            <w:tcW w:w="240" w:type="dxa"/>
            <w:vAlign w:val="bottom"/>
            <w:tcBorders>
              <w:right w:val="single" w:sz="8" w:color="auto"/>
            </w:tcBorders>
          </w:tcPr>
          <w:p>
            <w:pPr>
              <w:spacing w:after="0"/>
              <w:rPr>
                <w:sz w:val="12"/>
                <w:szCs w:val="12"/>
                <w:color w:val="auto"/>
              </w:rPr>
            </w:pPr>
          </w:p>
        </w:tc>
        <w:tc>
          <w:tcPr>
            <w:tcW w:w="5520" w:type="dxa"/>
            <w:vAlign w:val="bottom"/>
            <w:tcBorders>
              <w:right w:val="single" w:sz="8" w:color="auto"/>
            </w:tcBorders>
          </w:tcPr>
          <w:p>
            <w:pPr>
              <w:ind w:left="20"/>
              <w:spacing w:after="0" w:line="145" w:lineRule="exact"/>
              <w:rPr>
                <w:sz w:val="20"/>
                <w:szCs w:val="20"/>
                <w:color w:val="auto"/>
              </w:rPr>
            </w:pPr>
            <w:r>
              <w:rPr>
                <w:rFonts w:ascii="Arial" w:cs="Arial" w:eastAsia="Arial" w:hAnsi="Arial"/>
                <w:sz w:val="13"/>
                <w:szCs w:val="13"/>
                <w:color w:val="auto"/>
              </w:rPr>
              <w:t>dans la défense de toute réclamation, problème ou affaire dans cette procédure, cette</w:t>
            </w:r>
          </w:p>
        </w:tc>
      </w:tr>
      <w:tr>
        <w:trPr>
          <w:trHeight w:val="145"/>
        </w:trPr>
        <w:tc>
          <w:tcPr>
            <w:tcW w:w="5540" w:type="dxa"/>
            <w:vAlign w:val="bottom"/>
            <w:tcBorders>
              <w:left w:val="single" w:sz="8" w:color="auto"/>
              <w:right w:val="single" w:sz="8" w:color="auto"/>
            </w:tcBorders>
          </w:tcPr>
          <w:p>
            <w:pPr>
              <w:ind w:left="40"/>
              <w:spacing w:after="0" w:line="145" w:lineRule="exact"/>
              <w:rPr>
                <w:sz w:val="20"/>
                <w:szCs w:val="20"/>
                <w:color w:val="auto"/>
              </w:rPr>
            </w:pPr>
            <w:r>
              <w:rPr>
                <w:rFonts w:ascii="Arial" w:cs="Arial" w:eastAsia="Arial" w:hAnsi="Arial"/>
                <w:sz w:val="13"/>
                <w:szCs w:val="13"/>
                <w:color w:val="auto"/>
              </w:rPr>
              <w:t>such person in connection therewith, without the necessity of authorization in the specific case.</w:t>
            </w:r>
          </w:p>
        </w:tc>
        <w:tc>
          <w:tcPr>
            <w:tcW w:w="240" w:type="dxa"/>
            <w:vAlign w:val="bottom"/>
            <w:tcBorders>
              <w:right w:val="single" w:sz="8" w:color="auto"/>
            </w:tcBorders>
          </w:tcPr>
          <w:p>
            <w:pPr>
              <w:spacing w:after="0"/>
              <w:rPr>
                <w:sz w:val="12"/>
                <w:szCs w:val="12"/>
                <w:color w:val="auto"/>
              </w:rPr>
            </w:pPr>
          </w:p>
        </w:tc>
        <w:tc>
          <w:tcPr>
            <w:tcW w:w="5520" w:type="dxa"/>
            <w:vAlign w:val="bottom"/>
            <w:tcBorders>
              <w:right w:val="single" w:sz="8" w:color="auto"/>
            </w:tcBorders>
          </w:tcPr>
          <w:p>
            <w:pPr>
              <w:ind w:left="20"/>
              <w:spacing w:after="0" w:line="145" w:lineRule="exact"/>
              <w:rPr>
                <w:sz w:val="20"/>
                <w:szCs w:val="20"/>
                <w:color w:val="auto"/>
              </w:rPr>
            </w:pPr>
            <w:r>
              <w:rPr>
                <w:rFonts w:ascii="Arial" w:cs="Arial" w:eastAsia="Arial" w:hAnsi="Arial"/>
                <w:sz w:val="13"/>
                <w:szCs w:val="13"/>
                <w:color w:val="auto"/>
                <w:w w:val="99"/>
              </w:rPr>
              <w:t>Personne Couverte doit être indemnisée pour les dépenses (y compris les honoraires d'avocat)</w:t>
            </w:r>
          </w:p>
        </w:tc>
      </w:tr>
      <w:tr>
        <w:trPr>
          <w:trHeight w:val="145"/>
        </w:trPr>
        <w:tc>
          <w:tcPr>
            <w:tcW w:w="5540" w:type="dxa"/>
            <w:vAlign w:val="bottom"/>
            <w:tcBorders>
              <w:left w:val="single" w:sz="8" w:color="auto"/>
              <w:right w:val="single" w:sz="8" w:color="auto"/>
            </w:tcBorders>
          </w:tcPr>
          <w:p>
            <w:pPr>
              <w:spacing w:after="0"/>
              <w:rPr>
                <w:sz w:val="12"/>
                <w:szCs w:val="12"/>
                <w:color w:val="auto"/>
              </w:rPr>
            </w:pPr>
          </w:p>
        </w:tc>
        <w:tc>
          <w:tcPr>
            <w:tcW w:w="240" w:type="dxa"/>
            <w:vAlign w:val="bottom"/>
            <w:tcBorders>
              <w:right w:val="single" w:sz="8" w:color="auto"/>
            </w:tcBorders>
          </w:tcPr>
          <w:p>
            <w:pPr>
              <w:spacing w:after="0"/>
              <w:rPr>
                <w:sz w:val="12"/>
                <w:szCs w:val="12"/>
                <w:color w:val="auto"/>
              </w:rPr>
            </w:pPr>
          </w:p>
        </w:tc>
        <w:tc>
          <w:tcPr>
            <w:tcW w:w="5520" w:type="dxa"/>
            <w:vAlign w:val="bottom"/>
            <w:tcBorders>
              <w:right w:val="single" w:sz="8" w:color="auto"/>
            </w:tcBorders>
          </w:tcPr>
          <w:p>
            <w:pPr>
              <w:ind w:left="20"/>
              <w:spacing w:after="0" w:line="145" w:lineRule="exact"/>
              <w:rPr>
                <w:sz w:val="20"/>
                <w:szCs w:val="20"/>
                <w:color w:val="auto"/>
              </w:rPr>
            </w:pPr>
            <w:r>
              <w:rPr>
                <w:rFonts w:ascii="Arial" w:cs="Arial" w:eastAsia="Arial" w:hAnsi="Arial"/>
                <w:sz w:val="13"/>
                <w:szCs w:val="13"/>
                <w:color w:val="auto"/>
              </w:rPr>
              <w:t>effectivement et raisonnablement encourus dans le cadre de l'affaire en question sans qu'il soit</w:t>
            </w:r>
          </w:p>
        </w:tc>
      </w:tr>
      <w:tr>
        <w:trPr>
          <w:trHeight w:val="173"/>
        </w:trPr>
        <w:tc>
          <w:tcPr>
            <w:tcW w:w="5540" w:type="dxa"/>
            <w:vAlign w:val="bottom"/>
            <w:tcBorders>
              <w:left w:val="single" w:sz="8" w:color="auto"/>
              <w:bottom w:val="single" w:sz="8" w:color="auto"/>
              <w:right w:val="single" w:sz="8" w:color="auto"/>
            </w:tcBorders>
          </w:tcPr>
          <w:p>
            <w:pPr>
              <w:spacing w:after="0"/>
              <w:rPr>
                <w:sz w:val="15"/>
                <w:szCs w:val="15"/>
                <w:color w:val="auto"/>
              </w:rPr>
            </w:pPr>
          </w:p>
        </w:tc>
        <w:tc>
          <w:tcPr>
            <w:tcW w:w="240" w:type="dxa"/>
            <w:vAlign w:val="bottom"/>
            <w:tcBorders>
              <w:bottom w:val="single" w:sz="8" w:color="auto"/>
              <w:right w:val="single" w:sz="8" w:color="auto"/>
            </w:tcBorders>
          </w:tcPr>
          <w:p>
            <w:pPr>
              <w:spacing w:after="0"/>
              <w:rPr>
                <w:sz w:val="15"/>
                <w:szCs w:val="15"/>
                <w:color w:val="auto"/>
              </w:rPr>
            </w:pPr>
          </w:p>
        </w:tc>
        <w:tc>
          <w:tcPr>
            <w:tcW w:w="55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3"/>
                <w:szCs w:val="13"/>
                <w:color w:val="auto"/>
              </w:rPr>
              <w:t>nécessaire d'avoir une autorisation dans le cas spécifique.</w:t>
            </w:r>
          </w:p>
        </w:tc>
      </w:tr>
      <w:tr>
        <w:trPr>
          <w:trHeight w:val="145"/>
        </w:trPr>
        <w:tc>
          <w:tcPr>
            <w:tcW w:w="5540" w:type="dxa"/>
            <w:vAlign w:val="bottom"/>
            <w:tcBorders>
              <w:left w:val="single" w:sz="8" w:color="auto"/>
              <w:right w:val="single" w:sz="8" w:color="auto"/>
            </w:tcBorders>
          </w:tcPr>
          <w:p>
            <w:pPr>
              <w:ind w:left="40"/>
              <w:spacing w:after="0" w:line="146" w:lineRule="exact"/>
              <w:rPr>
                <w:sz w:val="20"/>
                <w:szCs w:val="20"/>
                <w:color w:val="auto"/>
              </w:rPr>
            </w:pPr>
            <w:r>
              <w:rPr>
                <w:rFonts w:ascii="Arial" w:cs="Arial" w:eastAsia="Arial" w:hAnsi="Arial"/>
                <w:sz w:val="13"/>
                <w:szCs w:val="13"/>
                <w:color w:val="auto"/>
              </w:rPr>
              <w:t>As far as is permissible under applicable law, expenses, including attorneys' fees, incurred in</w:t>
            </w:r>
          </w:p>
        </w:tc>
        <w:tc>
          <w:tcPr>
            <w:tcW w:w="240" w:type="dxa"/>
            <w:vAlign w:val="bottom"/>
            <w:tcBorders>
              <w:right w:val="single" w:sz="8" w:color="auto"/>
            </w:tcBorders>
          </w:tcPr>
          <w:p>
            <w:pPr>
              <w:spacing w:after="0"/>
              <w:rPr>
                <w:sz w:val="12"/>
                <w:szCs w:val="12"/>
                <w:color w:val="auto"/>
              </w:rPr>
            </w:pPr>
          </w:p>
        </w:tc>
        <w:tc>
          <w:tcPr>
            <w:tcW w:w="5520" w:type="dxa"/>
            <w:vAlign w:val="bottom"/>
            <w:tcBorders>
              <w:right w:val="single" w:sz="8" w:color="auto"/>
            </w:tcBorders>
          </w:tcPr>
          <w:p>
            <w:pPr>
              <w:ind w:left="20"/>
              <w:spacing w:after="0" w:line="146" w:lineRule="exact"/>
              <w:rPr>
                <w:sz w:val="20"/>
                <w:szCs w:val="20"/>
                <w:color w:val="auto"/>
              </w:rPr>
            </w:pPr>
            <w:r>
              <w:rPr>
                <w:rFonts w:ascii="Arial" w:cs="Arial" w:eastAsia="Arial" w:hAnsi="Arial"/>
                <w:sz w:val="13"/>
                <w:szCs w:val="13"/>
                <w:color w:val="auto"/>
                <w:w w:val="99"/>
              </w:rPr>
              <w:t>Dans la mesure permise par la loi applicable, les dépenses, y compris les honoraires d'avocats,</w:t>
            </w:r>
          </w:p>
        </w:tc>
      </w:tr>
      <w:tr>
        <w:trPr>
          <w:trHeight w:val="145"/>
        </w:trPr>
        <w:tc>
          <w:tcPr>
            <w:tcW w:w="5540" w:type="dxa"/>
            <w:vAlign w:val="bottom"/>
            <w:tcBorders>
              <w:left w:val="single" w:sz="8" w:color="auto"/>
              <w:right w:val="single" w:sz="8" w:color="auto"/>
            </w:tcBorders>
          </w:tcPr>
          <w:p>
            <w:pPr>
              <w:ind w:left="40"/>
              <w:spacing w:after="0" w:line="145" w:lineRule="exact"/>
              <w:rPr>
                <w:sz w:val="20"/>
                <w:szCs w:val="20"/>
                <w:color w:val="auto"/>
              </w:rPr>
            </w:pPr>
            <w:r>
              <w:rPr>
                <w:rFonts w:ascii="Arial" w:cs="Arial" w:eastAsia="Arial" w:hAnsi="Arial"/>
                <w:sz w:val="13"/>
                <w:szCs w:val="13"/>
                <w:color w:val="auto"/>
                <w:w w:val="99"/>
              </w:rPr>
              <w:t>defending any proceeding for which indemnification is permitted pursuant to this Article 29 shall</w:t>
            </w:r>
          </w:p>
        </w:tc>
        <w:tc>
          <w:tcPr>
            <w:tcW w:w="240" w:type="dxa"/>
            <w:vAlign w:val="bottom"/>
            <w:tcBorders>
              <w:right w:val="single" w:sz="8" w:color="auto"/>
            </w:tcBorders>
          </w:tcPr>
          <w:p>
            <w:pPr>
              <w:spacing w:after="0"/>
              <w:rPr>
                <w:sz w:val="12"/>
                <w:szCs w:val="12"/>
                <w:color w:val="auto"/>
              </w:rPr>
            </w:pPr>
          </w:p>
        </w:tc>
        <w:tc>
          <w:tcPr>
            <w:tcW w:w="5520" w:type="dxa"/>
            <w:vAlign w:val="bottom"/>
            <w:tcBorders>
              <w:right w:val="single" w:sz="8" w:color="auto"/>
            </w:tcBorders>
          </w:tcPr>
          <w:p>
            <w:pPr>
              <w:ind w:left="20"/>
              <w:spacing w:after="0" w:line="145" w:lineRule="exact"/>
              <w:rPr>
                <w:sz w:val="20"/>
                <w:szCs w:val="20"/>
                <w:color w:val="auto"/>
              </w:rPr>
            </w:pPr>
            <w:r>
              <w:rPr>
                <w:rFonts w:ascii="Arial" w:cs="Arial" w:eastAsia="Arial" w:hAnsi="Arial"/>
                <w:sz w:val="13"/>
                <w:szCs w:val="13"/>
                <w:color w:val="auto"/>
                <w:w w:val="99"/>
              </w:rPr>
              <w:t>encourus dans la défense de toute procédure pour laquelle l'indemnisation est permise en vertu</w:t>
            </w:r>
          </w:p>
        </w:tc>
      </w:tr>
      <w:tr>
        <w:trPr>
          <w:trHeight w:val="145"/>
        </w:trPr>
        <w:tc>
          <w:tcPr>
            <w:tcW w:w="5540" w:type="dxa"/>
            <w:vAlign w:val="bottom"/>
            <w:tcBorders>
              <w:left w:val="single" w:sz="8" w:color="auto"/>
              <w:right w:val="single" w:sz="8" w:color="auto"/>
            </w:tcBorders>
          </w:tcPr>
          <w:p>
            <w:pPr>
              <w:ind w:left="40"/>
              <w:spacing w:after="0" w:line="145" w:lineRule="exact"/>
              <w:rPr>
                <w:sz w:val="20"/>
                <w:szCs w:val="20"/>
                <w:color w:val="auto"/>
              </w:rPr>
            </w:pPr>
            <w:r>
              <w:rPr>
                <w:rFonts w:ascii="Arial" w:cs="Arial" w:eastAsia="Arial" w:hAnsi="Arial"/>
                <w:sz w:val="13"/>
                <w:szCs w:val="13"/>
                <w:color w:val="auto"/>
              </w:rPr>
              <w:t>be paid by the Company in advance of the final disposition of such proceeding upon receipt by</w:t>
            </w:r>
          </w:p>
        </w:tc>
        <w:tc>
          <w:tcPr>
            <w:tcW w:w="240" w:type="dxa"/>
            <w:vAlign w:val="bottom"/>
            <w:tcBorders>
              <w:right w:val="single" w:sz="8" w:color="auto"/>
            </w:tcBorders>
          </w:tcPr>
          <w:p>
            <w:pPr>
              <w:spacing w:after="0"/>
              <w:rPr>
                <w:sz w:val="12"/>
                <w:szCs w:val="12"/>
                <w:color w:val="auto"/>
              </w:rPr>
            </w:pPr>
          </w:p>
        </w:tc>
        <w:tc>
          <w:tcPr>
            <w:tcW w:w="5520" w:type="dxa"/>
            <w:vAlign w:val="bottom"/>
            <w:tcBorders>
              <w:right w:val="single" w:sz="8" w:color="auto"/>
            </w:tcBorders>
          </w:tcPr>
          <w:p>
            <w:pPr>
              <w:ind w:left="20"/>
              <w:spacing w:after="0" w:line="145" w:lineRule="exact"/>
              <w:rPr>
                <w:sz w:val="20"/>
                <w:szCs w:val="20"/>
                <w:color w:val="auto"/>
              </w:rPr>
            </w:pPr>
            <w:r>
              <w:rPr>
                <w:rFonts w:ascii="Arial" w:cs="Arial" w:eastAsia="Arial" w:hAnsi="Arial"/>
                <w:sz w:val="13"/>
                <w:szCs w:val="13"/>
                <w:color w:val="auto"/>
              </w:rPr>
              <w:t>du présent article 29, doivent être payées par la société avant la décision finale dans cette</w:t>
            </w:r>
          </w:p>
        </w:tc>
      </w:tr>
      <w:tr>
        <w:trPr>
          <w:trHeight w:val="145"/>
        </w:trPr>
        <w:tc>
          <w:tcPr>
            <w:tcW w:w="5540" w:type="dxa"/>
            <w:vAlign w:val="bottom"/>
            <w:tcBorders>
              <w:left w:val="single" w:sz="8" w:color="auto"/>
              <w:right w:val="single" w:sz="8" w:color="auto"/>
            </w:tcBorders>
          </w:tcPr>
          <w:p>
            <w:pPr>
              <w:ind w:left="40"/>
              <w:spacing w:after="0" w:line="145" w:lineRule="exact"/>
              <w:rPr>
                <w:sz w:val="20"/>
                <w:szCs w:val="20"/>
                <w:color w:val="auto"/>
              </w:rPr>
            </w:pPr>
            <w:r>
              <w:rPr>
                <w:rFonts w:ascii="Arial" w:cs="Arial" w:eastAsia="Arial" w:hAnsi="Arial"/>
                <w:sz w:val="13"/>
                <w:szCs w:val="13"/>
                <w:color w:val="auto"/>
              </w:rPr>
              <w:t>the Board of Directors of an undertaking by or on behalf of the Covered Person to repay such</w:t>
            </w:r>
          </w:p>
        </w:tc>
        <w:tc>
          <w:tcPr>
            <w:tcW w:w="240" w:type="dxa"/>
            <w:vAlign w:val="bottom"/>
            <w:tcBorders>
              <w:right w:val="single" w:sz="8" w:color="auto"/>
            </w:tcBorders>
          </w:tcPr>
          <w:p>
            <w:pPr>
              <w:spacing w:after="0"/>
              <w:rPr>
                <w:sz w:val="12"/>
                <w:szCs w:val="12"/>
                <w:color w:val="auto"/>
              </w:rPr>
            </w:pPr>
          </w:p>
        </w:tc>
        <w:tc>
          <w:tcPr>
            <w:tcW w:w="5520" w:type="dxa"/>
            <w:vAlign w:val="bottom"/>
            <w:tcBorders>
              <w:right w:val="single" w:sz="8" w:color="auto"/>
            </w:tcBorders>
          </w:tcPr>
          <w:p>
            <w:pPr>
              <w:ind w:left="20"/>
              <w:spacing w:after="0" w:line="145" w:lineRule="exact"/>
              <w:rPr>
                <w:sz w:val="20"/>
                <w:szCs w:val="20"/>
                <w:color w:val="auto"/>
              </w:rPr>
            </w:pPr>
            <w:r>
              <w:rPr>
                <w:rFonts w:ascii="Arial" w:cs="Arial" w:eastAsia="Arial" w:hAnsi="Arial"/>
                <w:sz w:val="13"/>
                <w:szCs w:val="13"/>
                <w:color w:val="auto"/>
              </w:rPr>
              <w:t>procédure à réception par le conseil d'administration d'une promesse faite par ou au nom de la</w:t>
            </w:r>
          </w:p>
        </w:tc>
      </w:tr>
      <w:tr>
        <w:trPr>
          <w:trHeight w:val="145"/>
        </w:trPr>
        <w:tc>
          <w:tcPr>
            <w:tcW w:w="5540" w:type="dxa"/>
            <w:vAlign w:val="bottom"/>
            <w:tcBorders>
              <w:left w:val="single" w:sz="8" w:color="auto"/>
              <w:right w:val="single" w:sz="8" w:color="auto"/>
            </w:tcBorders>
          </w:tcPr>
          <w:p>
            <w:pPr>
              <w:ind w:left="40"/>
              <w:spacing w:after="0" w:line="145" w:lineRule="exact"/>
              <w:rPr>
                <w:sz w:val="20"/>
                <w:szCs w:val="20"/>
                <w:color w:val="auto"/>
              </w:rPr>
            </w:pPr>
            <w:r>
              <w:rPr>
                <w:rFonts w:ascii="Arial" w:cs="Arial" w:eastAsia="Arial" w:hAnsi="Arial"/>
                <w:sz w:val="13"/>
                <w:szCs w:val="13"/>
                <w:color w:val="auto"/>
              </w:rPr>
              <w:t>amount if it shall ultimately be determined that he or she is not entitled to be indemnified by the</w:t>
            </w:r>
          </w:p>
        </w:tc>
        <w:tc>
          <w:tcPr>
            <w:tcW w:w="240" w:type="dxa"/>
            <w:vAlign w:val="bottom"/>
            <w:tcBorders>
              <w:right w:val="single" w:sz="8" w:color="auto"/>
            </w:tcBorders>
          </w:tcPr>
          <w:p>
            <w:pPr>
              <w:spacing w:after="0"/>
              <w:rPr>
                <w:sz w:val="12"/>
                <w:szCs w:val="12"/>
                <w:color w:val="auto"/>
              </w:rPr>
            </w:pPr>
          </w:p>
        </w:tc>
        <w:tc>
          <w:tcPr>
            <w:tcW w:w="5520" w:type="dxa"/>
            <w:vAlign w:val="bottom"/>
            <w:tcBorders>
              <w:right w:val="single" w:sz="8" w:color="auto"/>
            </w:tcBorders>
          </w:tcPr>
          <w:p>
            <w:pPr>
              <w:ind w:left="20"/>
              <w:spacing w:after="0" w:line="145" w:lineRule="exact"/>
              <w:rPr>
                <w:sz w:val="20"/>
                <w:szCs w:val="20"/>
                <w:color w:val="auto"/>
              </w:rPr>
            </w:pPr>
            <w:r>
              <w:rPr>
                <w:rFonts w:ascii="Arial" w:cs="Arial" w:eastAsia="Arial" w:hAnsi="Arial"/>
                <w:sz w:val="13"/>
                <w:szCs w:val="13"/>
                <w:color w:val="auto"/>
              </w:rPr>
              <w:t>Personne Couverte de rembourser ce montant s'il s'avère finalement que cette Personne</w:t>
            </w:r>
          </w:p>
        </w:tc>
      </w:tr>
      <w:tr>
        <w:trPr>
          <w:trHeight w:val="173"/>
        </w:trPr>
        <w:tc>
          <w:tcPr>
            <w:tcW w:w="554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3"/>
                <w:szCs w:val="13"/>
                <w:color w:val="auto"/>
              </w:rPr>
              <w:t>Company under these Articles of Association.</w:t>
            </w:r>
          </w:p>
        </w:tc>
        <w:tc>
          <w:tcPr>
            <w:tcW w:w="240" w:type="dxa"/>
            <w:vAlign w:val="bottom"/>
            <w:tcBorders>
              <w:bottom w:val="single" w:sz="8" w:color="auto"/>
              <w:right w:val="single" w:sz="8" w:color="auto"/>
            </w:tcBorders>
          </w:tcPr>
          <w:p>
            <w:pPr>
              <w:spacing w:after="0"/>
              <w:rPr>
                <w:sz w:val="15"/>
                <w:szCs w:val="15"/>
                <w:color w:val="auto"/>
              </w:rPr>
            </w:pPr>
          </w:p>
        </w:tc>
        <w:tc>
          <w:tcPr>
            <w:tcW w:w="55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3"/>
                <w:szCs w:val="13"/>
                <w:color w:val="auto"/>
              </w:rPr>
              <w:t>Couverte n'a pas droit à l'indemnisation par la société en vertu de ces statuts.</w:t>
            </w:r>
          </w:p>
        </w:tc>
      </w:tr>
      <w:tr>
        <w:trPr>
          <w:trHeight w:val="145"/>
        </w:trPr>
        <w:tc>
          <w:tcPr>
            <w:tcW w:w="5540" w:type="dxa"/>
            <w:vAlign w:val="bottom"/>
            <w:tcBorders>
              <w:left w:val="single" w:sz="8" w:color="auto"/>
              <w:right w:val="single" w:sz="8" w:color="auto"/>
            </w:tcBorders>
          </w:tcPr>
          <w:p>
            <w:pPr>
              <w:ind w:left="40"/>
              <w:spacing w:after="0" w:line="146" w:lineRule="exact"/>
              <w:rPr>
                <w:sz w:val="20"/>
                <w:szCs w:val="20"/>
                <w:color w:val="auto"/>
              </w:rPr>
            </w:pPr>
            <w:r>
              <w:rPr>
                <w:rFonts w:ascii="Arial" w:cs="Arial" w:eastAsia="Arial" w:hAnsi="Arial"/>
                <w:sz w:val="13"/>
                <w:szCs w:val="13"/>
                <w:color w:val="auto"/>
                <w:w w:val="99"/>
              </w:rPr>
              <w:t>It being the policy of the Company that indemnification of the persons specified in this Article 29</w:t>
            </w:r>
          </w:p>
        </w:tc>
        <w:tc>
          <w:tcPr>
            <w:tcW w:w="240" w:type="dxa"/>
            <w:vAlign w:val="bottom"/>
            <w:tcBorders>
              <w:right w:val="single" w:sz="8" w:color="auto"/>
            </w:tcBorders>
          </w:tcPr>
          <w:p>
            <w:pPr>
              <w:spacing w:after="0"/>
              <w:rPr>
                <w:sz w:val="12"/>
                <w:szCs w:val="12"/>
                <w:color w:val="auto"/>
              </w:rPr>
            </w:pPr>
          </w:p>
        </w:tc>
        <w:tc>
          <w:tcPr>
            <w:tcW w:w="5520" w:type="dxa"/>
            <w:vAlign w:val="bottom"/>
            <w:tcBorders>
              <w:right w:val="single" w:sz="8" w:color="auto"/>
            </w:tcBorders>
          </w:tcPr>
          <w:p>
            <w:pPr>
              <w:ind w:left="20"/>
              <w:spacing w:after="0" w:line="146" w:lineRule="exact"/>
              <w:rPr>
                <w:sz w:val="20"/>
                <w:szCs w:val="20"/>
                <w:color w:val="auto"/>
              </w:rPr>
            </w:pPr>
            <w:r>
              <w:rPr>
                <w:rFonts w:ascii="Arial" w:cs="Arial" w:eastAsia="Arial" w:hAnsi="Arial"/>
                <w:sz w:val="13"/>
                <w:szCs w:val="13"/>
                <w:color w:val="auto"/>
                <w:w w:val="99"/>
              </w:rPr>
              <w:t>La politique de la société prévoit que l'indemnisation des personnes visées au présent article 29</w:t>
            </w:r>
          </w:p>
        </w:tc>
      </w:tr>
      <w:tr>
        <w:trPr>
          <w:trHeight w:val="145"/>
        </w:trPr>
        <w:tc>
          <w:tcPr>
            <w:tcW w:w="5540" w:type="dxa"/>
            <w:vAlign w:val="bottom"/>
            <w:tcBorders>
              <w:left w:val="single" w:sz="8" w:color="auto"/>
              <w:right w:val="single" w:sz="8" w:color="auto"/>
            </w:tcBorders>
          </w:tcPr>
          <w:p>
            <w:pPr>
              <w:ind w:left="40"/>
              <w:spacing w:after="0" w:line="145" w:lineRule="exact"/>
              <w:rPr>
                <w:sz w:val="20"/>
                <w:szCs w:val="20"/>
                <w:color w:val="auto"/>
              </w:rPr>
            </w:pPr>
            <w:r>
              <w:rPr>
                <w:rFonts w:ascii="Arial" w:cs="Arial" w:eastAsia="Arial" w:hAnsi="Arial"/>
                <w:sz w:val="13"/>
                <w:szCs w:val="13"/>
                <w:color w:val="auto"/>
              </w:rPr>
              <w:t>shall be made to the fullest extent permitted by law and the indemnification provided by this</w:t>
            </w:r>
          </w:p>
        </w:tc>
        <w:tc>
          <w:tcPr>
            <w:tcW w:w="240" w:type="dxa"/>
            <w:vAlign w:val="bottom"/>
            <w:tcBorders>
              <w:right w:val="single" w:sz="8" w:color="auto"/>
            </w:tcBorders>
          </w:tcPr>
          <w:p>
            <w:pPr>
              <w:spacing w:after="0"/>
              <w:rPr>
                <w:sz w:val="12"/>
                <w:szCs w:val="12"/>
                <w:color w:val="auto"/>
              </w:rPr>
            </w:pPr>
          </w:p>
        </w:tc>
        <w:tc>
          <w:tcPr>
            <w:tcW w:w="5520" w:type="dxa"/>
            <w:vAlign w:val="bottom"/>
            <w:tcBorders>
              <w:right w:val="single" w:sz="8" w:color="auto"/>
            </w:tcBorders>
          </w:tcPr>
          <w:p>
            <w:pPr>
              <w:ind w:left="20"/>
              <w:spacing w:after="0" w:line="145" w:lineRule="exact"/>
              <w:rPr>
                <w:sz w:val="20"/>
                <w:szCs w:val="20"/>
                <w:color w:val="auto"/>
              </w:rPr>
            </w:pPr>
            <w:r>
              <w:rPr>
                <w:rFonts w:ascii="Arial" w:cs="Arial" w:eastAsia="Arial" w:hAnsi="Arial"/>
                <w:sz w:val="13"/>
                <w:szCs w:val="13"/>
                <w:color w:val="auto"/>
                <w:w w:val="99"/>
              </w:rPr>
              <w:t>doit être payée dans toute la mesure autorisée par la loi et l'indemnisation prévue par cet article</w:t>
            </w:r>
          </w:p>
        </w:tc>
      </w:tr>
      <w:tr>
        <w:trPr>
          <w:trHeight w:val="145"/>
        </w:trPr>
        <w:tc>
          <w:tcPr>
            <w:tcW w:w="5540" w:type="dxa"/>
            <w:vAlign w:val="bottom"/>
            <w:tcBorders>
              <w:left w:val="single" w:sz="8" w:color="auto"/>
              <w:right w:val="single" w:sz="8" w:color="auto"/>
            </w:tcBorders>
          </w:tcPr>
          <w:p>
            <w:pPr>
              <w:ind w:left="40"/>
              <w:spacing w:after="0" w:line="145" w:lineRule="exact"/>
              <w:rPr>
                <w:sz w:val="20"/>
                <w:szCs w:val="20"/>
                <w:color w:val="auto"/>
              </w:rPr>
            </w:pPr>
            <w:r>
              <w:rPr>
                <w:rFonts w:ascii="Arial" w:cs="Arial" w:eastAsia="Arial" w:hAnsi="Arial"/>
                <w:sz w:val="13"/>
                <w:szCs w:val="13"/>
                <w:color w:val="auto"/>
              </w:rPr>
              <w:t>Article 29 shall not be deemed exclusive (a) of any other rights to which those seeking</w:t>
            </w:r>
          </w:p>
        </w:tc>
        <w:tc>
          <w:tcPr>
            <w:tcW w:w="240" w:type="dxa"/>
            <w:vAlign w:val="bottom"/>
            <w:tcBorders>
              <w:right w:val="single" w:sz="8" w:color="auto"/>
            </w:tcBorders>
          </w:tcPr>
          <w:p>
            <w:pPr>
              <w:spacing w:after="0"/>
              <w:rPr>
                <w:sz w:val="12"/>
                <w:szCs w:val="12"/>
                <w:color w:val="auto"/>
              </w:rPr>
            </w:pPr>
          </w:p>
        </w:tc>
        <w:tc>
          <w:tcPr>
            <w:tcW w:w="5520" w:type="dxa"/>
            <w:vAlign w:val="bottom"/>
            <w:tcBorders>
              <w:right w:val="single" w:sz="8" w:color="auto"/>
            </w:tcBorders>
          </w:tcPr>
          <w:p>
            <w:pPr>
              <w:ind w:left="20"/>
              <w:spacing w:after="0" w:line="145" w:lineRule="exact"/>
              <w:rPr>
                <w:sz w:val="20"/>
                <w:szCs w:val="20"/>
                <w:color w:val="auto"/>
              </w:rPr>
            </w:pPr>
            <w:r>
              <w:rPr>
                <w:rFonts w:ascii="Arial" w:cs="Arial" w:eastAsia="Arial" w:hAnsi="Arial"/>
                <w:sz w:val="13"/>
                <w:szCs w:val="13"/>
                <w:color w:val="auto"/>
              </w:rPr>
              <w:t>29 ne sera pas considérée comme exclusive (a) d'autres droits auxquels les personnes</w:t>
            </w:r>
          </w:p>
        </w:tc>
      </w:tr>
      <w:tr>
        <w:trPr>
          <w:trHeight w:val="145"/>
        </w:trPr>
        <w:tc>
          <w:tcPr>
            <w:tcW w:w="5540" w:type="dxa"/>
            <w:vAlign w:val="bottom"/>
            <w:tcBorders>
              <w:left w:val="single" w:sz="8" w:color="auto"/>
              <w:right w:val="single" w:sz="8" w:color="auto"/>
            </w:tcBorders>
          </w:tcPr>
          <w:p>
            <w:pPr>
              <w:ind w:left="40"/>
              <w:spacing w:after="0" w:line="145" w:lineRule="exact"/>
              <w:rPr>
                <w:sz w:val="20"/>
                <w:szCs w:val="20"/>
                <w:color w:val="auto"/>
              </w:rPr>
            </w:pPr>
            <w:r>
              <w:rPr>
                <w:rFonts w:ascii="Arial" w:cs="Arial" w:eastAsia="Arial" w:hAnsi="Arial"/>
                <w:sz w:val="13"/>
                <w:szCs w:val="13"/>
                <w:color w:val="auto"/>
              </w:rPr>
              <w:t>indemnification  or  advancement  of  expenses  may  be  entitled  under  these  Articles  of</w:t>
            </w:r>
          </w:p>
        </w:tc>
        <w:tc>
          <w:tcPr>
            <w:tcW w:w="240" w:type="dxa"/>
            <w:vAlign w:val="bottom"/>
            <w:tcBorders>
              <w:right w:val="single" w:sz="8" w:color="auto"/>
            </w:tcBorders>
          </w:tcPr>
          <w:p>
            <w:pPr>
              <w:spacing w:after="0"/>
              <w:rPr>
                <w:sz w:val="12"/>
                <w:szCs w:val="12"/>
                <w:color w:val="auto"/>
              </w:rPr>
            </w:pPr>
          </w:p>
        </w:tc>
        <w:tc>
          <w:tcPr>
            <w:tcW w:w="5520" w:type="dxa"/>
            <w:vAlign w:val="bottom"/>
            <w:tcBorders>
              <w:right w:val="single" w:sz="8" w:color="auto"/>
            </w:tcBorders>
          </w:tcPr>
          <w:p>
            <w:pPr>
              <w:ind w:left="20"/>
              <w:spacing w:after="0" w:line="145" w:lineRule="exact"/>
              <w:rPr>
                <w:sz w:val="20"/>
                <w:szCs w:val="20"/>
                <w:color w:val="auto"/>
              </w:rPr>
            </w:pPr>
            <w:r>
              <w:rPr>
                <w:rFonts w:ascii="Arial" w:cs="Arial" w:eastAsia="Arial" w:hAnsi="Arial"/>
                <w:sz w:val="13"/>
                <w:szCs w:val="13"/>
                <w:color w:val="auto"/>
              </w:rPr>
              <w:t>demandant une indemnisation ou une avance des dépenses ont droit en vertu de ces statuts,</w:t>
            </w:r>
          </w:p>
        </w:tc>
      </w:tr>
      <w:tr>
        <w:trPr>
          <w:trHeight w:val="145"/>
        </w:trPr>
        <w:tc>
          <w:tcPr>
            <w:tcW w:w="5540" w:type="dxa"/>
            <w:vAlign w:val="bottom"/>
            <w:tcBorders>
              <w:left w:val="single" w:sz="8" w:color="auto"/>
              <w:right w:val="single" w:sz="8" w:color="auto"/>
            </w:tcBorders>
          </w:tcPr>
          <w:p>
            <w:pPr>
              <w:ind w:left="40"/>
              <w:spacing w:after="0" w:line="145" w:lineRule="exact"/>
              <w:rPr>
                <w:sz w:val="20"/>
                <w:szCs w:val="20"/>
                <w:color w:val="auto"/>
              </w:rPr>
            </w:pPr>
            <w:r>
              <w:rPr>
                <w:rFonts w:ascii="Arial" w:cs="Arial" w:eastAsia="Arial" w:hAnsi="Arial"/>
                <w:sz w:val="13"/>
                <w:szCs w:val="13"/>
                <w:color w:val="auto"/>
                <w:w w:val="99"/>
              </w:rPr>
              <w:t>Association, any agreement, any insurance purchased by the Company, vote of shareholders or</w:t>
            </w:r>
          </w:p>
        </w:tc>
        <w:tc>
          <w:tcPr>
            <w:tcW w:w="240" w:type="dxa"/>
            <w:vAlign w:val="bottom"/>
            <w:tcBorders>
              <w:right w:val="single" w:sz="8" w:color="auto"/>
            </w:tcBorders>
          </w:tcPr>
          <w:p>
            <w:pPr>
              <w:spacing w:after="0"/>
              <w:rPr>
                <w:sz w:val="12"/>
                <w:szCs w:val="12"/>
                <w:color w:val="auto"/>
              </w:rPr>
            </w:pPr>
          </w:p>
        </w:tc>
        <w:tc>
          <w:tcPr>
            <w:tcW w:w="5520" w:type="dxa"/>
            <w:vAlign w:val="bottom"/>
            <w:tcBorders>
              <w:right w:val="single" w:sz="8" w:color="auto"/>
            </w:tcBorders>
          </w:tcPr>
          <w:p>
            <w:pPr>
              <w:ind w:left="20"/>
              <w:spacing w:after="0" w:line="145" w:lineRule="exact"/>
              <w:rPr>
                <w:sz w:val="20"/>
                <w:szCs w:val="20"/>
                <w:color w:val="auto"/>
              </w:rPr>
            </w:pPr>
            <w:r>
              <w:rPr>
                <w:rFonts w:ascii="Arial" w:cs="Arial" w:eastAsia="Arial" w:hAnsi="Arial"/>
                <w:sz w:val="13"/>
                <w:szCs w:val="13"/>
                <w:color w:val="auto"/>
              </w:rPr>
              <w:t>d'un accord, d'une assurance souscrite par la société, d'un vote d'actionnaires ou de membres</w:t>
            </w:r>
          </w:p>
        </w:tc>
      </w:tr>
      <w:tr>
        <w:trPr>
          <w:trHeight w:val="145"/>
        </w:trPr>
        <w:tc>
          <w:tcPr>
            <w:tcW w:w="5540" w:type="dxa"/>
            <w:vAlign w:val="bottom"/>
            <w:tcBorders>
              <w:left w:val="single" w:sz="8" w:color="auto"/>
              <w:right w:val="single" w:sz="8" w:color="auto"/>
            </w:tcBorders>
          </w:tcPr>
          <w:p>
            <w:pPr>
              <w:ind w:left="40"/>
              <w:spacing w:after="0" w:line="145" w:lineRule="exact"/>
              <w:rPr>
                <w:sz w:val="20"/>
                <w:szCs w:val="20"/>
                <w:color w:val="auto"/>
              </w:rPr>
            </w:pPr>
            <w:r>
              <w:rPr>
                <w:rFonts w:ascii="Arial" w:cs="Arial" w:eastAsia="Arial" w:hAnsi="Arial"/>
                <w:sz w:val="13"/>
                <w:szCs w:val="13"/>
                <w:color w:val="auto"/>
              </w:rPr>
              <w:t>disinterested members of the Board of Directors, or pursuant to the decision of any court of</w:t>
            </w:r>
          </w:p>
        </w:tc>
        <w:tc>
          <w:tcPr>
            <w:tcW w:w="240" w:type="dxa"/>
            <w:vAlign w:val="bottom"/>
            <w:tcBorders>
              <w:right w:val="single" w:sz="8" w:color="auto"/>
            </w:tcBorders>
          </w:tcPr>
          <w:p>
            <w:pPr>
              <w:spacing w:after="0"/>
              <w:rPr>
                <w:sz w:val="12"/>
                <w:szCs w:val="12"/>
                <w:color w:val="auto"/>
              </w:rPr>
            </w:pPr>
          </w:p>
        </w:tc>
        <w:tc>
          <w:tcPr>
            <w:tcW w:w="5520" w:type="dxa"/>
            <w:vAlign w:val="bottom"/>
            <w:tcBorders>
              <w:right w:val="single" w:sz="8" w:color="auto"/>
            </w:tcBorders>
          </w:tcPr>
          <w:p>
            <w:pPr>
              <w:ind w:left="20"/>
              <w:spacing w:after="0" w:line="145" w:lineRule="exact"/>
              <w:rPr>
                <w:sz w:val="20"/>
                <w:szCs w:val="20"/>
                <w:color w:val="auto"/>
              </w:rPr>
            </w:pPr>
            <w:r>
              <w:rPr>
                <w:rFonts w:ascii="Arial" w:cs="Arial" w:eastAsia="Arial" w:hAnsi="Arial"/>
                <w:sz w:val="13"/>
                <w:szCs w:val="13"/>
                <w:color w:val="auto"/>
              </w:rPr>
              <w:t>du conseil d'administration n'ayant pas d'intérêt direct, ou en vertu d'une décision d'un tribunal</w:t>
            </w:r>
          </w:p>
        </w:tc>
      </w:tr>
      <w:tr>
        <w:trPr>
          <w:trHeight w:val="168"/>
        </w:trPr>
        <w:tc>
          <w:tcPr>
            <w:tcW w:w="55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3"/>
                <w:szCs w:val="13"/>
                <w:color w:val="auto"/>
              </w:rPr>
              <w:t>competent jurisdiction, or otherwise,</w:t>
            </w:r>
          </w:p>
        </w:tc>
        <w:tc>
          <w:tcPr>
            <w:tcW w:w="240" w:type="dxa"/>
            <w:vAlign w:val="bottom"/>
            <w:tcBorders>
              <w:right w:val="single" w:sz="8" w:color="auto"/>
            </w:tcBorders>
          </w:tcPr>
          <w:p>
            <w:pPr>
              <w:spacing w:after="0"/>
              <w:rPr>
                <w:sz w:val="14"/>
                <w:szCs w:val="14"/>
                <w:color w:val="auto"/>
              </w:rPr>
            </w:pPr>
          </w:p>
        </w:tc>
        <w:tc>
          <w:tcPr>
            <w:tcW w:w="5520" w:type="dxa"/>
            <w:vAlign w:val="bottom"/>
            <w:tcBorders>
              <w:right w:val="single" w:sz="8" w:color="auto"/>
            </w:tcBorders>
          </w:tcPr>
          <w:p>
            <w:pPr>
              <w:spacing w:after="0"/>
              <w:rPr>
                <w:sz w:val="14"/>
                <w:szCs w:val="14"/>
                <w:color w:val="auto"/>
              </w:rPr>
            </w:pPr>
          </w:p>
        </w:tc>
      </w:tr>
      <w:tr>
        <w:trPr>
          <w:trHeight w:val="153"/>
        </w:trPr>
        <w:tc>
          <w:tcPr>
            <w:tcW w:w="5540" w:type="dxa"/>
            <w:vAlign w:val="bottom"/>
            <w:tcBorders>
              <w:left w:val="single" w:sz="8" w:color="auto"/>
              <w:bottom w:val="single" w:sz="8" w:color="auto"/>
              <w:right w:val="single" w:sz="8" w:color="auto"/>
            </w:tcBorders>
          </w:tcPr>
          <w:p>
            <w:pPr>
              <w:spacing w:after="0"/>
              <w:rPr>
                <w:sz w:val="13"/>
                <w:szCs w:val="13"/>
                <w:color w:val="auto"/>
              </w:rPr>
            </w:pPr>
          </w:p>
        </w:tc>
        <w:tc>
          <w:tcPr>
            <w:tcW w:w="240" w:type="dxa"/>
            <w:vAlign w:val="bottom"/>
            <w:tcBorders>
              <w:bottom w:val="single" w:sz="8" w:color="auto"/>
              <w:right w:val="single" w:sz="8" w:color="auto"/>
            </w:tcBorders>
          </w:tcPr>
          <w:p>
            <w:pPr>
              <w:spacing w:after="0"/>
              <w:rPr>
                <w:sz w:val="13"/>
                <w:szCs w:val="13"/>
                <w:color w:val="auto"/>
              </w:rPr>
            </w:pPr>
          </w:p>
        </w:tc>
        <w:tc>
          <w:tcPr>
            <w:tcW w:w="5520" w:type="dxa"/>
            <w:vAlign w:val="bottom"/>
            <w:tcBorders>
              <w:bottom w:val="single" w:sz="8" w:color="auto"/>
              <w:right w:val="single" w:sz="8" w:color="auto"/>
            </w:tcBorders>
          </w:tcPr>
          <w:p>
            <w:pPr>
              <w:spacing w:after="0"/>
              <w:rPr>
                <w:sz w:val="13"/>
                <w:szCs w:val="13"/>
                <w:color w:val="auto"/>
              </w:rPr>
            </w:pPr>
          </w:p>
        </w:tc>
      </w:tr>
    </w:tbl>
    <w:p>
      <w:pPr>
        <w:spacing w:after="0" w:line="59"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5"/>
          <w:szCs w:val="15"/>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12700</wp:posOffset>
            </wp:positionV>
            <wp:extent cx="7171690" cy="635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71690" cy="6350"/>
                    </a:xfrm>
                    <a:prstGeom prst="rect">
                      <a:avLst/>
                    </a:prstGeom>
                    <a:noFill/>
                  </pic:spPr>
                </pic:pic>
              </a:graphicData>
            </a:graphic>
          </wp:anchor>
        </w:drawing>
      </w:r>
    </w:p>
    <w:p>
      <w:pPr>
        <w:sectPr>
          <w:pgSz w:w="11900" w:h="16838" w:orient="portrait"/>
          <w:cols w:equalWidth="0" w:num="1">
            <w:col w:w="11300"/>
          </w:cols>
          <w:pgMar w:left="300" w:top="448" w:right="299" w:bottom="1440" w:gutter="0" w:footer="0" w:header="0"/>
        </w:sectPr>
      </w:pPr>
    </w:p>
    <w:bookmarkStart w:id="81" w:name="page82"/>
    <w:bookmarkEnd w:id="81"/>
    <w:tbl>
      <w:tblPr>
        <w:tblLayout w:type="fixed"/>
        <w:tblInd w:w="10" w:type="dxa"/>
        <w:tblCellMar>
          <w:top w:w="0" w:type="dxa"/>
          <w:left w:w="0" w:type="dxa"/>
          <w:bottom w:w="0" w:type="dxa"/>
          <w:right w:w="0" w:type="dxa"/>
        </w:tblCellMar>
      </w:tblPr>
      <w:tr>
        <w:trPr>
          <w:trHeight w:val="161"/>
        </w:trPr>
        <w:tc>
          <w:tcPr>
            <w:tcW w:w="5540" w:type="dxa"/>
            <w:vAlign w:val="bottom"/>
            <w:tcBorders>
              <w:top w:val="single" w:sz="8" w:color="auto"/>
              <w:left w:val="single" w:sz="8" w:color="auto"/>
              <w:right w:val="single" w:sz="8" w:color="auto"/>
            </w:tcBorders>
            <w:gridSpan w:val="2"/>
          </w:tcPr>
          <w:p>
            <w:pPr>
              <w:ind w:left="40"/>
              <w:spacing w:after="0"/>
              <w:rPr>
                <w:sz w:val="20"/>
                <w:szCs w:val="20"/>
                <w:color w:val="auto"/>
              </w:rPr>
            </w:pPr>
            <w:r>
              <w:rPr>
                <w:rFonts w:ascii="Arial" w:cs="Arial" w:eastAsia="Arial" w:hAnsi="Arial"/>
                <w:sz w:val="13"/>
                <w:szCs w:val="13"/>
                <w:color w:val="auto"/>
              </w:rPr>
              <w:t>both as to action in his or her official capacity and as to action in another capacity while holding</w:t>
            </w:r>
          </w:p>
        </w:tc>
        <w:tc>
          <w:tcPr>
            <w:tcW w:w="240" w:type="dxa"/>
            <w:vAlign w:val="bottom"/>
            <w:tcBorders>
              <w:top w:val="single" w:sz="8" w:color="auto"/>
              <w:right w:val="single" w:sz="8" w:color="auto"/>
            </w:tcBorders>
          </w:tcPr>
          <w:p>
            <w:pPr>
              <w:spacing w:after="0"/>
              <w:rPr>
                <w:sz w:val="14"/>
                <w:szCs w:val="14"/>
                <w:color w:val="auto"/>
              </w:rPr>
            </w:pPr>
          </w:p>
        </w:tc>
        <w:tc>
          <w:tcPr>
            <w:tcW w:w="5520" w:type="dxa"/>
            <w:vAlign w:val="bottom"/>
            <w:tcBorders>
              <w:top w:val="single" w:sz="8" w:color="auto"/>
              <w:right w:val="single" w:sz="8" w:color="auto"/>
            </w:tcBorders>
            <w:gridSpan w:val="2"/>
          </w:tcPr>
          <w:p>
            <w:pPr>
              <w:ind w:left="20"/>
              <w:spacing w:after="0"/>
              <w:rPr>
                <w:sz w:val="20"/>
                <w:szCs w:val="20"/>
                <w:color w:val="auto"/>
              </w:rPr>
            </w:pPr>
            <w:r>
              <w:rPr>
                <w:rFonts w:ascii="Arial" w:cs="Arial" w:eastAsia="Arial" w:hAnsi="Arial"/>
                <w:sz w:val="13"/>
                <w:szCs w:val="13"/>
                <w:color w:val="auto"/>
              </w:rPr>
              <w:t>compétent, ou autrement, soit à l'égard d'actions faites en sa capacité officielle, soit à l'égard</w:t>
            </w:r>
          </w:p>
        </w:tc>
        <w:tc>
          <w:tcPr>
            <w:tcW w:w="0" w:type="dxa"/>
            <w:vAlign w:val="bottom"/>
          </w:tcPr>
          <w:p>
            <w:pPr>
              <w:spacing w:after="0"/>
              <w:rPr>
                <w:sz w:val="1"/>
                <w:szCs w:val="1"/>
                <w:color w:val="auto"/>
              </w:rPr>
            </w:pPr>
          </w:p>
        </w:tc>
      </w:tr>
      <w:tr>
        <w:trPr>
          <w:trHeight w:val="145"/>
        </w:trPr>
        <w:tc>
          <w:tcPr>
            <w:tcW w:w="5540" w:type="dxa"/>
            <w:vAlign w:val="bottom"/>
            <w:tcBorders>
              <w:left w:val="single" w:sz="8" w:color="auto"/>
              <w:right w:val="single" w:sz="8" w:color="auto"/>
            </w:tcBorders>
            <w:gridSpan w:val="2"/>
          </w:tcPr>
          <w:p>
            <w:pPr>
              <w:ind w:left="40"/>
              <w:spacing w:after="0" w:line="145" w:lineRule="exact"/>
              <w:rPr>
                <w:sz w:val="20"/>
                <w:szCs w:val="20"/>
                <w:color w:val="auto"/>
              </w:rPr>
            </w:pPr>
            <w:r>
              <w:rPr>
                <w:rFonts w:ascii="Arial" w:cs="Arial" w:eastAsia="Arial" w:hAnsi="Arial"/>
                <w:sz w:val="13"/>
                <w:szCs w:val="13"/>
                <w:color w:val="auto"/>
              </w:rPr>
              <w:t>such office, or (b) of the power of the Company to indemnify any person who is or was an</w:t>
            </w:r>
          </w:p>
        </w:tc>
        <w:tc>
          <w:tcPr>
            <w:tcW w:w="240" w:type="dxa"/>
            <w:vAlign w:val="bottom"/>
            <w:tcBorders>
              <w:right w:val="single" w:sz="8" w:color="auto"/>
            </w:tcBorders>
          </w:tcPr>
          <w:p>
            <w:pPr>
              <w:spacing w:after="0"/>
              <w:rPr>
                <w:sz w:val="12"/>
                <w:szCs w:val="12"/>
                <w:color w:val="auto"/>
              </w:rPr>
            </w:pPr>
          </w:p>
        </w:tc>
        <w:tc>
          <w:tcPr>
            <w:tcW w:w="5520" w:type="dxa"/>
            <w:vAlign w:val="bottom"/>
            <w:tcBorders>
              <w:right w:val="single" w:sz="8" w:color="auto"/>
            </w:tcBorders>
            <w:gridSpan w:val="2"/>
          </w:tcPr>
          <w:p>
            <w:pPr>
              <w:ind w:left="20"/>
              <w:spacing w:after="0" w:line="145" w:lineRule="exact"/>
              <w:rPr>
                <w:sz w:val="20"/>
                <w:szCs w:val="20"/>
                <w:color w:val="auto"/>
              </w:rPr>
            </w:pPr>
            <w:r>
              <w:rPr>
                <w:rFonts w:ascii="Arial" w:cs="Arial" w:eastAsia="Arial" w:hAnsi="Arial"/>
                <w:sz w:val="13"/>
                <w:szCs w:val="13"/>
                <w:color w:val="auto"/>
              </w:rPr>
              <w:t>d'actions faites à un autre titre tout en ayant une telle fonction, ou (b) du pouvoir de la société</w:t>
            </w:r>
          </w:p>
        </w:tc>
        <w:tc>
          <w:tcPr>
            <w:tcW w:w="0" w:type="dxa"/>
            <w:vAlign w:val="bottom"/>
          </w:tcPr>
          <w:p>
            <w:pPr>
              <w:spacing w:after="0"/>
              <w:rPr>
                <w:sz w:val="1"/>
                <w:szCs w:val="1"/>
                <w:color w:val="auto"/>
              </w:rPr>
            </w:pPr>
          </w:p>
        </w:tc>
      </w:tr>
      <w:tr>
        <w:trPr>
          <w:trHeight w:val="145"/>
        </w:trPr>
        <w:tc>
          <w:tcPr>
            <w:tcW w:w="5540" w:type="dxa"/>
            <w:vAlign w:val="bottom"/>
            <w:tcBorders>
              <w:left w:val="single" w:sz="8" w:color="auto"/>
              <w:right w:val="single" w:sz="8" w:color="auto"/>
            </w:tcBorders>
            <w:gridSpan w:val="2"/>
          </w:tcPr>
          <w:p>
            <w:pPr>
              <w:ind w:left="40"/>
              <w:spacing w:after="0" w:line="145" w:lineRule="exact"/>
              <w:rPr>
                <w:sz w:val="20"/>
                <w:szCs w:val="20"/>
                <w:color w:val="auto"/>
              </w:rPr>
            </w:pPr>
            <w:r>
              <w:rPr>
                <w:rFonts w:ascii="Arial" w:cs="Arial" w:eastAsia="Arial" w:hAnsi="Arial"/>
                <w:sz w:val="13"/>
                <w:szCs w:val="13"/>
                <w:color w:val="auto"/>
              </w:rPr>
              <w:t>employee or agent of the Company or of another corporation, joint venture, trust or other</w:t>
            </w:r>
          </w:p>
        </w:tc>
        <w:tc>
          <w:tcPr>
            <w:tcW w:w="240" w:type="dxa"/>
            <w:vAlign w:val="bottom"/>
            <w:tcBorders>
              <w:right w:val="single" w:sz="8" w:color="auto"/>
            </w:tcBorders>
          </w:tcPr>
          <w:p>
            <w:pPr>
              <w:spacing w:after="0"/>
              <w:rPr>
                <w:sz w:val="12"/>
                <w:szCs w:val="12"/>
                <w:color w:val="auto"/>
              </w:rPr>
            </w:pPr>
          </w:p>
        </w:tc>
        <w:tc>
          <w:tcPr>
            <w:tcW w:w="5520" w:type="dxa"/>
            <w:vAlign w:val="bottom"/>
            <w:tcBorders>
              <w:right w:val="single" w:sz="8" w:color="auto"/>
            </w:tcBorders>
            <w:gridSpan w:val="2"/>
          </w:tcPr>
          <w:p>
            <w:pPr>
              <w:ind w:left="20"/>
              <w:spacing w:after="0" w:line="145" w:lineRule="exact"/>
              <w:rPr>
                <w:sz w:val="20"/>
                <w:szCs w:val="20"/>
                <w:color w:val="auto"/>
              </w:rPr>
            </w:pPr>
            <w:r>
              <w:rPr>
                <w:rFonts w:ascii="Arial" w:cs="Arial" w:eastAsia="Arial" w:hAnsi="Arial"/>
                <w:sz w:val="13"/>
                <w:szCs w:val="13"/>
                <w:color w:val="auto"/>
              </w:rPr>
              <w:t>d'indemniser toute personne qui est ou était un employé ou un mandataire de la société ou</w:t>
            </w:r>
          </w:p>
        </w:tc>
        <w:tc>
          <w:tcPr>
            <w:tcW w:w="0" w:type="dxa"/>
            <w:vAlign w:val="bottom"/>
          </w:tcPr>
          <w:p>
            <w:pPr>
              <w:spacing w:after="0"/>
              <w:rPr>
                <w:sz w:val="1"/>
                <w:szCs w:val="1"/>
                <w:color w:val="auto"/>
              </w:rPr>
            </w:pPr>
          </w:p>
        </w:tc>
      </w:tr>
      <w:tr>
        <w:trPr>
          <w:trHeight w:val="145"/>
        </w:trPr>
        <w:tc>
          <w:tcPr>
            <w:tcW w:w="5540" w:type="dxa"/>
            <w:vAlign w:val="bottom"/>
            <w:tcBorders>
              <w:left w:val="single" w:sz="8" w:color="auto"/>
              <w:right w:val="single" w:sz="8" w:color="auto"/>
            </w:tcBorders>
            <w:gridSpan w:val="2"/>
          </w:tcPr>
          <w:p>
            <w:pPr>
              <w:ind w:left="40"/>
              <w:spacing w:after="0" w:line="145" w:lineRule="exact"/>
              <w:rPr>
                <w:sz w:val="20"/>
                <w:szCs w:val="20"/>
                <w:color w:val="auto"/>
              </w:rPr>
            </w:pPr>
            <w:r>
              <w:rPr>
                <w:rFonts w:ascii="Arial" w:cs="Arial" w:eastAsia="Arial" w:hAnsi="Arial"/>
                <w:sz w:val="13"/>
                <w:szCs w:val="13"/>
                <w:color w:val="auto"/>
                <w:w w:val="99"/>
              </w:rPr>
              <w:t>enterprise which he or she is serving or has served at the request of the Company, to the same</w:t>
            </w:r>
          </w:p>
        </w:tc>
        <w:tc>
          <w:tcPr>
            <w:tcW w:w="240" w:type="dxa"/>
            <w:vAlign w:val="bottom"/>
            <w:tcBorders>
              <w:right w:val="single" w:sz="8" w:color="auto"/>
            </w:tcBorders>
          </w:tcPr>
          <w:p>
            <w:pPr>
              <w:spacing w:after="0"/>
              <w:rPr>
                <w:sz w:val="12"/>
                <w:szCs w:val="12"/>
                <w:color w:val="auto"/>
              </w:rPr>
            </w:pPr>
          </w:p>
        </w:tc>
        <w:tc>
          <w:tcPr>
            <w:tcW w:w="5520" w:type="dxa"/>
            <w:vAlign w:val="bottom"/>
            <w:tcBorders>
              <w:right w:val="single" w:sz="8" w:color="auto"/>
            </w:tcBorders>
            <w:gridSpan w:val="2"/>
          </w:tcPr>
          <w:p>
            <w:pPr>
              <w:ind w:left="20"/>
              <w:spacing w:after="0" w:line="145" w:lineRule="exact"/>
              <w:rPr>
                <w:sz w:val="20"/>
                <w:szCs w:val="20"/>
                <w:color w:val="auto"/>
              </w:rPr>
            </w:pPr>
            <w:r>
              <w:rPr>
                <w:rFonts w:ascii="Arial" w:cs="Arial" w:eastAsia="Arial" w:hAnsi="Arial"/>
                <w:sz w:val="13"/>
                <w:szCs w:val="13"/>
                <w:color w:val="auto"/>
              </w:rPr>
              <w:t>d'une autre société, d'une joint venture, d'une fiducie ou d'une autre entreprise pour laquelle il</w:t>
            </w:r>
          </w:p>
        </w:tc>
        <w:tc>
          <w:tcPr>
            <w:tcW w:w="0" w:type="dxa"/>
            <w:vAlign w:val="bottom"/>
          </w:tcPr>
          <w:p>
            <w:pPr>
              <w:spacing w:after="0"/>
              <w:rPr>
                <w:sz w:val="1"/>
                <w:szCs w:val="1"/>
                <w:color w:val="auto"/>
              </w:rPr>
            </w:pPr>
          </w:p>
        </w:tc>
      </w:tr>
      <w:tr>
        <w:trPr>
          <w:trHeight w:val="145"/>
        </w:trPr>
        <w:tc>
          <w:tcPr>
            <w:tcW w:w="5540" w:type="dxa"/>
            <w:vAlign w:val="bottom"/>
            <w:tcBorders>
              <w:left w:val="single" w:sz="8" w:color="auto"/>
              <w:right w:val="single" w:sz="8" w:color="auto"/>
            </w:tcBorders>
            <w:gridSpan w:val="2"/>
          </w:tcPr>
          <w:p>
            <w:pPr>
              <w:ind w:left="40"/>
              <w:spacing w:after="0" w:line="145" w:lineRule="exact"/>
              <w:rPr>
                <w:sz w:val="20"/>
                <w:szCs w:val="20"/>
                <w:color w:val="auto"/>
              </w:rPr>
            </w:pPr>
            <w:r>
              <w:rPr>
                <w:rFonts w:ascii="Arial" w:cs="Arial" w:eastAsia="Arial" w:hAnsi="Arial"/>
                <w:sz w:val="13"/>
                <w:szCs w:val="13"/>
                <w:color w:val="auto"/>
              </w:rPr>
              <w:t>extent and in the same situations and subject to the same determinations as are hereinabove</w:t>
            </w:r>
          </w:p>
        </w:tc>
        <w:tc>
          <w:tcPr>
            <w:tcW w:w="240" w:type="dxa"/>
            <w:vAlign w:val="bottom"/>
            <w:tcBorders>
              <w:right w:val="single" w:sz="8" w:color="auto"/>
            </w:tcBorders>
          </w:tcPr>
          <w:p>
            <w:pPr>
              <w:spacing w:after="0"/>
              <w:rPr>
                <w:sz w:val="12"/>
                <w:szCs w:val="12"/>
                <w:color w:val="auto"/>
              </w:rPr>
            </w:pPr>
          </w:p>
        </w:tc>
        <w:tc>
          <w:tcPr>
            <w:tcW w:w="5520" w:type="dxa"/>
            <w:vAlign w:val="bottom"/>
            <w:tcBorders>
              <w:right w:val="single" w:sz="8" w:color="auto"/>
            </w:tcBorders>
            <w:gridSpan w:val="2"/>
          </w:tcPr>
          <w:p>
            <w:pPr>
              <w:ind w:left="20"/>
              <w:spacing w:after="0" w:line="145" w:lineRule="exact"/>
              <w:rPr>
                <w:sz w:val="20"/>
                <w:szCs w:val="20"/>
                <w:color w:val="auto"/>
              </w:rPr>
            </w:pPr>
            <w:r>
              <w:rPr>
                <w:rFonts w:ascii="Arial" w:cs="Arial" w:eastAsia="Arial" w:hAnsi="Arial"/>
                <w:sz w:val="13"/>
                <w:szCs w:val="13"/>
                <w:color w:val="auto"/>
              </w:rPr>
              <w:t>ou elle travaille ou a travaillé à la demande de la société, dans la même mesure et dans les</w:t>
            </w:r>
          </w:p>
        </w:tc>
        <w:tc>
          <w:tcPr>
            <w:tcW w:w="0" w:type="dxa"/>
            <w:vAlign w:val="bottom"/>
          </w:tcPr>
          <w:p>
            <w:pPr>
              <w:spacing w:after="0"/>
              <w:rPr>
                <w:sz w:val="1"/>
                <w:szCs w:val="1"/>
                <w:color w:val="auto"/>
              </w:rPr>
            </w:pPr>
          </w:p>
        </w:tc>
      </w:tr>
      <w:tr>
        <w:trPr>
          <w:trHeight w:val="145"/>
        </w:trPr>
        <w:tc>
          <w:tcPr>
            <w:tcW w:w="5540" w:type="dxa"/>
            <w:vAlign w:val="bottom"/>
            <w:tcBorders>
              <w:left w:val="single" w:sz="8" w:color="auto"/>
              <w:right w:val="single" w:sz="8" w:color="auto"/>
            </w:tcBorders>
            <w:gridSpan w:val="2"/>
          </w:tcPr>
          <w:p>
            <w:pPr>
              <w:ind w:left="40"/>
              <w:spacing w:after="0" w:line="145" w:lineRule="exact"/>
              <w:rPr>
                <w:sz w:val="20"/>
                <w:szCs w:val="20"/>
                <w:color w:val="auto"/>
              </w:rPr>
            </w:pPr>
            <w:r>
              <w:rPr>
                <w:rFonts w:ascii="Arial" w:cs="Arial" w:eastAsia="Arial" w:hAnsi="Arial"/>
                <w:sz w:val="13"/>
                <w:szCs w:val="13"/>
                <w:color w:val="auto"/>
              </w:rPr>
              <w:t>set forth with respect to a Covered Person.</w:t>
            </w:r>
          </w:p>
        </w:tc>
        <w:tc>
          <w:tcPr>
            <w:tcW w:w="240" w:type="dxa"/>
            <w:vAlign w:val="bottom"/>
            <w:tcBorders>
              <w:right w:val="single" w:sz="8" w:color="auto"/>
            </w:tcBorders>
          </w:tcPr>
          <w:p>
            <w:pPr>
              <w:spacing w:after="0"/>
              <w:rPr>
                <w:sz w:val="12"/>
                <w:szCs w:val="12"/>
                <w:color w:val="auto"/>
              </w:rPr>
            </w:pPr>
          </w:p>
        </w:tc>
        <w:tc>
          <w:tcPr>
            <w:tcW w:w="5520" w:type="dxa"/>
            <w:vAlign w:val="bottom"/>
            <w:tcBorders>
              <w:right w:val="single" w:sz="8" w:color="auto"/>
            </w:tcBorders>
            <w:gridSpan w:val="2"/>
          </w:tcPr>
          <w:p>
            <w:pPr>
              <w:ind w:left="20"/>
              <w:spacing w:after="0" w:line="145" w:lineRule="exact"/>
              <w:rPr>
                <w:sz w:val="20"/>
                <w:szCs w:val="20"/>
                <w:color w:val="auto"/>
              </w:rPr>
            </w:pPr>
            <w:r>
              <w:rPr>
                <w:rFonts w:ascii="Arial" w:cs="Arial" w:eastAsia="Arial" w:hAnsi="Arial"/>
                <w:sz w:val="13"/>
                <w:szCs w:val="13"/>
                <w:color w:val="auto"/>
              </w:rPr>
              <w:t>mêmes situations et sous réserve des mêmes principes concernant une Personne Couverte</w:t>
            </w:r>
          </w:p>
        </w:tc>
        <w:tc>
          <w:tcPr>
            <w:tcW w:w="0" w:type="dxa"/>
            <w:vAlign w:val="bottom"/>
          </w:tcPr>
          <w:p>
            <w:pPr>
              <w:spacing w:after="0"/>
              <w:rPr>
                <w:sz w:val="1"/>
                <w:szCs w:val="1"/>
                <w:color w:val="auto"/>
              </w:rPr>
            </w:pPr>
          </w:p>
        </w:tc>
      </w:tr>
      <w:tr>
        <w:trPr>
          <w:trHeight w:val="168"/>
        </w:trPr>
        <w:tc>
          <w:tcPr>
            <w:tcW w:w="5540" w:type="dxa"/>
            <w:vAlign w:val="bottom"/>
            <w:tcBorders>
              <w:left w:val="single" w:sz="8" w:color="auto"/>
              <w:right w:val="single" w:sz="8" w:color="auto"/>
            </w:tcBorders>
            <w:gridSpan w:val="2"/>
            <w:vMerge w:val="restart"/>
          </w:tcPr>
          <w:p>
            <w:pPr>
              <w:ind w:left="40"/>
              <w:spacing w:after="0"/>
              <w:rPr>
                <w:sz w:val="20"/>
                <w:szCs w:val="20"/>
                <w:color w:val="auto"/>
              </w:rPr>
            </w:pPr>
            <w:r>
              <w:rPr>
                <w:rFonts w:ascii="Arial" w:cs="Arial" w:eastAsia="Arial" w:hAnsi="Arial"/>
                <w:sz w:val="13"/>
                <w:szCs w:val="13"/>
                <w:color w:val="auto"/>
              </w:rPr>
              <w:t>As used in this Article 29, references to the "Company" include all constituent corporations in a</w:t>
            </w:r>
          </w:p>
        </w:tc>
        <w:tc>
          <w:tcPr>
            <w:tcW w:w="240" w:type="dxa"/>
            <w:vAlign w:val="bottom"/>
            <w:tcBorders>
              <w:right w:val="single" w:sz="8" w:color="auto"/>
            </w:tcBorders>
          </w:tcPr>
          <w:p>
            <w:pPr>
              <w:spacing w:after="0"/>
              <w:rPr>
                <w:sz w:val="14"/>
                <w:szCs w:val="14"/>
                <w:color w:val="auto"/>
              </w:rPr>
            </w:pPr>
          </w:p>
        </w:tc>
        <w:tc>
          <w:tcPr>
            <w:tcW w:w="5520" w:type="dxa"/>
            <w:vAlign w:val="bottom"/>
            <w:tcBorders>
              <w:right w:val="single" w:sz="8" w:color="auto"/>
            </w:tcBorders>
            <w:gridSpan w:val="2"/>
          </w:tcPr>
          <w:p>
            <w:pPr>
              <w:ind w:left="20"/>
              <w:spacing w:after="0"/>
              <w:rPr>
                <w:sz w:val="20"/>
                <w:szCs w:val="20"/>
                <w:color w:val="auto"/>
              </w:rPr>
            </w:pPr>
            <w:r>
              <w:rPr>
                <w:rFonts w:ascii="Arial" w:cs="Arial" w:eastAsia="Arial" w:hAnsi="Arial"/>
                <w:sz w:val="13"/>
                <w:szCs w:val="13"/>
                <w:color w:val="auto"/>
              </w:rPr>
              <w:t>évoquées ci-dessus.</w:t>
            </w:r>
          </w:p>
        </w:tc>
        <w:tc>
          <w:tcPr>
            <w:tcW w:w="0" w:type="dxa"/>
            <w:vAlign w:val="bottom"/>
          </w:tcPr>
          <w:p>
            <w:pPr>
              <w:spacing w:after="0"/>
              <w:rPr>
                <w:sz w:val="1"/>
                <w:szCs w:val="1"/>
                <w:color w:val="auto"/>
              </w:rPr>
            </w:pPr>
          </w:p>
        </w:tc>
      </w:tr>
      <w:tr>
        <w:trPr>
          <w:trHeight w:val="121"/>
        </w:trPr>
        <w:tc>
          <w:tcPr>
            <w:tcW w:w="5540" w:type="dxa"/>
            <w:vAlign w:val="bottom"/>
            <w:tcBorders>
              <w:left w:val="single" w:sz="8" w:color="auto"/>
              <w:right w:val="single" w:sz="8" w:color="auto"/>
            </w:tcBorders>
            <w:gridSpan w:val="2"/>
            <w:vMerge w:val="continue"/>
          </w:tcPr>
          <w:p>
            <w:pPr>
              <w:spacing w:after="0"/>
              <w:rPr>
                <w:sz w:val="10"/>
                <w:szCs w:val="10"/>
                <w:color w:val="auto"/>
              </w:rPr>
            </w:pPr>
          </w:p>
        </w:tc>
        <w:tc>
          <w:tcPr>
            <w:tcW w:w="240" w:type="dxa"/>
            <w:vAlign w:val="bottom"/>
            <w:tcBorders>
              <w:right w:val="single" w:sz="8" w:color="auto"/>
            </w:tcBorders>
          </w:tcPr>
          <w:p>
            <w:pPr>
              <w:spacing w:after="0"/>
              <w:rPr>
                <w:sz w:val="10"/>
                <w:szCs w:val="10"/>
                <w:color w:val="auto"/>
              </w:rPr>
            </w:pPr>
          </w:p>
        </w:tc>
        <w:tc>
          <w:tcPr>
            <w:tcW w:w="480" w:type="dxa"/>
            <w:vAlign w:val="bottom"/>
          </w:tcPr>
          <w:p>
            <w:pPr>
              <w:spacing w:after="0"/>
              <w:rPr>
                <w:sz w:val="10"/>
                <w:szCs w:val="10"/>
                <w:color w:val="auto"/>
              </w:rPr>
            </w:pPr>
          </w:p>
        </w:tc>
        <w:tc>
          <w:tcPr>
            <w:tcW w:w="504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45"/>
        </w:trPr>
        <w:tc>
          <w:tcPr>
            <w:tcW w:w="5540" w:type="dxa"/>
            <w:vAlign w:val="bottom"/>
            <w:tcBorders>
              <w:left w:val="single" w:sz="8" w:color="auto"/>
              <w:right w:val="single" w:sz="8" w:color="auto"/>
            </w:tcBorders>
            <w:gridSpan w:val="2"/>
          </w:tcPr>
          <w:p>
            <w:pPr>
              <w:ind w:left="40"/>
              <w:spacing w:after="0" w:line="145" w:lineRule="exact"/>
              <w:rPr>
                <w:sz w:val="20"/>
                <w:szCs w:val="20"/>
                <w:color w:val="auto"/>
              </w:rPr>
            </w:pPr>
            <w:r>
              <w:rPr>
                <w:rFonts w:ascii="Arial" w:cs="Arial" w:eastAsia="Arial" w:hAnsi="Arial"/>
                <w:sz w:val="13"/>
                <w:szCs w:val="13"/>
                <w:color w:val="auto"/>
              </w:rPr>
              <w:t>consolidation  or  merger  in  which  the  Company  or  a  predecessor  to  the  Company  by</w:t>
            </w:r>
          </w:p>
        </w:tc>
        <w:tc>
          <w:tcPr>
            <w:tcW w:w="240" w:type="dxa"/>
            <w:vAlign w:val="bottom"/>
            <w:tcBorders>
              <w:right w:val="single" w:sz="8" w:color="auto"/>
            </w:tcBorders>
          </w:tcPr>
          <w:p>
            <w:pPr>
              <w:spacing w:after="0"/>
              <w:rPr>
                <w:sz w:val="12"/>
                <w:szCs w:val="12"/>
                <w:color w:val="auto"/>
              </w:rPr>
            </w:pPr>
          </w:p>
        </w:tc>
        <w:tc>
          <w:tcPr>
            <w:tcW w:w="5520" w:type="dxa"/>
            <w:vAlign w:val="bottom"/>
            <w:tcBorders>
              <w:right w:val="single" w:sz="8" w:color="auto"/>
            </w:tcBorders>
            <w:gridSpan w:val="2"/>
          </w:tcPr>
          <w:p>
            <w:pPr>
              <w:ind w:left="20"/>
              <w:spacing w:after="0" w:line="145" w:lineRule="exact"/>
              <w:rPr>
                <w:sz w:val="20"/>
                <w:szCs w:val="20"/>
                <w:color w:val="auto"/>
              </w:rPr>
            </w:pPr>
            <w:r>
              <w:rPr>
                <w:rFonts w:ascii="Arial" w:cs="Arial" w:eastAsia="Arial" w:hAnsi="Arial"/>
                <w:sz w:val="13"/>
                <w:szCs w:val="13"/>
                <w:color w:val="auto"/>
              </w:rPr>
              <w:t>Tel qu'utilisé dans le présent article 29, les références à la "société" comprennent toutes les</w:t>
            </w:r>
          </w:p>
        </w:tc>
        <w:tc>
          <w:tcPr>
            <w:tcW w:w="0" w:type="dxa"/>
            <w:vAlign w:val="bottom"/>
          </w:tcPr>
          <w:p>
            <w:pPr>
              <w:spacing w:after="0"/>
              <w:rPr>
                <w:sz w:val="1"/>
                <w:szCs w:val="1"/>
                <w:color w:val="auto"/>
              </w:rPr>
            </w:pPr>
          </w:p>
        </w:tc>
      </w:tr>
      <w:tr>
        <w:trPr>
          <w:trHeight w:val="145"/>
        </w:trPr>
        <w:tc>
          <w:tcPr>
            <w:tcW w:w="5540" w:type="dxa"/>
            <w:vAlign w:val="bottom"/>
            <w:tcBorders>
              <w:left w:val="single" w:sz="8" w:color="auto"/>
              <w:right w:val="single" w:sz="8" w:color="auto"/>
            </w:tcBorders>
            <w:gridSpan w:val="2"/>
          </w:tcPr>
          <w:p>
            <w:pPr>
              <w:ind w:left="40"/>
              <w:spacing w:after="0" w:line="145" w:lineRule="exact"/>
              <w:rPr>
                <w:sz w:val="20"/>
                <w:szCs w:val="20"/>
                <w:color w:val="auto"/>
              </w:rPr>
            </w:pPr>
            <w:r>
              <w:rPr>
                <w:rFonts w:ascii="Arial" w:cs="Arial" w:eastAsia="Arial" w:hAnsi="Arial"/>
                <w:sz w:val="13"/>
                <w:szCs w:val="13"/>
                <w:color w:val="auto"/>
              </w:rPr>
              <w:t>consolidation or merger was involved.</w:t>
            </w:r>
          </w:p>
        </w:tc>
        <w:tc>
          <w:tcPr>
            <w:tcW w:w="240" w:type="dxa"/>
            <w:vAlign w:val="bottom"/>
            <w:tcBorders>
              <w:right w:val="single" w:sz="8" w:color="auto"/>
            </w:tcBorders>
          </w:tcPr>
          <w:p>
            <w:pPr>
              <w:spacing w:after="0"/>
              <w:rPr>
                <w:sz w:val="12"/>
                <w:szCs w:val="12"/>
                <w:color w:val="auto"/>
              </w:rPr>
            </w:pPr>
          </w:p>
        </w:tc>
        <w:tc>
          <w:tcPr>
            <w:tcW w:w="5520" w:type="dxa"/>
            <w:vAlign w:val="bottom"/>
            <w:tcBorders>
              <w:right w:val="single" w:sz="8" w:color="auto"/>
            </w:tcBorders>
            <w:gridSpan w:val="2"/>
          </w:tcPr>
          <w:p>
            <w:pPr>
              <w:ind w:left="20"/>
              <w:spacing w:after="0" w:line="145" w:lineRule="exact"/>
              <w:rPr>
                <w:sz w:val="20"/>
                <w:szCs w:val="20"/>
                <w:color w:val="auto"/>
              </w:rPr>
            </w:pPr>
            <w:r>
              <w:rPr>
                <w:rFonts w:ascii="Arial" w:cs="Arial" w:eastAsia="Arial" w:hAnsi="Arial"/>
                <w:sz w:val="13"/>
                <w:szCs w:val="13"/>
                <w:color w:val="auto"/>
              </w:rPr>
              <w:t>sociétés ayant fait l'objet d'un regroupement ou d'une fusion dans laquelle la société ou un</w:t>
            </w:r>
          </w:p>
        </w:tc>
        <w:tc>
          <w:tcPr>
            <w:tcW w:w="0" w:type="dxa"/>
            <w:vAlign w:val="bottom"/>
          </w:tcPr>
          <w:p>
            <w:pPr>
              <w:spacing w:after="0"/>
              <w:rPr>
                <w:sz w:val="1"/>
                <w:szCs w:val="1"/>
                <w:color w:val="auto"/>
              </w:rPr>
            </w:pPr>
          </w:p>
        </w:tc>
      </w:tr>
      <w:tr>
        <w:trPr>
          <w:trHeight w:val="168"/>
        </w:trPr>
        <w:tc>
          <w:tcPr>
            <w:tcW w:w="5540" w:type="dxa"/>
            <w:vAlign w:val="bottom"/>
            <w:tcBorders>
              <w:left w:val="single" w:sz="8" w:color="auto"/>
              <w:right w:val="single" w:sz="8" w:color="auto"/>
            </w:tcBorders>
            <w:gridSpan w:val="2"/>
            <w:vMerge w:val="restart"/>
          </w:tcPr>
          <w:p>
            <w:pPr>
              <w:ind w:left="40"/>
              <w:spacing w:after="0"/>
              <w:rPr>
                <w:sz w:val="20"/>
                <w:szCs w:val="20"/>
                <w:color w:val="auto"/>
              </w:rPr>
            </w:pPr>
            <w:r>
              <w:rPr>
                <w:rFonts w:ascii="Arial" w:cs="Arial" w:eastAsia="Arial" w:hAnsi="Arial"/>
                <w:sz w:val="13"/>
                <w:szCs w:val="13"/>
                <w:color w:val="auto"/>
                <w:w w:val="99"/>
              </w:rPr>
              <w:t>The indemnification provided by this Article 29 shall continue as to a person who has ceased to</w:t>
            </w:r>
          </w:p>
        </w:tc>
        <w:tc>
          <w:tcPr>
            <w:tcW w:w="240" w:type="dxa"/>
            <w:vAlign w:val="bottom"/>
            <w:tcBorders>
              <w:right w:val="single" w:sz="8" w:color="auto"/>
            </w:tcBorders>
          </w:tcPr>
          <w:p>
            <w:pPr>
              <w:spacing w:after="0"/>
              <w:rPr>
                <w:sz w:val="14"/>
                <w:szCs w:val="14"/>
                <w:color w:val="auto"/>
              </w:rPr>
            </w:pPr>
          </w:p>
        </w:tc>
        <w:tc>
          <w:tcPr>
            <w:tcW w:w="5520" w:type="dxa"/>
            <w:vAlign w:val="bottom"/>
            <w:tcBorders>
              <w:right w:val="single" w:sz="8" w:color="auto"/>
            </w:tcBorders>
            <w:gridSpan w:val="2"/>
          </w:tcPr>
          <w:p>
            <w:pPr>
              <w:ind w:left="20"/>
              <w:spacing w:after="0"/>
              <w:rPr>
                <w:sz w:val="20"/>
                <w:szCs w:val="20"/>
                <w:color w:val="auto"/>
              </w:rPr>
            </w:pPr>
            <w:r>
              <w:rPr>
                <w:rFonts w:ascii="Arial" w:cs="Arial" w:eastAsia="Arial" w:hAnsi="Arial"/>
                <w:sz w:val="13"/>
                <w:szCs w:val="13"/>
                <w:color w:val="auto"/>
              </w:rPr>
              <w:t>prédécesseur à la société a été impliqué.</w:t>
            </w:r>
          </w:p>
        </w:tc>
        <w:tc>
          <w:tcPr>
            <w:tcW w:w="0" w:type="dxa"/>
            <w:vAlign w:val="bottom"/>
          </w:tcPr>
          <w:p>
            <w:pPr>
              <w:spacing w:after="0"/>
              <w:rPr>
                <w:sz w:val="1"/>
                <w:szCs w:val="1"/>
                <w:color w:val="auto"/>
              </w:rPr>
            </w:pPr>
          </w:p>
        </w:tc>
      </w:tr>
      <w:tr>
        <w:trPr>
          <w:trHeight w:val="121"/>
        </w:trPr>
        <w:tc>
          <w:tcPr>
            <w:tcW w:w="5540" w:type="dxa"/>
            <w:vAlign w:val="bottom"/>
            <w:tcBorders>
              <w:left w:val="single" w:sz="8" w:color="auto"/>
              <w:right w:val="single" w:sz="8" w:color="auto"/>
            </w:tcBorders>
            <w:gridSpan w:val="2"/>
            <w:vMerge w:val="continue"/>
          </w:tcPr>
          <w:p>
            <w:pPr>
              <w:spacing w:after="0"/>
              <w:rPr>
                <w:sz w:val="10"/>
                <w:szCs w:val="10"/>
                <w:color w:val="auto"/>
              </w:rPr>
            </w:pPr>
          </w:p>
        </w:tc>
        <w:tc>
          <w:tcPr>
            <w:tcW w:w="240" w:type="dxa"/>
            <w:vAlign w:val="bottom"/>
            <w:tcBorders>
              <w:right w:val="single" w:sz="8" w:color="auto"/>
            </w:tcBorders>
          </w:tcPr>
          <w:p>
            <w:pPr>
              <w:spacing w:after="0"/>
              <w:rPr>
                <w:sz w:val="10"/>
                <w:szCs w:val="10"/>
                <w:color w:val="auto"/>
              </w:rPr>
            </w:pPr>
          </w:p>
        </w:tc>
        <w:tc>
          <w:tcPr>
            <w:tcW w:w="480" w:type="dxa"/>
            <w:vAlign w:val="bottom"/>
          </w:tcPr>
          <w:p>
            <w:pPr>
              <w:spacing w:after="0"/>
              <w:rPr>
                <w:sz w:val="10"/>
                <w:szCs w:val="10"/>
                <w:color w:val="auto"/>
              </w:rPr>
            </w:pPr>
          </w:p>
        </w:tc>
        <w:tc>
          <w:tcPr>
            <w:tcW w:w="504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45"/>
        </w:trPr>
        <w:tc>
          <w:tcPr>
            <w:tcW w:w="5540" w:type="dxa"/>
            <w:vAlign w:val="bottom"/>
            <w:tcBorders>
              <w:left w:val="single" w:sz="8" w:color="auto"/>
              <w:right w:val="single" w:sz="8" w:color="auto"/>
            </w:tcBorders>
            <w:gridSpan w:val="2"/>
          </w:tcPr>
          <w:p>
            <w:pPr>
              <w:ind w:left="40"/>
              <w:spacing w:after="0" w:line="145" w:lineRule="exact"/>
              <w:rPr>
                <w:sz w:val="20"/>
                <w:szCs w:val="20"/>
                <w:color w:val="auto"/>
              </w:rPr>
            </w:pPr>
            <w:r>
              <w:rPr>
                <w:rFonts w:ascii="Arial" w:cs="Arial" w:eastAsia="Arial" w:hAnsi="Arial"/>
                <w:sz w:val="13"/>
                <w:szCs w:val="13"/>
                <w:color w:val="auto"/>
                <w:w w:val="99"/>
              </w:rPr>
              <w:t>be a member of the Board of Directors or the Executive Committee and shall inure to the benefit</w:t>
            </w:r>
          </w:p>
        </w:tc>
        <w:tc>
          <w:tcPr>
            <w:tcW w:w="240" w:type="dxa"/>
            <w:vAlign w:val="bottom"/>
            <w:tcBorders>
              <w:right w:val="single" w:sz="8" w:color="auto"/>
            </w:tcBorders>
          </w:tcPr>
          <w:p>
            <w:pPr>
              <w:spacing w:after="0"/>
              <w:rPr>
                <w:sz w:val="12"/>
                <w:szCs w:val="12"/>
                <w:color w:val="auto"/>
              </w:rPr>
            </w:pPr>
          </w:p>
        </w:tc>
        <w:tc>
          <w:tcPr>
            <w:tcW w:w="5520" w:type="dxa"/>
            <w:vAlign w:val="bottom"/>
            <w:tcBorders>
              <w:right w:val="single" w:sz="8" w:color="auto"/>
            </w:tcBorders>
            <w:gridSpan w:val="2"/>
          </w:tcPr>
          <w:p>
            <w:pPr>
              <w:ind w:left="20"/>
              <w:spacing w:after="0" w:line="145" w:lineRule="exact"/>
              <w:rPr>
                <w:sz w:val="20"/>
                <w:szCs w:val="20"/>
                <w:color w:val="auto"/>
              </w:rPr>
            </w:pPr>
            <w:r>
              <w:rPr>
                <w:rFonts w:ascii="Arial" w:cs="Arial" w:eastAsia="Arial" w:hAnsi="Arial"/>
                <w:sz w:val="13"/>
                <w:szCs w:val="13"/>
                <w:color w:val="auto"/>
              </w:rPr>
              <w:t>L'indemnisation prévue par cet article 29 est maintenue à l'égard d'une personne qui a cessé</w:t>
            </w:r>
          </w:p>
        </w:tc>
        <w:tc>
          <w:tcPr>
            <w:tcW w:w="0" w:type="dxa"/>
            <w:vAlign w:val="bottom"/>
          </w:tcPr>
          <w:p>
            <w:pPr>
              <w:spacing w:after="0"/>
              <w:rPr>
                <w:sz w:val="1"/>
                <w:szCs w:val="1"/>
                <w:color w:val="auto"/>
              </w:rPr>
            </w:pPr>
          </w:p>
        </w:tc>
      </w:tr>
      <w:tr>
        <w:trPr>
          <w:trHeight w:val="145"/>
        </w:trPr>
        <w:tc>
          <w:tcPr>
            <w:tcW w:w="5540" w:type="dxa"/>
            <w:vAlign w:val="bottom"/>
            <w:tcBorders>
              <w:left w:val="single" w:sz="8" w:color="auto"/>
              <w:right w:val="single" w:sz="8" w:color="auto"/>
            </w:tcBorders>
            <w:gridSpan w:val="2"/>
          </w:tcPr>
          <w:p>
            <w:pPr>
              <w:ind w:left="40"/>
              <w:spacing w:after="0" w:line="145" w:lineRule="exact"/>
              <w:rPr>
                <w:sz w:val="20"/>
                <w:szCs w:val="20"/>
                <w:color w:val="auto"/>
              </w:rPr>
            </w:pPr>
            <w:r>
              <w:rPr>
                <w:rFonts w:ascii="Arial" w:cs="Arial" w:eastAsia="Arial" w:hAnsi="Arial"/>
                <w:sz w:val="13"/>
                <w:szCs w:val="13"/>
                <w:color w:val="auto"/>
              </w:rPr>
              <w:t>of their heirs, executors, and administrators.</w:t>
            </w:r>
          </w:p>
        </w:tc>
        <w:tc>
          <w:tcPr>
            <w:tcW w:w="240" w:type="dxa"/>
            <w:vAlign w:val="bottom"/>
            <w:tcBorders>
              <w:right w:val="single" w:sz="8" w:color="auto"/>
            </w:tcBorders>
          </w:tcPr>
          <w:p>
            <w:pPr>
              <w:spacing w:after="0"/>
              <w:rPr>
                <w:sz w:val="12"/>
                <w:szCs w:val="12"/>
                <w:color w:val="auto"/>
              </w:rPr>
            </w:pPr>
          </w:p>
        </w:tc>
        <w:tc>
          <w:tcPr>
            <w:tcW w:w="5520" w:type="dxa"/>
            <w:vAlign w:val="bottom"/>
            <w:tcBorders>
              <w:right w:val="single" w:sz="8" w:color="auto"/>
            </w:tcBorders>
            <w:gridSpan w:val="2"/>
          </w:tcPr>
          <w:p>
            <w:pPr>
              <w:ind w:left="20"/>
              <w:spacing w:after="0" w:line="145" w:lineRule="exact"/>
              <w:rPr>
                <w:sz w:val="20"/>
                <w:szCs w:val="20"/>
                <w:color w:val="auto"/>
              </w:rPr>
            </w:pPr>
            <w:r>
              <w:rPr>
                <w:rFonts w:ascii="Arial" w:cs="Arial" w:eastAsia="Arial" w:hAnsi="Arial"/>
                <w:sz w:val="13"/>
                <w:szCs w:val="13"/>
                <w:color w:val="auto"/>
              </w:rPr>
              <w:t>d'être un membre du conseil d'administration ou le comité exécutif et sera en vigueur au</w:t>
            </w:r>
          </w:p>
        </w:tc>
        <w:tc>
          <w:tcPr>
            <w:tcW w:w="0" w:type="dxa"/>
            <w:vAlign w:val="bottom"/>
          </w:tcPr>
          <w:p>
            <w:pPr>
              <w:spacing w:after="0"/>
              <w:rPr>
                <w:sz w:val="1"/>
                <w:szCs w:val="1"/>
                <w:color w:val="auto"/>
              </w:rPr>
            </w:pPr>
          </w:p>
        </w:tc>
      </w:tr>
      <w:tr>
        <w:trPr>
          <w:trHeight w:val="168"/>
        </w:trPr>
        <w:tc>
          <w:tcPr>
            <w:tcW w:w="500" w:type="dxa"/>
            <w:vAlign w:val="bottom"/>
            <w:tcBorders>
              <w:left w:val="single" w:sz="8" w:color="auto"/>
            </w:tcBorders>
          </w:tcPr>
          <w:p>
            <w:pPr>
              <w:spacing w:after="0"/>
              <w:rPr>
                <w:sz w:val="14"/>
                <w:szCs w:val="14"/>
                <w:color w:val="auto"/>
              </w:rPr>
            </w:pPr>
          </w:p>
        </w:tc>
        <w:tc>
          <w:tcPr>
            <w:tcW w:w="5040" w:type="dxa"/>
            <w:vAlign w:val="bottom"/>
            <w:tcBorders>
              <w:right w:val="single" w:sz="8" w:color="auto"/>
            </w:tcBorders>
          </w:tcPr>
          <w:p>
            <w:pPr>
              <w:spacing w:after="0"/>
              <w:rPr>
                <w:sz w:val="14"/>
                <w:szCs w:val="14"/>
                <w:color w:val="auto"/>
              </w:rPr>
            </w:pPr>
          </w:p>
        </w:tc>
        <w:tc>
          <w:tcPr>
            <w:tcW w:w="240" w:type="dxa"/>
            <w:vAlign w:val="bottom"/>
            <w:tcBorders>
              <w:right w:val="single" w:sz="8" w:color="auto"/>
            </w:tcBorders>
          </w:tcPr>
          <w:p>
            <w:pPr>
              <w:spacing w:after="0"/>
              <w:rPr>
                <w:sz w:val="14"/>
                <w:szCs w:val="14"/>
                <w:color w:val="auto"/>
              </w:rPr>
            </w:pPr>
          </w:p>
        </w:tc>
        <w:tc>
          <w:tcPr>
            <w:tcW w:w="5520" w:type="dxa"/>
            <w:vAlign w:val="bottom"/>
            <w:tcBorders>
              <w:right w:val="single" w:sz="8" w:color="auto"/>
            </w:tcBorders>
            <w:gridSpan w:val="2"/>
          </w:tcPr>
          <w:p>
            <w:pPr>
              <w:ind w:left="20"/>
              <w:spacing w:after="0"/>
              <w:rPr>
                <w:sz w:val="20"/>
                <w:szCs w:val="20"/>
                <w:color w:val="auto"/>
              </w:rPr>
            </w:pPr>
            <w:r>
              <w:rPr>
                <w:rFonts w:ascii="Arial" w:cs="Arial" w:eastAsia="Arial" w:hAnsi="Arial"/>
                <w:sz w:val="13"/>
                <w:szCs w:val="13"/>
                <w:color w:val="auto"/>
              </w:rPr>
              <w:t>bénéfice de ses héritiers, exécuteurs et administrateurs.</w:t>
            </w:r>
          </w:p>
        </w:tc>
        <w:tc>
          <w:tcPr>
            <w:tcW w:w="0" w:type="dxa"/>
            <w:vAlign w:val="bottom"/>
          </w:tcPr>
          <w:p>
            <w:pPr>
              <w:spacing w:after="0"/>
              <w:rPr>
                <w:sz w:val="1"/>
                <w:szCs w:val="1"/>
                <w:color w:val="auto"/>
              </w:rPr>
            </w:pPr>
          </w:p>
        </w:tc>
      </w:tr>
      <w:tr>
        <w:trPr>
          <w:trHeight w:val="153"/>
        </w:trPr>
        <w:tc>
          <w:tcPr>
            <w:tcW w:w="5540" w:type="dxa"/>
            <w:vAlign w:val="bottom"/>
            <w:tcBorders>
              <w:left w:val="single" w:sz="8" w:color="auto"/>
              <w:bottom w:val="single" w:sz="8" w:color="auto"/>
              <w:right w:val="single" w:sz="8" w:color="auto"/>
            </w:tcBorders>
            <w:gridSpan w:val="2"/>
          </w:tcPr>
          <w:p>
            <w:pPr>
              <w:spacing w:after="0"/>
              <w:rPr>
                <w:sz w:val="13"/>
                <w:szCs w:val="13"/>
                <w:color w:val="auto"/>
              </w:rPr>
            </w:pPr>
          </w:p>
        </w:tc>
        <w:tc>
          <w:tcPr>
            <w:tcW w:w="240" w:type="dxa"/>
            <w:vAlign w:val="bottom"/>
            <w:tcBorders>
              <w:bottom w:val="single" w:sz="8" w:color="auto"/>
              <w:right w:val="single" w:sz="8" w:color="auto"/>
            </w:tcBorders>
          </w:tcPr>
          <w:p>
            <w:pPr>
              <w:spacing w:after="0"/>
              <w:rPr>
                <w:sz w:val="13"/>
                <w:szCs w:val="13"/>
                <w:color w:val="auto"/>
              </w:rPr>
            </w:pPr>
          </w:p>
        </w:tc>
        <w:tc>
          <w:tcPr>
            <w:tcW w:w="5520" w:type="dxa"/>
            <w:vAlign w:val="bottom"/>
            <w:tcBorders>
              <w:bottom w:val="single" w:sz="8" w:color="auto"/>
              <w:right w:val="single" w:sz="8" w:color="auto"/>
            </w:tcBorders>
            <w:gridSpan w:val="2"/>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5540" w:type="dxa"/>
            <w:vAlign w:val="bottom"/>
            <w:tcBorders>
              <w:left w:val="single" w:sz="8" w:color="auto"/>
              <w:bottom w:val="single" w:sz="8" w:color="auto"/>
              <w:right w:val="single" w:sz="8" w:color="auto"/>
            </w:tcBorders>
            <w:gridSpan w:val="2"/>
          </w:tcPr>
          <w:p>
            <w:pPr>
              <w:ind w:left="40"/>
              <w:spacing w:after="0"/>
              <w:rPr>
                <w:sz w:val="20"/>
                <w:szCs w:val="20"/>
                <w:color w:val="auto"/>
              </w:rPr>
            </w:pPr>
            <w:r>
              <w:rPr>
                <w:rFonts w:ascii="Arial" w:cs="Arial" w:eastAsia="Arial" w:hAnsi="Arial"/>
                <w:sz w:val="13"/>
                <w:szCs w:val="13"/>
                <w:b w:val="1"/>
                <w:bCs w:val="1"/>
                <w:color w:val="auto"/>
              </w:rPr>
              <w:t>VI.  AUDITORS</w:t>
            </w:r>
          </w:p>
        </w:tc>
        <w:tc>
          <w:tcPr>
            <w:tcW w:w="240" w:type="dxa"/>
            <w:vAlign w:val="bottom"/>
            <w:tcBorders>
              <w:bottom w:val="single" w:sz="8" w:color="auto"/>
              <w:right w:val="single" w:sz="8" w:color="auto"/>
            </w:tcBorders>
          </w:tcPr>
          <w:p>
            <w:pPr>
              <w:spacing w:after="0"/>
              <w:rPr>
                <w:sz w:val="15"/>
                <w:szCs w:val="15"/>
                <w:color w:val="auto"/>
              </w:rPr>
            </w:pPr>
          </w:p>
        </w:tc>
        <w:tc>
          <w:tcPr>
            <w:tcW w:w="5520" w:type="dxa"/>
            <w:vAlign w:val="bottom"/>
            <w:tcBorders>
              <w:bottom w:val="single" w:sz="8" w:color="auto"/>
              <w:right w:val="single" w:sz="8" w:color="auto"/>
            </w:tcBorders>
            <w:gridSpan w:val="2"/>
          </w:tcPr>
          <w:p>
            <w:pPr>
              <w:ind w:left="20"/>
              <w:spacing w:after="0"/>
              <w:rPr>
                <w:sz w:val="20"/>
                <w:szCs w:val="20"/>
                <w:color w:val="auto"/>
              </w:rPr>
            </w:pPr>
            <w:r>
              <w:rPr>
                <w:rFonts w:ascii="Arial" w:cs="Arial" w:eastAsia="Arial" w:hAnsi="Arial"/>
                <w:sz w:val="13"/>
                <w:szCs w:val="13"/>
                <w:b w:val="1"/>
                <w:bCs w:val="1"/>
                <w:color w:val="auto"/>
              </w:rPr>
              <w:t>VI.  ORGANE DE RÉVISION</w:t>
            </w:r>
          </w:p>
        </w:tc>
        <w:tc>
          <w:tcPr>
            <w:tcW w:w="0" w:type="dxa"/>
            <w:vAlign w:val="bottom"/>
          </w:tcPr>
          <w:p>
            <w:pPr>
              <w:spacing w:after="0"/>
              <w:rPr>
                <w:sz w:val="1"/>
                <w:szCs w:val="1"/>
                <w:color w:val="auto"/>
              </w:rPr>
            </w:pPr>
          </w:p>
        </w:tc>
      </w:tr>
      <w:tr>
        <w:trPr>
          <w:trHeight w:val="173"/>
        </w:trPr>
        <w:tc>
          <w:tcPr>
            <w:tcW w:w="500" w:type="dxa"/>
            <w:vAlign w:val="bottom"/>
            <w:tcBorders>
              <w:left w:val="single" w:sz="8" w:color="auto"/>
            </w:tcBorders>
          </w:tcPr>
          <w:p>
            <w:pPr>
              <w:ind w:left="40"/>
              <w:spacing w:after="0"/>
              <w:rPr>
                <w:sz w:val="20"/>
                <w:szCs w:val="20"/>
                <w:color w:val="auto"/>
              </w:rPr>
            </w:pPr>
            <w:r>
              <w:rPr>
                <w:rFonts w:ascii="Arial" w:cs="Arial" w:eastAsia="Arial" w:hAnsi="Arial"/>
                <w:sz w:val="13"/>
                <w:szCs w:val="13"/>
                <w:b w:val="1"/>
                <w:bCs w:val="1"/>
                <w:color w:val="auto"/>
              </w:rPr>
              <w:t>Art. 30</w:t>
            </w:r>
          </w:p>
        </w:tc>
        <w:tc>
          <w:tcPr>
            <w:tcW w:w="5040" w:type="dxa"/>
            <w:vAlign w:val="bottom"/>
            <w:tcBorders>
              <w:right w:val="single" w:sz="8" w:color="auto"/>
            </w:tcBorders>
          </w:tcPr>
          <w:p>
            <w:pPr>
              <w:ind w:left="80"/>
              <w:spacing w:after="0"/>
              <w:rPr>
                <w:sz w:val="20"/>
                <w:szCs w:val="20"/>
                <w:color w:val="auto"/>
              </w:rPr>
            </w:pPr>
            <w:r>
              <w:rPr>
                <w:rFonts w:ascii="Arial" w:cs="Arial" w:eastAsia="Arial" w:hAnsi="Arial"/>
                <w:sz w:val="13"/>
                <w:szCs w:val="13"/>
                <w:b w:val="1"/>
                <w:bCs w:val="1"/>
                <w:color w:val="auto"/>
              </w:rPr>
              <w:t>Election, Term</w:t>
            </w:r>
          </w:p>
        </w:tc>
        <w:tc>
          <w:tcPr>
            <w:tcW w:w="240" w:type="dxa"/>
            <w:vAlign w:val="bottom"/>
            <w:tcBorders>
              <w:right w:val="single" w:sz="8" w:color="auto"/>
            </w:tcBorders>
          </w:tcPr>
          <w:p>
            <w:pPr>
              <w:spacing w:after="0"/>
              <w:rPr>
                <w:sz w:val="15"/>
                <w:szCs w:val="15"/>
                <w:color w:val="auto"/>
              </w:rPr>
            </w:pPr>
          </w:p>
        </w:tc>
        <w:tc>
          <w:tcPr>
            <w:tcW w:w="480" w:type="dxa"/>
            <w:vAlign w:val="bottom"/>
          </w:tcPr>
          <w:p>
            <w:pPr>
              <w:ind w:left="20"/>
              <w:spacing w:after="0"/>
              <w:rPr>
                <w:sz w:val="20"/>
                <w:szCs w:val="20"/>
                <w:color w:val="auto"/>
              </w:rPr>
            </w:pPr>
            <w:r>
              <w:rPr>
                <w:rFonts w:ascii="Arial" w:cs="Arial" w:eastAsia="Arial" w:hAnsi="Arial"/>
                <w:sz w:val="13"/>
                <w:szCs w:val="13"/>
                <w:b w:val="1"/>
                <w:bCs w:val="1"/>
                <w:color w:val="auto"/>
              </w:rPr>
              <w:t>Art. 30</w:t>
            </w:r>
          </w:p>
        </w:tc>
        <w:tc>
          <w:tcPr>
            <w:tcW w:w="5040" w:type="dxa"/>
            <w:vAlign w:val="bottom"/>
            <w:tcBorders>
              <w:right w:val="single" w:sz="8" w:color="auto"/>
            </w:tcBorders>
          </w:tcPr>
          <w:p>
            <w:pPr>
              <w:ind w:left="80"/>
              <w:spacing w:after="0"/>
              <w:rPr>
                <w:sz w:val="20"/>
                <w:szCs w:val="20"/>
                <w:color w:val="auto"/>
              </w:rPr>
            </w:pPr>
            <w:r>
              <w:rPr>
                <w:rFonts w:ascii="Arial" w:cs="Arial" w:eastAsia="Arial" w:hAnsi="Arial"/>
                <w:sz w:val="13"/>
                <w:szCs w:val="13"/>
                <w:b w:val="1"/>
                <w:bCs w:val="1"/>
                <w:color w:val="auto"/>
              </w:rPr>
              <w:t>Élection, durée</w:t>
            </w:r>
          </w:p>
        </w:tc>
        <w:tc>
          <w:tcPr>
            <w:tcW w:w="0" w:type="dxa"/>
            <w:vAlign w:val="bottom"/>
          </w:tcPr>
          <w:p>
            <w:pPr>
              <w:spacing w:after="0"/>
              <w:rPr>
                <w:sz w:val="1"/>
                <w:szCs w:val="1"/>
                <w:color w:val="auto"/>
              </w:rPr>
            </w:pPr>
          </w:p>
        </w:tc>
      </w:tr>
      <w:tr>
        <w:trPr>
          <w:trHeight w:val="258"/>
        </w:trPr>
        <w:tc>
          <w:tcPr>
            <w:tcW w:w="5540" w:type="dxa"/>
            <w:vAlign w:val="bottom"/>
            <w:tcBorders>
              <w:left w:val="single" w:sz="8" w:color="auto"/>
              <w:right w:val="single" w:sz="8" w:color="auto"/>
            </w:tcBorders>
            <w:gridSpan w:val="2"/>
          </w:tcPr>
          <w:p>
            <w:pPr>
              <w:ind w:left="40"/>
              <w:spacing w:after="0"/>
              <w:rPr>
                <w:sz w:val="20"/>
                <w:szCs w:val="20"/>
                <w:color w:val="auto"/>
              </w:rPr>
            </w:pPr>
            <w:r>
              <w:rPr>
                <w:rFonts w:ascii="Arial" w:cs="Arial" w:eastAsia="Arial" w:hAnsi="Arial"/>
                <w:sz w:val="13"/>
                <w:szCs w:val="13"/>
                <w:color w:val="auto"/>
                <w:w w:val="98"/>
              </w:rPr>
              <w:t>The General Meeting shall elect one or more accountants as its Auditors in terms of Articles 727</w:t>
            </w:r>
          </w:p>
        </w:tc>
        <w:tc>
          <w:tcPr>
            <w:tcW w:w="240" w:type="dxa"/>
            <w:vAlign w:val="bottom"/>
            <w:tcBorders>
              <w:right w:val="single" w:sz="8" w:color="auto"/>
            </w:tcBorders>
          </w:tcPr>
          <w:p>
            <w:pPr>
              <w:spacing w:after="0"/>
              <w:rPr>
                <w:sz w:val="22"/>
                <w:szCs w:val="22"/>
                <w:color w:val="auto"/>
              </w:rPr>
            </w:pPr>
          </w:p>
        </w:tc>
        <w:tc>
          <w:tcPr>
            <w:tcW w:w="5520" w:type="dxa"/>
            <w:vAlign w:val="bottom"/>
            <w:tcBorders>
              <w:right w:val="single" w:sz="8" w:color="auto"/>
            </w:tcBorders>
            <w:gridSpan w:val="2"/>
          </w:tcPr>
          <w:p>
            <w:pPr>
              <w:ind w:left="20"/>
              <w:spacing w:after="0"/>
              <w:rPr>
                <w:sz w:val="20"/>
                <w:szCs w:val="20"/>
                <w:color w:val="auto"/>
              </w:rPr>
            </w:pPr>
            <w:r>
              <w:rPr>
                <w:rFonts w:ascii="Arial" w:cs="Arial" w:eastAsia="Arial" w:hAnsi="Arial"/>
                <w:sz w:val="13"/>
                <w:szCs w:val="13"/>
                <w:color w:val="auto"/>
              </w:rPr>
              <w:t>L'assemblée générale nomme chaque année un ou plusieurs réviseurs comme organe de</w:t>
            </w:r>
          </w:p>
        </w:tc>
        <w:tc>
          <w:tcPr>
            <w:tcW w:w="0" w:type="dxa"/>
            <w:vAlign w:val="bottom"/>
          </w:tcPr>
          <w:p>
            <w:pPr>
              <w:spacing w:after="0"/>
              <w:rPr>
                <w:sz w:val="1"/>
                <w:szCs w:val="1"/>
                <w:color w:val="auto"/>
              </w:rPr>
            </w:pPr>
          </w:p>
        </w:tc>
      </w:tr>
      <w:tr>
        <w:trPr>
          <w:trHeight w:val="168"/>
        </w:trPr>
        <w:tc>
          <w:tcPr>
            <w:tcW w:w="5540" w:type="dxa"/>
            <w:vAlign w:val="bottom"/>
            <w:tcBorders>
              <w:left w:val="single" w:sz="8" w:color="auto"/>
              <w:right w:val="single" w:sz="8" w:color="auto"/>
            </w:tcBorders>
            <w:gridSpan w:val="2"/>
          </w:tcPr>
          <w:p>
            <w:pPr>
              <w:ind w:left="40"/>
              <w:spacing w:after="0"/>
              <w:rPr>
                <w:sz w:val="20"/>
                <w:szCs w:val="20"/>
                <w:color w:val="auto"/>
              </w:rPr>
            </w:pPr>
            <w:r>
              <w:rPr>
                <w:rFonts w:ascii="Arial" w:cs="Arial" w:eastAsia="Arial" w:hAnsi="Arial"/>
                <w:sz w:val="13"/>
                <w:szCs w:val="13"/>
                <w:i w:val="1"/>
                <w:iCs w:val="1"/>
                <w:color w:val="auto"/>
              </w:rPr>
              <w:t xml:space="preserve">et seq. </w:t>
            </w:r>
            <w:r>
              <w:rPr>
                <w:rFonts w:ascii="Arial" w:cs="Arial" w:eastAsia="Arial" w:hAnsi="Arial"/>
                <w:sz w:val="13"/>
                <w:szCs w:val="13"/>
                <w:color w:val="auto"/>
              </w:rPr>
              <w:t>CO every year with the rights and duties determined by law.</w:t>
            </w:r>
          </w:p>
        </w:tc>
        <w:tc>
          <w:tcPr>
            <w:tcW w:w="240" w:type="dxa"/>
            <w:vAlign w:val="bottom"/>
            <w:tcBorders>
              <w:right w:val="single" w:sz="8" w:color="auto"/>
            </w:tcBorders>
          </w:tcPr>
          <w:p>
            <w:pPr>
              <w:spacing w:after="0"/>
              <w:rPr>
                <w:sz w:val="14"/>
                <w:szCs w:val="14"/>
                <w:color w:val="auto"/>
              </w:rPr>
            </w:pPr>
          </w:p>
        </w:tc>
        <w:tc>
          <w:tcPr>
            <w:tcW w:w="5520" w:type="dxa"/>
            <w:vAlign w:val="bottom"/>
            <w:tcBorders>
              <w:right w:val="single" w:sz="8" w:color="auto"/>
            </w:tcBorders>
            <w:gridSpan w:val="2"/>
          </w:tcPr>
          <w:p>
            <w:pPr>
              <w:ind w:left="20"/>
              <w:spacing w:after="0"/>
              <w:rPr>
                <w:sz w:val="20"/>
                <w:szCs w:val="20"/>
                <w:color w:val="auto"/>
              </w:rPr>
            </w:pPr>
            <w:r>
              <w:rPr>
                <w:rFonts w:ascii="Arial" w:cs="Arial" w:eastAsia="Arial" w:hAnsi="Arial"/>
                <w:sz w:val="13"/>
                <w:szCs w:val="13"/>
                <w:color w:val="auto"/>
              </w:rPr>
              <w:t>révision selon les articles 727 ss. CO avec les droits et les devoirs déterminés par la loi.</w:t>
            </w:r>
          </w:p>
        </w:tc>
        <w:tc>
          <w:tcPr>
            <w:tcW w:w="0" w:type="dxa"/>
            <w:vAlign w:val="bottom"/>
          </w:tcPr>
          <w:p>
            <w:pPr>
              <w:spacing w:after="0"/>
              <w:rPr>
                <w:sz w:val="1"/>
                <w:szCs w:val="1"/>
                <w:color w:val="auto"/>
              </w:rPr>
            </w:pPr>
          </w:p>
        </w:tc>
      </w:tr>
      <w:tr>
        <w:trPr>
          <w:trHeight w:val="153"/>
        </w:trPr>
        <w:tc>
          <w:tcPr>
            <w:tcW w:w="5540" w:type="dxa"/>
            <w:vAlign w:val="bottom"/>
            <w:tcBorders>
              <w:left w:val="single" w:sz="8" w:color="auto"/>
              <w:bottom w:val="single" w:sz="8" w:color="auto"/>
              <w:right w:val="single" w:sz="8" w:color="auto"/>
            </w:tcBorders>
            <w:gridSpan w:val="2"/>
          </w:tcPr>
          <w:p>
            <w:pPr>
              <w:spacing w:after="0"/>
              <w:rPr>
                <w:sz w:val="13"/>
                <w:szCs w:val="13"/>
                <w:color w:val="auto"/>
              </w:rPr>
            </w:pPr>
          </w:p>
        </w:tc>
        <w:tc>
          <w:tcPr>
            <w:tcW w:w="240" w:type="dxa"/>
            <w:vAlign w:val="bottom"/>
            <w:tcBorders>
              <w:bottom w:val="single" w:sz="8" w:color="auto"/>
              <w:right w:val="single" w:sz="8" w:color="auto"/>
            </w:tcBorders>
          </w:tcPr>
          <w:p>
            <w:pPr>
              <w:spacing w:after="0"/>
              <w:rPr>
                <w:sz w:val="13"/>
                <w:szCs w:val="13"/>
                <w:color w:val="auto"/>
              </w:rPr>
            </w:pPr>
          </w:p>
        </w:tc>
        <w:tc>
          <w:tcPr>
            <w:tcW w:w="5520" w:type="dxa"/>
            <w:vAlign w:val="bottom"/>
            <w:tcBorders>
              <w:bottom w:val="single" w:sz="8" w:color="auto"/>
              <w:right w:val="single" w:sz="8" w:color="auto"/>
            </w:tcBorders>
            <w:gridSpan w:val="2"/>
          </w:tcPr>
          <w:p>
            <w:pPr>
              <w:spacing w:after="0"/>
              <w:rPr>
                <w:sz w:val="13"/>
                <w:szCs w:val="13"/>
                <w:color w:val="auto"/>
              </w:rPr>
            </w:pPr>
          </w:p>
        </w:tc>
        <w:tc>
          <w:tcPr>
            <w:tcW w:w="0" w:type="dxa"/>
            <w:vAlign w:val="bottom"/>
          </w:tcPr>
          <w:p>
            <w:pPr>
              <w:spacing w:after="0"/>
              <w:rPr>
                <w:sz w:val="1"/>
                <w:szCs w:val="1"/>
                <w:color w:val="auto"/>
              </w:rPr>
            </w:pPr>
          </w:p>
        </w:tc>
      </w:tr>
      <w:tr>
        <w:trPr>
          <w:trHeight w:val="141"/>
        </w:trPr>
        <w:tc>
          <w:tcPr>
            <w:tcW w:w="5540" w:type="dxa"/>
            <w:vAlign w:val="bottom"/>
            <w:tcBorders>
              <w:left w:val="single" w:sz="8" w:color="auto"/>
              <w:right w:val="single" w:sz="8" w:color="auto"/>
            </w:tcBorders>
            <w:gridSpan w:val="2"/>
          </w:tcPr>
          <w:p>
            <w:pPr>
              <w:ind w:left="40"/>
              <w:spacing w:after="0" w:line="141" w:lineRule="exact"/>
              <w:rPr>
                <w:sz w:val="20"/>
                <w:szCs w:val="20"/>
                <w:color w:val="auto"/>
              </w:rPr>
            </w:pPr>
            <w:r>
              <w:rPr>
                <w:rFonts w:ascii="Arial" w:cs="Arial" w:eastAsia="Arial" w:hAnsi="Arial"/>
                <w:sz w:val="13"/>
                <w:szCs w:val="13"/>
                <w:color w:val="auto"/>
              </w:rPr>
              <w:t>The General Meeting may appoint Special Auditors for a term of up to three years who provide</w:t>
            </w:r>
          </w:p>
        </w:tc>
        <w:tc>
          <w:tcPr>
            <w:tcW w:w="240" w:type="dxa"/>
            <w:vAlign w:val="bottom"/>
            <w:tcBorders>
              <w:right w:val="single" w:sz="8" w:color="auto"/>
            </w:tcBorders>
          </w:tcPr>
          <w:p>
            <w:pPr>
              <w:spacing w:after="0"/>
              <w:rPr>
                <w:sz w:val="12"/>
                <w:szCs w:val="12"/>
                <w:color w:val="auto"/>
              </w:rPr>
            </w:pPr>
          </w:p>
        </w:tc>
        <w:tc>
          <w:tcPr>
            <w:tcW w:w="5520" w:type="dxa"/>
            <w:vAlign w:val="bottom"/>
            <w:tcBorders>
              <w:right w:val="single" w:sz="8" w:color="auto"/>
            </w:tcBorders>
            <w:gridSpan w:val="2"/>
          </w:tcPr>
          <w:p>
            <w:pPr>
              <w:ind w:left="20"/>
              <w:spacing w:after="0" w:line="141" w:lineRule="exact"/>
              <w:rPr>
                <w:sz w:val="20"/>
                <w:szCs w:val="20"/>
                <w:color w:val="auto"/>
              </w:rPr>
            </w:pPr>
            <w:r>
              <w:rPr>
                <w:rFonts w:ascii="Arial" w:cs="Arial" w:eastAsia="Arial" w:hAnsi="Arial"/>
                <w:sz w:val="13"/>
                <w:szCs w:val="13"/>
                <w:color w:val="auto"/>
              </w:rPr>
              <w:t>L'assemblée générale peut nommer des réviseurs spéciaux pour une durée de trois ans au</w:t>
            </w:r>
          </w:p>
        </w:tc>
        <w:tc>
          <w:tcPr>
            <w:tcW w:w="0" w:type="dxa"/>
            <w:vAlign w:val="bottom"/>
          </w:tcPr>
          <w:p>
            <w:pPr>
              <w:spacing w:after="0"/>
              <w:rPr>
                <w:sz w:val="1"/>
                <w:szCs w:val="1"/>
                <w:color w:val="auto"/>
              </w:rPr>
            </w:pPr>
          </w:p>
        </w:tc>
      </w:tr>
      <w:tr>
        <w:trPr>
          <w:trHeight w:val="173"/>
        </w:trPr>
        <w:tc>
          <w:tcPr>
            <w:tcW w:w="5540" w:type="dxa"/>
            <w:vAlign w:val="bottom"/>
            <w:tcBorders>
              <w:left w:val="single" w:sz="8" w:color="auto"/>
              <w:bottom w:val="single" w:sz="8" w:color="auto"/>
              <w:right w:val="single" w:sz="8" w:color="auto"/>
            </w:tcBorders>
            <w:gridSpan w:val="2"/>
          </w:tcPr>
          <w:p>
            <w:pPr>
              <w:ind w:left="40"/>
              <w:spacing w:after="0"/>
              <w:rPr>
                <w:sz w:val="20"/>
                <w:szCs w:val="20"/>
                <w:color w:val="auto"/>
              </w:rPr>
            </w:pPr>
            <w:r>
              <w:rPr>
                <w:rFonts w:ascii="Arial" w:cs="Arial" w:eastAsia="Arial" w:hAnsi="Arial"/>
                <w:sz w:val="13"/>
                <w:szCs w:val="13"/>
                <w:color w:val="auto"/>
              </w:rPr>
              <w:t>the attestations required for capital increases.</w:t>
            </w:r>
          </w:p>
        </w:tc>
        <w:tc>
          <w:tcPr>
            <w:tcW w:w="240" w:type="dxa"/>
            <w:vAlign w:val="bottom"/>
            <w:tcBorders>
              <w:bottom w:val="single" w:sz="8" w:color="auto"/>
              <w:right w:val="single" w:sz="8" w:color="auto"/>
            </w:tcBorders>
          </w:tcPr>
          <w:p>
            <w:pPr>
              <w:spacing w:after="0"/>
              <w:rPr>
                <w:sz w:val="15"/>
                <w:szCs w:val="15"/>
                <w:color w:val="auto"/>
              </w:rPr>
            </w:pPr>
          </w:p>
        </w:tc>
        <w:tc>
          <w:tcPr>
            <w:tcW w:w="5520" w:type="dxa"/>
            <w:vAlign w:val="bottom"/>
            <w:tcBorders>
              <w:bottom w:val="single" w:sz="8" w:color="auto"/>
              <w:right w:val="single" w:sz="8" w:color="auto"/>
            </w:tcBorders>
            <w:gridSpan w:val="2"/>
          </w:tcPr>
          <w:p>
            <w:pPr>
              <w:ind w:left="20"/>
              <w:spacing w:after="0"/>
              <w:rPr>
                <w:sz w:val="20"/>
                <w:szCs w:val="20"/>
                <w:color w:val="auto"/>
              </w:rPr>
            </w:pPr>
            <w:r>
              <w:rPr>
                <w:rFonts w:ascii="Arial" w:cs="Arial" w:eastAsia="Arial" w:hAnsi="Arial"/>
                <w:sz w:val="13"/>
                <w:szCs w:val="13"/>
                <w:color w:val="auto"/>
              </w:rPr>
              <w:t>maximum qui fournissent les attestations requises pour les augmentations de capital.</w:t>
            </w:r>
          </w:p>
        </w:tc>
        <w:tc>
          <w:tcPr>
            <w:tcW w:w="0" w:type="dxa"/>
            <w:vAlign w:val="bottom"/>
          </w:tcPr>
          <w:p>
            <w:pPr>
              <w:spacing w:after="0"/>
              <w:rPr>
                <w:sz w:val="1"/>
                <w:szCs w:val="1"/>
                <w:color w:val="auto"/>
              </w:rPr>
            </w:pPr>
          </w:p>
        </w:tc>
      </w:tr>
      <w:tr>
        <w:trPr>
          <w:trHeight w:val="177"/>
        </w:trPr>
        <w:tc>
          <w:tcPr>
            <w:tcW w:w="500" w:type="dxa"/>
            <w:vAlign w:val="bottom"/>
            <w:tcBorders>
              <w:left w:val="single" w:sz="8" w:color="auto"/>
            </w:tcBorders>
          </w:tcPr>
          <w:p>
            <w:pPr>
              <w:ind w:left="40"/>
              <w:spacing w:after="0"/>
              <w:rPr>
                <w:sz w:val="20"/>
                <w:szCs w:val="20"/>
                <w:color w:val="auto"/>
              </w:rPr>
            </w:pPr>
            <w:r>
              <w:rPr>
                <w:rFonts w:ascii="Arial" w:cs="Arial" w:eastAsia="Arial" w:hAnsi="Arial"/>
                <w:sz w:val="13"/>
                <w:szCs w:val="13"/>
                <w:b w:val="1"/>
                <w:bCs w:val="1"/>
                <w:color w:val="auto"/>
              </w:rPr>
              <w:t>Art. 31</w:t>
            </w:r>
          </w:p>
        </w:tc>
        <w:tc>
          <w:tcPr>
            <w:tcW w:w="5040" w:type="dxa"/>
            <w:vAlign w:val="bottom"/>
            <w:tcBorders>
              <w:right w:val="single" w:sz="8" w:color="auto"/>
            </w:tcBorders>
          </w:tcPr>
          <w:p>
            <w:pPr>
              <w:ind w:left="80"/>
              <w:spacing w:after="0"/>
              <w:rPr>
                <w:sz w:val="20"/>
                <w:szCs w:val="20"/>
                <w:color w:val="auto"/>
              </w:rPr>
            </w:pPr>
            <w:r>
              <w:rPr>
                <w:rFonts w:ascii="Arial" w:cs="Arial" w:eastAsia="Arial" w:hAnsi="Arial"/>
                <w:sz w:val="13"/>
                <w:szCs w:val="13"/>
                <w:b w:val="1"/>
                <w:bCs w:val="1"/>
                <w:color w:val="auto"/>
              </w:rPr>
              <w:t>Duties</w:t>
            </w:r>
          </w:p>
        </w:tc>
        <w:tc>
          <w:tcPr>
            <w:tcW w:w="240" w:type="dxa"/>
            <w:vAlign w:val="bottom"/>
            <w:tcBorders>
              <w:right w:val="single" w:sz="8" w:color="auto"/>
            </w:tcBorders>
          </w:tcPr>
          <w:p>
            <w:pPr>
              <w:spacing w:after="0"/>
              <w:rPr>
                <w:sz w:val="15"/>
                <w:szCs w:val="15"/>
                <w:color w:val="auto"/>
              </w:rPr>
            </w:pPr>
          </w:p>
        </w:tc>
        <w:tc>
          <w:tcPr>
            <w:tcW w:w="480" w:type="dxa"/>
            <w:vAlign w:val="bottom"/>
          </w:tcPr>
          <w:p>
            <w:pPr>
              <w:ind w:left="20"/>
              <w:spacing w:after="0"/>
              <w:rPr>
                <w:sz w:val="20"/>
                <w:szCs w:val="20"/>
                <w:color w:val="auto"/>
              </w:rPr>
            </w:pPr>
            <w:r>
              <w:rPr>
                <w:rFonts w:ascii="Arial" w:cs="Arial" w:eastAsia="Arial" w:hAnsi="Arial"/>
                <w:sz w:val="13"/>
                <w:szCs w:val="13"/>
                <w:b w:val="1"/>
                <w:bCs w:val="1"/>
                <w:color w:val="auto"/>
              </w:rPr>
              <w:t>Art. 31</w:t>
            </w:r>
          </w:p>
        </w:tc>
        <w:tc>
          <w:tcPr>
            <w:tcW w:w="5040" w:type="dxa"/>
            <w:vAlign w:val="bottom"/>
            <w:tcBorders>
              <w:right w:val="single" w:sz="8" w:color="auto"/>
            </w:tcBorders>
          </w:tcPr>
          <w:p>
            <w:pPr>
              <w:ind w:left="80"/>
              <w:spacing w:after="0"/>
              <w:rPr>
                <w:sz w:val="20"/>
                <w:szCs w:val="20"/>
                <w:color w:val="auto"/>
              </w:rPr>
            </w:pPr>
            <w:r>
              <w:rPr>
                <w:rFonts w:ascii="Arial" w:cs="Arial" w:eastAsia="Arial" w:hAnsi="Arial"/>
                <w:sz w:val="13"/>
                <w:szCs w:val="13"/>
                <w:b w:val="1"/>
                <w:bCs w:val="1"/>
                <w:color w:val="auto"/>
              </w:rPr>
              <w:t>Fonctions</w:t>
            </w:r>
          </w:p>
        </w:tc>
        <w:tc>
          <w:tcPr>
            <w:tcW w:w="0" w:type="dxa"/>
            <w:vAlign w:val="bottom"/>
          </w:tcPr>
          <w:p>
            <w:pPr>
              <w:spacing w:after="0"/>
              <w:rPr>
                <w:sz w:val="1"/>
                <w:szCs w:val="1"/>
                <w:color w:val="auto"/>
              </w:rPr>
            </w:pPr>
          </w:p>
        </w:tc>
      </w:tr>
      <w:tr>
        <w:trPr>
          <w:trHeight w:val="258"/>
        </w:trPr>
        <w:tc>
          <w:tcPr>
            <w:tcW w:w="5540" w:type="dxa"/>
            <w:vAlign w:val="bottom"/>
            <w:tcBorders>
              <w:left w:val="single" w:sz="8" w:color="auto"/>
              <w:right w:val="single" w:sz="8" w:color="auto"/>
            </w:tcBorders>
            <w:gridSpan w:val="2"/>
          </w:tcPr>
          <w:p>
            <w:pPr>
              <w:ind w:left="40"/>
              <w:spacing w:after="0"/>
              <w:rPr>
                <w:sz w:val="20"/>
                <w:szCs w:val="20"/>
                <w:color w:val="auto"/>
              </w:rPr>
            </w:pPr>
            <w:r>
              <w:rPr>
                <w:rFonts w:ascii="Arial" w:cs="Arial" w:eastAsia="Arial" w:hAnsi="Arial"/>
                <w:sz w:val="13"/>
                <w:szCs w:val="13"/>
                <w:color w:val="auto"/>
              </w:rPr>
              <w:t>The Auditors shall perform their duties to audit and report whether the accounting, the annual</w:t>
            </w:r>
          </w:p>
        </w:tc>
        <w:tc>
          <w:tcPr>
            <w:tcW w:w="240" w:type="dxa"/>
            <w:vAlign w:val="bottom"/>
            <w:tcBorders>
              <w:right w:val="single" w:sz="8" w:color="auto"/>
            </w:tcBorders>
          </w:tcPr>
          <w:p>
            <w:pPr>
              <w:spacing w:after="0"/>
              <w:rPr>
                <w:sz w:val="22"/>
                <w:szCs w:val="22"/>
                <w:color w:val="auto"/>
              </w:rPr>
            </w:pPr>
          </w:p>
        </w:tc>
        <w:tc>
          <w:tcPr>
            <w:tcW w:w="5520" w:type="dxa"/>
            <w:vAlign w:val="bottom"/>
            <w:tcBorders>
              <w:right w:val="single" w:sz="8" w:color="auto"/>
            </w:tcBorders>
            <w:gridSpan w:val="2"/>
          </w:tcPr>
          <w:p>
            <w:pPr>
              <w:ind w:left="20"/>
              <w:spacing w:after="0"/>
              <w:rPr>
                <w:sz w:val="20"/>
                <w:szCs w:val="20"/>
                <w:color w:val="auto"/>
              </w:rPr>
            </w:pPr>
            <w:r>
              <w:rPr>
                <w:rFonts w:ascii="Arial" w:cs="Arial" w:eastAsia="Arial" w:hAnsi="Arial"/>
                <w:sz w:val="13"/>
                <w:szCs w:val="13"/>
                <w:color w:val="auto"/>
              </w:rPr>
              <w:t>L'organe de révision vérifie et rapporte si la comptabilité, les comptes annuels et la proposition</w:t>
            </w:r>
          </w:p>
        </w:tc>
        <w:tc>
          <w:tcPr>
            <w:tcW w:w="0" w:type="dxa"/>
            <w:vAlign w:val="bottom"/>
          </w:tcPr>
          <w:p>
            <w:pPr>
              <w:spacing w:after="0"/>
              <w:rPr>
                <w:sz w:val="1"/>
                <w:szCs w:val="1"/>
                <w:color w:val="auto"/>
              </w:rPr>
            </w:pPr>
          </w:p>
        </w:tc>
      </w:tr>
      <w:tr>
        <w:trPr>
          <w:trHeight w:val="145"/>
        </w:trPr>
        <w:tc>
          <w:tcPr>
            <w:tcW w:w="5540" w:type="dxa"/>
            <w:vAlign w:val="bottom"/>
            <w:tcBorders>
              <w:left w:val="single" w:sz="8" w:color="auto"/>
              <w:right w:val="single" w:sz="8" w:color="auto"/>
            </w:tcBorders>
            <w:gridSpan w:val="2"/>
          </w:tcPr>
          <w:p>
            <w:pPr>
              <w:ind w:left="40"/>
              <w:spacing w:after="0" w:line="145" w:lineRule="exact"/>
              <w:rPr>
                <w:sz w:val="20"/>
                <w:szCs w:val="20"/>
                <w:color w:val="auto"/>
              </w:rPr>
            </w:pPr>
            <w:r>
              <w:rPr>
                <w:rFonts w:ascii="Arial" w:cs="Arial" w:eastAsia="Arial" w:hAnsi="Arial"/>
                <w:sz w:val="13"/>
                <w:szCs w:val="13"/>
                <w:color w:val="auto"/>
              </w:rPr>
              <w:t>accounts and the proposal regarding allocation of profits are in accordance with law and the</w:t>
            </w:r>
          </w:p>
        </w:tc>
        <w:tc>
          <w:tcPr>
            <w:tcW w:w="240" w:type="dxa"/>
            <w:vAlign w:val="bottom"/>
            <w:tcBorders>
              <w:right w:val="single" w:sz="8" w:color="auto"/>
            </w:tcBorders>
          </w:tcPr>
          <w:p>
            <w:pPr>
              <w:spacing w:after="0"/>
              <w:rPr>
                <w:sz w:val="12"/>
                <w:szCs w:val="12"/>
                <w:color w:val="auto"/>
              </w:rPr>
            </w:pPr>
          </w:p>
        </w:tc>
        <w:tc>
          <w:tcPr>
            <w:tcW w:w="5520" w:type="dxa"/>
            <w:vAlign w:val="bottom"/>
            <w:tcBorders>
              <w:right w:val="single" w:sz="8" w:color="auto"/>
            </w:tcBorders>
            <w:gridSpan w:val="2"/>
          </w:tcPr>
          <w:p>
            <w:pPr>
              <w:ind w:left="20"/>
              <w:spacing w:after="0" w:line="145" w:lineRule="exact"/>
              <w:rPr>
                <w:sz w:val="20"/>
                <w:szCs w:val="20"/>
                <w:color w:val="auto"/>
              </w:rPr>
            </w:pPr>
            <w:r>
              <w:rPr>
                <w:rFonts w:ascii="Arial" w:cs="Arial" w:eastAsia="Arial" w:hAnsi="Arial"/>
                <w:sz w:val="13"/>
                <w:szCs w:val="13"/>
                <w:color w:val="auto"/>
              </w:rPr>
              <w:t>relative à la répartition des bénéfices sont en conformité avec la loi et les statuts.</w:t>
            </w:r>
          </w:p>
        </w:tc>
        <w:tc>
          <w:tcPr>
            <w:tcW w:w="0" w:type="dxa"/>
            <w:vAlign w:val="bottom"/>
          </w:tcPr>
          <w:p>
            <w:pPr>
              <w:spacing w:after="0"/>
              <w:rPr>
                <w:sz w:val="1"/>
                <w:szCs w:val="1"/>
                <w:color w:val="auto"/>
              </w:rPr>
            </w:pPr>
          </w:p>
        </w:tc>
      </w:tr>
      <w:tr>
        <w:trPr>
          <w:trHeight w:val="168"/>
        </w:trPr>
        <w:tc>
          <w:tcPr>
            <w:tcW w:w="5540" w:type="dxa"/>
            <w:vAlign w:val="bottom"/>
            <w:tcBorders>
              <w:left w:val="single" w:sz="8" w:color="auto"/>
              <w:right w:val="single" w:sz="8" w:color="auto"/>
            </w:tcBorders>
            <w:gridSpan w:val="2"/>
          </w:tcPr>
          <w:p>
            <w:pPr>
              <w:ind w:left="40"/>
              <w:spacing w:after="0"/>
              <w:rPr>
                <w:sz w:val="20"/>
                <w:szCs w:val="20"/>
                <w:color w:val="auto"/>
              </w:rPr>
            </w:pPr>
            <w:r>
              <w:rPr>
                <w:rFonts w:ascii="Arial" w:cs="Arial" w:eastAsia="Arial" w:hAnsi="Arial"/>
                <w:sz w:val="13"/>
                <w:szCs w:val="13"/>
                <w:color w:val="auto"/>
              </w:rPr>
              <w:t>Articles of Association.</w:t>
            </w:r>
          </w:p>
        </w:tc>
        <w:tc>
          <w:tcPr>
            <w:tcW w:w="240" w:type="dxa"/>
            <w:vAlign w:val="bottom"/>
            <w:tcBorders>
              <w:right w:val="single" w:sz="8" w:color="auto"/>
            </w:tcBorders>
          </w:tcPr>
          <w:p>
            <w:pPr>
              <w:spacing w:after="0"/>
              <w:rPr>
                <w:sz w:val="14"/>
                <w:szCs w:val="14"/>
                <w:color w:val="auto"/>
              </w:rPr>
            </w:pPr>
          </w:p>
        </w:tc>
        <w:tc>
          <w:tcPr>
            <w:tcW w:w="480" w:type="dxa"/>
            <w:vAlign w:val="bottom"/>
          </w:tcPr>
          <w:p>
            <w:pPr>
              <w:spacing w:after="0"/>
              <w:rPr>
                <w:sz w:val="14"/>
                <w:szCs w:val="14"/>
                <w:color w:val="auto"/>
              </w:rPr>
            </w:pPr>
          </w:p>
        </w:tc>
        <w:tc>
          <w:tcPr>
            <w:tcW w:w="504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53"/>
        </w:trPr>
        <w:tc>
          <w:tcPr>
            <w:tcW w:w="500" w:type="dxa"/>
            <w:vAlign w:val="bottom"/>
            <w:tcBorders>
              <w:left w:val="single" w:sz="8" w:color="auto"/>
              <w:bottom w:val="single" w:sz="8" w:color="auto"/>
            </w:tcBorders>
          </w:tcPr>
          <w:p>
            <w:pPr>
              <w:spacing w:after="0"/>
              <w:rPr>
                <w:sz w:val="13"/>
                <w:szCs w:val="13"/>
                <w:color w:val="auto"/>
              </w:rPr>
            </w:pPr>
          </w:p>
        </w:tc>
        <w:tc>
          <w:tcPr>
            <w:tcW w:w="5040" w:type="dxa"/>
            <w:vAlign w:val="bottom"/>
            <w:tcBorders>
              <w:bottom w:val="single" w:sz="8" w:color="auto"/>
              <w:right w:val="single" w:sz="8" w:color="auto"/>
            </w:tcBorders>
          </w:tcPr>
          <w:p>
            <w:pPr>
              <w:spacing w:after="0"/>
              <w:rPr>
                <w:sz w:val="13"/>
                <w:szCs w:val="13"/>
                <w:color w:val="auto"/>
              </w:rPr>
            </w:pPr>
          </w:p>
        </w:tc>
        <w:tc>
          <w:tcPr>
            <w:tcW w:w="240" w:type="dxa"/>
            <w:vAlign w:val="bottom"/>
            <w:tcBorders>
              <w:bottom w:val="single" w:sz="8" w:color="auto"/>
              <w:right w:val="single" w:sz="8" w:color="auto"/>
            </w:tcBorders>
          </w:tcPr>
          <w:p>
            <w:pPr>
              <w:spacing w:after="0"/>
              <w:rPr>
                <w:sz w:val="13"/>
                <w:szCs w:val="13"/>
                <w:color w:val="auto"/>
              </w:rPr>
            </w:pPr>
          </w:p>
        </w:tc>
        <w:tc>
          <w:tcPr>
            <w:tcW w:w="480" w:type="dxa"/>
            <w:vAlign w:val="bottom"/>
            <w:tcBorders>
              <w:bottom w:val="single" w:sz="8" w:color="auto"/>
            </w:tcBorders>
          </w:tcPr>
          <w:p>
            <w:pPr>
              <w:spacing w:after="0"/>
              <w:rPr>
                <w:sz w:val="13"/>
                <w:szCs w:val="13"/>
                <w:color w:val="auto"/>
              </w:rPr>
            </w:pPr>
          </w:p>
        </w:tc>
        <w:tc>
          <w:tcPr>
            <w:tcW w:w="5040" w:type="dxa"/>
            <w:vAlign w:val="bottom"/>
            <w:tcBorders>
              <w:bottom w:val="single" w:sz="8" w:color="auto"/>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bl>
    <w:p>
      <w:pPr>
        <w:spacing w:after="0" w:line="59"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5"/>
          <w:szCs w:val="15"/>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12700</wp:posOffset>
            </wp:positionV>
            <wp:extent cx="7171690" cy="635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71690" cy="6350"/>
                    </a:xfrm>
                    <a:prstGeom prst="rect">
                      <a:avLst/>
                    </a:prstGeom>
                    <a:noFill/>
                  </pic:spPr>
                </pic:pic>
              </a:graphicData>
            </a:graphic>
          </wp:anchor>
        </w:drawing>
      </w:r>
    </w:p>
    <w:p>
      <w:pPr>
        <w:sectPr>
          <w:pgSz w:w="11900" w:h="16838" w:orient="portrait"/>
          <w:cols w:equalWidth="0" w:num="1">
            <w:col w:w="11300"/>
          </w:cols>
          <w:pgMar w:left="300" w:top="448" w:right="299" w:bottom="1440" w:gutter="0" w:footer="0" w:header="0"/>
        </w:sectPr>
      </w:pPr>
    </w:p>
    <w:bookmarkStart w:id="82" w:name="page83"/>
    <w:bookmarkEnd w:id="82"/>
    <w:tbl>
      <w:tblPr>
        <w:tblLayout w:type="fixed"/>
        <w:tblInd w:w="10" w:type="dxa"/>
        <w:tblCellMar>
          <w:top w:w="0" w:type="dxa"/>
          <w:left w:w="0" w:type="dxa"/>
          <w:bottom w:w="0" w:type="dxa"/>
          <w:right w:w="0" w:type="dxa"/>
        </w:tblCellMar>
      </w:tblPr>
      <w:tr>
        <w:trPr>
          <w:trHeight w:val="193"/>
        </w:trPr>
        <w:tc>
          <w:tcPr>
            <w:tcW w:w="5540" w:type="dxa"/>
            <w:vAlign w:val="bottom"/>
            <w:tcBorders>
              <w:top w:val="single" w:sz="8" w:color="auto"/>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3"/>
                <w:szCs w:val="13"/>
                <w:b w:val="1"/>
                <w:bCs w:val="1"/>
                <w:color w:val="auto"/>
              </w:rPr>
              <w:t>VII.  COMPENSATION AND RELATED PROVISIONS</w:t>
            </w:r>
          </w:p>
        </w:tc>
        <w:tc>
          <w:tcPr>
            <w:tcW w:w="240" w:type="dxa"/>
            <w:vAlign w:val="bottom"/>
            <w:tcBorders>
              <w:top w:val="single" w:sz="8" w:color="auto"/>
              <w:bottom w:val="single" w:sz="8" w:color="auto"/>
              <w:right w:val="single" w:sz="8" w:color="auto"/>
            </w:tcBorders>
          </w:tcPr>
          <w:p>
            <w:pPr>
              <w:spacing w:after="0"/>
              <w:rPr>
                <w:sz w:val="16"/>
                <w:szCs w:val="16"/>
                <w:color w:val="auto"/>
              </w:rPr>
            </w:pPr>
          </w:p>
        </w:tc>
        <w:tc>
          <w:tcPr>
            <w:tcW w:w="5520" w:type="dxa"/>
            <w:vAlign w:val="bottom"/>
            <w:tcBorders>
              <w:top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3"/>
                <w:szCs w:val="13"/>
                <w:b w:val="1"/>
                <w:bCs w:val="1"/>
                <w:color w:val="auto"/>
              </w:rPr>
              <w:t>VII.  RÉMUNÉRATION ET DISPOSITIONS ANALOGUES</w:t>
            </w:r>
          </w:p>
        </w:tc>
      </w:tr>
      <w:tr>
        <w:trPr>
          <w:trHeight w:val="173"/>
        </w:trPr>
        <w:tc>
          <w:tcPr>
            <w:tcW w:w="55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3"/>
                <w:szCs w:val="13"/>
                <w:b w:val="1"/>
                <w:bCs w:val="1"/>
                <w:color w:val="auto"/>
              </w:rPr>
              <w:t>Art. 32  Principles of the Compensation of the Board of Directors</w:t>
            </w:r>
          </w:p>
        </w:tc>
        <w:tc>
          <w:tcPr>
            <w:tcW w:w="240" w:type="dxa"/>
            <w:vAlign w:val="bottom"/>
            <w:tcBorders>
              <w:right w:val="single" w:sz="8" w:color="auto"/>
            </w:tcBorders>
          </w:tcPr>
          <w:p>
            <w:pPr>
              <w:spacing w:after="0"/>
              <w:rPr>
                <w:sz w:val="15"/>
                <w:szCs w:val="15"/>
                <w:color w:val="auto"/>
              </w:rPr>
            </w:pPr>
          </w:p>
        </w:tc>
        <w:tc>
          <w:tcPr>
            <w:tcW w:w="5520" w:type="dxa"/>
            <w:vAlign w:val="bottom"/>
            <w:tcBorders>
              <w:right w:val="single" w:sz="8" w:color="auto"/>
            </w:tcBorders>
          </w:tcPr>
          <w:p>
            <w:pPr>
              <w:ind w:left="20"/>
              <w:spacing w:after="0"/>
              <w:rPr>
                <w:sz w:val="20"/>
                <w:szCs w:val="20"/>
                <w:color w:val="auto"/>
              </w:rPr>
            </w:pPr>
            <w:r>
              <w:rPr>
                <w:rFonts w:ascii="Arial" w:cs="Arial" w:eastAsia="Arial" w:hAnsi="Arial"/>
                <w:sz w:val="13"/>
                <w:szCs w:val="13"/>
                <w:b w:val="1"/>
                <w:bCs w:val="1"/>
                <w:color w:val="auto"/>
              </w:rPr>
              <w:t>Art. 32  Principes de rémunération du conseil d'administration</w:t>
            </w:r>
          </w:p>
        </w:tc>
      </w:tr>
      <w:tr>
        <w:trPr>
          <w:trHeight w:val="258"/>
        </w:trPr>
        <w:tc>
          <w:tcPr>
            <w:tcW w:w="55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3"/>
                <w:szCs w:val="13"/>
                <w:color w:val="auto"/>
              </w:rPr>
              <w:t>The compensation payable to the members of the Board of Directors comprises, subject to and</w:t>
            </w:r>
          </w:p>
        </w:tc>
        <w:tc>
          <w:tcPr>
            <w:tcW w:w="240" w:type="dxa"/>
            <w:vAlign w:val="bottom"/>
            <w:tcBorders>
              <w:right w:val="single" w:sz="8" w:color="auto"/>
            </w:tcBorders>
          </w:tcPr>
          <w:p>
            <w:pPr>
              <w:spacing w:after="0"/>
              <w:rPr>
                <w:sz w:val="22"/>
                <w:szCs w:val="22"/>
                <w:color w:val="auto"/>
              </w:rPr>
            </w:pPr>
          </w:p>
        </w:tc>
        <w:tc>
          <w:tcPr>
            <w:tcW w:w="5520" w:type="dxa"/>
            <w:vAlign w:val="bottom"/>
            <w:tcBorders>
              <w:right w:val="single" w:sz="8" w:color="auto"/>
            </w:tcBorders>
          </w:tcPr>
          <w:p>
            <w:pPr>
              <w:ind w:left="20"/>
              <w:spacing w:after="0"/>
              <w:rPr>
                <w:sz w:val="20"/>
                <w:szCs w:val="20"/>
                <w:color w:val="auto"/>
              </w:rPr>
            </w:pPr>
            <w:r>
              <w:rPr>
                <w:rFonts w:ascii="Arial" w:cs="Arial" w:eastAsia="Arial" w:hAnsi="Arial"/>
                <w:sz w:val="13"/>
                <w:szCs w:val="13"/>
                <w:color w:val="auto"/>
              </w:rPr>
              <w:t>La rémunération des membres du conseil d'administration comprend, sous réserve et dans les</w:t>
            </w:r>
          </w:p>
        </w:tc>
      </w:tr>
      <w:tr>
        <w:trPr>
          <w:trHeight w:val="145"/>
        </w:trPr>
        <w:tc>
          <w:tcPr>
            <w:tcW w:w="5540" w:type="dxa"/>
            <w:vAlign w:val="bottom"/>
            <w:tcBorders>
              <w:left w:val="single" w:sz="8" w:color="auto"/>
              <w:right w:val="single" w:sz="8" w:color="auto"/>
            </w:tcBorders>
          </w:tcPr>
          <w:p>
            <w:pPr>
              <w:ind w:left="40"/>
              <w:spacing w:after="0" w:line="145" w:lineRule="exact"/>
              <w:rPr>
                <w:sz w:val="20"/>
                <w:szCs w:val="20"/>
                <w:color w:val="auto"/>
              </w:rPr>
            </w:pPr>
            <w:r>
              <w:rPr>
                <w:rFonts w:ascii="Arial" w:cs="Arial" w:eastAsia="Arial" w:hAnsi="Arial"/>
                <w:sz w:val="13"/>
                <w:szCs w:val="13"/>
                <w:color w:val="auto"/>
              </w:rPr>
              <w:t>within the bounds of the approval by the General Meeting of the total compensation, the</w:t>
            </w:r>
          </w:p>
        </w:tc>
        <w:tc>
          <w:tcPr>
            <w:tcW w:w="240" w:type="dxa"/>
            <w:vAlign w:val="bottom"/>
            <w:tcBorders>
              <w:right w:val="single" w:sz="8" w:color="auto"/>
            </w:tcBorders>
          </w:tcPr>
          <w:p>
            <w:pPr>
              <w:spacing w:after="0"/>
              <w:rPr>
                <w:sz w:val="12"/>
                <w:szCs w:val="12"/>
                <w:color w:val="auto"/>
              </w:rPr>
            </w:pPr>
          </w:p>
        </w:tc>
        <w:tc>
          <w:tcPr>
            <w:tcW w:w="5520" w:type="dxa"/>
            <w:vAlign w:val="bottom"/>
            <w:tcBorders>
              <w:right w:val="single" w:sz="8" w:color="auto"/>
            </w:tcBorders>
          </w:tcPr>
          <w:p>
            <w:pPr>
              <w:ind w:left="20"/>
              <w:spacing w:after="0" w:line="145" w:lineRule="exact"/>
              <w:rPr>
                <w:sz w:val="20"/>
                <w:szCs w:val="20"/>
                <w:color w:val="auto"/>
              </w:rPr>
            </w:pPr>
            <w:r>
              <w:rPr>
                <w:rFonts w:ascii="Arial" w:cs="Arial" w:eastAsia="Arial" w:hAnsi="Arial"/>
                <w:sz w:val="13"/>
                <w:szCs w:val="13"/>
                <w:color w:val="auto"/>
              </w:rPr>
              <w:t>limites de l'approbation de la rémunération totale par l'assemblée générale, les éléments</w:t>
            </w:r>
          </w:p>
        </w:tc>
      </w:tr>
      <w:tr>
        <w:trPr>
          <w:trHeight w:val="168"/>
        </w:trPr>
        <w:tc>
          <w:tcPr>
            <w:tcW w:w="55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3"/>
                <w:szCs w:val="13"/>
                <w:color w:val="auto"/>
              </w:rPr>
              <w:t>following elements:</w:t>
            </w:r>
          </w:p>
        </w:tc>
        <w:tc>
          <w:tcPr>
            <w:tcW w:w="240" w:type="dxa"/>
            <w:vAlign w:val="bottom"/>
            <w:tcBorders>
              <w:right w:val="single" w:sz="8" w:color="auto"/>
            </w:tcBorders>
          </w:tcPr>
          <w:p>
            <w:pPr>
              <w:spacing w:after="0"/>
              <w:rPr>
                <w:sz w:val="14"/>
                <w:szCs w:val="14"/>
                <w:color w:val="auto"/>
              </w:rPr>
            </w:pPr>
          </w:p>
        </w:tc>
        <w:tc>
          <w:tcPr>
            <w:tcW w:w="5520" w:type="dxa"/>
            <w:vAlign w:val="bottom"/>
            <w:tcBorders>
              <w:right w:val="single" w:sz="8" w:color="auto"/>
            </w:tcBorders>
          </w:tcPr>
          <w:p>
            <w:pPr>
              <w:ind w:left="20"/>
              <w:spacing w:after="0"/>
              <w:rPr>
                <w:sz w:val="20"/>
                <w:szCs w:val="20"/>
                <w:color w:val="auto"/>
              </w:rPr>
            </w:pPr>
            <w:r>
              <w:rPr>
                <w:rFonts w:ascii="Arial" w:cs="Arial" w:eastAsia="Arial" w:hAnsi="Arial"/>
                <w:sz w:val="13"/>
                <w:szCs w:val="13"/>
                <w:color w:val="auto"/>
              </w:rPr>
              <w:t>suivants:</w:t>
            </w:r>
          </w:p>
        </w:tc>
      </w:tr>
      <w:tr>
        <w:trPr>
          <w:trHeight w:val="290"/>
        </w:trPr>
        <w:tc>
          <w:tcPr>
            <w:tcW w:w="55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3"/>
                <w:szCs w:val="13"/>
                <w:color w:val="auto"/>
              </w:rPr>
              <w:t>a)   a fixed basic remuneration;</w:t>
            </w:r>
          </w:p>
        </w:tc>
        <w:tc>
          <w:tcPr>
            <w:tcW w:w="240" w:type="dxa"/>
            <w:vAlign w:val="bottom"/>
            <w:tcBorders>
              <w:right w:val="single" w:sz="8" w:color="auto"/>
            </w:tcBorders>
          </w:tcPr>
          <w:p>
            <w:pPr>
              <w:spacing w:after="0"/>
              <w:rPr>
                <w:sz w:val="24"/>
                <w:szCs w:val="24"/>
                <w:color w:val="auto"/>
              </w:rPr>
            </w:pPr>
          </w:p>
        </w:tc>
        <w:tc>
          <w:tcPr>
            <w:tcW w:w="5520" w:type="dxa"/>
            <w:vAlign w:val="bottom"/>
            <w:tcBorders>
              <w:right w:val="single" w:sz="8" w:color="auto"/>
            </w:tcBorders>
          </w:tcPr>
          <w:p>
            <w:pPr>
              <w:ind w:left="20"/>
              <w:spacing w:after="0"/>
              <w:rPr>
                <w:sz w:val="20"/>
                <w:szCs w:val="20"/>
                <w:color w:val="auto"/>
              </w:rPr>
            </w:pPr>
            <w:r>
              <w:rPr>
                <w:rFonts w:ascii="Arial" w:cs="Arial" w:eastAsia="Arial" w:hAnsi="Arial"/>
                <w:sz w:val="13"/>
                <w:szCs w:val="13"/>
                <w:color w:val="auto"/>
              </w:rPr>
              <w:t>a)  une rémunération fixe de base;</w:t>
            </w:r>
          </w:p>
        </w:tc>
      </w:tr>
      <w:tr>
        <w:trPr>
          <w:trHeight w:val="290"/>
        </w:trPr>
        <w:tc>
          <w:tcPr>
            <w:tcW w:w="55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3"/>
                <w:szCs w:val="13"/>
                <w:color w:val="auto"/>
              </w:rPr>
              <w:t>b)   a fixed committee fee for work in a committee of the Board of Directors;</w:t>
            </w:r>
          </w:p>
        </w:tc>
        <w:tc>
          <w:tcPr>
            <w:tcW w:w="240" w:type="dxa"/>
            <w:vAlign w:val="bottom"/>
            <w:tcBorders>
              <w:right w:val="single" w:sz="8" w:color="auto"/>
            </w:tcBorders>
          </w:tcPr>
          <w:p>
            <w:pPr>
              <w:spacing w:after="0"/>
              <w:rPr>
                <w:sz w:val="24"/>
                <w:szCs w:val="24"/>
                <w:color w:val="auto"/>
              </w:rPr>
            </w:pPr>
          </w:p>
        </w:tc>
        <w:tc>
          <w:tcPr>
            <w:tcW w:w="5520" w:type="dxa"/>
            <w:vAlign w:val="bottom"/>
            <w:tcBorders>
              <w:right w:val="single" w:sz="8" w:color="auto"/>
            </w:tcBorders>
          </w:tcPr>
          <w:p>
            <w:pPr>
              <w:ind w:left="20"/>
              <w:spacing w:after="0"/>
              <w:rPr>
                <w:sz w:val="20"/>
                <w:szCs w:val="20"/>
                <w:color w:val="auto"/>
              </w:rPr>
            </w:pPr>
            <w:r>
              <w:rPr>
                <w:rFonts w:ascii="Arial" w:cs="Arial" w:eastAsia="Arial" w:hAnsi="Arial"/>
                <w:sz w:val="13"/>
                <w:szCs w:val="13"/>
                <w:color w:val="auto"/>
              </w:rPr>
              <w:t>b)  des frais de commission fixes pour le travail dans un comité du conseil d'administration;</w:t>
            </w:r>
          </w:p>
        </w:tc>
      </w:tr>
      <w:tr>
        <w:trPr>
          <w:trHeight w:val="290"/>
        </w:trPr>
        <w:tc>
          <w:tcPr>
            <w:tcW w:w="55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3"/>
                <w:szCs w:val="13"/>
                <w:color w:val="auto"/>
              </w:rPr>
              <w:t>c)   a lump sum compensation for expenses;</w:t>
            </w:r>
          </w:p>
        </w:tc>
        <w:tc>
          <w:tcPr>
            <w:tcW w:w="240" w:type="dxa"/>
            <w:vAlign w:val="bottom"/>
            <w:tcBorders>
              <w:right w:val="single" w:sz="8" w:color="auto"/>
            </w:tcBorders>
          </w:tcPr>
          <w:p>
            <w:pPr>
              <w:spacing w:after="0"/>
              <w:rPr>
                <w:sz w:val="24"/>
                <w:szCs w:val="24"/>
                <w:color w:val="auto"/>
              </w:rPr>
            </w:pPr>
          </w:p>
        </w:tc>
        <w:tc>
          <w:tcPr>
            <w:tcW w:w="5520" w:type="dxa"/>
            <w:vAlign w:val="bottom"/>
            <w:tcBorders>
              <w:right w:val="single" w:sz="8" w:color="auto"/>
            </w:tcBorders>
          </w:tcPr>
          <w:p>
            <w:pPr>
              <w:ind w:left="20"/>
              <w:spacing w:after="0"/>
              <w:rPr>
                <w:sz w:val="20"/>
                <w:szCs w:val="20"/>
                <w:color w:val="auto"/>
              </w:rPr>
            </w:pPr>
            <w:r>
              <w:rPr>
                <w:rFonts w:ascii="Arial" w:cs="Arial" w:eastAsia="Arial" w:hAnsi="Arial"/>
                <w:sz w:val="13"/>
                <w:szCs w:val="13"/>
                <w:color w:val="auto"/>
              </w:rPr>
              <w:t>c)  une compensation forfaitaire pour les dépenses;</w:t>
            </w:r>
          </w:p>
        </w:tc>
      </w:tr>
      <w:tr>
        <w:trPr>
          <w:trHeight w:val="290"/>
        </w:trPr>
        <w:tc>
          <w:tcPr>
            <w:tcW w:w="55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3"/>
                <w:szCs w:val="13"/>
                <w:color w:val="auto"/>
              </w:rPr>
              <w:t>d)   a number of options or shares in the Company, as further outlined in Art. 41.</w:t>
            </w:r>
          </w:p>
        </w:tc>
        <w:tc>
          <w:tcPr>
            <w:tcW w:w="240" w:type="dxa"/>
            <w:vAlign w:val="bottom"/>
            <w:tcBorders>
              <w:right w:val="single" w:sz="8" w:color="auto"/>
            </w:tcBorders>
          </w:tcPr>
          <w:p>
            <w:pPr>
              <w:spacing w:after="0"/>
              <w:rPr>
                <w:sz w:val="24"/>
                <w:szCs w:val="24"/>
                <w:color w:val="auto"/>
              </w:rPr>
            </w:pPr>
          </w:p>
        </w:tc>
        <w:tc>
          <w:tcPr>
            <w:tcW w:w="5520" w:type="dxa"/>
            <w:vAlign w:val="bottom"/>
            <w:tcBorders>
              <w:right w:val="single" w:sz="8" w:color="auto"/>
            </w:tcBorders>
          </w:tcPr>
          <w:p>
            <w:pPr>
              <w:ind w:left="20"/>
              <w:spacing w:after="0"/>
              <w:rPr>
                <w:sz w:val="20"/>
                <w:szCs w:val="20"/>
                <w:color w:val="auto"/>
              </w:rPr>
            </w:pPr>
            <w:r>
              <w:rPr>
                <w:rFonts w:ascii="Arial" w:cs="Arial" w:eastAsia="Arial" w:hAnsi="Arial"/>
                <w:sz w:val="13"/>
                <w:szCs w:val="13"/>
                <w:color w:val="auto"/>
              </w:rPr>
              <w:t>d)  un nombre d'actions ou d'options dans la société, comme détaillée à l'art. 41.</w:t>
            </w:r>
          </w:p>
        </w:tc>
      </w:tr>
      <w:tr>
        <w:trPr>
          <w:trHeight w:val="153"/>
        </w:trPr>
        <w:tc>
          <w:tcPr>
            <w:tcW w:w="5540" w:type="dxa"/>
            <w:vAlign w:val="bottom"/>
            <w:tcBorders>
              <w:left w:val="single" w:sz="8" w:color="auto"/>
              <w:bottom w:val="single" w:sz="8" w:color="auto"/>
              <w:right w:val="single" w:sz="8" w:color="auto"/>
            </w:tcBorders>
          </w:tcPr>
          <w:p>
            <w:pPr>
              <w:spacing w:after="0"/>
              <w:rPr>
                <w:sz w:val="13"/>
                <w:szCs w:val="13"/>
                <w:color w:val="auto"/>
              </w:rPr>
            </w:pPr>
          </w:p>
        </w:tc>
        <w:tc>
          <w:tcPr>
            <w:tcW w:w="240" w:type="dxa"/>
            <w:vAlign w:val="bottom"/>
            <w:tcBorders>
              <w:bottom w:val="single" w:sz="8" w:color="auto"/>
              <w:right w:val="single" w:sz="8" w:color="auto"/>
            </w:tcBorders>
          </w:tcPr>
          <w:p>
            <w:pPr>
              <w:spacing w:after="0"/>
              <w:rPr>
                <w:sz w:val="13"/>
                <w:szCs w:val="13"/>
                <w:color w:val="auto"/>
              </w:rPr>
            </w:pPr>
          </w:p>
        </w:tc>
        <w:tc>
          <w:tcPr>
            <w:tcW w:w="5520" w:type="dxa"/>
            <w:vAlign w:val="bottom"/>
            <w:tcBorders>
              <w:bottom w:val="single" w:sz="8" w:color="auto"/>
              <w:right w:val="single" w:sz="8" w:color="auto"/>
            </w:tcBorders>
          </w:tcPr>
          <w:p>
            <w:pPr>
              <w:spacing w:after="0"/>
              <w:rPr>
                <w:sz w:val="13"/>
                <w:szCs w:val="13"/>
                <w:color w:val="auto"/>
              </w:rPr>
            </w:pPr>
          </w:p>
        </w:tc>
      </w:tr>
      <w:tr>
        <w:trPr>
          <w:trHeight w:val="141"/>
        </w:trPr>
        <w:tc>
          <w:tcPr>
            <w:tcW w:w="5540" w:type="dxa"/>
            <w:vAlign w:val="bottom"/>
            <w:tcBorders>
              <w:left w:val="single" w:sz="8" w:color="auto"/>
              <w:right w:val="single" w:sz="8" w:color="auto"/>
            </w:tcBorders>
          </w:tcPr>
          <w:p>
            <w:pPr>
              <w:ind w:left="40"/>
              <w:spacing w:after="0" w:line="141" w:lineRule="exact"/>
              <w:rPr>
                <w:sz w:val="20"/>
                <w:szCs w:val="20"/>
                <w:color w:val="auto"/>
              </w:rPr>
            </w:pPr>
            <w:r>
              <w:rPr>
                <w:rFonts w:ascii="Arial" w:cs="Arial" w:eastAsia="Arial" w:hAnsi="Arial"/>
                <w:sz w:val="13"/>
                <w:szCs w:val="13"/>
                <w:color w:val="auto"/>
              </w:rPr>
              <w:t>The compensation is paid in cash and in form of options or shares in the Company. The board</w:t>
            </w:r>
          </w:p>
        </w:tc>
        <w:tc>
          <w:tcPr>
            <w:tcW w:w="240" w:type="dxa"/>
            <w:vAlign w:val="bottom"/>
            <w:tcBorders>
              <w:right w:val="single" w:sz="8" w:color="auto"/>
            </w:tcBorders>
          </w:tcPr>
          <w:p>
            <w:pPr>
              <w:spacing w:after="0"/>
              <w:rPr>
                <w:sz w:val="12"/>
                <w:szCs w:val="12"/>
                <w:color w:val="auto"/>
              </w:rPr>
            </w:pPr>
          </w:p>
        </w:tc>
        <w:tc>
          <w:tcPr>
            <w:tcW w:w="5520" w:type="dxa"/>
            <w:vAlign w:val="bottom"/>
            <w:tcBorders>
              <w:right w:val="single" w:sz="8" w:color="auto"/>
            </w:tcBorders>
          </w:tcPr>
          <w:p>
            <w:pPr>
              <w:ind w:left="20"/>
              <w:spacing w:after="0" w:line="141" w:lineRule="exact"/>
              <w:rPr>
                <w:sz w:val="20"/>
                <w:szCs w:val="20"/>
                <w:color w:val="auto"/>
              </w:rPr>
            </w:pPr>
            <w:r>
              <w:rPr>
                <w:rFonts w:ascii="Arial" w:cs="Arial" w:eastAsia="Arial" w:hAnsi="Arial"/>
                <w:sz w:val="13"/>
                <w:szCs w:val="13"/>
                <w:color w:val="auto"/>
              </w:rPr>
              <w:t>La rémunération est versée en espèces et sous forme d'options ou d'actions de la société. Le</w:t>
            </w:r>
          </w:p>
        </w:tc>
      </w:tr>
      <w:tr>
        <w:trPr>
          <w:trHeight w:val="145"/>
        </w:trPr>
        <w:tc>
          <w:tcPr>
            <w:tcW w:w="5540" w:type="dxa"/>
            <w:vAlign w:val="bottom"/>
            <w:tcBorders>
              <w:left w:val="single" w:sz="8" w:color="auto"/>
              <w:right w:val="single" w:sz="8" w:color="auto"/>
            </w:tcBorders>
          </w:tcPr>
          <w:p>
            <w:pPr>
              <w:ind w:left="40"/>
              <w:spacing w:after="0" w:line="145" w:lineRule="exact"/>
              <w:rPr>
                <w:sz w:val="20"/>
                <w:szCs w:val="20"/>
                <w:color w:val="auto"/>
              </w:rPr>
            </w:pPr>
            <w:r>
              <w:rPr>
                <w:rFonts w:ascii="Arial" w:cs="Arial" w:eastAsia="Arial" w:hAnsi="Arial"/>
                <w:sz w:val="13"/>
                <w:szCs w:val="13"/>
                <w:color w:val="auto"/>
              </w:rPr>
              <w:t>of directors or, to the extent delegated to it, the compensation committee shall determine grant,</w:t>
            </w:r>
          </w:p>
        </w:tc>
        <w:tc>
          <w:tcPr>
            <w:tcW w:w="240" w:type="dxa"/>
            <w:vAlign w:val="bottom"/>
            <w:tcBorders>
              <w:right w:val="single" w:sz="8" w:color="auto"/>
            </w:tcBorders>
          </w:tcPr>
          <w:p>
            <w:pPr>
              <w:spacing w:after="0"/>
              <w:rPr>
                <w:sz w:val="12"/>
                <w:szCs w:val="12"/>
                <w:color w:val="auto"/>
              </w:rPr>
            </w:pPr>
          </w:p>
        </w:tc>
        <w:tc>
          <w:tcPr>
            <w:tcW w:w="5520" w:type="dxa"/>
            <w:vAlign w:val="bottom"/>
            <w:tcBorders>
              <w:right w:val="single" w:sz="8" w:color="auto"/>
            </w:tcBorders>
          </w:tcPr>
          <w:p>
            <w:pPr>
              <w:ind w:left="20"/>
              <w:spacing w:after="0" w:line="145" w:lineRule="exact"/>
              <w:rPr>
                <w:sz w:val="20"/>
                <w:szCs w:val="20"/>
                <w:color w:val="auto"/>
              </w:rPr>
            </w:pPr>
            <w:r>
              <w:rPr>
                <w:rFonts w:ascii="Arial" w:cs="Arial" w:eastAsia="Arial" w:hAnsi="Arial"/>
                <w:sz w:val="13"/>
                <w:szCs w:val="13"/>
                <w:color w:val="auto"/>
              </w:rPr>
              <w:t>conseil d'administration ou, en cas de délégation des fonctions, le comité de rémunération doit</w:t>
            </w:r>
          </w:p>
        </w:tc>
      </w:tr>
      <w:tr>
        <w:trPr>
          <w:trHeight w:val="145"/>
        </w:trPr>
        <w:tc>
          <w:tcPr>
            <w:tcW w:w="5540" w:type="dxa"/>
            <w:vAlign w:val="bottom"/>
            <w:tcBorders>
              <w:left w:val="single" w:sz="8" w:color="auto"/>
              <w:right w:val="single" w:sz="8" w:color="auto"/>
            </w:tcBorders>
          </w:tcPr>
          <w:p>
            <w:pPr>
              <w:ind w:left="40"/>
              <w:spacing w:after="0" w:line="145" w:lineRule="exact"/>
              <w:rPr>
                <w:sz w:val="20"/>
                <w:szCs w:val="20"/>
                <w:color w:val="auto"/>
              </w:rPr>
            </w:pPr>
            <w:r>
              <w:rPr>
                <w:rFonts w:ascii="Arial" w:cs="Arial" w:eastAsia="Arial" w:hAnsi="Arial"/>
                <w:sz w:val="13"/>
                <w:szCs w:val="13"/>
                <w:color w:val="auto"/>
              </w:rPr>
              <w:t>exercise and forfeiture conditions. In particular, they may provide for continuation, acceleration</w:t>
            </w:r>
          </w:p>
        </w:tc>
        <w:tc>
          <w:tcPr>
            <w:tcW w:w="240" w:type="dxa"/>
            <w:vAlign w:val="bottom"/>
            <w:tcBorders>
              <w:right w:val="single" w:sz="8" w:color="auto"/>
            </w:tcBorders>
          </w:tcPr>
          <w:p>
            <w:pPr>
              <w:spacing w:after="0"/>
              <w:rPr>
                <w:sz w:val="12"/>
                <w:szCs w:val="12"/>
                <w:color w:val="auto"/>
              </w:rPr>
            </w:pPr>
          </w:p>
        </w:tc>
        <w:tc>
          <w:tcPr>
            <w:tcW w:w="5520" w:type="dxa"/>
            <w:vAlign w:val="bottom"/>
            <w:tcBorders>
              <w:right w:val="single" w:sz="8" w:color="auto"/>
            </w:tcBorders>
          </w:tcPr>
          <w:p>
            <w:pPr>
              <w:ind w:left="20"/>
              <w:spacing w:after="0" w:line="145" w:lineRule="exact"/>
              <w:rPr>
                <w:sz w:val="20"/>
                <w:szCs w:val="20"/>
                <w:color w:val="auto"/>
              </w:rPr>
            </w:pPr>
            <w:r>
              <w:rPr>
                <w:rFonts w:ascii="Arial" w:cs="Arial" w:eastAsia="Arial" w:hAnsi="Arial"/>
                <w:sz w:val="13"/>
                <w:szCs w:val="13"/>
                <w:color w:val="auto"/>
              </w:rPr>
              <w:t>fixer les conditions de l'octroi, de l'exercice et de la péremption. En particulier, il peut prévoir la</w:t>
            </w:r>
          </w:p>
        </w:tc>
      </w:tr>
      <w:tr>
        <w:trPr>
          <w:trHeight w:val="145"/>
        </w:trPr>
        <w:tc>
          <w:tcPr>
            <w:tcW w:w="5540" w:type="dxa"/>
            <w:vAlign w:val="bottom"/>
            <w:tcBorders>
              <w:left w:val="single" w:sz="8" w:color="auto"/>
              <w:right w:val="single" w:sz="8" w:color="auto"/>
            </w:tcBorders>
          </w:tcPr>
          <w:p>
            <w:pPr>
              <w:ind w:left="40"/>
              <w:spacing w:after="0" w:line="145" w:lineRule="exact"/>
              <w:rPr>
                <w:sz w:val="20"/>
                <w:szCs w:val="20"/>
                <w:color w:val="auto"/>
              </w:rPr>
            </w:pPr>
            <w:r>
              <w:rPr>
                <w:rFonts w:ascii="Arial" w:cs="Arial" w:eastAsia="Arial" w:hAnsi="Arial"/>
                <w:sz w:val="13"/>
                <w:szCs w:val="13"/>
                <w:color w:val="auto"/>
              </w:rPr>
              <w:t>or removal of vesting, exercise and forfeiture conditions, for payment or grant of compensation</w:t>
            </w:r>
          </w:p>
        </w:tc>
        <w:tc>
          <w:tcPr>
            <w:tcW w:w="240" w:type="dxa"/>
            <w:vAlign w:val="bottom"/>
            <w:tcBorders>
              <w:right w:val="single" w:sz="8" w:color="auto"/>
            </w:tcBorders>
          </w:tcPr>
          <w:p>
            <w:pPr>
              <w:spacing w:after="0"/>
              <w:rPr>
                <w:sz w:val="12"/>
                <w:szCs w:val="12"/>
                <w:color w:val="auto"/>
              </w:rPr>
            </w:pPr>
          </w:p>
        </w:tc>
        <w:tc>
          <w:tcPr>
            <w:tcW w:w="5520" w:type="dxa"/>
            <w:vAlign w:val="bottom"/>
            <w:tcBorders>
              <w:right w:val="single" w:sz="8" w:color="auto"/>
            </w:tcBorders>
          </w:tcPr>
          <w:p>
            <w:pPr>
              <w:ind w:left="20"/>
              <w:spacing w:after="0" w:line="145" w:lineRule="exact"/>
              <w:rPr>
                <w:sz w:val="20"/>
                <w:szCs w:val="20"/>
                <w:color w:val="auto"/>
              </w:rPr>
            </w:pPr>
            <w:r>
              <w:rPr>
                <w:rFonts w:ascii="Arial" w:cs="Arial" w:eastAsia="Arial" w:hAnsi="Arial"/>
                <w:sz w:val="13"/>
                <w:szCs w:val="13"/>
                <w:color w:val="auto"/>
              </w:rPr>
              <w:t>poursuite, l'accélération ou la suppression des conditions d'acquisition, d'exercice et de</w:t>
            </w:r>
          </w:p>
        </w:tc>
      </w:tr>
      <w:tr>
        <w:trPr>
          <w:trHeight w:val="145"/>
        </w:trPr>
        <w:tc>
          <w:tcPr>
            <w:tcW w:w="5540" w:type="dxa"/>
            <w:vAlign w:val="bottom"/>
            <w:tcBorders>
              <w:left w:val="single" w:sz="8" w:color="auto"/>
              <w:right w:val="single" w:sz="8" w:color="auto"/>
            </w:tcBorders>
          </w:tcPr>
          <w:p>
            <w:pPr>
              <w:ind w:left="40"/>
              <w:spacing w:after="0" w:line="145" w:lineRule="exact"/>
              <w:rPr>
                <w:sz w:val="20"/>
                <w:szCs w:val="20"/>
                <w:color w:val="auto"/>
              </w:rPr>
            </w:pPr>
            <w:r>
              <w:rPr>
                <w:rFonts w:ascii="Arial" w:cs="Arial" w:eastAsia="Arial" w:hAnsi="Arial"/>
                <w:sz w:val="13"/>
                <w:szCs w:val="13"/>
                <w:color w:val="auto"/>
              </w:rPr>
              <w:t>based upon assumed target achievement, or for forfeiture, in each case in the event of pre-</w:t>
            </w:r>
          </w:p>
        </w:tc>
        <w:tc>
          <w:tcPr>
            <w:tcW w:w="240" w:type="dxa"/>
            <w:vAlign w:val="bottom"/>
            <w:tcBorders>
              <w:right w:val="single" w:sz="8" w:color="auto"/>
            </w:tcBorders>
          </w:tcPr>
          <w:p>
            <w:pPr>
              <w:spacing w:after="0"/>
              <w:rPr>
                <w:sz w:val="12"/>
                <w:szCs w:val="12"/>
                <w:color w:val="auto"/>
              </w:rPr>
            </w:pPr>
          </w:p>
        </w:tc>
        <w:tc>
          <w:tcPr>
            <w:tcW w:w="5520" w:type="dxa"/>
            <w:vAlign w:val="bottom"/>
            <w:tcBorders>
              <w:right w:val="single" w:sz="8" w:color="auto"/>
            </w:tcBorders>
          </w:tcPr>
          <w:p>
            <w:pPr>
              <w:ind w:left="20"/>
              <w:spacing w:after="0" w:line="145" w:lineRule="exact"/>
              <w:rPr>
                <w:sz w:val="20"/>
                <w:szCs w:val="20"/>
                <w:color w:val="auto"/>
              </w:rPr>
            </w:pPr>
            <w:r>
              <w:rPr>
                <w:rFonts w:ascii="Arial" w:cs="Arial" w:eastAsia="Arial" w:hAnsi="Arial"/>
                <w:sz w:val="13"/>
                <w:szCs w:val="13"/>
                <w:color w:val="auto"/>
              </w:rPr>
              <w:t>péremption, pour le paiement ou l'octroi d'une rémunération basée sur la réalisation des</w:t>
            </w:r>
          </w:p>
        </w:tc>
      </w:tr>
      <w:tr>
        <w:trPr>
          <w:trHeight w:val="145"/>
        </w:trPr>
        <w:tc>
          <w:tcPr>
            <w:tcW w:w="5540" w:type="dxa"/>
            <w:vAlign w:val="bottom"/>
            <w:tcBorders>
              <w:left w:val="single" w:sz="8" w:color="auto"/>
              <w:right w:val="single" w:sz="8" w:color="auto"/>
            </w:tcBorders>
          </w:tcPr>
          <w:p>
            <w:pPr>
              <w:ind w:left="40"/>
              <w:spacing w:after="0" w:line="145" w:lineRule="exact"/>
              <w:rPr>
                <w:sz w:val="20"/>
                <w:szCs w:val="20"/>
                <w:color w:val="auto"/>
              </w:rPr>
            </w:pPr>
            <w:r>
              <w:rPr>
                <w:rFonts w:ascii="Arial" w:cs="Arial" w:eastAsia="Arial" w:hAnsi="Arial"/>
                <w:sz w:val="13"/>
                <w:szCs w:val="13"/>
                <w:color w:val="auto"/>
              </w:rPr>
              <w:t>determined events such as a change-of-control or termination of an employment or mandate</w:t>
            </w:r>
          </w:p>
        </w:tc>
        <w:tc>
          <w:tcPr>
            <w:tcW w:w="240" w:type="dxa"/>
            <w:vAlign w:val="bottom"/>
            <w:tcBorders>
              <w:right w:val="single" w:sz="8" w:color="auto"/>
            </w:tcBorders>
          </w:tcPr>
          <w:p>
            <w:pPr>
              <w:spacing w:after="0"/>
              <w:rPr>
                <w:sz w:val="12"/>
                <w:szCs w:val="12"/>
                <w:color w:val="auto"/>
              </w:rPr>
            </w:pPr>
          </w:p>
        </w:tc>
        <w:tc>
          <w:tcPr>
            <w:tcW w:w="5520" w:type="dxa"/>
            <w:vAlign w:val="bottom"/>
            <w:tcBorders>
              <w:right w:val="single" w:sz="8" w:color="auto"/>
            </w:tcBorders>
          </w:tcPr>
          <w:p>
            <w:pPr>
              <w:ind w:left="20"/>
              <w:spacing w:after="0" w:line="145" w:lineRule="exact"/>
              <w:rPr>
                <w:sz w:val="20"/>
                <w:szCs w:val="20"/>
                <w:color w:val="auto"/>
              </w:rPr>
            </w:pPr>
            <w:r>
              <w:rPr>
                <w:rFonts w:ascii="Arial" w:cs="Arial" w:eastAsia="Arial" w:hAnsi="Arial"/>
                <w:sz w:val="13"/>
                <w:szCs w:val="13"/>
                <w:color w:val="auto"/>
              </w:rPr>
              <w:t>objectifs supposés, ou pour la péremption, dans chaque cas, dans le cas d'événements</w:t>
            </w:r>
          </w:p>
        </w:tc>
      </w:tr>
      <w:tr>
        <w:trPr>
          <w:trHeight w:val="145"/>
        </w:trPr>
        <w:tc>
          <w:tcPr>
            <w:tcW w:w="5540" w:type="dxa"/>
            <w:vAlign w:val="bottom"/>
            <w:tcBorders>
              <w:left w:val="single" w:sz="8" w:color="auto"/>
              <w:right w:val="single" w:sz="8" w:color="auto"/>
            </w:tcBorders>
          </w:tcPr>
          <w:p>
            <w:pPr>
              <w:ind w:left="40"/>
              <w:spacing w:after="0" w:line="145" w:lineRule="exact"/>
              <w:rPr>
                <w:sz w:val="20"/>
                <w:szCs w:val="20"/>
                <w:color w:val="auto"/>
              </w:rPr>
            </w:pPr>
            <w:r>
              <w:rPr>
                <w:rFonts w:ascii="Arial" w:cs="Arial" w:eastAsia="Arial" w:hAnsi="Arial"/>
                <w:sz w:val="13"/>
                <w:szCs w:val="13"/>
                <w:color w:val="auto"/>
              </w:rPr>
              <w:t>agreement. The Company may procure the required shares through purchases in the market,</w:t>
            </w:r>
          </w:p>
        </w:tc>
        <w:tc>
          <w:tcPr>
            <w:tcW w:w="240" w:type="dxa"/>
            <w:vAlign w:val="bottom"/>
            <w:tcBorders>
              <w:right w:val="single" w:sz="8" w:color="auto"/>
            </w:tcBorders>
          </w:tcPr>
          <w:p>
            <w:pPr>
              <w:spacing w:after="0"/>
              <w:rPr>
                <w:sz w:val="12"/>
                <w:szCs w:val="12"/>
                <w:color w:val="auto"/>
              </w:rPr>
            </w:pPr>
          </w:p>
        </w:tc>
        <w:tc>
          <w:tcPr>
            <w:tcW w:w="5520" w:type="dxa"/>
            <w:vAlign w:val="bottom"/>
            <w:tcBorders>
              <w:right w:val="single" w:sz="8" w:color="auto"/>
            </w:tcBorders>
          </w:tcPr>
          <w:p>
            <w:pPr>
              <w:ind w:left="20"/>
              <w:spacing w:after="0" w:line="145" w:lineRule="exact"/>
              <w:rPr>
                <w:sz w:val="20"/>
                <w:szCs w:val="20"/>
                <w:color w:val="auto"/>
              </w:rPr>
            </w:pPr>
            <w:r>
              <w:rPr>
                <w:rFonts w:ascii="Arial" w:cs="Arial" w:eastAsia="Arial" w:hAnsi="Arial"/>
                <w:sz w:val="13"/>
                <w:szCs w:val="13"/>
                <w:color w:val="auto"/>
                <w:w w:val="99"/>
              </w:rPr>
              <w:t>prédéterminés tels qu'un changement de contrôle ou la résiliation d'un contrat de travail ou d'un</w:t>
            </w:r>
          </w:p>
        </w:tc>
      </w:tr>
      <w:tr>
        <w:trPr>
          <w:trHeight w:val="145"/>
        </w:trPr>
        <w:tc>
          <w:tcPr>
            <w:tcW w:w="5540" w:type="dxa"/>
            <w:vAlign w:val="bottom"/>
            <w:tcBorders>
              <w:left w:val="single" w:sz="8" w:color="auto"/>
              <w:right w:val="single" w:sz="8" w:color="auto"/>
            </w:tcBorders>
          </w:tcPr>
          <w:p>
            <w:pPr>
              <w:ind w:left="40"/>
              <w:spacing w:after="0" w:line="145" w:lineRule="exact"/>
              <w:rPr>
                <w:sz w:val="20"/>
                <w:szCs w:val="20"/>
                <w:color w:val="auto"/>
              </w:rPr>
            </w:pPr>
            <w:r>
              <w:rPr>
                <w:rFonts w:ascii="Arial" w:cs="Arial" w:eastAsia="Arial" w:hAnsi="Arial"/>
                <w:sz w:val="13"/>
                <w:szCs w:val="13"/>
                <w:color w:val="auto"/>
              </w:rPr>
              <w:t>from treasury shares or by using contingent or authorized share capital.</w:t>
            </w:r>
          </w:p>
        </w:tc>
        <w:tc>
          <w:tcPr>
            <w:tcW w:w="240" w:type="dxa"/>
            <w:vAlign w:val="bottom"/>
            <w:tcBorders>
              <w:right w:val="single" w:sz="8" w:color="auto"/>
            </w:tcBorders>
          </w:tcPr>
          <w:p>
            <w:pPr>
              <w:spacing w:after="0"/>
              <w:rPr>
                <w:sz w:val="12"/>
                <w:szCs w:val="12"/>
                <w:color w:val="auto"/>
              </w:rPr>
            </w:pPr>
          </w:p>
        </w:tc>
        <w:tc>
          <w:tcPr>
            <w:tcW w:w="5520" w:type="dxa"/>
            <w:vAlign w:val="bottom"/>
            <w:tcBorders>
              <w:right w:val="single" w:sz="8" w:color="auto"/>
            </w:tcBorders>
          </w:tcPr>
          <w:p>
            <w:pPr>
              <w:ind w:left="20"/>
              <w:spacing w:after="0" w:line="145" w:lineRule="exact"/>
              <w:rPr>
                <w:sz w:val="20"/>
                <w:szCs w:val="20"/>
                <w:color w:val="auto"/>
              </w:rPr>
            </w:pPr>
            <w:r>
              <w:rPr>
                <w:rFonts w:ascii="Arial" w:cs="Arial" w:eastAsia="Arial" w:hAnsi="Arial"/>
                <w:sz w:val="13"/>
                <w:szCs w:val="13"/>
                <w:color w:val="auto"/>
              </w:rPr>
              <w:t>mandat. La société peut fournir les actions nécessaires par des achats sur le marché, par ses</w:t>
            </w:r>
          </w:p>
        </w:tc>
      </w:tr>
      <w:tr>
        <w:trPr>
          <w:trHeight w:val="173"/>
        </w:trPr>
        <w:tc>
          <w:tcPr>
            <w:tcW w:w="5540" w:type="dxa"/>
            <w:vAlign w:val="bottom"/>
            <w:tcBorders>
              <w:left w:val="single" w:sz="8" w:color="auto"/>
              <w:bottom w:val="single" w:sz="8" w:color="auto"/>
              <w:right w:val="single" w:sz="8" w:color="auto"/>
            </w:tcBorders>
          </w:tcPr>
          <w:p>
            <w:pPr>
              <w:spacing w:after="0"/>
              <w:rPr>
                <w:sz w:val="15"/>
                <w:szCs w:val="15"/>
                <w:color w:val="auto"/>
              </w:rPr>
            </w:pPr>
          </w:p>
        </w:tc>
        <w:tc>
          <w:tcPr>
            <w:tcW w:w="240" w:type="dxa"/>
            <w:vAlign w:val="bottom"/>
            <w:tcBorders>
              <w:bottom w:val="single" w:sz="8" w:color="auto"/>
              <w:right w:val="single" w:sz="8" w:color="auto"/>
            </w:tcBorders>
          </w:tcPr>
          <w:p>
            <w:pPr>
              <w:spacing w:after="0"/>
              <w:rPr>
                <w:sz w:val="15"/>
                <w:szCs w:val="15"/>
                <w:color w:val="auto"/>
              </w:rPr>
            </w:pPr>
          </w:p>
        </w:tc>
        <w:tc>
          <w:tcPr>
            <w:tcW w:w="55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3"/>
                <w:szCs w:val="13"/>
                <w:color w:val="auto"/>
              </w:rPr>
              <w:t>actions propres ou en utilisant du capital conditionnel ou autorisé.</w:t>
            </w:r>
          </w:p>
        </w:tc>
      </w:tr>
      <w:tr>
        <w:trPr>
          <w:trHeight w:val="145"/>
        </w:trPr>
        <w:tc>
          <w:tcPr>
            <w:tcW w:w="5540" w:type="dxa"/>
            <w:vAlign w:val="bottom"/>
            <w:tcBorders>
              <w:left w:val="single" w:sz="8" w:color="auto"/>
              <w:right w:val="single" w:sz="8" w:color="auto"/>
            </w:tcBorders>
          </w:tcPr>
          <w:p>
            <w:pPr>
              <w:ind w:left="40"/>
              <w:spacing w:after="0" w:line="146" w:lineRule="exact"/>
              <w:rPr>
                <w:sz w:val="20"/>
                <w:szCs w:val="20"/>
                <w:color w:val="auto"/>
              </w:rPr>
            </w:pPr>
            <w:r>
              <w:rPr>
                <w:rFonts w:ascii="Arial" w:cs="Arial" w:eastAsia="Arial" w:hAnsi="Arial"/>
                <w:sz w:val="13"/>
                <w:szCs w:val="13"/>
                <w:color w:val="auto"/>
              </w:rPr>
              <w:t>Subject to the approval by the General Meeting, the members of the Board of Directors may</w:t>
            </w:r>
          </w:p>
        </w:tc>
        <w:tc>
          <w:tcPr>
            <w:tcW w:w="240" w:type="dxa"/>
            <w:vAlign w:val="bottom"/>
            <w:tcBorders>
              <w:right w:val="single" w:sz="8" w:color="auto"/>
            </w:tcBorders>
          </w:tcPr>
          <w:p>
            <w:pPr>
              <w:spacing w:after="0"/>
              <w:rPr>
                <w:sz w:val="12"/>
                <w:szCs w:val="12"/>
                <w:color w:val="auto"/>
              </w:rPr>
            </w:pPr>
          </w:p>
        </w:tc>
        <w:tc>
          <w:tcPr>
            <w:tcW w:w="5520" w:type="dxa"/>
            <w:vAlign w:val="bottom"/>
            <w:tcBorders>
              <w:right w:val="single" w:sz="8" w:color="auto"/>
            </w:tcBorders>
          </w:tcPr>
          <w:p>
            <w:pPr>
              <w:ind w:left="20"/>
              <w:spacing w:after="0" w:line="146" w:lineRule="exact"/>
              <w:rPr>
                <w:sz w:val="20"/>
                <w:szCs w:val="20"/>
                <w:color w:val="auto"/>
              </w:rPr>
            </w:pPr>
            <w:r>
              <w:rPr>
                <w:rFonts w:ascii="Arial" w:cs="Arial" w:eastAsia="Arial" w:hAnsi="Arial"/>
                <w:sz w:val="13"/>
                <w:szCs w:val="13"/>
                <w:color w:val="auto"/>
              </w:rPr>
              <w:t>Sous  réserve  de  l'approbation  par  l'assemblée  générale,  les  membres  du  conseil</w:t>
            </w:r>
          </w:p>
        </w:tc>
      </w:tr>
      <w:tr>
        <w:trPr>
          <w:trHeight w:val="145"/>
        </w:trPr>
        <w:tc>
          <w:tcPr>
            <w:tcW w:w="5540" w:type="dxa"/>
            <w:vAlign w:val="bottom"/>
            <w:tcBorders>
              <w:left w:val="single" w:sz="8" w:color="auto"/>
              <w:right w:val="single" w:sz="8" w:color="auto"/>
            </w:tcBorders>
          </w:tcPr>
          <w:p>
            <w:pPr>
              <w:ind w:left="40"/>
              <w:spacing w:after="0" w:line="145" w:lineRule="exact"/>
              <w:rPr>
                <w:sz w:val="20"/>
                <w:szCs w:val="20"/>
                <w:color w:val="auto"/>
              </w:rPr>
            </w:pPr>
            <w:r>
              <w:rPr>
                <w:rFonts w:ascii="Arial" w:cs="Arial" w:eastAsia="Arial" w:hAnsi="Arial"/>
                <w:sz w:val="13"/>
                <w:szCs w:val="13"/>
                <w:color w:val="auto"/>
              </w:rPr>
              <w:t>receive remuneration in cash at customary conditions for advisory services rendered outside</w:t>
            </w:r>
          </w:p>
        </w:tc>
        <w:tc>
          <w:tcPr>
            <w:tcW w:w="240" w:type="dxa"/>
            <w:vAlign w:val="bottom"/>
            <w:tcBorders>
              <w:right w:val="single" w:sz="8" w:color="auto"/>
            </w:tcBorders>
          </w:tcPr>
          <w:p>
            <w:pPr>
              <w:spacing w:after="0"/>
              <w:rPr>
                <w:sz w:val="12"/>
                <w:szCs w:val="12"/>
                <w:color w:val="auto"/>
              </w:rPr>
            </w:pPr>
          </w:p>
        </w:tc>
        <w:tc>
          <w:tcPr>
            <w:tcW w:w="5520" w:type="dxa"/>
            <w:vAlign w:val="bottom"/>
            <w:tcBorders>
              <w:right w:val="single" w:sz="8" w:color="auto"/>
            </w:tcBorders>
          </w:tcPr>
          <w:p>
            <w:pPr>
              <w:ind w:left="20"/>
              <w:spacing w:after="0" w:line="145" w:lineRule="exact"/>
              <w:rPr>
                <w:sz w:val="20"/>
                <w:szCs w:val="20"/>
                <w:color w:val="auto"/>
              </w:rPr>
            </w:pPr>
            <w:r>
              <w:rPr>
                <w:rFonts w:ascii="Arial" w:cs="Arial" w:eastAsia="Arial" w:hAnsi="Arial"/>
                <w:sz w:val="13"/>
                <w:szCs w:val="13"/>
                <w:color w:val="auto"/>
              </w:rPr>
              <w:t>d'administration peuvent recevoir une rémunération en espèces dans les conditions habituelles</w:t>
            </w:r>
          </w:p>
        </w:tc>
      </w:tr>
      <w:tr>
        <w:trPr>
          <w:trHeight w:val="145"/>
        </w:trPr>
        <w:tc>
          <w:tcPr>
            <w:tcW w:w="5540" w:type="dxa"/>
            <w:vAlign w:val="bottom"/>
            <w:tcBorders>
              <w:left w:val="single" w:sz="8" w:color="auto"/>
              <w:right w:val="single" w:sz="8" w:color="auto"/>
            </w:tcBorders>
          </w:tcPr>
          <w:p>
            <w:pPr>
              <w:ind w:left="40"/>
              <w:spacing w:after="0" w:line="145" w:lineRule="exact"/>
              <w:rPr>
                <w:sz w:val="20"/>
                <w:szCs w:val="20"/>
                <w:color w:val="auto"/>
              </w:rPr>
            </w:pPr>
            <w:r>
              <w:rPr>
                <w:rFonts w:ascii="Arial" w:cs="Arial" w:eastAsia="Arial" w:hAnsi="Arial"/>
                <w:sz w:val="13"/>
                <w:szCs w:val="13"/>
                <w:color w:val="auto"/>
              </w:rPr>
              <w:t>their capacity as Board member for the benefit of the Company or companies under its control.</w:t>
            </w:r>
          </w:p>
        </w:tc>
        <w:tc>
          <w:tcPr>
            <w:tcW w:w="240" w:type="dxa"/>
            <w:vAlign w:val="bottom"/>
            <w:tcBorders>
              <w:right w:val="single" w:sz="8" w:color="auto"/>
            </w:tcBorders>
          </w:tcPr>
          <w:p>
            <w:pPr>
              <w:spacing w:after="0"/>
              <w:rPr>
                <w:sz w:val="12"/>
                <w:szCs w:val="12"/>
                <w:color w:val="auto"/>
              </w:rPr>
            </w:pPr>
          </w:p>
        </w:tc>
        <w:tc>
          <w:tcPr>
            <w:tcW w:w="5520" w:type="dxa"/>
            <w:vAlign w:val="bottom"/>
            <w:tcBorders>
              <w:right w:val="single" w:sz="8" w:color="auto"/>
            </w:tcBorders>
          </w:tcPr>
          <w:p>
            <w:pPr>
              <w:ind w:left="20"/>
              <w:spacing w:after="0" w:line="145" w:lineRule="exact"/>
              <w:rPr>
                <w:sz w:val="20"/>
                <w:szCs w:val="20"/>
                <w:color w:val="auto"/>
              </w:rPr>
            </w:pPr>
            <w:r>
              <w:rPr>
                <w:rFonts w:ascii="Arial" w:cs="Arial" w:eastAsia="Arial" w:hAnsi="Arial"/>
                <w:sz w:val="13"/>
                <w:szCs w:val="13"/>
                <w:color w:val="auto"/>
              </w:rPr>
              <w:t>pour des services consultatifs rendus en-dehors de leur qualité de membre du conseil pour le</w:t>
            </w:r>
          </w:p>
        </w:tc>
      </w:tr>
      <w:tr>
        <w:trPr>
          <w:trHeight w:val="145"/>
        </w:trPr>
        <w:tc>
          <w:tcPr>
            <w:tcW w:w="5540" w:type="dxa"/>
            <w:vAlign w:val="bottom"/>
            <w:tcBorders>
              <w:left w:val="single" w:sz="8" w:color="auto"/>
              <w:right w:val="single" w:sz="8" w:color="auto"/>
            </w:tcBorders>
          </w:tcPr>
          <w:p>
            <w:pPr>
              <w:ind w:left="40"/>
              <w:spacing w:after="0" w:line="145" w:lineRule="exact"/>
              <w:rPr>
                <w:sz w:val="20"/>
                <w:szCs w:val="20"/>
                <w:color w:val="auto"/>
              </w:rPr>
            </w:pPr>
            <w:r>
              <w:rPr>
                <w:rFonts w:ascii="Arial" w:cs="Arial" w:eastAsia="Arial" w:hAnsi="Arial"/>
                <w:sz w:val="13"/>
                <w:szCs w:val="13"/>
                <w:color w:val="auto"/>
              </w:rPr>
              <w:t>The General Meeting may approve an additional bonus for the members of the Board of</w:t>
            </w:r>
          </w:p>
        </w:tc>
        <w:tc>
          <w:tcPr>
            <w:tcW w:w="240" w:type="dxa"/>
            <w:vAlign w:val="bottom"/>
            <w:tcBorders>
              <w:right w:val="single" w:sz="8" w:color="auto"/>
            </w:tcBorders>
          </w:tcPr>
          <w:p>
            <w:pPr>
              <w:spacing w:after="0"/>
              <w:rPr>
                <w:sz w:val="12"/>
                <w:szCs w:val="12"/>
                <w:color w:val="auto"/>
              </w:rPr>
            </w:pPr>
          </w:p>
        </w:tc>
        <w:tc>
          <w:tcPr>
            <w:tcW w:w="5520" w:type="dxa"/>
            <w:vAlign w:val="bottom"/>
            <w:tcBorders>
              <w:right w:val="single" w:sz="8" w:color="auto"/>
            </w:tcBorders>
          </w:tcPr>
          <w:p>
            <w:pPr>
              <w:ind w:left="20"/>
              <w:spacing w:after="0" w:line="145" w:lineRule="exact"/>
              <w:rPr>
                <w:sz w:val="20"/>
                <w:szCs w:val="20"/>
                <w:color w:val="auto"/>
              </w:rPr>
            </w:pPr>
            <w:r>
              <w:rPr>
                <w:rFonts w:ascii="Arial" w:cs="Arial" w:eastAsia="Arial" w:hAnsi="Arial"/>
                <w:sz w:val="13"/>
                <w:szCs w:val="13"/>
                <w:color w:val="auto"/>
                <w:w w:val="99"/>
              </w:rPr>
              <w:t>bénéfice de la société ou des sociétés sous son contrôle. L'assemblée générale peut approuver</w:t>
            </w:r>
          </w:p>
        </w:tc>
      </w:tr>
      <w:tr>
        <w:trPr>
          <w:trHeight w:val="173"/>
        </w:trPr>
        <w:tc>
          <w:tcPr>
            <w:tcW w:w="554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3"/>
                <w:szCs w:val="13"/>
                <w:color w:val="auto"/>
              </w:rPr>
              <w:t>Directors in</w:t>
            </w:r>
          </w:p>
        </w:tc>
        <w:tc>
          <w:tcPr>
            <w:tcW w:w="240" w:type="dxa"/>
            <w:vAlign w:val="bottom"/>
            <w:tcBorders>
              <w:bottom w:val="single" w:sz="8" w:color="auto"/>
              <w:right w:val="single" w:sz="8" w:color="auto"/>
            </w:tcBorders>
          </w:tcPr>
          <w:p>
            <w:pPr>
              <w:spacing w:after="0"/>
              <w:rPr>
                <w:sz w:val="15"/>
                <w:szCs w:val="15"/>
                <w:color w:val="auto"/>
              </w:rPr>
            </w:pPr>
          </w:p>
        </w:tc>
        <w:tc>
          <w:tcPr>
            <w:tcW w:w="55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3"/>
                <w:szCs w:val="13"/>
                <w:color w:val="auto"/>
              </w:rPr>
              <w:t>un bonus</w:t>
            </w:r>
          </w:p>
        </w:tc>
      </w:tr>
    </w:tbl>
    <w:p>
      <w:pPr>
        <w:spacing w:after="0" w:line="59"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5"/>
          <w:szCs w:val="15"/>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12700</wp:posOffset>
            </wp:positionV>
            <wp:extent cx="7171690" cy="635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71690" cy="6350"/>
                    </a:xfrm>
                    <a:prstGeom prst="rect">
                      <a:avLst/>
                    </a:prstGeom>
                    <a:noFill/>
                  </pic:spPr>
                </pic:pic>
              </a:graphicData>
            </a:graphic>
          </wp:anchor>
        </w:drawing>
      </w:r>
    </w:p>
    <w:p>
      <w:pPr>
        <w:sectPr>
          <w:pgSz w:w="11900" w:h="16838" w:orient="portrait"/>
          <w:cols w:equalWidth="0" w:num="1">
            <w:col w:w="11300"/>
          </w:cols>
          <w:pgMar w:left="300" w:top="448" w:right="299" w:bottom="1440" w:gutter="0" w:footer="0" w:header="0"/>
        </w:sectPr>
      </w:pPr>
    </w:p>
    <w:bookmarkStart w:id="83" w:name="page84"/>
    <w:bookmarkEnd w:id="83"/>
    <w:tbl>
      <w:tblPr>
        <w:tblLayout w:type="fixed"/>
        <w:tblInd w:w="10" w:type="dxa"/>
        <w:tblCellMar>
          <w:top w:w="0" w:type="dxa"/>
          <w:left w:w="0" w:type="dxa"/>
          <w:bottom w:w="0" w:type="dxa"/>
          <w:right w:w="0" w:type="dxa"/>
        </w:tblCellMar>
      </w:tblPr>
      <w:tr>
        <w:trPr>
          <w:trHeight w:val="189"/>
        </w:trPr>
        <w:tc>
          <w:tcPr>
            <w:tcW w:w="5540" w:type="dxa"/>
            <w:vAlign w:val="bottom"/>
            <w:tcBorders>
              <w:top w:val="single" w:sz="8" w:color="auto"/>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3"/>
                <w:szCs w:val="13"/>
                <w:color w:val="auto"/>
              </w:rPr>
              <w:t>exceptional cases.</w:t>
            </w:r>
          </w:p>
        </w:tc>
        <w:tc>
          <w:tcPr>
            <w:tcW w:w="240" w:type="dxa"/>
            <w:vAlign w:val="bottom"/>
            <w:tcBorders>
              <w:top w:val="single" w:sz="8" w:color="auto"/>
              <w:bottom w:val="single" w:sz="8" w:color="auto"/>
              <w:right w:val="single" w:sz="8" w:color="auto"/>
            </w:tcBorders>
          </w:tcPr>
          <w:p>
            <w:pPr>
              <w:spacing w:after="0"/>
              <w:rPr>
                <w:sz w:val="16"/>
                <w:szCs w:val="16"/>
                <w:color w:val="auto"/>
              </w:rPr>
            </w:pPr>
          </w:p>
        </w:tc>
        <w:tc>
          <w:tcPr>
            <w:tcW w:w="5520" w:type="dxa"/>
            <w:vAlign w:val="bottom"/>
            <w:tcBorders>
              <w:top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3"/>
                <w:szCs w:val="13"/>
                <w:color w:val="auto"/>
              </w:rPr>
              <w:t>supplémentaire pour les membres du conseil d'administration dans des cas exceptionnels.</w:t>
            </w:r>
          </w:p>
        </w:tc>
      </w:tr>
      <w:tr>
        <w:trPr>
          <w:trHeight w:val="145"/>
        </w:trPr>
        <w:tc>
          <w:tcPr>
            <w:tcW w:w="5540" w:type="dxa"/>
            <w:vAlign w:val="bottom"/>
            <w:tcBorders>
              <w:left w:val="single" w:sz="8" w:color="auto"/>
              <w:right w:val="single" w:sz="8" w:color="auto"/>
            </w:tcBorders>
          </w:tcPr>
          <w:p>
            <w:pPr>
              <w:ind w:left="40"/>
              <w:spacing w:after="0" w:line="146" w:lineRule="exact"/>
              <w:rPr>
                <w:sz w:val="20"/>
                <w:szCs w:val="20"/>
                <w:color w:val="auto"/>
              </w:rPr>
            </w:pPr>
            <w:r>
              <w:rPr>
                <w:rFonts w:ascii="Arial" w:cs="Arial" w:eastAsia="Arial" w:hAnsi="Arial"/>
                <w:sz w:val="13"/>
                <w:szCs w:val="13"/>
                <w:color w:val="auto"/>
              </w:rPr>
              <w:t>The compensation may also be paid for activities in companies that are directly or indirectly</w:t>
            </w:r>
          </w:p>
        </w:tc>
        <w:tc>
          <w:tcPr>
            <w:tcW w:w="240" w:type="dxa"/>
            <w:vAlign w:val="bottom"/>
            <w:tcBorders>
              <w:right w:val="single" w:sz="8" w:color="auto"/>
            </w:tcBorders>
          </w:tcPr>
          <w:p>
            <w:pPr>
              <w:spacing w:after="0"/>
              <w:rPr>
                <w:sz w:val="12"/>
                <w:szCs w:val="12"/>
                <w:color w:val="auto"/>
              </w:rPr>
            </w:pPr>
          </w:p>
        </w:tc>
        <w:tc>
          <w:tcPr>
            <w:tcW w:w="5520" w:type="dxa"/>
            <w:vAlign w:val="bottom"/>
            <w:tcBorders>
              <w:right w:val="single" w:sz="8" w:color="auto"/>
            </w:tcBorders>
          </w:tcPr>
          <w:p>
            <w:pPr>
              <w:ind w:left="20"/>
              <w:spacing w:after="0" w:line="146" w:lineRule="exact"/>
              <w:rPr>
                <w:sz w:val="20"/>
                <w:szCs w:val="20"/>
                <w:color w:val="auto"/>
              </w:rPr>
            </w:pPr>
            <w:r>
              <w:rPr>
                <w:rFonts w:ascii="Arial" w:cs="Arial" w:eastAsia="Arial" w:hAnsi="Arial"/>
                <w:sz w:val="13"/>
                <w:szCs w:val="13"/>
                <w:color w:val="auto"/>
                <w:w w:val="99"/>
              </w:rPr>
              <w:t>La rémunération peut également être accordée pour des activités dans des entreprises qui sont</w:t>
            </w:r>
          </w:p>
        </w:tc>
      </w:tr>
      <w:tr>
        <w:trPr>
          <w:trHeight w:val="145"/>
        </w:trPr>
        <w:tc>
          <w:tcPr>
            <w:tcW w:w="5540" w:type="dxa"/>
            <w:vAlign w:val="bottom"/>
            <w:tcBorders>
              <w:left w:val="single" w:sz="8" w:color="auto"/>
              <w:right w:val="single" w:sz="8" w:color="auto"/>
            </w:tcBorders>
          </w:tcPr>
          <w:p>
            <w:pPr>
              <w:ind w:left="40"/>
              <w:spacing w:after="0" w:line="145" w:lineRule="exact"/>
              <w:rPr>
                <w:sz w:val="20"/>
                <w:szCs w:val="20"/>
                <w:color w:val="auto"/>
              </w:rPr>
            </w:pPr>
            <w:r>
              <w:rPr>
                <w:rFonts w:ascii="Arial" w:cs="Arial" w:eastAsia="Arial" w:hAnsi="Arial"/>
                <w:sz w:val="13"/>
                <w:szCs w:val="13"/>
                <w:color w:val="auto"/>
              </w:rPr>
              <w:t>controlled by the Company and may be paid by the Company or by a company controlled by it.</w:t>
            </w:r>
          </w:p>
        </w:tc>
        <w:tc>
          <w:tcPr>
            <w:tcW w:w="240" w:type="dxa"/>
            <w:vAlign w:val="bottom"/>
            <w:tcBorders>
              <w:right w:val="single" w:sz="8" w:color="auto"/>
            </w:tcBorders>
          </w:tcPr>
          <w:p>
            <w:pPr>
              <w:spacing w:after="0"/>
              <w:rPr>
                <w:sz w:val="12"/>
                <w:szCs w:val="12"/>
                <w:color w:val="auto"/>
              </w:rPr>
            </w:pPr>
          </w:p>
        </w:tc>
        <w:tc>
          <w:tcPr>
            <w:tcW w:w="5520" w:type="dxa"/>
            <w:vAlign w:val="bottom"/>
            <w:tcBorders>
              <w:right w:val="single" w:sz="8" w:color="auto"/>
            </w:tcBorders>
          </w:tcPr>
          <w:p>
            <w:pPr>
              <w:ind w:left="20"/>
              <w:spacing w:after="0" w:line="145" w:lineRule="exact"/>
              <w:rPr>
                <w:sz w:val="20"/>
                <w:szCs w:val="20"/>
                <w:color w:val="auto"/>
              </w:rPr>
            </w:pPr>
            <w:r>
              <w:rPr>
                <w:rFonts w:ascii="Arial" w:cs="Arial" w:eastAsia="Arial" w:hAnsi="Arial"/>
                <w:sz w:val="13"/>
                <w:szCs w:val="13"/>
                <w:color w:val="auto"/>
                <w:w w:val="99"/>
              </w:rPr>
              <w:t>contrôlées directement ou indirectement par la société et peuvent être versées par la société ou</w:t>
            </w:r>
          </w:p>
        </w:tc>
      </w:tr>
      <w:tr>
        <w:trPr>
          <w:trHeight w:val="173"/>
        </w:trPr>
        <w:tc>
          <w:tcPr>
            <w:tcW w:w="5540" w:type="dxa"/>
            <w:vAlign w:val="bottom"/>
            <w:tcBorders>
              <w:left w:val="single" w:sz="8" w:color="auto"/>
              <w:bottom w:val="single" w:sz="8" w:color="auto"/>
              <w:right w:val="single" w:sz="8" w:color="auto"/>
            </w:tcBorders>
          </w:tcPr>
          <w:p>
            <w:pPr>
              <w:spacing w:after="0"/>
              <w:rPr>
                <w:sz w:val="15"/>
                <w:szCs w:val="15"/>
                <w:color w:val="auto"/>
              </w:rPr>
            </w:pPr>
          </w:p>
        </w:tc>
        <w:tc>
          <w:tcPr>
            <w:tcW w:w="240" w:type="dxa"/>
            <w:vAlign w:val="bottom"/>
            <w:tcBorders>
              <w:bottom w:val="single" w:sz="8" w:color="auto"/>
              <w:right w:val="single" w:sz="8" w:color="auto"/>
            </w:tcBorders>
          </w:tcPr>
          <w:p>
            <w:pPr>
              <w:spacing w:after="0"/>
              <w:rPr>
                <w:sz w:val="15"/>
                <w:szCs w:val="15"/>
                <w:color w:val="auto"/>
              </w:rPr>
            </w:pPr>
          </w:p>
        </w:tc>
        <w:tc>
          <w:tcPr>
            <w:tcW w:w="55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3"/>
                <w:szCs w:val="13"/>
                <w:color w:val="auto"/>
              </w:rPr>
              <w:t>par une société contrôlée par elle.</w:t>
            </w:r>
          </w:p>
        </w:tc>
      </w:tr>
      <w:tr>
        <w:trPr>
          <w:trHeight w:val="177"/>
        </w:trPr>
        <w:tc>
          <w:tcPr>
            <w:tcW w:w="55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3"/>
                <w:szCs w:val="13"/>
                <w:b w:val="1"/>
                <w:bCs w:val="1"/>
                <w:color w:val="auto"/>
              </w:rPr>
              <w:t>Art. 33  Principles of the Compensation of the Executive Committee</w:t>
            </w:r>
          </w:p>
        </w:tc>
        <w:tc>
          <w:tcPr>
            <w:tcW w:w="240" w:type="dxa"/>
            <w:vAlign w:val="bottom"/>
            <w:tcBorders>
              <w:right w:val="single" w:sz="8" w:color="auto"/>
            </w:tcBorders>
          </w:tcPr>
          <w:p>
            <w:pPr>
              <w:spacing w:after="0"/>
              <w:rPr>
                <w:sz w:val="15"/>
                <w:szCs w:val="15"/>
                <w:color w:val="auto"/>
              </w:rPr>
            </w:pPr>
          </w:p>
        </w:tc>
        <w:tc>
          <w:tcPr>
            <w:tcW w:w="5520" w:type="dxa"/>
            <w:vAlign w:val="bottom"/>
            <w:tcBorders>
              <w:right w:val="single" w:sz="8" w:color="auto"/>
            </w:tcBorders>
          </w:tcPr>
          <w:p>
            <w:pPr>
              <w:ind w:left="20"/>
              <w:spacing w:after="0"/>
              <w:rPr>
                <w:sz w:val="20"/>
                <w:szCs w:val="20"/>
                <w:color w:val="auto"/>
              </w:rPr>
            </w:pPr>
            <w:r>
              <w:rPr>
                <w:rFonts w:ascii="Arial" w:cs="Arial" w:eastAsia="Arial" w:hAnsi="Arial"/>
                <w:sz w:val="13"/>
                <w:szCs w:val="13"/>
                <w:b w:val="1"/>
                <w:bCs w:val="1"/>
                <w:color w:val="auto"/>
              </w:rPr>
              <w:t>Art. 33  Principe de rémunération du comité exécutif</w:t>
            </w:r>
          </w:p>
        </w:tc>
      </w:tr>
      <w:tr>
        <w:trPr>
          <w:trHeight w:val="258"/>
        </w:trPr>
        <w:tc>
          <w:tcPr>
            <w:tcW w:w="55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3"/>
                <w:szCs w:val="13"/>
                <w:color w:val="auto"/>
              </w:rPr>
              <w:t>The compensation payable to the members of the Executive Committee is subject to the</w:t>
            </w:r>
          </w:p>
        </w:tc>
        <w:tc>
          <w:tcPr>
            <w:tcW w:w="240" w:type="dxa"/>
            <w:vAlign w:val="bottom"/>
            <w:tcBorders>
              <w:right w:val="single" w:sz="8" w:color="auto"/>
            </w:tcBorders>
          </w:tcPr>
          <w:p>
            <w:pPr>
              <w:spacing w:after="0"/>
              <w:rPr>
                <w:sz w:val="22"/>
                <w:szCs w:val="22"/>
                <w:color w:val="auto"/>
              </w:rPr>
            </w:pPr>
          </w:p>
        </w:tc>
        <w:tc>
          <w:tcPr>
            <w:tcW w:w="5520" w:type="dxa"/>
            <w:vAlign w:val="bottom"/>
            <w:tcBorders>
              <w:right w:val="single" w:sz="8" w:color="auto"/>
            </w:tcBorders>
          </w:tcPr>
          <w:p>
            <w:pPr>
              <w:ind w:left="20"/>
              <w:spacing w:after="0"/>
              <w:rPr>
                <w:sz w:val="20"/>
                <w:szCs w:val="20"/>
                <w:color w:val="auto"/>
              </w:rPr>
            </w:pPr>
            <w:r>
              <w:rPr>
                <w:rFonts w:ascii="Arial" w:cs="Arial" w:eastAsia="Arial" w:hAnsi="Arial"/>
                <w:sz w:val="13"/>
                <w:szCs w:val="13"/>
                <w:color w:val="auto"/>
              </w:rPr>
              <w:t>La rémunération des membres du comité exécutif est soumis à l'approbation l'assemblée</w:t>
            </w:r>
          </w:p>
        </w:tc>
      </w:tr>
      <w:tr>
        <w:trPr>
          <w:trHeight w:val="168"/>
        </w:trPr>
        <w:tc>
          <w:tcPr>
            <w:tcW w:w="55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3"/>
                <w:szCs w:val="13"/>
                <w:color w:val="auto"/>
              </w:rPr>
              <w:t>approval by the General Meeting and comprises the following elements:</w:t>
            </w:r>
          </w:p>
        </w:tc>
        <w:tc>
          <w:tcPr>
            <w:tcW w:w="240" w:type="dxa"/>
            <w:vAlign w:val="bottom"/>
            <w:tcBorders>
              <w:right w:val="single" w:sz="8" w:color="auto"/>
            </w:tcBorders>
          </w:tcPr>
          <w:p>
            <w:pPr>
              <w:spacing w:after="0"/>
              <w:rPr>
                <w:sz w:val="14"/>
                <w:szCs w:val="14"/>
                <w:color w:val="auto"/>
              </w:rPr>
            </w:pPr>
          </w:p>
        </w:tc>
        <w:tc>
          <w:tcPr>
            <w:tcW w:w="5520" w:type="dxa"/>
            <w:vAlign w:val="bottom"/>
            <w:tcBorders>
              <w:right w:val="single" w:sz="8" w:color="auto"/>
            </w:tcBorders>
          </w:tcPr>
          <w:p>
            <w:pPr>
              <w:ind w:left="20"/>
              <w:spacing w:after="0"/>
              <w:rPr>
                <w:sz w:val="20"/>
                <w:szCs w:val="20"/>
                <w:color w:val="auto"/>
              </w:rPr>
            </w:pPr>
            <w:r>
              <w:rPr>
                <w:rFonts w:ascii="Arial" w:cs="Arial" w:eastAsia="Arial" w:hAnsi="Arial"/>
                <w:sz w:val="13"/>
                <w:szCs w:val="13"/>
                <w:color w:val="auto"/>
              </w:rPr>
              <w:t>générale et comprend les éléments suivants</w:t>
            </w:r>
          </w:p>
        </w:tc>
      </w:tr>
      <w:tr>
        <w:trPr>
          <w:trHeight w:val="290"/>
        </w:trPr>
        <w:tc>
          <w:tcPr>
            <w:tcW w:w="55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3"/>
                <w:szCs w:val="13"/>
                <w:color w:val="auto"/>
              </w:rPr>
              <w:t>a)  a fixed remuneration payable in cash;</w:t>
            </w:r>
          </w:p>
        </w:tc>
        <w:tc>
          <w:tcPr>
            <w:tcW w:w="240" w:type="dxa"/>
            <w:vAlign w:val="bottom"/>
            <w:tcBorders>
              <w:right w:val="single" w:sz="8" w:color="auto"/>
            </w:tcBorders>
          </w:tcPr>
          <w:p>
            <w:pPr>
              <w:spacing w:after="0"/>
              <w:rPr>
                <w:sz w:val="24"/>
                <w:szCs w:val="24"/>
                <w:color w:val="auto"/>
              </w:rPr>
            </w:pPr>
          </w:p>
        </w:tc>
        <w:tc>
          <w:tcPr>
            <w:tcW w:w="5520" w:type="dxa"/>
            <w:vAlign w:val="bottom"/>
            <w:tcBorders>
              <w:right w:val="single" w:sz="8" w:color="auto"/>
            </w:tcBorders>
          </w:tcPr>
          <w:p>
            <w:pPr>
              <w:ind w:left="20"/>
              <w:spacing w:after="0"/>
              <w:rPr>
                <w:sz w:val="20"/>
                <w:szCs w:val="20"/>
                <w:color w:val="auto"/>
              </w:rPr>
            </w:pPr>
            <w:r>
              <w:rPr>
                <w:rFonts w:ascii="Arial" w:cs="Arial" w:eastAsia="Arial" w:hAnsi="Arial"/>
                <w:sz w:val="13"/>
                <w:szCs w:val="13"/>
                <w:color w:val="auto"/>
              </w:rPr>
              <w:t>a)   une rémunération fixe payable en espèces;</w:t>
            </w:r>
          </w:p>
        </w:tc>
      </w:tr>
      <w:tr>
        <w:trPr>
          <w:trHeight w:val="290"/>
        </w:trPr>
        <w:tc>
          <w:tcPr>
            <w:tcW w:w="55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3"/>
                <w:szCs w:val="13"/>
                <w:color w:val="auto"/>
              </w:rPr>
              <w:t>b)  a performance-related remuneration payable in cash (variable);</w:t>
            </w:r>
          </w:p>
        </w:tc>
        <w:tc>
          <w:tcPr>
            <w:tcW w:w="240" w:type="dxa"/>
            <w:vAlign w:val="bottom"/>
            <w:tcBorders>
              <w:right w:val="single" w:sz="8" w:color="auto"/>
            </w:tcBorders>
          </w:tcPr>
          <w:p>
            <w:pPr>
              <w:spacing w:after="0"/>
              <w:rPr>
                <w:sz w:val="24"/>
                <w:szCs w:val="24"/>
                <w:color w:val="auto"/>
              </w:rPr>
            </w:pPr>
          </w:p>
        </w:tc>
        <w:tc>
          <w:tcPr>
            <w:tcW w:w="5520" w:type="dxa"/>
            <w:vAlign w:val="bottom"/>
            <w:tcBorders>
              <w:right w:val="single" w:sz="8" w:color="auto"/>
            </w:tcBorders>
          </w:tcPr>
          <w:p>
            <w:pPr>
              <w:ind w:left="20"/>
              <w:spacing w:after="0"/>
              <w:rPr>
                <w:sz w:val="20"/>
                <w:szCs w:val="20"/>
                <w:color w:val="auto"/>
              </w:rPr>
            </w:pPr>
            <w:r>
              <w:rPr>
                <w:rFonts w:ascii="Arial" w:cs="Arial" w:eastAsia="Arial" w:hAnsi="Arial"/>
                <w:sz w:val="13"/>
                <w:szCs w:val="13"/>
                <w:color w:val="auto"/>
              </w:rPr>
              <w:t>b)   une rémunération liée à la performance payable en espèces (variable);</w:t>
            </w:r>
          </w:p>
        </w:tc>
      </w:tr>
      <w:tr>
        <w:trPr>
          <w:trHeight w:val="290"/>
        </w:trPr>
        <w:tc>
          <w:tcPr>
            <w:tcW w:w="55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3"/>
                <w:szCs w:val="13"/>
                <w:color w:val="auto"/>
              </w:rPr>
              <w:t>c)  a number of options or shares in the Company, as further outlined in Art. 41.</w:t>
            </w:r>
          </w:p>
        </w:tc>
        <w:tc>
          <w:tcPr>
            <w:tcW w:w="240" w:type="dxa"/>
            <w:vAlign w:val="bottom"/>
            <w:tcBorders>
              <w:right w:val="single" w:sz="8" w:color="auto"/>
            </w:tcBorders>
          </w:tcPr>
          <w:p>
            <w:pPr>
              <w:spacing w:after="0"/>
              <w:rPr>
                <w:sz w:val="24"/>
                <w:szCs w:val="24"/>
                <w:color w:val="auto"/>
              </w:rPr>
            </w:pPr>
          </w:p>
        </w:tc>
        <w:tc>
          <w:tcPr>
            <w:tcW w:w="5520" w:type="dxa"/>
            <w:vAlign w:val="bottom"/>
            <w:tcBorders>
              <w:right w:val="single" w:sz="8" w:color="auto"/>
            </w:tcBorders>
          </w:tcPr>
          <w:p>
            <w:pPr>
              <w:ind w:left="20"/>
              <w:spacing w:after="0"/>
              <w:rPr>
                <w:sz w:val="20"/>
                <w:szCs w:val="20"/>
                <w:color w:val="auto"/>
              </w:rPr>
            </w:pPr>
            <w:r>
              <w:rPr>
                <w:rFonts w:ascii="Arial" w:cs="Arial" w:eastAsia="Arial" w:hAnsi="Arial"/>
                <w:sz w:val="13"/>
                <w:szCs w:val="13"/>
                <w:color w:val="auto"/>
              </w:rPr>
              <w:t>c)   un nombre d'actions ou d'options dans la société, comme détaillée à l'art. 41.</w:t>
            </w:r>
          </w:p>
        </w:tc>
      </w:tr>
      <w:tr>
        <w:trPr>
          <w:trHeight w:val="153"/>
        </w:trPr>
        <w:tc>
          <w:tcPr>
            <w:tcW w:w="5540" w:type="dxa"/>
            <w:vAlign w:val="bottom"/>
            <w:tcBorders>
              <w:left w:val="single" w:sz="8" w:color="auto"/>
              <w:bottom w:val="single" w:sz="8" w:color="auto"/>
              <w:right w:val="single" w:sz="8" w:color="auto"/>
            </w:tcBorders>
          </w:tcPr>
          <w:p>
            <w:pPr>
              <w:spacing w:after="0"/>
              <w:rPr>
                <w:sz w:val="13"/>
                <w:szCs w:val="13"/>
                <w:color w:val="auto"/>
              </w:rPr>
            </w:pPr>
          </w:p>
        </w:tc>
        <w:tc>
          <w:tcPr>
            <w:tcW w:w="240" w:type="dxa"/>
            <w:vAlign w:val="bottom"/>
            <w:tcBorders>
              <w:bottom w:val="single" w:sz="8" w:color="auto"/>
              <w:right w:val="single" w:sz="8" w:color="auto"/>
            </w:tcBorders>
          </w:tcPr>
          <w:p>
            <w:pPr>
              <w:spacing w:after="0"/>
              <w:rPr>
                <w:sz w:val="13"/>
                <w:szCs w:val="13"/>
                <w:color w:val="auto"/>
              </w:rPr>
            </w:pPr>
          </w:p>
        </w:tc>
        <w:tc>
          <w:tcPr>
            <w:tcW w:w="5520" w:type="dxa"/>
            <w:vAlign w:val="bottom"/>
            <w:tcBorders>
              <w:bottom w:val="single" w:sz="8" w:color="auto"/>
              <w:right w:val="single" w:sz="8" w:color="auto"/>
            </w:tcBorders>
          </w:tcPr>
          <w:p>
            <w:pPr>
              <w:spacing w:after="0"/>
              <w:rPr>
                <w:sz w:val="13"/>
                <w:szCs w:val="13"/>
                <w:color w:val="auto"/>
              </w:rPr>
            </w:pPr>
          </w:p>
        </w:tc>
      </w:tr>
      <w:tr>
        <w:trPr>
          <w:trHeight w:val="141"/>
        </w:trPr>
        <w:tc>
          <w:tcPr>
            <w:tcW w:w="5540" w:type="dxa"/>
            <w:vAlign w:val="bottom"/>
            <w:tcBorders>
              <w:left w:val="single" w:sz="8" w:color="auto"/>
              <w:right w:val="single" w:sz="8" w:color="auto"/>
            </w:tcBorders>
          </w:tcPr>
          <w:p>
            <w:pPr>
              <w:ind w:left="40"/>
              <w:spacing w:after="0" w:line="141" w:lineRule="exact"/>
              <w:rPr>
                <w:sz w:val="20"/>
                <w:szCs w:val="20"/>
                <w:color w:val="auto"/>
              </w:rPr>
            </w:pPr>
            <w:r>
              <w:rPr>
                <w:rFonts w:ascii="Arial" w:cs="Arial" w:eastAsia="Arial" w:hAnsi="Arial"/>
                <w:sz w:val="13"/>
                <w:szCs w:val="13"/>
                <w:color w:val="auto"/>
              </w:rPr>
              <w:t>The performance-related remuneration depends on the Company's business success and the</w:t>
            </w:r>
          </w:p>
        </w:tc>
        <w:tc>
          <w:tcPr>
            <w:tcW w:w="240" w:type="dxa"/>
            <w:vAlign w:val="bottom"/>
            <w:tcBorders>
              <w:right w:val="single" w:sz="8" w:color="auto"/>
            </w:tcBorders>
          </w:tcPr>
          <w:p>
            <w:pPr>
              <w:spacing w:after="0"/>
              <w:rPr>
                <w:sz w:val="12"/>
                <w:szCs w:val="12"/>
                <w:color w:val="auto"/>
              </w:rPr>
            </w:pPr>
          </w:p>
        </w:tc>
        <w:tc>
          <w:tcPr>
            <w:tcW w:w="5520" w:type="dxa"/>
            <w:vAlign w:val="bottom"/>
            <w:tcBorders>
              <w:right w:val="single" w:sz="8" w:color="auto"/>
            </w:tcBorders>
          </w:tcPr>
          <w:p>
            <w:pPr>
              <w:ind w:left="20"/>
              <w:spacing w:after="0" w:line="141" w:lineRule="exact"/>
              <w:rPr>
                <w:sz w:val="20"/>
                <w:szCs w:val="20"/>
                <w:color w:val="auto"/>
              </w:rPr>
            </w:pPr>
            <w:r>
              <w:rPr>
                <w:rFonts w:ascii="Arial" w:cs="Arial" w:eastAsia="Arial" w:hAnsi="Arial"/>
                <w:sz w:val="13"/>
                <w:szCs w:val="13"/>
                <w:color w:val="auto"/>
              </w:rPr>
              <w:t>La rémunération liée à la performance dépend de la réussite économique de la société et de la</w:t>
            </w:r>
          </w:p>
        </w:tc>
      </w:tr>
      <w:tr>
        <w:trPr>
          <w:trHeight w:val="145"/>
        </w:trPr>
        <w:tc>
          <w:tcPr>
            <w:tcW w:w="5540" w:type="dxa"/>
            <w:vAlign w:val="bottom"/>
            <w:tcBorders>
              <w:left w:val="single" w:sz="8" w:color="auto"/>
              <w:right w:val="single" w:sz="8" w:color="auto"/>
            </w:tcBorders>
          </w:tcPr>
          <w:p>
            <w:pPr>
              <w:ind w:left="40"/>
              <w:spacing w:after="0" w:line="145" w:lineRule="exact"/>
              <w:rPr>
                <w:sz w:val="20"/>
                <w:szCs w:val="20"/>
                <w:color w:val="auto"/>
              </w:rPr>
            </w:pPr>
            <w:r>
              <w:rPr>
                <w:rFonts w:ascii="Arial" w:cs="Arial" w:eastAsia="Arial" w:hAnsi="Arial"/>
                <w:sz w:val="13"/>
                <w:szCs w:val="13"/>
                <w:color w:val="auto"/>
                <w:w w:val="99"/>
              </w:rPr>
              <w:t>individual performance of the member of the Executive Committee based on the achievement of</w:t>
            </w:r>
          </w:p>
        </w:tc>
        <w:tc>
          <w:tcPr>
            <w:tcW w:w="240" w:type="dxa"/>
            <w:vAlign w:val="bottom"/>
            <w:tcBorders>
              <w:right w:val="single" w:sz="8" w:color="auto"/>
            </w:tcBorders>
          </w:tcPr>
          <w:p>
            <w:pPr>
              <w:spacing w:after="0"/>
              <w:rPr>
                <w:sz w:val="12"/>
                <w:szCs w:val="12"/>
                <w:color w:val="auto"/>
              </w:rPr>
            </w:pPr>
          </w:p>
        </w:tc>
        <w:tc>
          <w:tcPr>
            <w:tcW w:w="5520" w:type="dxa"/>
            <w:vAlign w:val="bottom"/>
            <w:tcBorders>
              <w:right w:val="single" w:sz="8" w:color="auto"/>
            </w:tcBorders>
          </w:tcPr>
          <w:p>
            <w:pPr>
              <w:ind w:left="20"/>
              <w:spacing w:after="0" w:line="145" w:lineRule="exact"/>
              <w:rPr>
                <w:sz w:val="20"/>
                <w:szCs w:val="20"/>
                <w:color w:val="auto"/>
              </w:rPr>
            </w:pPr>
            <w:r>
              <w:rPr>
                <w:rFonts w:ascii="Arial" w:cs="Arial" w:eastAsia="Arial" w:hAnsi="Arial"/>
                <w:sz w:val="13"/>
                <w:szCs w:val="13"/>
                <w:color w:val="auto"/>
              </w:rPr>
              <w:t>performance individuelle du membre du comité exécutif sur la base de la réalisation des</w:t>
            </w:r>
          </w:p>
        </w:tc>
      </w:tr>
      <w:tr>
        <w:trPr>
          <w:trHeight w:val="145"/>
        </w:trPr>
        <w:tc>
          <w:tcPr>
            <w:tcW w:w="5540" w:type="dxa"/>
            <w:vAlign w:val="bottom"/>
            <w:tcBorders>
              <w:left w:val="single" w:sz="8" w:color="auto"/>
              <w:right w:val="single" w:sz="8" w:color="auto"/>
            </w:tcBorders>
          </w:tcPr>
          <w:p>
            <w:pPr>
              <w:ind w:left="40"/>
              <w:spacing w:after="0" w:line="145" w:lineRule="exact"/>
              <w:rPr>
                <w:sz w:val="20"/>
                <w:szCs w:val="20"/>
                <w:color w:val="auto"/>
              </w:rPr>
            </w:pPr>
            <w:r>
              <w:rPr>
                <w:rFonts w:ascii="Arial" w:cs="Arial" w:eastAsia="Arial" w:hAnsi="Arial"/>
                <w:sz w:val="13"/>
                <w:szCs w:val="13"/>
                <w:color w:val="auto"/>
              </w:rPr>
              <w:t>pre-determined targets during a business year. The Board of Directors determines annually at</w:t>
            </w:r>
          </w:p>
        </w:tc>
        <w:tc>
          <w:tcPr>
            <w:tcW w:w="240" w:type="dxa"/>
            <w:vAlign w:val="bottom"/>
            <w:tcBorders>
              <w:right w:val="single" w:sz="8" w:color="auto"/>
            </w:tcBorders>
          </w:tcPr>
          <w:p>
            <w:pPr>
              <w:spacing w:after="0"/>
              <w:rPr>
                <w:sz w:val="12"/>
                <w:szCs w:val="12"/>
                <w:color w:val="auto"/>
              </w:rPr>
            </w:pPr>
          </w:p>
        </w:tc>
        <w:tc>
          <w:tcPr>
            <w:tcW w:w="5520" w:type="dxa"/>
            <w:vAlign w:val="bottom"/>
            <w:tcBorders>
              <w:right w:val="single" w:sz="8" w:color="auto"/>
            </w:tcBorders>
          </w:tcPr>
          <w:p>
            <w:pPr>
              <w:ind w:left="20"/>
              <w:spacing w:after="0" w:line="145" w:lineRule="exact"/>
              <w:rPr>
                <w:sz w:val="20"/>
                <w:szCs w:val="20"/>
                <w:color w:val="auto"/>
              </w:rPr>
            </w:pPr>
            <w:r>
              <w:rPr>
                <w:rFonts w:ascii="Arial" w:cs="Arial" w:eastAsia="Arial" w:hAnsi="Arial"/>
                <w:sz w:val="13"/>
                <w:szCs w:val="13"/>
                <w:color w:val="auto"/>
              </w:rPr>
              <w:t>objectifs prédéterminés au cours d'une année d'activité. Le conseil d'administration détermine</w:t>
            </w:r>
          </w:p>
        </w:tc>
      </w:tr>
      <w:tr>
        <w:trPr>
          <w:trHeight w:val="145"/>
        </w:trPr>
        <w:tc>
          <w:tcPr>
            <w:tcW w:w="5540" w:type="dxa"/>
            <w:vAlign w:val="bottom"/>
            <w:tcBorders>
              <w:left w:val="single" w:sz="8" w:color="auto"/>
              <w:right w:val="single" w:sz="8" w:color="auto"/>
            </w:tcBorders>
          </w:tcPr>
          <w:p>
            <w:pPr>
              <w:ind w:left="40"/>
              <w:spacing w:after="0" w:line="145" w:lineRule="exact"/>
              <w:rPr>
                <w:sz w:val="20"/>
                <w:szCs w:val="20"/>
                <w:color w:val="auto"/>
              </w:rPr>
            </w:pPr>
            <w:r>
              <w:rPr>
                <w:rFonts w:ascii="Arial" w:cs="Arial" w:eastAsia="Arial" w:hAnsi="Arial"/>
                <w:sz w:val="13"/>
                <w:szCs w:val="13"/>
                <w:color w:val="auto"/>
              </w:rPr>
              <w:t>the beginning of each relevant business year the decisive targets and their weighting upon</w:t>
            </w:r>
          </w:p>
        </w:tc>
        <w:tc>
          <w:tcPr>
            <w:tcW w:w="240" w:type="dxa"/>
            <w:vAlign w:val="bottom"/>
            <w:tcBorders>
              <w:right w:val="single" w:sz="8" w:color="auto"/>
            </w:tcBorders>
          </w:tcPr>
          <w:p>
            <w:pPr>
              <w:spacing w:after="0"/>
              <w:rPr>
                <w:sz w:val="12"/>
                <w:szCs w:val="12"/>
                <w:color w:val="auto"/>
              </w:rPr>
            </w:pPr>
          </w:p>
        </w:tc>
        <w:tc>
          <w:tcPr>
            <w:tcW w:w="5520" w:type="dxa"/>
            <w:vAlign w:val="bottom"/>
            <w:tcBorders>
              <w:right w:val="single" w:sz="8" w:color="auto"/>
            </w:tcBorders>
          </w:tcPr>
          <w:p>
            <w:pPr>
              <w:ind w:left="20"/>
              <w:spacing w:after="0" w:line="145" w:lineRule="exact"/>
              <w:rPr>
                <w:sz w:val="20"/>
                <w:szCs w:val="20"/>
                <w:color w:val="auto"/>
              </w:rPr>
            </w:pPr>
            <w:r>
              <w:rPr>
                <w:rFonts w:ascii="Arial" w:cs="Arial" w:eastAsia="Arial" w:hAnsi="Arial"/>
                <w:sz w:val="13"/>
                <w:szCs w:val="13"/>
                <w:color w:val="auto"/>
                <w:w w:val="99"/>
              </w:rPr>
              <w:t>au début de chaque exercice les objectifs décisifs et leur pondération sur proposition du comité</w:t>
            </w:r>
          </w:p>
        </w:tc>
      </w:tr>
      <w:tr>
        <w:trPr>
          <w:trHeight w:val="145"/>
        </w:trPr>
        <w:tc>
          <w:tcPr>
            <w:tcW w:w="5540" w:type="dxa"/>
            <w:vAlign w:val="bottom"/>
            <w:tcBorders>
              <w:left w:val="single" w:sz="8" w:color="auto"/>
              <w:right w:val="single" w:sz="8" w:color="auto"/>
            </w:tcBorders>
          </w:tcPr>
          <w:p>
            <w:pPr>
              <w:ind w:left="40"/>
              <w:spacing w:after="0" w:line="145" w:lineRule="exact"/>
              <w:rPr>
                <w:sz w:val="20"/>
                <w:szCs w:val="20"/>
                <w:color w:val="auto"/>
              </w:rPr>
            </w:pPr>
            <w:r>
              <w:rPr>
                <w:rFonts w:ascii="Arial" w:cs="Arial" w:eastAsia="Arial" w:hAnsi="Arial"/>
                <w:sz w:val="13"/>
                <w:szCs w:val="13"/>
                <w:color w:val="auto"/>
              </w:rPr>
              <w:t>proposal  by  the  Compensation  Committee.  The  amount  of  the  performance-related</w:t>
            </w:r>
          </w:p>
        </w:tc>
        <w:tc>
          <w:tcPr>
            <w:tcW w:w="240" w:type="dxa"/>
            <w:vAlign w:val="bottom"/>
            <w:tcBorders>
              <w:right w:val="single" w:sz="8" w:color="auto"/>
            </w:tcBorders>
          </w:tcPr>
          <w:p>
            <w:pPr>
              <w:spacing w:after="0"/>
              <w:rPr>
                <w:sz w:val="12"/>
                <w:szCs w:val="12"/>
                <w:color w:val="auto"/>
              </w:rPr>
            </w:pPr>
          </w:p>
        </w:tc>
        <w:tc>
          <w:tcPr>
            <w:tcW w:w="5520" w:type="dxa"/>
            <w:vAlign w:val="bottom"/>
            <w:tcBorders>
              <w:right w:val="single" w:sz="8" w:color="auto"/>
            </w:tcBorders>
          </w:tcPr>
          <w:p>
            <w:pPr>
              <w:ind w:left="20"/>
              <w:spacing w:after="0" w:line="145" w:lineRule="exact"/>
              <w:rPr>
                <w:sz w:val="20"/>
                <w:szCs w:val="20"/>
                <w:color w:val="auto"/>
              </w:rPr>
            </w:pPr>
            <w:r>
              <w:rPr>
                <w:rFonts w:ascii="Arial" w:cs="Arial" w:eastAsia="Arial" w:hAnsi="Arial"/>
                <w:sz w:val="13"/>
                <w:szCs w:val="13"/>
                <w:color w:val="auto"/>
                <w:w w:val="99"/>
              </w:rPr>
              <w:t>de rémunération. Le montant de la rémunération liée à la performance pour chaque membre du</w:t>
            </w:r>
          </w:p>
        </w:tc>
      </w:tr>
      <w:tr>
        <w:trPr>
          <w:trHeight w:val="145"/>
        </w:trPr>
        <w:tc>
          <w:tcPr>
            <w:tcW w:w="5540" w:type="dxa"/>
            <w:vAlign w:val="bottom"/>
            <w:tcBorders>
              <w:left w:val="single" w:sz="8" w:color="auto"/>
              <w:right w:val="single" w:sz="8" w:color="auto"/>
            </w:tcBorders>
          </w:tcPr>
          <w:p>
            <w:pPr>
              <w:ind w:left="40"/>
              <w:spacing w:after="0" w:line="145" w:lineRule="exact"/>
              <w:rPr>
                <w:sz w:val="20"/>
                <w:szCs w:val="20"/>
                <w:color w:val="auto"/>
              </w:rPr>
            </w:pPr>
            <w:r>
              <w:rPr>
                <w:rFonts w:ascii="Arial" w:cs="Arial" w:eastAsia="Arial" w:hAnsi="Arial"/>
                <w:sz w:val="13"/>
                <w:szCs w:val="13"/>
                <w:color w:val="auto"/>
              </w:rPr>
              <w:t>remuneration for each member of the Executive Committee is determined by the Board of</w:t>
            </w:r>
          </w:p>
        </w:tc>
        <w:tc>
          <w:tcPr>
            <w:tcW w:w="240" w:type="dxa"/>
            <w:vAlign w:val="bottom"/>
            <w:tcBorders>
              <w:right w:val="single" w:sz="8" w:color="auto"/>
            </w:tcBorders>
          </w:tcPr>
          <w:p>
            <w:pPr>
              <w:spacing w:after="0"/>
              <w:rPr>
                <w:sz w:val="12"/>
                <w:szCs w:val="12"/>
                <w:color w:val="auto"/>
              </w:rPr>
            </w:pPr>
          </w:p>
        </w:tc>
        <w:tc>
          <w:tcPr>
            <w:tcW w:w="5520" w:type="dxa"/>
            <w:vAlign w:val="bottom"/>
            <w:tcBorders>
              <w:right w:val="single" w:sz="8" w:color="auto"/>
            </w:tcBorders>
          </w:tcPr>
          <w:p>
            <w:pPr>
              <w:ind w:left="20"/>
              <w:spacing w:after="0" w:line="145" w:lineRule="exact"/>
              <w:rPr>
                <w:sz w:val="20"/>
                <w:szCs w:val="20"/>
                <w:color w:val="auto"/>
              </w:rPr>
            </w:pPr>
            <w:r>
              <w:rPr>
                <w:rFonts w:ascii="Arial" w:cs="Arial" w:eastAsia="Arial" w:hAnsi="Arial"/>
                <w:sz w:val="13"/>
                <w:szCs w:val="13"/>
                <w:color w:val="auto"/>
              </w:rPr>
              <w:t>comité exécutif est déterminé par le conseil d'administration et ne peut dépasser 100 pour cent</w:t>
            </w:r>
          </w:p>
        </w:tc>
      </w:tr>
      <w:tr>
        <w:trPr>
          <w:trHeight w:val="145"/>
        </w:trPr>
        <w:tc>
          <w:tcPr>
            <w:tcW w:w="5540" w:type="dxa"/>
            <w:vAlign w:val="bottom"/>
            <w:tcBorders>
              <w:left w:val="single" w:sz="8" w:color="auto"/>
              <w:right w:val="single" w:sz="8" w:color="auto"/>
            </w:tcBorders>
          </w:tcPr>
          <w:p>
            <w:pPr>
              <w:ind w:left="40"/>
              <w:spacing w:after="0" w:line="145" w:lineRule="exact"/>
              <w:rPr>
                <w:sz w:val="20"/>
                <w:szCs w:val="20"/>
                <w:color w:val="auto"/>
              </w:rPr>
            </w:pPr>
            <w:r>
              <w:rPr>
                <w:rFonts w:ascii="Arial" w:cs="Arial" w:eastAsia="Arial" w:hAnsi="Arial"/>
                <w:sz w:val="13"/>
                <w:szCs w:val="13"/>
                <w:color w:val="auto"/>
              </w:rPr>
              <w:t>Directors and may not exceed 100 percent of the respective individual fixed remuneration for</w:t>
            </w:r>
          </w:p>
        </w:tc>
        <w:tc>
          <w:tcPr>
            <w:tcW w:w="240" w:type="dxa"/>
            <w:vAlign w:val="bottom"/>
            <w:tcBorders>
              <w:right w:val="single" w:sz="8" w:color="auto"/>
            </w:tcBorders>
          </w:tcPr>
          <w:p>
            <w:pPr>
              <w:spacing w:after="0"/>
              <w:rPr>
                <w:sz w:val="12"/>
                <w:szCs w:val="12"/>
                <w:color w:val="auto"/>
              </w:rPr>
            </w:pPr>
          </w:p>
        </w:tc>
        <w:tc>
          <w:tcPr>
            <w:tcW w:w="5520" w:type="dxa"/>
            <w:vAlign w:val="bottom"/>
            <w:tcBorders>
              <w:right w:val="single" w:sz="8" w:color="auto"/>
            </w:tcBorders>
          </w:tcPr>
          <w:p>
            <w:pPr>
              <w:ind w:left="20"/>
              <w:spacing w:after="0" w:line="145" w:lineRule="exact"/>
              <w:rPr>
                <w:sz w:val="20"/>
                <w:szCs w:val="20"/>
                <w:color w:val="auto"/>
              </w:rPr>
            </w:pPr>
            <w:r>
              <w:rPr>
                <w:rFonts w:ascii="Arial" w:cs="Arial" w:eastAsia="Arial" w:hAnsi="Arial"/>
                <w:sz w:val="13"/>
                <w:szCs w:val="13"/>
                <w:color w:val="auto"/>
              </w:rPr>
              <w:t>de la rémunération fixe individuelle respective pour la même année.</w:t>
            </w:r>
          </w:p>
        </w:tc>
      </w:tr>
      <w:tr>
        <w:trPr>
          <w:trHeight w:val="173"/>
        </w:trPr>
        <w:tc>
          <w:tcPr>
            <w:tcW w:w="554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3"/>
                <w:szCs w:val="13"/>
                <w:color w:val="auto"/>
              </w:rPr>
              <w:t>the same year.</w:t>
            </w:r>
          </w:p>
        </w:tc>
        <w:tc>
          <w:tcPr>
            <w:tcW w:w="240" w:type="dxa"/>
            <w:vAlign w:val="bottom"/>
            <w:tcBorders>
              <w:bottom w:val="single" w:sz="8" w:color="auto"/>
              <w:right w:val="single" w:sz="8" w:color="auto"/>
            </w:tcBorders>
          </w:tcPr>
          <w:p>
            <w:pPr>
              <w:spacing w:after="0"/>
              <w:rPr>
                <w:sz w:val="15"/>
                <w:szCs w:val="15"/>
                <w:color w:val="auto"/>
              </w:rPr>
            </w:pPr>
          </w:p>
        </w:tc>
        <w:tc>
          <w:tcPr>
            <w:tcW w:w="5520" w:type="dxa"/>
            <w:vAlign w:val="bottom"/>
            <w:tcBorders>
              <w:bottom w:val="single" w:sz="8" w:color="auto"/>
              <w:right w:val="single" w:sz="8" w:color="auto"/>
            </w:tcBorders>
          </w:tcPr>
          <w:p>
            <w:pPr>
              <w:spacing w:after="0"/>
              <w:rPr>
                <w:sz w:val="15"/>
                <w:szCs w:val="15"/>
                <w:color w:val="auto"/>
              </w:rPr>
            </w:pPr>
          </w:p>
        </w:tc>
      </w:tr>
      <w:tr>
        <w:trPr>
          <w:trHeight w:val="145"/>
        </w:trPr>
        <w:tc>
          <w:tcPr>
            <w:tcW w:w="5540" w:type="dxa"/>
            <w:vAlign w:val="bottom"/>
            <w:tcBorders>
              <w:left w:val="single" w:sz="8" w:color="auto"/>
              <w:right w:val="single" w:sz="8" w:color="auto"/>
            </w:tcBorders>
          </w:tcPr>
          <w:p>
            <w:pPr>
              <w:ind w:left="40"/>
              <w:spacing w:after="0" w:line="146" w:lineRule="exact"/>
              <w:rPr>
                <w:sz w:val="20"/>
                <w:szCs w:val="20"/>
                <w:color w:val="auto"/>
              </w:rPr>
            </w:pPr>
            <w:r>
              <w:rPr>
                <w:rFonts w:ascii="Arial" w:cs="Arial" w:eastAsia="Arial" w:hAnsi="Arial"/>
                <w:sz w:val="13"/>
                <w:szCs w:val="13"/>
                <w:color w:val="auto"/>
              </w:rPr>
              <w:t>The compensation may also be paid for activities in companies that are directly or indirectly</w:t>
            </w:r>
          </w:p>
        </w:tc>
        <w:tc>
          <w:tcPr>
            <w:tcW w:w="240" w:type="dxa"/>
            <w:vAlign w:val="bottom"/>
            <w:tcBorders>
              <w:right w:val="single" w:sz="8" w:color="auto"/>
            </w:tcBorders>
          </w:tcPr>
          <w:p>
            <w:pPr>
              <w:spacing w:after="0"/>
              <w:rPr>
                <w:sz w:val="12"/>
                <w:szCs w:val="12"/>
                <w:color w:val="auto"/>
              </w:rPr>
            </w:pPr>
          </w:p>
        </w:tc>
        <w:tc>
          <w:tcPr>
            <w:tcW w:w="5520" w:type="dxa"/>
            <w:vAlign w:val="bottom"/>
            <w:tcBorders>
              <w:right w:val="single" w:sz="8" w:color="auto"/>
            </w:tcBorders>
          </w:tcPr>
          <w:p>
            <w:pPr>
              <w:ind w:left="20"/>
              <w:spacing w:after="0" w:line="146" w:lineRule="exact"/>
              <w:rPr>
                <w:sz w:val="20"/>
                <w:szCs w:val="20"/>
                <w:color w:val="auto"/>
              </w:rPr>
            </w:pPr>
            <w:r>
              <w:rPr>
                <w:rFonts w:ascii="Arial" w:cs="Arial" w:eastAsia="Arial" w:hAnsi="Arial"/>
                <w:sz w:val="13"/>
                <w:szCs w:val="13"/>
                <w:color w:val="auto"/>
              </w:rPr>
              <w:t>La rémunération peut également être versée pour activités dans des entreprises qui sont</w:t>
            </w:r>
          </w:p>
        </w:tc>
      </w:tr>
      <w:tr>
        <w:trPr>
          <w:trHeight w:val="145"/>
        </w:trPr>
        <w:tc>
          <w:tcPr>
            <w:tcW w:w="5540" w:type="dxa"/>
            <w:vAlign w:val="bottom"/>
            <w:tcBorders>
              <w:left w:val="single" w:sz="8" w:color="auto"/>
              <w:right w:val="single" w:sz="8" w:color="auto"/>
            </w:tcBorders>
          </w:tcPr>
          <w:p>
            <w:pPr>
              <w:ind w:left="40"/>
              <w:spacing w:after="0" w:line="145" w:lineRule="exact"/>
              <w:rPr>
                <w:sz w:val="20"/>
                <w:szCs w:val="20"/>
                <w:color w:val="auto"/>
              </w:rPr>
            </w:pPr>
            <w:r>
              <w:rPr>
                <w:rFonts w:ascii="Arial" w:cs="Arial" w:eastAsia="Arial" w:hAnsi="Arial"/>
                <w:sz w:val="13"/>
                <w:szCs w:val="13"/>
                <w:color w:val="auto"/>
              </w:rPr>
              <w:t>controlled by the Company and may be paid by the Company or by a company controlled by it.</w:t>
            </w:r>
          </w:p>
        </w:tc>
        <w:tc>
          <w:tcPr>
            <w:tcW w:w="240" w:type="dxa"/>
            <w:vAlign w:val="bottom"/>
            <w:tcBorders>
              <w:right w:val="single" w:sz="8" w:color="auto"/>
            </w:tcBorders>
          </w:tcPr>
          <w:p>
            <w:pPr>
              <w:spacing w:after="0"/>
              <w:rPr>
                <w:sz w:val="12"/>
                <w:szCs w:val="12"/>
                <w:color w:val="auto"/>
              </w:rPr>
            </w:pPr>
          </w:p>
        </w:tc>
        <w:tc>
          <w:tcPr>
            <w:tcW w:w="5520" w:type="dxa"/>
            <w:vAlign w:val="bottom"/>
            <w:tcBorders>
              <w:right w:val="single" w:sz="8" w:color="auto"/>
            </w:tcBorders>
          </w:tcPr>
          <w:p>
            <w:pPr>
              <w:ind w:left="20"/>
              <w:spacing w:after="0" w:line="145" w:lineRule="exact"/>
              <w:rPr>
                <w:sz w:val="20"/>
                <w:szCs w:val="20"/>
                <w:color w:val="auto"/>
              </w:rPr>
            </w:pPr>
            <w:r>
              <w:rPr>
                <w:rFonts w:ascii="Arial" w:cs="Arial" w:eastAsia="Arial" w:hAnsi="Arial"/>
                <w:sz w:val="13"/>
                <w:szCs w:val="13"/>
                <w:color w:val="auto"/>
              </w:rPr>
              <w:t>contrôlées directement ou indirectement par la société et peut être versée par la société ou par</w:t>
            </w:r>
          </w:p>
        </w:tc>
      </w:tr>
      <w:tr>
        <w:trPr>
          <w:trHeight w:val="173"/>
        </w:trPr>
        <w:tc>
          <w:tcPr>
            <w:tcW w:w="5540" w:type="dxa"/>
            <w:vAlign w:val="bottom"/>
            <w:tcBorders>
              <w:left w:val="single" w:sz="8" w:color="auto"/>
              <w:bottom w:val="single" w:sz="8" w:color="auto"/>
              <w:right w:val="single" w:sz="8" w:color="auto"/>
            </w:tcBorders>
          </w:tcPr>
          <w:p>
            <w:pPr>
              <w:spacing w:after="0"/>
              <w:rPr>
                <w:sz w:val="15"/>
                <w:szCs w:val="15"/>
                <w:color w:val="auto"/>
              </w:rPr>
            </w:pPr>
          </w:p>
        </w:tc>
        <w:tc>
          <w:tcPr>
            <w:tcW w:w="240" w:type="dxa"/>
            <w:vAlign w:val="bottom"/>
            <w:tcBorders>
              <w:bottom w:val="single" w:sz="8" w:color="auto"/>
              <w:right w:val="single" w:sz="8" w:color="auto"/>
            </w:tcBorders>
          </w:tcPr>
          <w:p>
            <w:pPr>
              <w:spacing w:after="0"/>
              <w:rPr>
                <w:sz w:val="15"/>
                <w:szCs w:val="15"/>
                <w:color w:val="auto"/>
              </w:rPr>
            </w:pPr>
          </w:p>
        </w:tc>
        <w:tc>
          <w:tcPr>
            <w:tcW w:w="55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3"/>
                <w:szCs w:val="13"/>
                <w:color w:val="auto"/>
              </w:rPr>
              <w:t>une société contrôlée par elle.</w:t>
            </w:r>
          </w:p>
        </w:tc>
      </w:tr>
    </w:tbl>
    <w:p>
      <w:pPr>
        <w:spacing w:after="0" w:line="59"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5"/>
          <w:szCs w:val="15"/>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12700</wp:posOffset>
            </wp:positionV>
            <wp:extent cx="7171690" cy="635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71690" cy="6350"/>
                    </a:xfrm>
                    <a:prstGeom prst="rect">
                      <a:avLst/>
                    </a:prstGeom>
                    <a:noFill/>
                  </pic:spPr>
                </pic:pic>
              </a:graphicData>
            </a:graphic>
          </wp:anchor>
        </w:drawing>
      </w:r>
    </w:p>
    <w:p>
      <w:pPr>
        <w:sectPr>
          <w:pgSz w:w="11900" w:h="16838" w:orient="portrait"/>
          <w:cols w:equalWidth="0" w:num="1">
            <w:col w:w="11300"/>
          </w:cols>
          <w:pgMar w:left="300" w:top="448" w:right="299" w:bottom="1440" w:gutter="0" w:footer="0" w:header="0"/>
        </w:sectPr>
      </w:pPr>
    </w:p>
    <w:bookmarkStart w:id="84" w:name="page85"/>
    <w:bookmarkEnd w:id="84"/>
    <w:tbl>
      <w:tblPr>
        <w:tblLayout w:type="fixed"/>
        <w:tblInd w:w="10" w:type="dxa"/>
        <w:tblCellMar>
          <w:top w:w="0" w:type="dxa"/>
          <w:left w:w="0" w:type="dxa"/>
          <w:bottom w:w="0" w:type="dxa"/>
          <w:right w:w="0" w:type="dxa"/>
        </w:tblCellMar>
      </w:tblPr>
      <w:tr>
        <w:trPr>
          <w:trHeight w:val="193"/>
        </w:trPr>
        <w:tc>
          <w:tcPr>
            <w:tcW w:w="5540" w:type="dxa"/>
            <w:vAlign w:val="bottom"/>
            <w:tcBorders>
              <w:top w:val="single" w:sz="8" w:color="auto"/>
              <w:left w:val="single" w:sz="8" w:color="auto"/>
              <w:right w:val="single" w:sz="8" w:color="auto"/>
            </w:tcBorders>
            <w:gridSpan w:val="2"/>
          </w:tcPr>
          <w:p>
            <w:pPr>
              <w:ind w:left="40"/>
              <w:spacing w:after="0"/>
              <w:rPr>
                <w:sz w:val="20"/>
                <w:szCs w:val="20"/>
                <w:color w:val="auto"/>
              </w:rPr>
            </w:pPr>
            <w:r>
              <w:rPr>
                <w:rFonts w:ascii="Arial" w:cs="Arial" w:eastAsia="Arial" w:hAnsi="Arial"/>
                <w:sz w:val="13"/>
                <w:szCs w:val="13"/>
                <w:b w:val="1"/>
                <w:bCs w:val="1"/>
                <w:color w:val="auto"/>
              </w:rPr>
              <w:t>Art. 34  Compensation for new Members of the Executive Committee</w:t>
            </w:r>
          </w:p>
        </w:tc>
        <w:tc>
          <w:tcPr>
            <w:tcW w:w="240" w:type="dxa"/>
            <w:vAlign w:val="bottom"/>
            <w:tcBorders>
              <w:top w:val="single" w:sz="8" w:color="auto"/>
              <w:right w:val="single" w:sz="8" w:color="auto"/>
            </w:tcBorders>
          </w:tcPr>
          <w:p>
            <w:pPr>
              <w:spacing w:after="0"/>
              <w:rPr>
                <w:sz w:val="16"/>
                <w:szCs w:val="16"/>
                <w:color w:val="auto"/>
              </w:rPr>
            </w:pPr>
          </w:p>
        </w:tc>
        <w:tc>
          <w:tcPr>
            <w:tcW w:w="5520" w:type="dxa"/>
            <w:vAlign w:val="bottom"/>
            <w:tcBorders>
              <w:top w:val="single" w:sz="8" w:color="auto"/>
              <w:right w:val="single" w:sz="8" w:color="auto"/>
            </w:tcBorders>
          </w:tcPr>
          <w:p>
            <w:pPr>
              <w:ind w:left="20"/>
              <w:spacing w:after="0"/>
              <w:rPr>
                <w:sz w:val="20"/>
                <w:szCs w:val="20"/>
                <w:color w:val="auto"/>
              </w:rPr>
            </w:pPr>
            <w:r>
              <w:rPr>
                <w:rFonts w:ascii="Arial" w:cs="Arial" w:eastAsia="Arial" w:hAnsi="Arial"/>
                <w:sz w:val="13"/>
                <w:szCs w:val="13"/>
                <w:b w:val="1"/>
                <w:bCs w:val="1"/>
                <w:color w:val="auto"/>
              </w:rPr>
              <w:t>Art. 34  Rémunération pour les nouveaux membres du comité exécutif</w:t>
            </w:r>
          </w:p>
        </w:tc>
      </w:tr>
      <w:tr>
        <w:trPr>
          <w:trHeight w:val="258"/>
        </w:trPr>
        <w:tc>
          <w:tcPr>
            <w:tcW w:w="5540" w:type="dxa"/>
            <w:vAlign w:val="bottom"/>
            <w:tcBorders>
              <w:left w:val="single" w:sz="8" w:color="auto"/>
              <w:right w:val="single" w:sz="8" w:color="auto"/>
            </w:tcBorders>
            <w:gridSpan w:val="2"/>
          </w:tcPr>
          <w:p>
            <w:pPr>
              <w:ind w:left="40"/>
              <w:spacing w:after="0"/>
              <w:rPr>
                <w:sz w:val="20"/>
                <w:szCs w:val="20"/>
                <w:color w:val="auto"/>
              </w:rPr>
            </w:pPr>
            <w:r>
              <w:rPr>
                <w:rFonts w:ascii="Arial" w:cs="Arial" w:eastAsia="Arial" w:hAnsi="Arial"/>
                <w:sz w:val="13"/>
                <w:szCs w:val="13"/>
                <w:color w:val="auto"/>
              </w:rPr>
              <w:t>If new members of the Executive Committee are appointed and take up their position in the</w:t>
            </w:r>
          </w:p>
        </w:tc>
        <w:tc>
          <w:tcPr>
            <w:tcW w:w="240" w:type="dxa"/>
            <w:vAlign w:val="bottom"/>
            <w:tcBorders>
              <w:right w:val="single" w:sz="8" w:color="auto"/>
            </w:tcBorders>
          </w:tcPr>
          <w:p>
            <w:pPr>
              <w:spacing w:after="0"/>
              <w:rPr>
                <w:sz w:val="22"/>
                <w:szCs w:val="22"/>
                <w:color w:val="auto"/>
              </w:rPr>
            </w:pPr>
          </w:p>
        </w:tc>
        <w:tc>
          <w:tcPr>
            <w:tcW w:w="5520" w:type="dxa"/>
            <w:vAlign w:val="bottom"/>
            <w:tcBorders>
              <w:right w:val="single" w:sz="8" w:color="auto"/>
            </w:tcBorders>
          </w:tcPr>
          <w:p>
            <w:pPr>
              <w:ind w:left="20"/>
              <w:spacing w:after="0"/>
              <w:rPr>
                <w:sz w:val="20"/>
                <w:szCs w:val="20"/>
                <w:color w:val="auto"/>
              </w:rPr>
            </w:pPr>
            <w:r>
              <w:rPr>
                <w:rFonts w:ascii="Arial" w:cs="Arial" w:eastAsia="Arial" w:hAnsi="Arial"/>
                <w:sz w:val="13"/>
                <w:szCs w:val="13"/>
                <w:color w:val="auto"/>
              </w:rPr>
              <w:t>Si de nouveaux membres du comité exécutif sont nommés et prennent leur position dans la</w:t>
            </w:r>
          </w:p>
        </w:tc>
      </w:tr>
      <w:tr>
        <w:trPr>
          <w:trHeight w:val="145"/>
        </w:trPr>
        <w:tc>
          <w:tcPr>
            <w:tcW w:w="5540" w:type="dxa"/>
            <w:vAlign w:val="bottom"/>
            <w:tcBorders>
              <w:left w:val="single" w:sz="8" w:color="auto"/>
              <w:right w:val="single" w:sz="8" w:color="auto"/>
            </w:tcBorders>
            <w:gridSpan w:val="2"/>
          </w:tcPr>
          <w:p>
            <w:pPr>
              <w:ind w:left="40"/>
              <w:spacing w:after="0" w:line="145" w:lineRule="exact"/>
              <w:rPr>
                <w:sz w:val="20"/>
                <w:szCs w:val="20"/>
                <w:color w:val="auto"/>
              </w:rPr>
            </w:pPr>
            <w:r>
              <w:rPr>
                <w:rFonts w:ascii="Arial" w:cs="Arial" w:eastAsia="Arial" w:hAnsi="Arial"/>
                <w:sz w:val="13"/>
                <w:szCs w:val="13"/>
                <w:color w:val="auto"/>
              </w:rPr>
              <w:t>Company after the General Meeting has approved the maximum total compensation for</w:t>
            </w:r>
          </w:p>
        </w:tc>
        <w:tc>
          <w:tcPr>
            <w:tcW w:w="240" w:type="dxa"/>
            <w:vAlign w:val="bottom"/>
            <w:tcBorders>
              <w:right w:val="single" w:sz="8" w:color="auto"/>
            </w:tcBorders>
          </w:tcPr>
          <w:p>
            <w:pPr>
              <w:spacing w:after="0"/>
              <w:rPr>
                <w:sz w:val="12"/>
                <w:szCs w:val="12"/>
                <w:color w:val="auto"/>
              </w:rPr>
            </w:pPr>
          </w:p>
        </w:tc>
        <w:tc>
          <w:tcPr>
            <w:tcW w:w="5520" w:type="dxa"/>
            <w:vAlign w:val="bottom"/>
            <w:tcBorders>
              <w:right w:val="single" w:sz="8" w:color="auto"/>
            </w:tcBorders>
          </w:tcPr>
          <w:p>
            <w:pPr>
              <w:ind w:left="20"/>
              <w:spacing w:after="0" w:line="145" w:lineRule="exact"/>
              <w:rPr>
                <w:sz w:val="20"/>
                <w:szCs w:val="20"/>
                <w:color w:val="auto"/>
              </w:rPr>
            </w:pPr>
            <w:r>
              <w:rPr>
                <w:rFonts w:ascii="Arial" w:cs="Arial" w:eastAsia="Arial" w:hAnsi="Arial"/>
                <w:sz w:val="13"/>
                <w:szCs w:val="13"/>
                <w:color w:val="auto"/>
              </w:rPr>
              <w:t>société après que l'assemblée générale a approuvé la rémunération totale maximale pour les</w:t>
            </w:r>
          </w:p>
        </w:tc>
      </w:tr>
      <w:tr>
        <w:trPr>
          <w:trHeight w:val="145"/>
        </w:trPr>
        <w:tc>
          <w:tcPr>
            <w:tcW w:w="5540" w:type="dxa"/>
            <w:vAlign w:val="bottom"/>
            <w:tcBorders>
              <w:left w:val="single" w:sz="8" w:color="auto"/>
              <w:right w:val="single" w:sz="8" w:color="auto"/>
            </w:tcBorders>
            <w:gridSpan w:val="2"/>
          </w:tcPr>
          <w:p>
            <w:pPr>
              <w:ind w:left="40"/>
              <w:spacing w:after="0" w:line="145" w:lineRule="exact"/>
              <w:rPr>
                <w:sz w:val="20"/>
                <w:szCs w:val="20"/>
                <w:color w:val="auto"/>
              </w:rPr>
            </w:pPr>
            <w:r>
              <w:rPr>
                <w:rFonts w:ascii="Arial" w:cs="Arial" w:eastAsia="Arial" w:hAnsi="Arial"/>
                <w:sz w:val="13"/>
                <w:szCs w:val="13"/>
                <w:color w:val="auto"/>
              </w:rPr>
              <w:t>members of the Executive Committee for the year in question, the new members may be paid</w:t>
            </w:r>
          </w:p>
        </w:tc>
        <w:tc>
          <w:tcPr>
            <w:tcW w:w="240" w:type="dxa"/>
            <w:vAlign w:val="bottom"/>
            <w:tcBorders>
              <w:right w:val="single" w:sz="8" w:color="auto"/>
            </w:tcBorders>
          </w:tcPr>
          <w:p>
            <w:pPr>
              <w:spacing w:after="0"/>
              <w:rPr>
                <w:sz w:val="12"/>
                <w:szCs w:val="12"/>
                <w:color w:val="auto"/>
              </w:rPr>
            </w:pPr>
          </w:p>
        </w:tc>
        <w:tc>
          <w:tcPr>
            <w:tcW w:w="5520" w:type="dxa"/>
            <w:vAlign w:val="bottom"/>
            <w:tcBorders>
              <w:right w:val="single" w:sz="8" w:color="auto"/>
            </w:tcBorders>
          </w:tcPr>
          <w:p>
            <w:pPr>
              <w:ind w:left="20"/>
              <w:spacing w:after="0" w:line="145" w:lineRule="exact"/>
              <w:rPr>
                <w:sz w:val="20"/>
                <w:szCs w:val="20"/>
                <w:color w:val="auto"/>
              </w:rPr>
            </w:pPr>
            <w:r>
              <w:rPr>
                <w:rFonts w:ascii="Arial" w:cs="Arial" w:eastAsia="Arial" w:hAnsi="Arial"/>
                <w:sz w:val="13"/>
                <w:szCs w:val="13"/>
                <w:color w:val="auto"/>
              </w:rPr>
              <w:t>membres du comité exécutif pour l'année en question, les nouveaux membres peuvent être</w:t>
            </w:r>
          </w:p>
        </w:tc>
      </w:tr>
      <w:tr>
        <w:trPr>
          <w:trHeight w:val="145"/>
        </w:trPr>
        <w:tc>
          <w:tcPr>
            <w:tcW w:w="5540" w:type="dxa"/>
            <w:vAlign w:val="bottom"/>
            <w:tcBorders>
              <w:left w:val="single" w:sz="8" w:color="auto"/>
              <w:right w:val="single" w:sz="8" w:color="auto"/>
            </w:tcBorders>
            <w:gridSpan w:val="2"/>
          </w:tcPr>
          <w:p>
            <w:pPr>
              <w:ind w:left="40"/>
              <w:spacing w:after="0" w:line="145" w:lineRule="exact"/>
              <w:rPr>
                <w:sz w:val="20"/>
                <w:szCs w:val="20"/>
                <w:color w:val="auto"/>
              </w:rPr>
            </w:pPr>
            <w:r>
              <w:rPr>
                <w:rFonts w:ascii="Arial" w:cs="Arial" w:eastAsia="Arial" w:hAnsi="Arial"/>
                <w:sz w:val="13"/>
                <w:szCs w:val="13"/>
                <w:color w:val="auto"/>
              </w:rPr>
              <w:t>an additional amount for the period until the next Ordinary Meeting of Shareholder. The</w:t>
            </w:r>
          </w:p>
        </w:tc>
        <w:tc>
          <w:tcPr>
            <w:tcW w:w="240" w:type="dxa"/>
            <w:vAlign w:val="bottom"/>
            <w:tcBorders>
              <w:right w:val="single" w:sz="8" w:color="auto"/>
            </w:tcBorders>
          </w:tcPr>
          <w:p>
            <w:pPr>
              <w:spacing w:after="0"/>
              <w:rPr>
                <w:sz w:val="12"/>
                <w:szCs w:val="12"/>
                <w:color w:val="auto"/>
              </w:rPr>
            </w:pPr>
          </w:p>
        </w:tc>
        <w:tc>
          <w:tcPr>
            <w:tcW w:w="5520" w:type="dxa"/>
            <w:vAlign w:val="bottom"/>
            <w:tcBorders>
              <w:right w:val="single" w:sz="8" w:color="auto"/>
            </w:tcBorders>
          </w:tcPr>
          <w:p>
            <w:pPr>
              <w:ind w:left="20"/>
              <w:spacing w:after="0" w:line="145" w:lineRule="exact"/>
              <w:rPr>
                <w:sz w:val="20"/>
                <w:szCs w:val="20"/>
                <w:color w:val="auto"/>
              </w:rPr>
            </w:pPr>
            <w:r>
              <w:rPr>
                <w:rFonts w:ascii="Arial" w:cs="Arial" w:eastAsia="Arial" w:hAnsi="Arial"/>
                <w:sz w:val="13"/>
                <w:szCs w:val="13"/>
                <w:color w:val="auto"/>
                <w:w w:val="99"/>
              </w:rPr>
              <w:t>payés au moyen d'un montant additionnel pour la période allant jusqu'à la prochaine assemblée</w:t>
            </w:r>
          </w:p>
        </w:tc>
      </w:tr>
      <w:tr>
        <w:trPr>
          <w:trHeight w:val="145"/>
        </w:trPr>
        <w:tc>
          <w:tcPr>
            <w:tcW w:w="5540" w:type="dxa"/>
            <w:vAlign w:val="bottom"/>
            <w:tcBorders>
              <w:left w:val="single" w:sz="8" w:color="auto"/>
              <w:right w:val="single" w:sz="8" w:color="auto"/>
            </w:tcBorders>
            <w:gridSpan w:val="2"/>
          </w:tcPr>
          <w:p>
            <w:pPr>
              <w:ind w:left="40"/>
              <w:spacing w:after="0" w:line="145" w:lineRule="exact"/>
              <w:rPr>
                <w:sz w:val="20"/>
                <w:szCs w:val="20"/>
                <w:color w:val="auto"/>
              </w:rPr>
            </w:pPr>
            <w:r>
              <w:rPr>
                <w:rFonts w:ascii="Arial" w:cs="Arial" w:eastAsia="Arial" w:hAnsi="Arial"/>
                <w:sz w:val="13"/>
                <w:szCs w:val="13"/>
                <w:color w:val="auto"/>
              </w:rPr>
              <w:t>additional amount payable to all new members of the Executive Committee may not exceed 50</w:t>
            </w:r>
          </w:p>
        </w:tc>
        <w:tc>
          <w:tcPr>
            <w:tcW w:w="240" w:type="dxa"/>
            <w:vAlign w:val="bottom"/>
            <w:tcBorders>
              <w:right w:val="single" w:sz="8" w:color="auto"/>
            </w:tcBorders>
          </w:tcPr>
          <w:p>
            <w:pPr>
              <w:spacing w:after="0"/>
              <w:rPr>
                <w:sz w:val="12"/>
                <w:szCs w:val="12"/>
                <w:color w:val="auto"/>
              </w:rPr>
            </w:pPr>
          </w:p>
        </w:tc>
        <w:tc>
          <w:tcPr>
            <w:tcW w:w="5520" w:type="dxa"/>
            <w:vAlign w:val="bottom"/>
            <w:tcBorders>
              <w:right w:val="single" w:sz="8" w:color="auto"/>
            </w:tcBorders>
          </w:tcPr>
          <w:p>
            <w:pPr>
              <w:ind w:left="20"/>
              <w:spacing w:after="0" w:line="145" w:lineRule="exact"/>
              <w:rPr>
                <w:sz w:val="20"/>
                <w:szCs w:val="20"/>
                <w:color w:val="auto"/>
              </w:rPr>
            </w:pPr>
            <w:r>
              <w:rPr>
                <w:rFonts w:ascii="Arial" w:cs="Arial" w:eastAsia="Arial" w:hAnsi="Arial"/>
                <w:sz w:val="13"/>
                <w:szCs w:val="13"/>
                <w:color w:val="auto"/>
              </w:rPr>
              <w:t>ordinaire des actionnaires. Le montant additionnel payable à tous les nouveaux membres du</w:t>
            </w:r>
          </w:p>
        </w:tc>
      </w:tr>
      <w:tr>
        <w:trPr>
          <w:trHeight w:val="145"/>
        </w:trPr>
        <w:tc>
          <w:tcPr>
            <w:tcW w:w="5540" w:type="dxa"/>
            <w:vAlign w:val="bottom"/>
            <w:tcBorders>
              <w:left w:val="single" w:sz="8" w:color="auto"/>
              <w:right w:val="single" w:sz="8" w:color="auto"/>
            </w:tcBorders>
            <w:gridSpan w:val="2"/>
          </w:tcPr>
          <w:p>
            <w:pPr>
              <w:ind w:left="40"/>
              <w:spacing w:after="0" w:line="145" w:lineRule="exact"/>
              <w:rPr>
                <w:sz w:val="20"/>
                <w:szCs w:val="20"/>
                <w:color w:val="auto"/>
              </w:rPr>
            </w:pPr>
            <w:r>
              <w:rPr>
                <w:rFonts w:ascii="Arial" w:cs="Arial" w:eastAsia="Arial" w:hAnsi="Arial"/>
                <w:sz w:val="13"/>
                <w:szCs w:val="13"/>
                <w:color w:val="auto"/>
              </w:rPr>
              <w:t>percent of the respective total compensation already approved by the General Meeting. The</w:t>
            </w:r>
          </w:p>
        </w:tc>
        <w:tc>
          <w:tcPr>
            <w:tcW w:w="240" w:type="dxa"/>
            <w:vAlign w:val="bottom"/>
            <w:tcBorders>
              <w:right w:val="single" w:sz="8" w:color="auto"/>
            </w:tcBorders>
          </w:tcPr>
          <w:p>
            <w:pPr>
              <w:spacing w:after="0"/>
              <w:rPr>
                <w:sz w:val="12"/>
                <w:szCs w:val="12"/>
                <w:color w:val="auto"/>
              </w:rPr>
            </w:pPr>
          </w:p>
        </w:tc>
        <w:tc>
          <w:tcPr>
            <w:tcW w:w="5520" w:type="dxa"/>
            <w:vAlign w:val="bottom"/>
            <w:tcBorders>
              <w:right w:val="single" w:sz="8" w:color="auto"/>
            </w:tcBorders>
          </w:tcPr>
          <w:p>
            <w:pPr>
              <w:ind w:left="20"/>
              <w:spacing w:after="0" w:line="145" w:lineRule="exact"/>
              <w:rPr>
                <w:sz w:val="20"/>
                <w:szCs w:val="20"/>
                <w:color w:val="auto"/>
              </w:rPr>
            </w:pPr>
            <w:r>
              <w:rPr>
                <w:rFonts w:ascii="Arial" w:cs="Arial" w:eastAsia="Arial" w:hAnsi="Arial"/>
                <w:sz w:val="13"/>
                <w:szCs w:val="13"/>
                <w:color w:val="auto"/>
              </w:rPr>
              <w:t>comité exécutif ne peut pas dépasser 50 pour cent de la rémunération totale respective déjà</w:t>
            </w:r>
          </w:p>
        </w:tc>
      </w:tr>
      <w:tr>
        <w:trPr>
          <w:trHeight w:val="145"/>
        </w:trPr>
        <w:tc>
          <w:tcPr>
            <w:tcW w:w="5540" w:type="dxa"/>
            <w:vAlign w:val="bottom"/>
            <w:tcBorders>
              <w:left w:val="single" w:sz="8" w:color="auto"/>
              <w:right w:val="single" w:sz="8" w:color="auto"/>
            </w:tcBorders>
            <w:gridSpan w:val="2"/>
          </w:tcPr>
          <w:p>
            <w:pPr>
              <w:ind w:left="40"/>
              <w:spacing w:after="0" w:line="145" w:lineRule="exact"/>
              <w:rPr>
                <w:sz w:val="20"/>
                <w:szCs w:val="20"/>
                <w:color w:val="auto"/>
              </w:rPr>
            </w:pPr>
            <w:r>
              <w:rPr>
                <w:rFonts w:ascii="Arial" w:cs="Arial" w:eastAsia="Arial" w:hAnsi="Arial"/>
                <w:sz w:val="13"/>
                <w:szCs w:val="13"/>
                <w:color w:val="auto"/>
              </w:rPr>
              <w:t>additional compensation may only be paid if the total compensation amount that has been</w:t>
            </w:r>
          </w:p>
        </w:tc>
        <w:tc>
          <w:tcPr>
            <w:tcW w:w="240" w:type="dxa"/>
            <w:vAlign w:val="bottom"/>
            <w:tcBorders>
              <w:right w:val="single" w:sz="8" w:color="auto"/>
            </w:tcBorders>
          </w:tcPr>
          <w:p>
            <w:pPr>
              <w:spacing w:after="0"/>
              <w:rPr>
                <w:sz w:val="12"/>
                <w:szCs w:val="12"/>
                <w:color w:val="auto"/>
              </w:rPr>
            </w:pPr>
          </w:p>
        </w:tc>
        <w:tc>
          <w:tcPr>
            <w:tcW w:w="5520" w:type="dxa"/>
            <w:vAlign w:val="bottom"/>
            <w:tcBorders>
              <w:right w:val="single" w:sz="8" w:color="auto"/>
            </w:tcBorders>
          </w:tcPr>
          <w:p>
            <w:pPr>
              <w:ind w:left="20"/>
              <w:spacing w:after="0" w:line="145" w:lineRule="exact"/>
              <w:rPr>
                <w:sz w:val="20"/>
                <w:szCs w:val="20"/>
                <w:color w:val="auto"/>
              </w:rPr>
            </w:pPr>
            <w:r>
              <w:rPr>
                <w:rFonts w:ascii="Arial" w:cs="Arial" w:eastAsia="Arial" w:hAnsi="Arial"/>
                <w:sz w:val="13"/>
                <w:szCs w:val="13"/>
                <w:color w:val="auto"/>
                <w:w w:val="99"/>
              </w:rPr>
              <w:t>approuvé par l'assemblée générale. La rémunération additionnelle ne peut être versée que si le</w:t>
            </w:r>
          </w:p>
        </w:tc>
      </w:tr>
      <w:tr>
        <w:trPr>
          <w:trHeight w:val="145"/>
        </w:trPr>
        <w:tc>
          <w:tcPr>
            <w:tcW w:w="5540" w:type="dxa"/>
            <w:vAlign w:val="bottom"/>
            <w:tcBorders>
              <w:left w:val="single" w:sz="8" w:color="auto"/>
              <w:right w:val="single" w:sz="8" w:color="auto"/>
            </w:tcBorders>
            <w:gridSpan w:val="2"/>
          </w:tcPr>
          <w:p>
            <w:pPr>
              <w:ind w:left="40"/>
              <w:spacing w:after="0" w:line="145" w:lineRule="exact"/>
              <w:rPr>
                <w:sz w:val="20"/>
                <w:szCs w:val="20"/>
                <w:color w:val="auto"/>
              </w:rPr>
            </w:pPr>
            <w:r>
              <w:rPr>
                <w:rFonts w:ascii="Arial" w:cs="Arial" w:eastAsia="Arial" w:hAnsi="Arial"/>
                <w:sz w:val="13"/>
                <w:szCs w:val="13"/>
                <w:color w:val="auto"/>
              </w:rPr>
              <w:t>approved by the General Meeting for the compensation of the members of the Executive</w:t>
            </w:r>
          </w:p>
        </w:tc>
        <w:tc>
          <w:tcPr>
            <w:tcW w:w="240" w:type="dxa"/>
            <w:vAlign w:val="bottom"/>
            <w:tcBorders>
              <w:right w:val="single" w:sz="8" w:color="auto"/>
            </w:tcBorders>
          </w:tcPr>
          <w:p>
            <w:pPr>
              <w:spacing w:after="0"/>
              <w:rPr>
                <w:sz w:val="12"/>
                <w:szCs w:val="12"/>
                <w:color w:val="auto"/>
              </w:rPr>
            </w:pPr>
          </w:p>
        </w:tc>
        <w:tc>
          <w:tcPr>
            <w:tcW w:w="5520" w:type="dxa"/>
            <w:vAlign w:val="bottom"/>
            <w:tcBorders>
              <w:right w:val="single" w:sz="8" w:color="auto"/>
            </w:tcBorders>
          </w:tcPr>
          <w:p>
            <w:pPr>
              <w:ind w:left="20"/>
              <w:spacing w:after="0" w:line="145" w:lineRule="exact"/>
              <w:rPr>
                <w:sz w:val="20"/>
                <w:szCs w:val="20"/>
                <w:color w:val="auto"/>
              </w:rPr>
            </w:pPr>
            <w:r>
              <w:rPr>
                <w:rFonts w:ascii="Arial" w:cs="Arial" w:eastAsia="Arial" w:hAnsi="Arial"/>
                <w:sz w:val="13"/>
                <w:szCs w:val="13"/>
                <w:color w:val="auto"/>
              </w:rPr>
              <w:t>montant total de la rémunération qui a été approuvé par l'assemblée générale pour la</w:t>
            </w:r>
          </w:p>
        </w:tc>
      </w:tr>
      <w:tr>
        <w:trPr>
          <w:trHeight w:val="145"/>
        </w:trPr>
        <w:tc>
          <w:tcPr>
            <w:tcW w:w="5540" w:type="dxa"/>
            <w:vAlign w:val="bottom"/>
            <w:tcBorders>
              <w:left w:val="single" w:sz="8" w:color="auto"/>
              <w:right w:val="single" w:sz="8" w:color="auto"/>
            </w:tcBorders>
            <w:gridSpan w:val="2"/>
          </w:tcPr>
          <w:p>
            <w:pPr>
              <w:ind w:left="40"/>
              <w:spacing w:after="0" w:line="145" w:lineRule="exact"/>
              <w:rPr>
                <w:sz w:val="20"/>
                <w:szCs w:val="20"/>
                <w:color w:val="auto"/>
              </w:rPr>
            </w:pPr>
            <w:r>
              <w:rPr>
                <w:rFonts w:ascii="Arial" w:cs="Arial" w:eastAsia="Arial" w:hAnsi="Arial"/>
                <w:sz w:val="13"/>
                <w:szCs w:val="13"/>
                <w:color w:val="auto"/>
                <w:w w:val="99"/>
              </w:rPr>
              <w:t>Committee is insufficient to compensate the newly appointed members. The General Meeting is</w:t>
            </w:r>
          </w:p>
        </w:tc>
        <w:tc>
          <w:tcPr>
            <w:tcW w:w="240" w:type="dxa"/>
            <w:vAlign w:val="bottom"/>
            <w:tcBorders>
              <w:right w:val="single" w:sz="8" w:color="auto"/>
            </w:tcBorders>
          </w:tcPr>
          <w:p>
            <w:pPr>
              <w:spacing w:after="0"/>
              <w:rPr>
                <w:sz w:val="12"/>
                <w:szCs w:val="12"/>
                <w:color w:val="auto"/>
              </w:rPr>
            </w:pPr>
          </w:p>
        </w:tc>
        <w:tc>
          <w:tcPr>
            <w:tcW w:w="5520" w:type="dxa"/>
            <w:vAlign w:val="bottom"/>
            <w:tcBorders>
              <w:right w:val="single" w:sz="8" w:color="auto"/>
            </w:tcBorders>
          </w:tcPr>
          <w:p>
            <w:pPr>
              <w:ind w:left="20"/>
              <w:spacing w:after="0" w:line="145" w:lineRule="exact"/>
              <w:rPr>
                <w:sz w:val="20"/>
                <w:szCs w:val="20"/>
                <w:color w:val="auto"/>
              </w:rPr>
            </w:pPr>
            <w:r>
              <w:rPr>
                <w:rFonts w:ascii="Arial" w:cs="Arial" w:eastAsia="Arial" w:hAnsi="Arial"/>
                <w:sz w:val="13"/>
                <w:szCs w:val="13"/>
                <w:color w:val="auto"/>
              </w:rPr>
              <w:t>rémunération des membres du comité exécutif est insuffisant pour rémunérer les membres</w:t>
            </w:r>
          </w:p>
        </w:tc>
      </w:tr>
      <w:tr>
        <w:trPr>
          <w:trHeight w:val="145"/>
        </w:trPr>
        <w:tc>
          <w:tcPr>
            <w:tcW w:w="5540" w:type="dxa"/>
            <w:vAlign w:val="bottom"/>
            <w:tcBorders>
              <w:left w:val="single" w:sz="8" w:color="auto"/>
              <w:right w:val="single" w:sz="8" w:color="auto"/>
            </w:tcBorders>
            <w:gridSpan w:val="2"/>
          </w:tcPr>
          <w:p>
            <w:pPr>
              <w:ind w:left="40"/>
              <w:spacing w:after="0" w:line="145" w:lineRule="exact"/>
              <w:rPr>
                <w:sz w:val="20"/>
                <w:szCs w:val="20"/>
                <w:color w:val="auto"/>
              </w:rPr>
            </w:pPr>
            <w:r>
              <w:rPr>
                <w:rFonts w:ascii="Arial" w:cs="Arial" w:eastAsia="Arial" w:hAnsi="Arial"/>
                <w:sz w:val="13"/>
                <w:szCs w:val="13"/>
                <w:color w:val="auto"/>
              </w:rPr>
              <w:t>not required to vote on this additional amount.</w:t>
            </w:r>
          </w:p>
        </w:tc>
        <w:tc>
          <w:tcPr>
            <w:tcW w:w="240" w:type="dxa"/>
            <w:vAlign w:val="bottom"/>
            <w:tcBorders>
              <w:right w:val="single" w:sz="8" w:color="auto"/>
            </w:tcBorders>
          </w:tcPr>
          <w:p>
            <w:pPr>
              <w:spacing w:after="0"/>
              <w:rPr>
                <w:sz w:val="12"/>
                <w:szCs w:val="12"/>
                <w:color w:val="auto"/>
              </w:rPr>
            </w:pPr>
          </w:p>
        </w:tc>
        <w:tc>
          <w:tcPr>
            <w:tcW w:w="5520" w:type="dxa"/>
            <w:vAlign w:val="bottom"/>
            <w:tcBorders>
              <w:right w:val="single" w:sz="8" w:color="auto"/>
            </w:tcBorders>
          </w:tcPr>
          <w:p>
            <w:pPr>
              <w:ind w:left="20"/>
              <w:spacing w:after="0" w:line="145" w:lineRule="exact"/>
              <w:rPr>
                <w:sz w:val="20"/>
                <w:szCs w:val="20"/>
                <w:color w:val="auto"/>
              </w:rPr>
            </w:pPr>
            <w:r>
              <w:rPr>
                <w:rFonts w:ascii="Arial" w:cs="Arial" w:eastAsia="Arial" w:hAnsi="Arial"/>
                <w:sz w:val="13"/>
                <w:szCs w:val="13"/>
                <w:color w:val="auto"/>
              </w:rPr>
              <w:t>nouvellement nommés.  L'assemblée  générale  n'a  pas  à  se  prononcer  sur  ce  montant</w:t>
            </w:r>
          </w:p>
        </w:tc>
      </w:tr>
      <w:tr>
        <w:trPr>
          <w:trHeight w:val="168"/>
        </w:trPr>
        <w:tc>
          <w:tcPr>
            <w:tcW w:w="500" w:type="dxa"/>
            <w:vAlign w:val="bottom"/>
            <w:tcBorders>
              <w:left w:val="single" w:sz="8" w:color="auto"/>
            </w:tcBorders>
          </w:tcPr>
          <w:p>
            <w:pPr>
              <w:spacing w:after="0"/>
              <w:rPr>
                <w:sz w:val="14"/>
                <w:szCs w:val="14"/>
                <w:color w:val="auto"/>
              </w:rPr>
            </w:pPr>
          </w:p>
        </w:tc>
        <w:tc>
          <w:tcPr>
            <w:tcW w:w="5040" w:type="dxa"/>
            <w:vAlign w:val="bottom"/>
            <w:tcBorders>
              <w:right w:val="single" w:sz="8" w:color="auto"/>
            </w:tcBorders>
          </w:tcPr>
          <w:p>
            <w:pPr>
              <w:spacing w:after="0"/>
              <w:rPr>
                <w:sz w:val="14"/>
                <w:szCs w:val="14"/>
                <w:color w:val="auto"/>
              </w:rPr>
            </w:pPr>
          </w:p>
        </w:tc>
        <w:tc>
          <w:tcPr>
            <w:tcW w:w="240" w:type="dxa"/>
            <w:vAlign w:val="bottom"/>
            <w:tcBorders>
              <w:right w:val="single" w:sz="8" w:color="auto"/>
            </w:tcBorders>
          </w:tcPr>
          <w:p>
            <w:pPr>
              <w:spacing w:after="0"/>
              <w:rPr>
                <w:sz w:val="14"/>
                <w:szCs w:val="14"/>
                <w:color w:val="auto"/>
              </w:rPr>
            </w:pPr>
          </w:p>
        </w:tc>
        <w:tc>
          <w:tcPr>
            <w:tcW w:w="5520" w:type="dxa"/>
            <w:vAlign w:val="bottom"/>
            <w:tcBorders>
              <w:right w:val="single" w:sz="8" w:color="auto"/>
            </w:tcBorders>
          </w:tcPr>
          <w:p>
            <w:pPr>
              <w:ind w:left="20"/>
              <w:spacing w:after="0"/>
              <w:rPr>
                <w:sz w:val="20"/>
                <w:szCs w:val="20"/>
                <w:color w:val="auto"/>
              </w:rPr>
            </w:pPr>
            <w:r>
              <w:rPr>
                <w:rFonts w:ascii="Arial" w:cs="Arial" w:eastAsia="Arial" w:hAnsi="Arial"/>
                <w:sz w:val="13"/>
                <w:szCs w:val="13"/>
                <w:color w:val="auto"/>
              </w:rPr>
              <w:t>supplémentaire.</w:t>
            </w:r>
          </w:p>
        </w:tc>
      </w:tr>
      <w:tr>
        <w:trPr>
          <w:trHeight w:val="153"/>
        </w:trPr>
        <w:tc>
          <w:tcPr>
            <w:tcW w:w="5540" w:type="dxa"/>
            <w:vAlign w:val="bottom"/>
            <w:tcBorders>
              <w:left w:val="single" w:sz="8" w:color="auto"/>
              <w:bottom w:val="single" w:sz="8" w:color="auto"/>
              <w:right w:val="single" w:sz="8" w:color="auto"/>
            </w:tcBorders>
            <w:gridSpan w:val="2"/>
          </w:tcPr>
          <w:p>
            <w:pPr>
              <w:spacing w:after="0"/>
              <w:rPr>
                <w:sz w:val="13"/>
                <w:szCs w:val="13"/>
                <w:color w:val="auto"/>
              </w:rPr>
            </w:pPr>
          </w:p>
        </w:tc>
        <w:tc>
          <w:tcPr>
            <w:tcW w:w="240" w:type="dxa"/>
            <w:vAlign w:val="bottom"/>
            <w:tcBorders>
              <w:bottom w:val="single" w:sz="8" w:color="auto"/>
              <w:right w:val="single" w:sz="8" w:color="auto"/>
            </w:tcBorders>
          </w:tcPr>
          <w:p>
            <w:pPr>
              <w:spacing w:after="0"/>
              <w:rPr>
                <w:sz w:val="13"/>
                <w:szCs w:val="13"/>
                <w:color w:val="auto"/>
              </w:rPr>
            </w:pPr>
          </w:p>
        </w:tc>
        <w:tc>
          <w:tcPr>
            <w:tcW w:w="5520" w:type="dxa"/>
            <w:vAlign w:val="bottom"/>
            <w:tcBorders>
              <w:bottom w:val="single" w:sz="8" w:color="auto"/>
              <w:right w:val="single" w:sz="8" w:color="auto"/>
            </w:tcBorders>
          </w:tcPr>
          <w:p>
            <w:pPr>
              <w:spacing w:after="0"/>
              <w:rPr>
                <w:sz w:val="13"/>
                <w:szCs w:val="13"/>
                <w:color w:val="auto"/>
              </w:rPr>
            </w:pPr>
          </w:p>
        </w:tc>
      </w:tr>
      <w:tr>
        <w:trPr>
          <w:trHeight w:val="141"/>
        </w:trPr>
        <w:tc>
          <w:tcPr>
            <w:tcW w:w="5540" w:type="dxa"/>
            <w:vAlign w:val="bottom"/>
            <w:tcBorders>
              <w:left w:val="single" w:sz="8" w:color="auto"/>
              <w:right w:val="single" w:sz="8" w:color="auto"/>
            </w:tcBorders>
            <w:gridSpan w:val="2"/>
          </w:tcPr>
          <w:p>
            <w:pPr>
              <w:ind w:left="40"/>
              <w:spacing w:after="0" w:line="141" w:lineRule="exact"/>
              <w:rPr>
                <w:sz w:val="20"/>
                <w:szCs w:val="20"/>
                <w:color w:val="auto"/>
              </w:rPr>
            </w:pPr>
            <w:r>
              <w:rPr>
                <w:rFonts w:ascii="Arial" w:cs="Arial" w:eastAsia="Arial" w:hAnsi="Arial"/>
                <w:sz w:val="13"/>
                <w:szCs w:val="13"/>
                <w:color w:val="auto"/>
              </w:rPr>
              <w:t>This  additional  overall  compensation  is  understood  to  include  any  settlements  for  any</w:t>
            </w:r>
          </w:p>
        </w:tc>
        <w:tc>
          <w:tcPr>
            <w:tcW w:w="240" w:type="dxa"/>
            <w:vAlign w:val="bottom"/>
            <w:tcBorders>
              <w:right w:val="single" w:sz="8" w:color="auto"/>
            </w:tcBorders>
          </w:tcPr>
          <w:p>
            <w:pPr>
              <w:spacing w:after="0"/>
              <w:rPr>
                <w:sz w:val="12"/>
                <w:szCs w:val="12"/>
                <w:color w:val="auto"/>
              </w:rPr>
            </w:pPr>
          </w:p>
        </w:tc>
        <w:tc>
          <w:tcPr>
            <w:tcW w:w="5520" w:type="dxa"/>
            <w:vAlign w:val="bottom"/>
            <w:tcBorders>
              <w:right w:val="single" w:sz="8" w:color="auto"/>
            </w:tcBorders>
          </w:tcPr>
          <w:p>
            <w:pPr>
              <w:ind w:left="20"/>
              <w:spacing w:after="0" w:line="141" w:lineRule="exact"/>
              <w:rPr>
                <w:sz w:val="20"/>
                <w:szCs w:val="20"/>
                <w:color w:val="auto"/>
              </w:rPr>
            </w:pPr>
            <w:r>
              <w:rPr>
                <w:rFonts w:ascii="Arial" w:cs="Arial" w:eastAsia="Arial" w:hAnsi="Arial"/>
                <w:sz w:val="13"/>
                <w:szCs w:val="13"/>
                <w:color w:val="auto"/>
              </w:rPr>
              <w:t>Cette rémunération additionnelle globale est sensée comprendre tous les règlements pour tout</w:t>
            </w:r>
          </w:p>
        </w:tc>
      </w:tr>
      <w:tr>
        <w:trPr>
          <w:trHeight w:val="173"/>
        </w:trPr>
        <w:tc>
          <w:tcPr>
            <w:tcW w:w="5540" w:type="dxa"/>
            <w:vAlign w:val="bottom"/>
            <w:tcBorders>
              <w:left w:val="single" w:sz="8" w:color="auto"/>
              <w:bottom w:val="single" w:sz="8" w:color="auto"/>
              <w:right w:val="single" w:sz="8" w:color="auto"/>
            </w:tcBorders>
            <w:gridSpan w:val="2"/>
          </w:tcPr>
          <w:p>
            <w:pPr>
              <w:ind w:left="40"/>
              <w:spacing w:after="0"/>
              <w:rPr>
                <w:sz w:val="20"/>
                <w:szCs w:val="20"/>
                <w:color w:val="auto"/>
              </w:rPr>
            </w:pPr>
            <w:r>
              <w:rPr>
                <w:rFonts w:ascii="Arial" w:cs="Arial" w:eastAsia="Arial" w:hAnsi="Arial"/>
                <w:sz w:val="13"/>
                <w:szCs w:val="13"/>
                <w:color w:val="auto"/>
              </w:rPr>
              <w:t>disadvantage suffered as a result of the change of job.</w:t>
            </w:r>
          </w:p>
        </w:tc>
        <w:tc>
          <w:tcPr>
            <w:tcW w:w="240" w:type="dxa"/>
            <w:vAlign w:val="bottom"/>
            <w:tcBorders>
              <w:bottom w:val="single" w:sz="8" w:color="auto"/>
              <w:right w:val="single" w:sz="8" w:color="auto"/>
            </w:tcBorders>
          </w:tcPr>
          <w:p>
            <w:pPr>
              <w:spacing w:after="0"/>
              <w:rPr>
                <w:sz w:val="15"/>
                <w:szCs w:val="15"/>
                <w:color w:val="auto"/>
              </w:rPr>
            </w:pPr>
          </w:p>
        </w:tc>
        <w:tc>
          <w:tcPr>
            <w:tcW w:w="55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3"/>
                <w:szCs w:val="13"/>
                <w:color w:val="auto"/>
              </w:rPr>
              <w:t>inconvénient subi à la suite du changement de travail.</w:t>
            </w:r>
          </w:p>
        </w:tc>
      </w:tr>
      <w:tr>
        <w:trPr>
          <w:trHeight w:val="177"/>
        </w:trPr>
        <w:tc>
          <w:tcPr>
            <w:tcW w:w="500" w:type="dxa"/>
            <w:vAlign w:val="bottom"/>
            <w:tcBorders>
              <w:left w:val="single" w:sz="8" w:color="auto"/>
            </w:tcBorders>
          </w:tcPr>
          <w:p>
            <w:pPr>
              <w:ind w:left="40"/>
              <w:spacing w:after="0"/>
              <w:rPr>
                <w:sz w:val="20"/>
                <w:szCs w:val="20"/>
                <w:color w:val="auto"/>
              </w:rPr>
            </w:pPr>
            <w:r>
              <w:rPr>
                <w:rFonts w:ascii="Arial" w:cs="Arial" w:eastAsia="Arial" w:hAnsi="Arial"/>
                <w:sz w:val="13"/>
                <w:szCs w:val="13"/>
                <w:b w:val="1"/>
                <w:bCs w:val="1"/>
                <w:color w:val="auto"/>
              </w:rPr>
              <w:t>Art. 35</w:t>
            </w:r>
          </w:p>
        </w:tc>
        <w:tc>
          <w:tcPr>
            <w:tcW w:w="5040" w:type="dxa"/>
            <w:vAlign w:val="bottom"/>
            <w:tcBorders>
              <w:right w:val="single" w:sz="8" w:color="auto"/>
            </w:tcBorders>
          </w:tcPr>
          <w:p>
            <w:pPr>
              <w:ind w:left="80"/>
              <w:spacing w:after="0"/>
              <w:rPr>
                <w:sz w:val="20"/>
                <w:szCs w:val="20"/>
                <w:color w:val="auto"/>
              </w:rPr>
            </w:pPr>
            <w:r>
              <w:rPr>
                <w:rFonts w:ascii="Arial" w:cs="Arial" w:eastAsia="Arial" w:hAnsi="Arial"/>
                <w:sz w:val="13"/>
                <w:szCs w:val="13"/>
                <w:b w:val="1"/>
                <w:bCs w:val="1"/>
                <w:color w:val="auto"/>
              </w:rPr>
              <w:t>Expenses</w:t>
            </w:r>
          </w:p>
        </w:tc>
        <w:tc>
          <w:tcPr>
            <w:tcW w:w="240" w:type="dxa"/>
            <w:vAlign w:val="bottom"/>
            <w:tcBorders>
              <w:right w:val="single" w:sz="8" w:color="auto"/>
            </w:tcBorders>
          </w:tcPr>
          <w:p>
            <w:pPr>
              <w:spacing w:after="0"/>
              <w:rPr>
                <w:sz w:val="15"/>
                <w:szCs w:val="15"/>
                <w:color w:val="auto"/>
              </w:rPr>
            </w:pPr>
          </w:p>
        </w:tc>
        <w:tc>
          <w:tcPr>
            <w:tcW w:w="5520" w:type="dxa"/>
            <w:vAlign w:val="bottom"/>
            <w:tcBorders>
              <w:right w:val="single" w:sz="8" w:color="auto"/>
            </w:tcBorders>
          </w:tcPr>
          <w:p>
            <w:pPr>
              <w:ind w:left="20"/>
              <w:spacing w:after="0"/>
              <w:rPr>
                <w:sz w:val="20"/>
                <w:szCs w:val="20"/>
                <w:color w:val="auto"/>
              </w:rPr>
            </w:pPr>
            <w:r>
              <w:rPr>
                <w:rFonts w:ascii="Arial" w:cs="Arial" w:eastAsia="Arial" w:hAnsi="Arial"/>
                <w:sz w:val="13"/>
                <w:szCs w:val="13"/>
                <w:b w:val="1"/>
                <w:bCs w:val="1"/>
                <w:color w:val="auto"/>
              </w:rPr>
              <w:t>Art. 35  Dépenses</w:t>
            </w:r>
          </w:p>
        </w:tc>
      </w:tr>
      <w:tr>
        <w:trPr>
          <w:trHeight w:val="258"/>
        </w:trPr>
        <w:tc>
          <w:tcPr>
            <w:tcW w:w="5540" w:type="dxa"/>
            <w:vAlign w:val="bottom"/>
            <w:tcBorders>
              <w:left w:val="single" w:sz="8" w:color="auto"/>
              <w:right w:val="single" w:sz="8" w:color="auto"/>
            </w:tcBorders>
            <w:gridSpan w:val="2"/>
          </w:tcPr>
          <w:p>
            <w:pPr>
              <w:ind w:left="40"/>
              <w:spacing w:after="0"/>
              <w:rPr>
                <w:sz w:val="20"/>
                <w:szCs w:val="20"/>
                <w:color w:val="auto"/>
              </w:rPr>
            </w:pPr>
            <w:r>
              <w:rPr>
                <w:rFonts w:ascii="Arial" w:cs="Arial" w:eastAsia="Arial" w:hAnsi="Arial"/>
                <w:sz w:val="13"/>
                <w:szCs w:val="13"/>
                <w:color w:val="auto"/>
              </w:rPr>
              <w:t>Expenses which are not covered by the lump sum compensation pursuant to the Company's</w:t>
            </w:r>
          </w:p>
        </w:tc>
        <w:tc>
          <w:tcPr>
            <w:tcW w:w="240" w:type="dxa"/>
            <w:vAlign w:val="bottom"/>
            <w:tcBorders>
              <w:right w:val="single" w:sz="8" w:color="auto"/>
            </w:tcBorders>
          </w:tcPr>
          <w:p>
            <w:pPr>
              <w:spacing w:after="0"/>
              <w:rPr>
                <w:sz w:val="22"/>
                <w:szCs w:val="22"/>
                <w:color w:val="auto"/>
              </w:rPr>
            </w:pPr>
          </w:p>
        </w:tc>
        <w:tc>
          <w:tcPr>
            <w:tcW w:w="5520" w:type="dxa"/>
            <w:vAlign w:val="bottom"/>
            <w:tcBorders>
              <w:right w:val="single" w:sz="8" w:color="auto"/>
            </w:tcBorders>
          </w:tcPr>
          <w:p>
            <w:pPr>
              <w:ind w:left="20"/>
              <w:spacing w:after="0"/>
              <w:rPr>
                <w:sz w:val="20"/>
                <w:szCs w:val="20"/>
                <w:color w:val="auto"/>
              </w:rPr>
            </w:pPr>
            <w:r>
              <w:rPr>
                <w:rFonts w:ascii="Arial" w:cs="Arial" w:eastAsia="Arial" w:hAnsi="Arial"/>
                <w:sz w:val="13"/>
                <w:szCs w:val="13"/>
                <w:color w:val="auto"/>
              </w:rPr>
              <w:t>Les  dépenses  qui  ne  sont  pas  couvertes  par  l'indemnité  forfaitaire  conformément  aux</w:t>
            </w:r>
          </w:p>
        </w:tc>
      </w:tr>
      <w:tr>
        <w:trPr>
          <w:trHeight w:val="145"/>
        </w:trPr>
        <w:tc>
          <w:tcPr>
            <w:tcW w:w="5540" w:type="dxa"/>
            <w:vAlign w:val="bottom"/>
            <w:tcBorders>
              <w:left w:val="single" w:sz="8" w:color="auto"/>
              <w:right w:val="single" w:sz="8" w:color="auto"/>
            </w:tcBorders>
            <w:gridSpan w:val="2"/>
          </w:tcPr>
          <w:p>
            <w:pPr>
              <w:ind w:left="40"/>
              <w:spacing w:after="0" w:line="145" w:lineRule="exact"/>
              <w:rPr>
                <w:sz w:val="20"/>
                <w:szCs w:val="20"/>
                <w:color w:val="auto"/>
              </w:rPr>
            </w:pPr>
            <w:r>
              <w:rPr>
                <w:rFonts w:ascii="Arial" w:cs="Arial" w:eastAsia="Arial" w:hAnsi="Arial"/>
                <w:sz w:val="13"/>
                <w:szCs w:val="13"/>
                <w:color w:val="auto"/>
              </w:rPr>
              <w:t>expense regulations shall be reimbursed following presentation of the supporting receipts. This</w:t>
            </w:r>
          </w:p>
        </w:tc>
        <w:tc>
          <w:tcPr>
            <w:tcW w:w="240" w:type="dxa"/>
            <w:vAlign w:val="bottom"/>
            <w:tcBorders>
              <w:right w:val="single" w:sz="8" w:color="auto"/>
            </w:tcBorders>
          </w:tcPr>
          <w:p>
            <w:pPr>
              <w:spacing w:after="0"/>
              <w:rPr>
                <w:sz w:val="12"/>
                <w:szCs w:val="12"/>
                <w:color w:val="auto"/>
              </w:rPr>
            </w:pPr>
          </w:p>
        </w:tc>
        <w:tc>
          <w:tcPr>
            <w:tcW w:w="5520" w:type="dxa"/>
            <w:vAlign w:val="bottom"/>
            <w:tcBorders>
              <w:right w:val="single" w:sz="8" w:color="auto"/>
            </w:tcBorders>
          </w:tcPr>
          <w:p>
            <w:pPr>
              <w:ind w:left="20"/>
              <w:spacing w:after="0" w:line="145" w:lineRule="exact"/>
              <w:rPr>
                <w:sz w:val="20"/>
                <w:szCs w:val="20"/>
                <w:color w:val="auto"/>
              </w:rPr>
            </w:pPr>
            <w:r>
              <w:rPr>
                <w:rFonts w:ascii="Arial" w:cs="Arial" w:eastAsia="Arial" w:hAnsi="Arial"/>
                <w:sz w:val="13"/>
                <w:szCs w:val="13"/>
                <w:color w:val="auto"/>
              </w:rPr>
              <w:t>règlements de frais de la société sont remboursées à la suite de la présentation des reçus</w:t>
            </w:r>
          </w:p>
        </w:tc>
      </w:tr>
      <w:tr>
        <w:trPr>
          <w:trHeight w:val="145"/>
        </w:trPr>
        <w:tc>
          <w:tcPr>
            <w:tcW w:w="5540" w:type="dxa"/>
            <w:vAlign w:val="bottom"/>
            <w:tcBorders>
              <w:left w:val="single" w:sz="8" w:color="auto"/>
              <w:right w:val="single" w:sz="8" w:color="auto"/>
            </w:tcBorders>
            <w:gridSpan w:val="2"/>
          </w:tcPr>
          <w:p>
            <w:pPr>
              <w:ind w:left="40"/>
              <w:spacing w:after="0" w:line="145" w:lineRule="exact"/>
              <w:rPr>
                <w:sz w:val="20"/>
                <w:szCs w:val="20"/>
                <w:color w:val="auto"/>
              </w:rPr>
            </w:pPr>
            <w:r>
              <w:rPr>
                <w:rFonts w:ascii="Arial" w:cs="Arial" w:eastAsia="Arial" w:hAnsi="Arial"/>
                <w:sz w:val="13"/>
                <w:szCs w:val="13"/>
                <w:color w:val="auto"/>
              </w:rPr>
              <w:t>additional remuneration is not subject to a separate vote by the General Meeting.</w:t>
            </w:r>
          </w:p>
        </w:tc>
        <w:tc>
          <w:tcPr>
            <w:tcW w:w="240" w:type="dxa"/>
            <w:vAlign w:val="bottom"/>
            <w:tcBorders>
              <w:right w:val="single" w:sz="8" w:color="auto"/>
            </w:tcBorders>
          </w:tcPr>
          <w:p>
            <w:pPr>
              <w:spacing w:after="0"/>
              <w:rPr>
                <w:sz w:val="12"/>
                <w:szCs w:val="12"/>
                <w:color w:val="auto"/>
              </w:rPr>
            </w:pPr>
          </w:p>
        </w:tc>
        <w:tc>
          <w:tcPr>
            <w:tcW w:w="5520" w:type="dxa"/>
            <w:vAlign w:val="bottom"/>
            <w:tcBorders>
              <w:right w:val="single" w:sz="8" w:color="auto"/>
            </w:tcBorders>
          </w:tcPr>
          <w:p>
            <w:pPr>
              <w:ind w:left="20"/>
              <w:spacing w:after="0" w:line="145" w:lineRule="exact"/>
              <w:rPr>
                <w:sz w:val="20"/>
                <w:szCs w:val="20"/>
                <w:color w:val="auto"/>
              </w:rPr>
            </w:pPr>
            <w:r>
              <w:rPr>
                <w:rFonts w:ascii="Arial" w:cs="Arial" w:eastAsia="Arial" w:hAnsi="Arial"/>
                <w:sz w:val="13"/>
                <w:szCs w:val="13"/>
                <w:color w:val="auto"/>
              </w:rPr>
              <w:t>correspondants. Cette rémunération additionnelle n'est pas soumise à un vote séparé par</w:t>
            </w:r>
          </w:p>
        </w:tc>
      </w:tr>
      <w:tr>
        <w:trPr>
          <w:trHeight w:val="168"/>
        </w:trPr>
        <w:tc>
          <w:tcPr>
            <w:tcW w:w="500" w:type="dxa"/>
            <w:vAlign w:val="bottom"/>
            <w:tcBorders>
              <w:left w:val="single" w:sz="8" w:color="auto"/>
            </w:tcBorders>
          </w:tcPr>
          <w:p>
            <w:pPr>
              <w:spacing w:after="0"/>
              <w:rPr>
                <w:sz w:val="14"/>
                <w:szCs w:val="14"/>
                <w:color w:val="auto"/>
              </w:rPr>
            </w:pPr>
          </w:p>
        </w:tc>
        <w:tc>
          <w:tcPr>
            <w:tcW w:w="5040" w:type="dxa"/>
            <w:vAlign w:val="bottom"/>
            <w:tcBorders>
              <w:right w:val="single" w:sz="8" w:color="auto"/>
            </w:tcBorders>
          </w:tcPr>
          <w:p>
            <w:pPr>
              <w:spacing w:after="0"/>
              <w:rPr>
                <w:sz w:val="14"/>
                <w:szCs w:val="14"/>
                <w:color w:val="auto"/>
              </w:rPr>
            </w:pPr>
          </w:p>
        </w:tc>
        <w:tc>
          <w:tcPr>
            <w:tcW w:w="240" w:type="dxa"/>
            <w:vAlign w:val="bottom"/>
            <w:tcBorders>
              <w:right w:val="single" w:sz="8" w:color="auto"/>
            </w:tcBorders>
          </w:tcPr>
          <w:p>
            <w:pPr>
              <w:spacing w:after="0"/>
              <w:rPr>
                <w:sz w:val="14"/>
                <w:szCs w:val="14"/>
                <w:color w:val="auto"/>
              </w:rPr>
            </w:pPr>
          </w:p>
        </w:tc>
        <w:tc>
          <w:tcPr>
            <w:tcW w:w="5520" w:type="dxa"/>
            <w:vAlign w:val="bottom"/>
            <w:tcBorders>
              <w:right w:val="single" w:sz="8" w:color="auto"/>
            </w:tcBorders>
          </w:tcPr>
          <w:p>
            <w:pPr>
              <w:ind w:left="20"/>
              <w:spacing w:after="0"/>
              <w:rPr>
                <w:sz w:val="20"/>
                <w:szCs w:val="20"/>
                <w:color w:val="auto"/>
              </w:rPr>
            </w:pPr>
            <w:r>
              <w:rPr>
                <w:rFonts w:ascii="Arial" w:cs="Arial" w:eastAsia="Arial" w:hAnsi="Arial"/>
                <w:sz w:val="13"/>
                <w:szCs w:val="13"/>
                <w:color w:val="auto"/>
              </w:rPr>
              <w:t>l'assemblée générale.</w:t>
            </w:r>
          </w:p>
        </w:tc>
      </w:tr>
      <w:tr>
        <w:trPr>
          <w:trHeight w:val="153"/>
        </w:trPr>
        <w:tc>
          <w:tcPr>
            <w:tcW w:w="500" w:type="dxa"/>
            <w:vAlign w:val="bottom"/>
            <w:tcBorders>
              <w:left w:val="single" w:sz="8" w:color="auto"/>
              <w:bottom w:val="single" w:sz="8" w:color="auto"/>
            </w:tcBorders>
          </w:tcPr>
          <w:p>
            <w:pPr>
              <w:spacing w:after="0"/>
              <w:rPr>
                <w:sz w:val="13"/>
                <w:szCs w:val="13"/>
                <w:color w:val="auto"/>
              </w:rPr>
            </w:pPr>
          </w:p>
        </w:tc>
        <w:tc>
          <w:tcPr>
            <w:tcW w:w="5040" w:type="dxa"/>
            <w:vAlign w:val="bottom"/>
            <w:tcBorders>
              <w:bottom w:val="single" w:sz="8" w:color="auto"/>
              <w:right w:val="single" w:sz="8" w:color="auto"/>
            </w:tcBorders>
          </w:tcPr>
          <w:p>
            <w:pPr>
              <w:spacing w:after="0"/>
              <w:rPr>
                <w:sz w:val="13"/>
                <w:szCs w:val="13"/>
                <w:color w:val="auto"/>
              </w:rPr>
            </w:pPr>
          </w:p>
        </w:tc>
        <w:tc>
          <w:tcPr>
            <w:tcW w:w="240" w:type="dxa"/>
            <w:vAlign w:val="bottom"/>
            <w:tcBorders>
              <w:bottom w:val="single" w:sz="8" w:color="auto"/>
              <w:right w:val="single" w:sz="8" w:color="auto"/>
            </w:tcBorders>
          </w:tcPr>
          <w:p>
            <w:pPr>
              <w:spacing w:after="0"/>
              <w:rPr>
                <w:sz w:val="13"/>
                <w:szCs w:val="13"/>
                <w:color w:val="auto"/>
              </w:rPr>
            </w:pPr>
          </w:p>
        </w:tc>
        <w:tc>
          <w:tcPr>
            <w:tcW w:w="5520" w:type="dxa"/>
            <w:vAlign w:val="bottom"/>
            <w:tcBorders>
              <w:bottom w:val="single" w:sz="8" w:color="auto"/>
              <w:right w:val="single" w:sz="8" w:color="auto"/>
            </w:tcBorders>
          </w:tcPr>
          <w:p>
            <w:pPr>
              <w:spacing w:after="0"/>
              <w:rPr>
                <w:sz w:val="13"/>
                <w:szCs w:val="13"/>
                <w:color w:val="auto"/>
              </w:rPr>
            </w:pPr>
          </w:p>
        </w:tc>
      </w:tr>
      <w:tr>
        <w:trPr>
          <w:trHeight w:val="173"/>
        </w:trPr>
        <w:tc>
          <w:tcPr>
            <w:tcW w:w="500" w:type="dxa"/>
            <w:vAlign w:val="bottom"/>
            <w:tcBorders>
              <w:left w:val="single" w:sz="8" w:color="auto"/>
            </w:tcBorders>
          </w:tcPr>
          <w:p>
            <w:pPr>
              <w:ind w:left="40"/>
              <w:spacing w:after="0"/>
              <w:rPr>
                <w:sz w:val="20"/>
                <w:szCs w:val="20"/>
                <w:color w:val="auto"/>
              </w:rPr>
            </w:pPr>
            <w:r>
              <w:rPr>
                <w:rFonts w:ascii="Arial" w:cs="Arial" w:eastAsia="Arial" w:hAnsi="Arial"/>
                <w:sz w:val="13"/>
                <w:szCs w:val="13"/>
                <w:b w:val="1"/>
                <w:bCs w:val="1"/>
                <w:color w:val="auto"/>
              </w:rPr>
              <w:t>Art. 36</w:t>
            </w:r>
          </w:p>
        </w:tc>
        <w:tc>
          <w:tcPr>
            <w:tcW w:w="5040" w:type="dxa"/>
            <w:vAlign w:val="bottom"/>
            <w:tcBorders>
              <w:right w:val="single" w:sz="8" w:color="auto"/>
            </w:tcBorders>
          </w:tcPr>
          <w:p>
            <w:pPr>
              <w:ind w:left="80"/>
              <w:spacing w:after="0"/>
              <w:rPr>
                <w:sz w:val="20"/>
                <w:szCs w:val="20"/>
                <w:color w:val="auto"/>
              </w:rPr>
            </w:pPr>
            <w:r>
              <w:rPr>
                <w:rFonts w:ascii="Arial" w:cs="Arial" w:eastAsia="Arial" w:hAnsi="Arial"/>
                <w:sz w:val="13"/>
                <w:szCs w:val="13"/>
                <w:b w:val="1"/>
                <w:bCs w:val="1"/>
                <w:color w:val="auto"/>
              </w:rPr>
              <w:t>Compensation Agreements</w:t>
            </w:r>
          </w:p>
        </w:tc>
        <w:tc>
          <w:tcPr>
            <w:tcW w:w="240" w:type="dxa"/>
            <w:vAlign w:val="bottom"/>
            <w:tcBorders>
              <w:right w:val="single" w:sz="8" w:color="auto"/>
            </w:tcBorders>
          </w:tcPr>
          <w:p>
            <w:pPr>
              <w:spacing w:after="0"/>
              <w:rPr>
                <w:sz w:val="15"/>
                <w:szCs w:val="15"/>
                <w:color w:val="auto"/>
              </w:rPr>
            </w:pPr>
          </w:p>
        </w:tc>
        <w:tc>
          <w:tcPr>
            <w:tcW w:w="5520" w:type="dxa"/>
            <w:vAlign w:val="bottom"/>
            <w:tcBorders>
              <w:right w:val="single" w:sz="8" w:color="auto"/>
            </w:tcBorders>
          </w:tcPr>
          <w:p>
            <w:pPr>
              <w:ind w:left="20"/>
              <w:spacing w:after="0"/>
              <w:rPr>
                <w:sz w:val="20"/>
                <w:szCs w:val="20"/>
                <w:color w:val="auto"/>
              </w:rPr>
            </w:pPr>
            <w:r>
              <w:rPr>
                <w:rFonts w:ascii="Arial" w:cs="Arial" w:eastAsia="Arial" w:hAnsi="Arial"/>
                <w:sz w:val="13"/>
                <w:szCs w:val="13"/>
                <w:b w:val="1"/>
                <w:bCs w:val="1"/>
                <w:color w:val="auto"/>
              </w:rPr>
              <w:t>Art. 36  Accords sur la rémunération</w:t>
            </w:r>
          </w:p>
        </w:tc>
      </w:tr>
      <w:tr>
        <w:trPr>
          <w:trHeight w:val="258"/>
        </w:trPr>
        <w:tc>
          <w:tcPr>
            <w:tcW w:w="5540" w:type="dxa"/>
            <w:vAlign w:val="bottom"/>
            <w:tcBorders>
              <w:left w:val="single" w:sz="8" w:color="auto"/>
              <w:right w:val="single" w:sz="8" w:color="auto"/>
            </w:tcBorders>
            <w:gridSpan w:val="2"/>
          </w:tcPr>
          <w:p>
            <w:pPr>
              <w:ind w:left="40"/>
              <w:spacing w:after="0"/>
              <w:rPr>
                <w:sz w:val="20"/>
                <w:szCs w:val="20"/>
                <w:color w:val="auto"/>
              </w:rPr>
            </w:pPr>
            <w:r>
              <w:rPr>
                <w:rFonts w:ascii="Arial" w:cs="Arial" w:eastAsia="Arial" w:hAnsi="Arial"/>
                <w:sz w:val="13"/>
                <w:szCs w:val="13"/>
                <w:color w:val="auto"/>
                <w:w w:val="99"/>
              </w:rPr>
              <w:t>Agreements on compensation with members of the Board of Directors may not exceed the term</w:t>
            </w:r>
          </w:p>
        </w:tc>
        <w:tc>
          <w:tcPr>
            <w:tcW w:w="240" w:type="dxa"/>
            <w:vAlign w:val="bottom"/>
            <w:tcBorders>
              <w:right w:val="single" w:sz="8" w:color="auto"/>
            </w:tcBorders>
          </w:tcPr>
          <w:p>
            <w:pPr>
              <w:spacing w:after="0"/>
              <w:rPr>
                <w:sz w:val="22"/>
                <w:szCs w:val="22"/>
                <w:color w:val="auto"/>
              </w:rPr>
            </w:pPr>
          </w:p>
        </w:tc>
        <w:tc>
          <w:tcPr>
            <w:tcW w:w="5520" w:type="dxa"/>
            <w:vAlign w:val="bottom"/>
            <w:tcBorders>
              <w:right w:val="single" w:sz="8" w:color="auto"/>
            </w:tcBorders>
          </w:tcPr>
          <w:p>
            <w:pPr>
              <w:ind w:left="20"/>
              <w:spacing w:after="0"/>
              <w:rPr>
                <w:sz w:val="20"/>
                <w:szCs w:val="20"/>
                <w:color w:val="auto"/>
              </w:rPr>
            </w:pPr>
            <w:r>
              <w:rPr>
                <w:rFonts w:ascii="Arial" w:cs="Arial" w:eastAsia="Arial" w:hAnsi="Arial"/>
                <w:sz w:val="13"/>
                <w:szCs w:val="13"/>
                <w:color w:val="auto"/>
              </w:rPr>
              <w:t>Les accords sur la rémunération des membres du conseil d'administration ne peuvent pas</w:t>
            </w:r>
          </w:p>
        </w:tc>
      </w:tr>
      <w:tr>
        <w:trPr>
          <w:trHeight w:val="168"/>
        </w:trPr>
        <w:tc>
          <w:tcPr>
            <w:tcW w:w="5540" w:type="dxa"/>
            <w:vAlign w:val="bottom"/>
            <w:tcBorders>
              <w:left w:val="single" w:sz="8" w:color="auto"/>
              <w:right w:val="single" w:sz="8" w:color="auto"/>
            </w:tcBorders>
            <w:gridSpan w:val="2"/>
          </w:tcPr>
          <w:p>
            <w:pPr>
              <w:ind w:left="40"/>
              <w:spacing w:after="0"/>
              <w:rPr>
                <w:sz w:val="20"/>
                <w:szCs w:val="20"/>
                <w:color w:val="auto"/>
              </w:rPr>
            </w:pPr>
            <w:r>
              <w:rPr>
                <w:rFonts w:ascii="Arial" w:cs="Arial" w:eastAsia="Arial" w:hAnsi="Arial"/>
                <w:sz w:val="13"/>
                <w:szCs w:val="13"/>
                <w:color w:val="auto"/>
              </w:rPr>
              <w:t>of maximal one year.</w:t>
            </w:r>
          </w:p>
        </w:tc>
        <w:tc>
          <w:tcPr>
            <w:tcW w:w="240" w:type="dxa"/>
            <w:vAlign w:val="bottom"/>
            <w:tcBorders>
              <w:right w:val="single" w:sz="8" w:color="auto"/>
            </w:tcBorders>
          </w:tcPr>
          <w:p>
            <w:pPr>
              <w:spacing w:after="0"/>
              <w:rPr>
                <w:sz w:val="14"/>
                <w:szCs w:val="14"/>
                <w:color w:val="auto"/>
              </w:rPr>
            </w:pPr>
          </w:p>
        </w:tc>
        <w:tc>
          <w:tcPr>
            <w:tcW w:w="5520" w:type="dxa"/>
            <w:vAlign w:val="bottom"/>
            <w:tcBorders>
              <w:right w:val="single" w:sz="8" w:color="auto"/>
            </w:tcBorders>
          </w:tcPr>
          <w:p>
            <w:pPr>
              <w:ind w:left="20"/>
              <w:spacing w:after="0"/>
              <w:rPr>
                <w:sz w:val="20"/>
                <w:szCs w:val="20"/>
                <w:color w:val="auto"/>
              </w:rPr>
            </w:pPr>
            <w:r>
              <w:rPr>
                <w:rFonts w:ascii="Arial" w:cs="Arial" w:eastAsia="Arial" w:hAnsi="Arial"/>
                <w:sz w:val="13"/>
                <w:szCs w:val="13"/>
                <w:color w:val="auto"/>
              </w:rPr>
              <w:t>excéder la durée maximale d'une année.</w:t>
            </w:r>
          </w:p>
        </w:tc>
      </w:tr>
      <w:tr>
        <w:trPr>
          <w:trHeight w:val="153"/>
        </w:trPr>
        <w:tc>
          <w:tcPr>
            <w:tcW w:w="5540" w:type="dxa"/>
            <w:vAlign w:val="bottom"/>
            <w:tcBorders>
              <w:left w:val="single" w:sz="8" w:color="auto"/>
              <w:bottom w:val="single" w:sz="8" w:color="auto"/>
              <w:right w:val="single" w:sz="8" w:color="auto"/>
            </w:tcBorders>
            <w:gridSpan w:val="2"/>
          </w:tcPr>
          <w:p>
            <w:pPr>
              <w:spacing w:after="0"/>
              <w:rPr>
                <w:sz w:val="13"/>
                <w:szCs w:val="13"/>
                <w:color w:val="auto"/>
              </w:rPr>
            </w:pPr>
          </w:p>
        </w:tc>
        <w:tc>
          <w:tcPr>
            <w:tcW w:w="240" w:type="dxa"/>
            <w:vAlign w:val="bottom"/>
            <w:tcBorders>
              <w:bottom w:val="single" w:sz="8" w:color="auto"/>
              <w:right w:val="single" w:sz="8" w:color="auto"/>
            </w:tcBorders>
          </w:tcPr>
          <w:p>
            <w:pPr>
              <w:spacing w:after="0"/>
              <w:rPr>
                <w:sz w:val="13"/>
                <w:szCs w:val="13"/>
                <w:color w:val="auto"/>
              </w:rPr>
            </w:pPr>
          </w:p>
        </w:tc>
        <w:tc>
          <w:tcPr>
            <w:tcW w:w="5520" w:type="dxa"/>
            <w:vAlign w:val="bottom"/>
            <w:tcBorders>
              <w:bottom w:val="single" w:sz="8" w:color="auto"/>
              <w:right w:val="single" w:sz="8" w:color="auto"/>
            </w:tcBorders>
          </w:tcPr>
          <w:p>
            <w:pPr>
              <w:spacing w:after="0"/>
              <w:rPr>
                <w:sz w:val="13"/>
                <w:szCs w:val="13"/>
                <w:color w:val="auto"/>
              </w:rPr>
            </w:pPr>
          </w:p>
        </w:tc>
      </w:tr>
      <w:tr>
        <w:trPr>
          <w:trHeight w:val="141"/>
        </w:trPr>
        <w:tc>
          <w:tcPr>
            <w:tcW w:w="5540" w:type="dxa"/>
            <w:vAlign w:val="bottom"/>
            <w:tcBorders>
              <w:left w:val="single" w:sz="8" w:color="auto"/>
              <w:right w:val="single" w:sz="8" w:color="auto"/>
            </w:tcBorders>
            <w:gridSpan w:val="2"/>
          </w:tcPr>
          <w:p>
            <w:pPr>
              <w:ind w:left="40"/>
              <w:spacing w:after="0" w:line="141" w:lineRule="exact"/>
              <w:rPr>
                <w:sz w:val="20"/>
                <w:szCs w:val="20"/>
                <w:color w:val="auto"/>
              </w:rPr>
            </w:pPr>
            <w:r>
              <w:rPr>
                <w:rFonts w:ascii="Arial" w:cs="Arial" w:eastAsia="Arial" w:hAnsi="Arial"/>
                <w:sz w:val="13"/>
                <w:szCs w:val="13"/>
                <w:color w:val="auto"/>
                <w:w w:val="99"/>
              </w:rPr>
              <w:t>Employment agreements of the members of the Executive Committee are principally concluded</w:t>
            </w:r>
          </w:p>
        </w:tc>
        <w:tc>
          <w:tcPr>
            <w:tcW w:w="240" w:type="dxa"/>
            <w:vAlign w:val="bottom"/>
            <w:tcBorders>
              <w:right w:val="single" w:sz="8" w:color="auto"/>
            </w:tcBorders>
          </w:tcPr>
          <w:p>
            <w:pPr>
              <w:spacing w:after="0"/>
              <w:rPr>
                <w:sz w:val="12"/>
                <w:szCs w:val="12"/>
                <w:color w:val="auto"/>
              </w:rPr>
            </w:pPr>
          </w:p>
        </w:tc>
        <w:tc>
          <w:tcPr>
            <w:tcW w:w="5520" w:type="dxa"/>
            <w:vAlign w:val="bottom"/>
            <w:tcBorders>
              <w:right w:val="single" w:sz="8" w:color="auto"/>
            </w:tcBorders>
          </w:tcPr>
          <w:p>
            <w:pPr>
              <w:ind w:left="20"/>
              <w:spacing w:after="0" w:line="141" w:lineRule="exact"/>
              <w:rPr>
                <w:sz w:val="20"/>
                <w:szCs w:val="20"/>
                <w:color w:val="auto"/>
              </w:rPr>
            </w:pPr>
            <w:r>
              <w:rPr>
                <w:rFonts w:ascii="Arial" w:cs="Arial" w:eastAsia="Arial" w:hAnsi="Arial"/>
                <w:sz w:val="13"/>
                <w:szCs w:val="13"/>
                <w:color w:val="auto"/>
              </w:rPr>
              <w:t>Les contrats de travail des membres du comité exécutif sont principalement conclus pour une</w:t>
            </w:r>
          </w:p>
        </w:tc>
      </w:tr>
      <w:tr>
        <w:trPr>
          <w:trHeight w:val="173"/>
        </w:trPr>
        <w:tc>
          <w:tcPr>
            <w:tcW w:w="5540" w:type="dxa"/>
            <w:vAlign w:val="bottom"/>
            <w:tcBorders>
              <w:left w:val="single" w:sz="8" w:color="auto"/>
              <w:bottom w:val="single" w:sz="8" w:color="auto"/>
              <w:right w:val="single" w:sz="8" w:color="auto"/>
            </w:tcBorders>
            <w:gridSpan w:val="2"/>
          </w:tcPr>
          <w:p>
            <w:pPr>
              <w:ind w:left="40"/>
              <w:spacing w:after="0"/>
              <w:rPr>
                <w:sz w:val="20"/>
                <w:szCs w:val="20"/>
                <w:color w:val="auto"/>
              </w:rPr>
            </w:pPr>
            <w:r>
              <w:rPr>
                <w:rFonts w:ascii="Arial" w:cs="Arial" w:eastAsia="Arial" w:hAnsi="Arial"/>
                <w:sz w:val="13"/>
                <w:szCs w:val="13"/>
                <w:color w:val="auto"/>
              </w:rPr>
              <w:t>for an indefinite period of time</w:t>
            </w:r>
          </w:p>
        </w:tc>
        <w:tc>
          <w:tcPr>
            <w:tcW w:w="240" w:type="dxa"/>
            <w:vAlign w:val="bottom"/>
            <w:tcBorders>
              <w:bottom w:val="single" w:sz="8" w:color="auto"/>
              <w:right w:val="single" w:sz="8" w:color="auto"/>
            </w:tcBorders>
          </w:tcPr>
          <w:p>
            <w:pPr>
              <w:spacing w:after="0"/>
              <w:rPr>
                <w:sz w:val="15"/>
                <w:szCs w:val="15"/>
                <w:color w:val="auto"/>
              </w:rPr>
            </w:pPr>
          </w:p>
        </w:tc>
        <w:tc>
          <w:tcPr>
            <w:tcW w:w="55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3"/>
                <w:szCs w:val="13"/>
                <w:color w:val="auto"/>
              </w:rPr>
              <w:t>durée indéterminée. Un délai de</w:t>
            </w:r>
          </w:p>
        </w:tc>
      </w:tr>
    </w:tbl>
    <w:p>
      <w:pPr>
        <w:spacing w:after="0" w:line="59"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5"/>
          <w:szCs w:val="15"/>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12700</wp:posOffset>
            </wp:positionV>
            <wp:extent cx="7171690" cy="635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71690" cy="6350"/>
                    </a:xfrm>
                    <a:prstGeom prst="rect">
                      <a:avLst/>
                    </a:prstGeom>
                    <a:noFill/>
                  </pic:spPr>
                </pic:pic>
              </a:graphicData>
            </a:graphic>
          </wp:anchor>
        </w:drawing>
      </w:r>
    </w:p>
    <w:p>
      <w:pPr>
        <w:sectPr>
          <w:pgSz w:w="11900" w:h="16838" w:orient="portrait"/>
          <w:cols w:equalWidth="0" w:num="1">
            <w:col w:w="11300"/>
          </w:cols>
          <w:pgMar w:left="300" w:top="448" w:right="299" w:bottom="1440" w:gutter="0" w:footer="0" w:header="0"/>
        </w:sectPr>
      </w:pPr>
    </w:p>
    <w:bookmarkStart w:id="85" w:name="page86"/>
    <w:bookmarkEnd w:id="85"/>
    <w:tbl>
      <w:tblPr>
        <w:tblLayout w:type="fixed"/>
        <w:tblInd w:w="10" w:type="dxa"/>
        <w:tblCellMar>
          <w:top w:w="0" w:type="dxa"/>
          <w:left w:w="0" w:type="dxa"/>
          <w:bottom w:w="0" w:type="dxa"/>
          <w:right w:w="0" w:type="dxa"/>
        </w:tblCellMar>
      </w:tblPr>
      <w:tr>
        <w:trPr>
          <w:trHeight w:val="161"/>
        </w:trPr>
        <w:tc>
          <w:tcPr>
            <w:tcW w:w="5540" w:type="dxa"/>
            <w:vAlign w:val="bottom"/>
            <w:tcBorders>
              <w:top w:val="single" w:sz="8" w:color="auto"/>
              <w:left w:val="single" w:sz="8" w:color="auto"/>
              <w:right w:val="single" w:sz="8" w:color="auto"/>
            </w:tcBorders>
            <w:gridSpan w:val="2"/>
          </w:tcPr>
          <w:p>
            <w:pPr>
              <w:ind w:left="40"/>
              <w:spacing w:after="0"/>
              <w:rPr>
                <w:sz w:val="20"/>
                <w:szCs w:val="20"/>
                <w:color w:val="auto"/>
              </w:rPr>
            </w:pPr>
            <w:r>
              <w:rPr>
                <w:rFonts w:ascii="Arial" w:cs="Arial" w:eastAsia="Arial" w:hAnsi="Arial"/>
                <w:sz w:val="13"/>
                <w:szCs w:val="13"/>
                <w:color w:val="auto"/>
                <w:w w:val="99"/>
              </w:rPr>
              <w:t>whereas a notice period may not exceed 12 months. If an employment agreement is concluded</w:t>
            </w:r>
          </w:p>
        </w:tc>
        <w:tc>
          <w:tcPr>
            <w:tcW w:w="240" w:type="dxa"/>
            <w:vAlign w:val="bottom"/>
            <w:tcBorders>
              <w:top w:val="single" w:sz="8" w:color="auto"/>
              <w:right w:val="single" w:sz="8" w:color="auto"/>
            </w:tcBorders>
          </w:tcPr>
          <w:p>
            <w:pPr>
              <w:spacing w:after="0"/>
              <w:rPr>
                <w:sz w:val="14"/>
                <w:szCs w:val="14"/>
                <w:color w:val="auto"/>
              </w:rPr>
            </w:pPr>
          </w:p>
        </w:tc>
        <w:tc>
          <w:tcPr>
            <w:tcW w:w="5520" w:type="dxa"/>
            <w:vAlign w:val="bottom"/>
            <w:tcBorders>
              <w:top w:val="single" w:sz="8" w:color="auto"/>
              <w:right w:val="single" w:sz="8" w:color="auto"/>
            </w:tcBorders>
          </w:tcPr>
          <w:p>
            <w:pPr>
              <w:ind w:left="20"/>
              <w:spacing w:after="0"/>
              <w:rPr>
                <w:sz w:val="20"/>
                <w:szCs w:val="20"/>
                <w:color w:val="auto"/>
              </w:rPr>
            </w:pPr>
            <w:r>
              <w:rPr>
                <w:rFonts w:ascii="Arial" w:cs="Arial" w:eastAsia="Arial" w:hAnsi="Arial"/>
                <w:sz w:val="13"/>
                <w:szCs w:val="13"/>
                <w:color w:val="auto"/>
              </w:rPr>
              <w:t>préavis ne peut pas excéder 12 mois. Si un accord de travail est conclu pour une durée</w:t>
            </w:r>
          </w:p>
        </w:tc>
      </w:tr>
      <w:tr>
        <w:trPr>
          <w:trHeight w:val="173"/>
        </w:trPr>
        <w:tc>
          <w:tcPr>
            <w:tcW w:w="5540" w:type="dxa"/>
            <w:vAlign w:val="bottom"/>
            <w:tcBorders>
              <w:left w:val="single" w:sz="8" w:color="auto"/>
              <w:bottom w:val="single" w:sz="8" w:color="auto"/>
              <w:right w:val="single" w:sz="8" w:color="auto"/>
            </w:tcBorders>
            <w:gridSpan w:val="2"/>
          </w:tcPr>
          <w:p>
            <w:pPr>
              <w:ind w:left="40"/>
              <w:spacing w:after="0"/>
              <w:rPr>
                <w:sz w:val="20"/>
                <w:szCs w:val="20"/>
                <w:color w:val="auto"/>
              </w:rPr>
            </w:pPr>
            <w:r>
              <w:rPr>
                <w:rFonts w:ascii="Arial" w:cs="Arial" w:eastAsia="Arial" w:hAnsi="Arial"/>
                <w:sz w:val="13"/>
                <w:szCs w:val="13"/>
                <w:color w:val="auto"/>
              </w:rPr>
              <w:t>for a fixed term such term may not exceed one year.</w:t>
            </w:r>
          </w:p>
        </w:tc>
        <w:tc>
          <w:tcPr>
            <w:tcW w:w="240" w:type="dxa"/>
            <w:vAlign w:val="bottom"/>
            <w:tcBorders>
              <w:bottom w:val="single" w:sz="8" w:color="auto"/>
              <w:right w:val="single" w:sz="8" w:color="auto"/>
            </w:tcBorders>
          </w:tcPr>
          <w:p>
            <w:pPr>
              <w:spacing w:after="0"/>
              <w:rPr>
                <w:sz w:val="15"/>
                <w:szCs w:val="15"/>
                <w:color w:val="auto"/>
              </w:rPr>
            </w:pPr>
          </w:p>
        </w:tc>
        <w:tc>
          <w:tcPr>
            <w:tcW w:w="55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3"/>
                <w:szCs w:val="13"/>
                <w:color w:val="auto"/>
              </w:rPr>
              <w:t>déterminée, telle durée ne peut pas excéder un an.</w:t>
            </w:r>
          </w:p>
        </w:tc>
      </w:tr>
      <w:tr>
        <w:trPr>
          <w:trHeight w:val="177"/>
        </w:trPr>
        <w:tc>
          <w:tcPr>
            <w:tcW w:w="5540" w:type="dxa"/>
            <w:vAlign w:val="bottom"/>
            <w:tcBorders>
              <w:left w:val="single" w:sz="8" w:color="auto"/>
              <w:right w:val="single" w:sz="8" w:color="auto"/>
            </w:tcBorders>
            <w:gridSpan w:val="2"/>
          </w:tcPr>
          <w:p>
            <w:pPr>
              <w:ind w:left="40"/>
              <w:spacing w:after="0"/>
              <w:rPr>
                <w:sz w:val="20"/>
                <w:szCs w:val="20"/>
                <w:color w:val="auto"/>
              </w:rPr>
            </w:pPr>
            <w:r>
              <w:rPr>
                <w:rFonts w:ascii="Arial" w:cs="Arial" w:eastAsia="Arial" w:hAnsi="Arial"/>
                <w:sz w:val="13"/>
                <w:szCs w:val="13"/>
                <w:b w:val="1"/>
                <w:bCs w:val="1"/>
                <w:color w:val="auto"/>
              </w:rPr>
              <w:t>Art. 37   Mandates of a Member of the Board of Directors outside the Company</w:t>
            </w:r>
          </w:p>
        </w:tc>
        <w:tc>
          <w:tcPr>
            <w:tcW w:w="240" w:type="dxa"/>
            <w:vAlign w:val="bottom"/>
            <w:tcBorders>
              <w:right w:val="single" w:sz="8" w:color="auto"/>
            </w:tcBorders>
          </w:tcPr>
          <w:p>
            <w:pPr>
              <w:spacing w:after="0"/>
              <w:rPr>
                <w:sz w:val="15"/>
                <w:szCs w:val="15"/>
                <w:color w:val="auto"/>
              </w:rPr>
            </w:pPr>
          </w:p>
        </w:tc>
        <w:tc>
          <w:tcPr>
            <w:tcW w:w="5520" w:type="dxa"/>
            <w:vAlign w:val="bottom"/>
            <w:tcBorders>
              <w:right w:val="single" w:sz="8" w:color="auto"/>
            </w:tcBorders>
          </w:tcPr>
          <w:p>
            <w:pPr>
              <w:ind w:left="20"/>
              <w:spacing w:after="0"/>
              <w:rPr>
                <w:sz w:val="20"/>
                <w:szCs w:val="20"/>
                <w:color w:val="auto"/>
              </w:rPr>
            </w:pPr>
            <w:r>
              <w:rPr>
                <w:rFonts w:ascii="Arial" w:cs="Arial" w:eastAsia="Arial" w:hAnsi="Arial"/>
                <w:sz w:val="13"/>
                <w:szCs w:val="13"/>
                <w:b w:val="1"/>
                <w:bCs w:val="1"/>
                <w:color w:val="auto"/>
              </w:rPr>
              <w:t>Art. 37  Mandats d'un membre du conseil d'administration de la société</w:t>
            </w:r>
          </w:p>
        </w:tc>
      </w:tr>
      <w:tr>
        <w:trPr>
          <w:trHeight w:val="258"/>
        </w:trPr>
        <w:tc>
          <w:tcPr>
            <w:tcW w:w="5540" w:type="dxa"/>
            <w:vAlign w:val="bottom"/>
            <w:tcBorders>
              <w:left w:val="single" w:sz="8" w:color="auto"/>
              <w:right w:val="single" w:sz="8" w:color="auto"/>
            </w:tcBorders>
            <w:gridSpan w:val="2"/>
          </w:tcPr>
          <w:p>
            <w:pPr>
              <w:ind w:left="40"/>
              <w:spacing w:after="0"/>
              <w:rPr>
                <w:sz w:val="20"/>
                <w:szCs w:val="20"/>
                <w:color w:val="auto"/>
              </w:rPr>
            </w:pPr>
            <w:r>
              <w:rPr>
                <w:rFonts w:ascii="Arial" w:cs="Arial" w:eastAsia="Arial" w:hAnsi="Arial"/>
                <w:sz w:val="13"/>
                <w:szCs w:val="13"/>
                <w:color w:val="auto"/>
              </w:rPr>
              <w:t>A member of the Board of Directors may cumulatively assume not more than the following</w:t>
            </w:r>
          </w:p>
        </w:tc>
        <w:tc>
          <w:tcPr>
            <w:tcW w:w="240" w:type="dxa"/>
            <w:vAlign w:val="bottom"/>
            <w:tcBorders>
              <w:right w:val="single" w:sz="8" w:color="auto"/>
            </w:tcBorders>
          </w:tcPr>
          <w:p>
            <w:pPr>
              <w:spacing w:after="0"/>
              <w:rPr>
                <w:sz w:val="22"/>
                <w:szCs w:val="22"/>
                <w:color w:val="auto"/>
              </w:rPr>
            </w:pPr>
          </w:p>
        </w:tc>
        <w:tc>
          <w:tcPr>
            <w:tcW w:w="5520" w:type="dxa"/>
            <w:vAlign w:val="bottom"/>
            <w:tcBorders>
              <w:right w:val="single" w:sz="8" w:color="auto"/>
            </w:tcBorders>
          </w:tcPr>
          <w:p>
            <w:pPr>
              <w:ind w:left="20"/>
              <w:spacing w:after="0"/>
              <w:rPr>
                <w:sz w:val="20"/>
                <w:szCs w:val="20"/>
                <w:color w:val="auto"/>
              </w:rPr>
            </w:pPr>
            <w:r>
              <w:rPr>
                <w:rFonts w:ascii="Arial" w:cs="Arial" w:eastAsia="Arial" w:hAnsi="Arial"/>
                <w:sz w:val="13"/>
                <w:szCs w:val="13"/>
                <w:color w:val="auto"/>
              </w:rPr>
              <w:t>Un membre du conseil d'administration ne peut pas cumuler plus que le nombre suivant de</w:t>
            </w:r>
          </w:p>
        </w:tc>
      </w:tr>
      <w:tr>
        <w:trPr>
          <w:trHeight w:val="145"/>
        </w:trPr>
        <w:tc>
          <w:tcPr>
            <w:tcW w:w="5540" w:type="dxa"/>
            <w:vAlign w:val="bottom"/>
            <w:tcBorders>
              <w:left w:val="single" w:sz="8" w:color="auto"/>
              <w:right w:val="single" w:sz="8" w:color="auto"/>
            </w:tcBorders>
            <w:gridSpan w:val="2"/>
          </w:tcPr>
          <w:p>
            <w:pPr>
              <w:ind w:left="40"/>
              <w:spacing w:after="0" w:line="145" w:lineRule="exact"/>
              <w:rPr>
                <w:sz w:val="20"/>
                <w:szCs w:val="20"/>
                <w:color w:val="auto"/>
              </w:rPr>
            </w:pPr>
            <w:r>
              <w:rPr>
                <w:rFonts w:ascii="Arial" w:cs="Arial" w:eastAsia="Arial" w:hAnsi="Arial"/>
                <w:sz w:val="13"/>
                <w:szCs w:val="13"/>
                <w:color w:val="auto"/>
              </w:rPr>
              <w:t>number of mandates in the board of directors, the superior management or an administrative</w:t>
            </w:r>
          </w:p>
        </w:tc>
        <w:tc>
          <w:tcPr>
            <w:tcW w:w="240" w:type="dxa"/>
            <w:vAlign w:val="bottom"/>
            <w:tcBorders>
              <w:right w:val="single" w:sz="8" w:color="auto"/>
            </w:tcBorders>
          </w:tcPr>
          <w:p>
            <w:pPr>
              <w:spacing w:after="0"/>
              <w:rPr>
                <w:sz w:val="12"/>
                <w:szCs w:val="12"/>
                <w:color w:val="auto"/>
              </w:rPr>
            </w:pPr>
          </w:p>
        </w:tc>
        <w:tc>
          <w:tcPr>
            <w:tcW w:w="5520" w:type="dxa"/>
            <w:vAlign w:val="bottom"/>
            <w:tcBorders>
              <w:right w:val="single" w:sz="8" w:color="auto"/>
            </w:tcBorders>
          </w:tcPr>
          <w:p>
            <w:pPr>
              <w:ind w:left="20"/>
              <w:spacing w:after="0" w:line="145" w:lineRule="exact"/>
              <w:rPr>
                <w:sz w:val="20"/>
                <w:szCs w:val="20"/>
                <w:color w:val="auto"/>
              </w:rPr>
            </w:pPr>
            <w:r>
              <w:rPr>
                <w:rFonts w:ascii="Arial" w:cs="Arial" w:eastAsia="Arial" w:hAnsi="Arial"/>
                <w:sz w:val="13"/>
                <w:szCs w:val="13"/>
                <w:color w:val="auto"/>
              </w:rPr>
              <w:t>mandats  dans  un  conseil  d'administration,  une  direction  supérieure  ou  un  organisme</w:t>
            </w:r>
          </w:p>
        </w:tc>
      </w:tr>
      <w:tr>
        <w:trPr>
          <w:trHeight w:val="145"/>
        </w:trPr>
        <w:tc>
          <w:tcPr>
            <w:tcW w:w="5540" w:type="dxa"/>
            <w:vAlign w:val="bottom"/>
            <w:tcBorders>
              <w:left w:val="single" w:sz="8" w:color="auto"/>
              <w:right w:val="single" w:sz="8" w:color="auto"/>
            </w:tcBorders>
            <w:gridSpan w:val="2"/>
          </w:tcPr>
          <w:p>
            <w:pPr>
              <w:ind w:left="40"/>
              <w:spacing w:after="0" w:line="145" w:lineRule="exact"/>
              <w:rPr>
                <w:sz w:val="20"/>
                <w:szCs w:val="20"/>
                <w:color w:val="auto"/>
              </w:rPr>
            </w:pPr>
            <w:r>
              <w:rPr>
                <w:rFonts w:ascii="Arial" w:cs="Arial" w:eastAsia="Arial" w:hAnsi="Arial"/>
                <w:sz w:val="13"/>
                <w:szCs w:val="13"/>
                <w:color w:val="auto"/>
              </w:rPr>
              <w:t>body of a legal entity which is obliged to be registered in the Swiss commercial register or an</w:t>
            </w:r>
          </w:p>
        </w:tc>
        <w:tc>
          <w:tcPr>
            <w:tcW w:w="240" w:type="dxa"/>
            <w:vAlign w:val="bottom"/>
            <w:tcBorders>
              <w:right w:val="single" w:sz="8" w:color="auto"/>
            </w:tcBorders>
          </w:tcPr>
          <w:p>
            <w:pPr>
              <w:spacing w:after="0"/>
              <w:rPr>
                <w:sz w:val="12"/>
                <w:szCs w:val="12"/>
                <w:color w:val="auto"/>
              </w:rPr>
            </w:pPr>
          </w:p>
        </w:tc>
        <w:tc>
          <w:tcPr>
            <w:tcW w:w="5520" w:type="dxa"/>
            <w:vAlign w:val="bottom"/>
            <w:tcBorders>
              <w:right w:val="single" w:sz="8" w:color="auto"/>
            </w:tcBorders>
          </w:tcPr>
          <w:p>
            <w:pPr>
              <w:ind w:left="20"/>
              <w:spacing w:after="0" w:line="145" w:lineRule="exact"/>
              <w:rPr>
                <w:sz w:val="20"/>
                <w:szCs w:val="20"/>
                <w:color w:val="auto"/>
              </w:rPr>
            </w:pPr>
            <w:r>
              <w:rPr>
                <w:rFonts w:ascii="Arial" w:cs="Arial" w:eastAsia="Arial" w:hAnsi="Arial"/>
                <w:sz w:val="13"/>
                <w:szCs w:val="13"/>
                <w:color w:val="auto"/>
              </w:rPr>
              <w:t>administratif d'une personne morale qui est obligée d'être inscrite au registre du commerce</w:t>
            </w:r>
          </w:p>
        </w:tc>
      </w:tr>
      <w:tr>
        <w:trPr>
          <w:trHeight w:val="168"/>
        </w:trPr>
        <w:tc>
          <w:tcPr>
            <w:tcW w:w="5540" w:type="dxa"/>
            <w:vAlign w:val="bottom"/>
            <w:tcBorders>
              <w:left w:val="single" w:sz="8" w:color="auto"/>
              <w:right w:val="single" w:sz="8" w:color="auto"/>
            </w:tcBorders>
            <w:gridSpan w:val="2"/>
          </w:tcPr>
          <w:p>
            <w:pPr>
              <w:ind w:left="40"/>
              <w:spacing w:after="0"/>
              <w:rPr>
                <w:sz w:val="20"/>
                <w:szCs w:val="20"/>
                <w:color w:val="auto"/>
              </w:rPr>
            </w:pPr>
            <w:r>
              <w:rPr>
                <w:rFonts w:ascii="Arial" w:cs="Arial" w:eastAsia="Arial" w:hAnsi="Arial"/>
                <w:sz w:val="13"/>
                <w:szCs w:val="13"/>
                <w:color w:val="auto"/>
              </w:rPr>
              <w:t>equivalent foreign register:</w:t>
            </w:r>
          </w:p>
        </w:tc>
        <w:tc>
          <w:tcPr>
            <w:tcW w:w="240" w:type="dxa"/>
            <w:vAlign w:val="bottom"/>
            <w:tcBorders>
              <w:right w:val="single" w:sz="8" w:color="auto"/>
            </w:tcBorders>
          </w:tcPr>
          <w:p>
            <w:pPr>
              <w:spacing w:after="0"/>
              <w:rPr>
                <w:sz w:val="14"/>
                <w:szCs w:val="14"/>
                <w:color w:val="auto"/>
              </w:rPr>
            </w:pPr>
          </w:p>
        </w:tc>
        <w:tc>
          <w:tcPr>
            <w:tcW w:w="5520" w:type="dxa"/>
            <w:vAlign w:val="bottom"/>
            <w:tcBorders>
              <w:right w:val="single" w:sz="8" w:color="auto"/>
            </w:tcBorders>
          </w:tcPr>
          <w:p>
            <w:pPr>
              <w:ind w:left="20"/>
              <w:spacing w:after="0"/>
              <w:rPr>
                <w:sz w:val="20"/>
                <w:szCs w:val="20"/>
                <w:color w:val="auto"/>
              </w:rPr>
            </w:pPr>
            <w:r>
              <w:rPr>
                <w:rFonts w:ascii="Arial" w:cs="Arial" w:eastAsia="Arial" w:hAnsi="Arial"/>
                <w:sz w:val="13"/>
                <w:szCs w:val="13"/>
                <w:color w:val="auto"/>
              </w:rPr>
              <w:t>suisse ou un registre étranger équivalent:</w:t>
            </w:r>
          </w:p>
        </w:tc>
      </w:tr>
      <w:tr>
        <w:trPr>
          <w:trHeight w:val="290"/>
        </w:trPr>
        <w:tc>
          <w:tcPr>
            <w:tcW w:w="5540" w:type="dxa"/>
            <w:vAlign w:val="bottom"/>
            <w:tcBorders>
              <w:left w:val="single" w:sz="8" w:color="auto"/>
              <w:right w:val="single" w:sz="8" w:color="auto"/>
            </w:tcBorders>
            <w:gridSpan w:val="2"/>
          </w:tcPr>
          <w:p>
            <w:pPr>
              <w:ind w:left="40"/>
              <w:spacing w:after="0"/>
              <w:rPr>
                <w:sz w:val="20"/>
                <w:szCs w:val="20"/>
                <w:color w:val="auto"/>
              </w:rPr>
            </w:pPr>
            <w:r>
              <w:rPr>
                <w:rFonts w:ascii="Arial" w:cs="Arial" w:eastAsia="Arial" w:hAnsi="Arial"/>
                <w:sz w:val="13"/>
                <w:szCs w:val="13"/>
                <w:color w:val="auto"/>
              </w:rPr>
              <w:t>a)  7 mandates for publicly traded companies pursuant to art. 727 para. 1 number 1 CO; and</w:t>
            </w:r>
          </w:p>
        </w:tc>
        <w:tc>
          <w:tcPr>
            <w:tcW w:w="240" w:type="dxa"/>
            <w:vAlign w:val="bottom"/>
            <w:tcBorders>
              <w:right w:val="single" w:sz="8" w:color="auto"/>
            </w:tcBorders>
          </w:tcPr>
          <w:p>
            <w:pPr>
              <w:spacing w:after="0"/>
              <w:rPr>
                <w:sz w:val="24"/>
                <w:szCs w:val="24"/>
                <w:color w:val="auto"/>
              </w:rPr>
            </w:pPr>
          </w:p>
        </w:tc>
        <w:tc>
          <w:tcPr>
            <w:tcW w:w="5520" w:type="dxa"/>
            <w:vAlign w:val="bottom"/>
            <w:tcBorders>
              <w:right w:val="single" w:sz="8" w:color="auto"/>
            </w:tcBorders>
          </w:tcPr>
          <w:p>
            <w:pPr>
              <w:ind w:left="20"/>
              <w:spacing w:after="0"/>
              <w:rPr>
                <w:sz w:val="20"/>
                <w:szCs w:val="20"/>
                <w:color w:val="auto"/>
              </w:rPr>
            </w:pPr>
            <w:r>
              <w:rPr>
                <w:rFonts w:ascii="Arial" w:cs="Arial" w:eastAsia="Arial" w:hAnsi="Arial"/>
                <w:sz w:val="13"/>
                <w:szCs w:val="13"/>
                <w:color w:val="auto"/>
              </w:rPr>
              <w:t>a)  7 mandats pour les entreprises cotées en bourse selon l'art. 727 al. 1 chiffre 1 CO; et</w:t>
            </w:r>
          </w:p>
        </w:tc>
      </w:tr>
      <w:tr>
        <w:trPr>
          <w:trHeight w:val="290"/>
        </w:trPr>
        <w:tc>
          <w:tcPr>
            <w:tcW w:w="5540" w:type="dxa"/>
            <w:vAlign w:val="bottom"/>
            <w:tcBorders>
              <w:left w:val="single" w:sz="8" w:color="auto"/>
              <w:right w:val="single" w:sz="8" w:color="auto"/>
            </w:tcBorders>
            <w:gridSpan w:val="2"/>
          </w:tcPr>
          <w:p>
            <w:pPr>
              <w:ind w:left="40"/>
              <w:spacing w:after="0"/>
              <w:rPr>
                <w:sz w:val="20"/>
                <w:szCs w:val="20"/>
                <w:color w:val="auto"/>
              </w:rPr>
            </w:pPr>
            <w:r>
              <w:rPr>
                <w:rFonts w:ascii="Arial" w:cs="Arial" w:eastAsia="Arial" w:hAnsi="Arial"/>
                <w:sz w:val="13"/>
                <w:szCs w:val="13"/>
                <w:color w:val="auto"/>
              </w:rPr>
              <w:t>b)  8 mandates for companies pursuant to art. 727 para. 1 number 2 CO; and</w:t>
            </w:r>
          </w:p>
        </w:tc>
        <w:tc>
          <w:tcPr>
            <w:tcW w:w="240" w:type="dxa"/>
            <w:vAlign w:val="bottom"/>
            <w:tcBorders>
              <w:right w:val="single" w:sz="8" w:color="auto"/>
            </w:tcBorders>
          </w:tcPr>
          <w:p>
            <w:pPr>
              <w:spacing w:after="0"/>
              <w:rPr>
                <w:sz w:val="24"/>
                <w:szCs w:val="24"/>
                <w:color w:val="auto"/>
              </w:rPr>
            </w:pPr>
          </w:p>
        </w:tc>
        <w:tc>
          <w:tcPr>
            <w:tcW w:w="5520" w:type="dxa"/>
            <w:vAlign w:val="bottom"/>
            <w:tcBorders>
              <w:right w:val="single" w:sz="8" w:color="auto"/>
            </w:tcBorders>
          </w:tcPr>
          <w:p>
            <w:pPr>
              <w:ind w:left="20"/>
              <w:spacing w:after="0"/>
              <w:rPr>
                <w:sz w:val="20"/>
                <w:szCs w:val="20"/>
                <w:color w:val="auto"/>
              </w:rPr>
            </w:pPr>
            <w:r>
              <w:rPr>
                <w:rFonts w:ascii="Arial" w:cs="Arial" w:eastAsia="Arial" w:hAnsi="Arial"/>
                <w:sz w:val="13"/>
                <w:szCs w:val="13"/>
                <w:color w:val="auto"/>
              </w:rPr>
              <w:t>b)  8 mandats pour des entreprises selon l'art. 727 al. 1 chiffre 2 CO; et</w:t>
            </w:r>
          </w:p>
        </w:tc>
      </w:tr>
      <w:tr>
        <w:trPr>
          <w:trHeight w:val="290"/>
        </w:trPr>
        <w:tc>
          <w:tcPr>
            <w:tcW w:w="5540" w:type="dxa"/>
            <w:vAlign w:val="bottom"/>
            <w:tcBorders>
              <w:left w:val="single" w:sz="8" w:color="auto"/>
              <w:right w:val="single" w:sz="8" w:color="auto"/>
            </w:tcBorders>
            <w:gridSpan w:val="2"/>
          </w:tcPr>
          <w:p>
            <w:pPr>
              <w:ind w:left="40"/>
              <w:spacing w:after="0"/>
              <w:rPr>
                <w:sz w:val="20"/>
                <w:szCs w:val="20"/>
                <w:color w:val="auto"/>
              </w:rPr>
            </w:pPr>
            <w:r>
              <w:rPr>
                <w:rFonts w:ascii="Arial" w:cs="Arial" w:eastAsia="Arial" w:hAnsi="Arial"/>
                <w:sz w:val="13"/>
                <w:szCs w:val="13"/>
                <w:color w:val="auto"/>
              </w:rPr>
              <w:t>c)  5 mandates for companies which do not fulfil the criteria under a) and b) above.</w:t>
            </w:r>
          </w:p>
        </w:tc>
        <w:tc>
          <w:tcPr>
            <w:tcW w:w="240" w:type="dxa"/>
            <w:vAlign w:val="bottom"/>
            <w:tcBorders>
              <w:right w:val="single" w:sz="8" w:color="auto"/>
            </w:tcBorders>
          </w:tcPr>
          <w:p>
            <w:pPr>
              <w:spacing w:after="0"/>
              <w:rPr>
                <w:sz w:val="24"/>
                <w:szCs w:val="24"/>
                <w:color w:val="auto"/>
              </w:rPr>
            </w:pPr>
          </w:p>
        </w:tc>
        <w:tc>
          <w:tcPr>
            <w:tcW w:w="5520" w:type="dxa"/>
            <w:vAlign w:val="bottom"/>
            <w:tcBorders>
              <w:right w:val="single" w:sz="8" w:color="auto"/>
            </w:tcBorders>
          </w:tcPr>
          <w:p>
            <w:pPr>
              <w:ind w:left="20"/>
              <w:spacing w:after="0"/>
              <w:rPr>
                <w:sz w:val="20"/>
                <w:szCs w:val="20"/>
                <w:color w:val="auto"/>
              </w:rPr>
            </w:pPr>
            <w:r>
              <w:rPr>
                <w:rFonts w:ascii="Arial" w:cs="Arial" w:eastAsia="Arial" w:hAnsi="Arial"/>
                <w:sz w:val="13"/>
                <w:szCs w:val="13"/>
                <w:color w:val="auto"/>
              </w:rPr>
              <w:t>c)  5 mandats pour les entreprises qui ne remplissent pas les critères sous a) et b) ci-dessus.</w:t>
            </w:r>
          </w:p>
        </w:tc>
      </w:tr>
      <w:tr>
        <w:trPr>
          <w:trHeight w:val="153"/>
        </w:trPr>
        <w:tc>
          <w:tcPr>
            <w:tcW w:w="5540" w:type="dxa"/>
            <w:vAlign w:val="bottom"/>
            <w:tcBorders>
              <w:left w:val="single" w:sz="8" w:color="auto"/>
              <w:bottom w:val="single" w:sz="8" w:color="auto"/>
              <w:right w:val="single" w:sz="8" w:color="auto"/>
            </w:tcBorders>
            <w:gridSpan w:val="2"/>
          </w:tcPr>
          <w:p>
            <w:pPr>
              <w:spacing w:after="0"/>
              <w:rPr>
                <w:sz w:val="13"/>
                <w:szCs w:val="13"/>
                <w:color w:val="auto"/>
              </w:rPr>
            </w:pPr>
          </w:p>
        </w:tc>
        <w:tc>
          <w:tcPr>
            <w:tcW w:w="240" w:type="dxa"/>
            <w:vAlign w:val="bottom"/>
            <w:tcBorders>
              <w:bottom w:val="single" w:sz="8" w:color="auto"/>
              <w:right w:val="single" w:sz="8" w:color="auto"/>
            </w:tcBorders>
          </w:tcPr>
          <w:p>
            <w:pPr>
              <w:spacing w:after="0"/>
              <w:rPr>
                <w:sz w:val="13"/>
                <w:szCs w:val="13"/>
                <w:color w:val="auto"/>
              </w:rPr>
            </w:pPr>
          </w:p>
        </w:tc>
        <w:tc>
          <w:tcPr>
            <w:tcW w:w="5520" w:type="dxa"/>
            <w:vAlign w:val="bottom"/>
            <w:tcBorders>
              <w:bottom w:val="single" w:sz="8" w:color="auto"/>
              <w:right w:val="single" w:sz="8" w:color="auto"/>
            </w:tcBorders>
          </w:tcPr>
          <w:p>
            <w:pPr>
              <w:spacing w:after="0"/>
              <w:rPr>
                <w:sz w:val="13"/>
                <w:szCs w:val="13"/>
                <w:color w:val="auto"/>
              </w:rPr>
            </w:pPr>
          </w:p>
        </w:tc>
      </w:tr>
      <w:tr>
        <w:trPr>
          <w:trHeight w:val="141"/>
        </w:trPr>
        <w:tc>
          <w:tcPr>
            <w:tcW w:w="5540" w:type="dxa"/>
            <w:vAlign w:val="bottom"/>
            <w:tcBorders>
              <w:left w:val="single" w:sz="8" w:color="auto"/>
              <w:right w:val="single" w:sz="8" w:color="auto"/>
            </w:tcBorders>
            <w:gridSpan w:val="2"/>
          </w:tcPr>
          <w:p>
            <w:pPr>
              <w:ind w:left="40"/>
              <w:spacing w:after="0" w:line="141" w:lineRule="exact"/>
              <w:rPr>
                <w:sz w:val="20"/>
                <w:szCs w:val="20"/>
                <w:color w:val="auto"/>
              </w:rPr>
            </w:pPr>
            <w:r>
              <w:rPr>
                <w:rFonts w:ascii="Arial" w:cs="Arial" w:eastAsia="Arial" w:hAnsi="Arial"/>
                <w:sz w:val="13"/>
                <w:szCs w:val="13"/>
                <w:color w:val="auto"/>
              </w:rPr>
              <w:t>Mandates held in several legal entities each operating under the same management or same</w:t>
            </w:r>
          </w:p>
        </w:tc>
        <w:tc>
          <w:tcPr>
            <w:tcW w:w="240" w:type="dxa"/>
            <w:vAlign w:val="bottom"/>
            <w:tcBorders>
              <w:right w:val="single" w:sz="8" w:color="auto"/>
            </w:tcBorders>
          </w:tcPr>
          <w:p>
            <w:pPr>
              <w:spacing w:after="0"/>
              <w:rPr>
                <w:sz w:val="12"/>
                <w:szCs w:val="12"/>
                <w:color w:val="auto"/>
              </w:rPr>
            </w:pPr>
          </w:p>
        </w:tc>
        <w:tc>
          <w:tcPr>
            <w:tcW w:w="5520" w:type="dxa"/>
            <w:vAlign w:val="bottom"/>
            <w:tcBorders>
              <w:right w:val="single" w:sz="8" w:color="auto"/>
            </w:tcBorders>
          </w:tcPr>
          <w:p>
            <w:pPr>
              <w:ind w:left="20"/>
              <w:spacing w:after="0" w:line="141" w:lineRule="exact"/>
              <w:rPr>
                <w:sz w:val="20"/>
                <w:szCs w:val="20"/>
                <w:color w:val="auto"/>
              </w:rPr>
            </w:pPr>
            <w:r>
              <w:rPr>
                <w:rFonts w:ascii="Arial" w:cs="Arial" w:eastAsia="Arial" w:hAnsi="Arial"/>
                <w:sz w:val="13"/>
                <w:szCs w:val="13"/>
                <w:color w:val="auto"/>
                <w:w w:val="99"/>
              </w:rPr>
              <w:t>Les mandats exercés dans plusieurs entités juridiques opérant chacune sous la même direction</w:t>
            </w:r>
          </w:p>
        </w:tc>
      </w:tr>
      <w:tr>
        <w:trPr>
          <w:trHeight w:val="173"/>
        </w:trPr>
        <w:tc>
          <w:tcPr>
            <w:tcW w:w="5540" w:type="dxa"/>
            <w:vAlign w:val="bottom"/>
            <w:tcBorders>
              <w:left w:val="single" w:sz="8" w:color="auto"/>
              <w:bottom w:val="single" w:sz="8" w:color="auto"/>
              <w:right w:val="single" w:sz="8" w:color="auto"/>
            </w:tcBorders>
            <w:gridSpan w:val="2"/>
          </w:tcPr>
          <w:p>
            <w:pPr>
              <w:ind w:left="40"/>
              <w:spacing w:after="0"/>
              <w:rPr>
                <w:sz w:val="20"/>
                <w:szCs w:val="20"/>
                <w:color w:val="auto"/>
              </w:rPr>
            </w:pPr>
            <w:r>
              <w:rPr>
                <w:rFonts w:ascii="Arial" w:cs="Arial" w:eastAsia="Arial" w:hAnsi="Arial"/>
                <w:sz w:val="13"/>
                <w:szCs w:val="13"/>
                <w:color w:val="auto"/>
              </w:rPr>
              <w:t>beneficial owner (group) are deemed to be a single mandate.</w:t>
            </w:r>
          </w:p>
        </w:tc>
        <w:tc>
          <w:tcPr>
            <w:tcW w:w="240" w:type="dxa"/>
            <w:vAlign w:val="bottom"/>
            <w:tcBorders>
              <w:bottom w:val="single" w:sz="8" w:color="auto"/>
              <w:right w:val="single" w:sz="8" w:color="auto"/>
            </w:tcBorders>
          </w:tcPr>
          <w:p>
            <w:pPr>
              <w:spacing w:after="0"/>
              <w:rPr>
                <w:sz w:val="15"/>
                <w:szCs w:val="15"/>
                <w:color w:val="auto"/>
              </w:rPr>
            </w:pPr>
          </w:p>
        </w:tc>
        <w:tc>
          <w:tcPr>
            <w:tcW w:w="55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3"/>
                <w:szCs w:val="13"/>
                <w:color w:val="auto"/>
              </w:rPr>
              <w:t>ou le même bénéficiaire effectif (groupe) sont réputés être un seul mandat.</w:t>
            </w:r>
          </w:p>
        </w:tc>
      </w:tr>
      <w:tr>
        <w:trPr>
          <w:trHeight w:val="145"/>
        </w:trPr>
        <w:tc>
          <w:tcPr>
            <w:tcW w:w="5540" w:type="dxa"/>
            <w:vAlign w:val="bottom"/>
            <w:tcBorders>
              <w:left w:val="single" w:sz="8" w:color="auto"/>
              <w:right w:val="single" w:sz="8" w:color="auto"/>
            </w:tcBorders>
            <w:gridSpan w:val="2"/>
          </w:tcPr>
          <w:p>
            <w:pPr>
              <w:ind w:left="40"/>
              <w:spacing w:after="0" w:line="146" w:lineRule="exact"/>
              <w:rPr>
                <w:sz w:val="20"/>
                <w:szCs w:val="20"/>
                <w:color w:val="auto"/>
              </w:rPr>
            </w:pPr>
            <w:r>
              <w:rPr>
                <w:rFonts w:ascii="Arial" w:cs="Arial" w:eastAsia="Arial" w:hAnsi="Arial"/>
                <w:sz w:val="13"/>
                <w:szCs w:val="13"/>
                <w:color w:val="auto"/>
              </w:rPr>
              <w:t>If a legal entity fulfills several of the above mentioned criteria, it can be freely counted towards</w:t>
            </w:r>
          </w:p>
        </w:tc>
        <w:tc>
          <w:tcPr>
            <w:tcW w:w="240" w:type="dxa"/>
            <w:vAlign w:val="bottom"/>
            <w:tcBorders>
              <w:right w:val="single" w:sz="8" w:color="auto"/>
            </w:tcBorders>
          </w:tcPr>
          <w:p>
            <w:pPr>
              <w:spacing w:after="0"/>
              <w:rPr>
                <w:sz w:val="12"/>
                <w:szCs w:val="12"/>
                <w:color w:val="auto"/>
              </w:rPr>
            </w:pPr>
          </w:p>
        </w:tc>
        <w:tc>
          <w:tcPr>
            <w:tcW w:w="5520" w:type="dxa"/>
            <w:vAlign w:val="bottom"/>
            <w:tcBorders>
              <w:right w:val="single" w:sz="8" w:color="auto"/>
            </w:tcBorders>
          </w:tcPr>
          <w:p>
            <w:pPr>
              <w:ind w:left="20"/>
              <w:spacing w:after="0" w:line="146" w:lineRule="exact"/>
              <w:rPr>
                <w:sz w:val="20"/>
                <w:szCs w:val="20"/>
                <w:color w:val="auto"/>
              </w:rPr>
            </w:pPr>
            <w:r>
              <w:rPr>
                <w:rFonts w:ascii="Arial" w:cs="Arial" w:eastAsia="Arial" w:hAnsi="Arial"/>
                <w:sz w:val="13"/>
                <w:szCs w:val="13"/>
                <w:color w:val="auto"/>
              </w:rPr>
              <w:t>Si une entité juridique remplit plusieurs des critères mentionnés ci-dessus, elle peut être</w:t>
            </w:r>
          </w:p>
        </w:tc>
      </w:tr>
      <w:tr>
        <w:trPr>
          <w:trHeight w:val="168"/>
        </w:trPr>
        <w:tc>
          <w:tcPr>
            <w:tcW w:w="5540" w:type="dxa"/>
            <w:vAlign w:val="bottom"/>
            <w:tcBorders>
              <w:left w:val="single" w:sz="8" w:color="auto"/>
              <w:right w:val="single" w:sz="8" w:color="auto"/>
            </w:tcBorders>
            <w:gridSpan w:val="2"/>
          </w:tcPr>
          <w:p>
            <w:pPr>
              <w:ind w:left="40"/>
              <w:spacing w:after="0"/>
              <w:rPr>
                <w:sz w:val="20"/>
                <w:szCs w:val="20"/>
                <w:color w:val="auto"/>
              </w:rPr>
            </w:pPr>
            <w:r>
              <w:rPr>
                <w:rFonts w:ascii="Arial" w:cs="Arial" w:eastAsia="Arial" w:hAnsi="Arial"/>
                <w:sz w:val="13"/>
                <w:szCs w:val="13"/>
                <w:color w:val="auto"/>
              </w:rPr>
              <w:t>any category. The following mandates are excepted from these restrictions:</w:t>
            </w:r>
          </w:p>
        </w:tc>
        <w:tc>
          <w:tcPr>
            <w:tcW w:w="240" w:type="dxa"/>
            <w:vAlign w:val="bottom"/>
            <w:tcBorders>
              <w:right w:val="single" w:sz="8" w:color="auto"/>
            </w:tcBorders>
          </w:tcPr>
          <w:p>
            <w:pPr>
              <w:spacing w:after="0"/>
              <w:rPr>
                <w:sz w:val="14"/>
                <w:szCs w:val="14"/>
                <w:color w:val="auto"/>
              </w:rPr>
            </w:pPr>
          </w:p>
        </w:tc>
        <w:tc>
          <w:tcPr>
            <w:tcW w:w="5520" w:type="dxa"/>
            <w:vAlign w:val="bottom"/>
            <w:tcBorders>
              <w:right w:val="single" w:sz="8" w:color="auto"/>
            </w:tcBorders>
          </w:tcPr>
          <w:p>
            <w:pPr>
              <w:ind w:left="20"/>
              <w:spacing w:after="0"/>
              <w:rPr>
                <w:sz w:val="20"/>
                <w:szCs w:val="20"/>
                <w:color w:val="auto"/>
              </w:rPr>
            </w:pPr>
            <w:r>
              <w:rPr>
                <w:rFonts w:ascii="Arial" w:cs="Arial" w:eastAsia="Arial" w:hAnsi="Arial"/>
                <w:sz w:val="13"/>
                <w:szCs w:val="13"/>
                <w:color w:val="auto"/>
              </w:rPr>
              <w:t>librement placée dans une catégorie. Les mandats suivants sont exceptés de ces restrictions:</w:t>
            </w:r>
          </w:p>
        </w:tc>
      </w:tr>
      <w:tr>
        <w:trPr>
          <w:trHeight w:val="266"/>
        </w:trPr>
        <w:tc>
          <w:tcPr>
            <w:tcW w:w="220" w:type="dxa"/>
            <w:vAlign w:val="bottom"/>
            <w:tcBorders>
              <w:left w:val="single" w:sz="8" w:color="auto"/>
            </w:tcBorders>
          </w:tcPr>
          <w:p>
            <w:pPr>
              <w:ind w:left="40"/>
              <w:spacing w:after="0"/>
              <w:rPr>
                <w:sz w:val="20"/>
                <w:szCs w:val="20"/>
                <w:color w:val="auto"/>
              </w:rPr>
            </w:pPr>
            <w:r>
              <w:rPr>
                <w:rFonts w:ascii="Arial" w:cs="Arial" w:eastAsia="Arial" w:hAnsi="Arial"/>
                <w:sz w:val="13"/>
                <w:szCs w:val="13"/>
                <w:color w:val="auto"/>
              </w:rPr>
              <w:t>a)</w:t>
            </w:r>
          </w:p>
        </w:tc>
        <w:tc>
          <w:tcPr>
            <w:tcW w:w="5320" w:type="dxa"/>
            <w:vAlign w:val="bottom"/>
            <w:tcBorders>
              <w:right w:val="single" w:sz="8" w:color="auto"/>
            </w:tcBorders>
          </w:tcPr>
          <w:p>
            <w:pPr>
              <w:ind w:left="180"/>
              <w:spacing w:after="0"/>
              <w:rPr>
                <w:sz w:val="20"/>
                <w:szCs w:val="20"/>
                <w:color w:val="auto"/>
              </w:rPr>
            </w:pPr>
            <w:r>
              <w:rPr>
                <w:rFonts w:ascii="Arial" w:cs="Arial" w:eastAsia="Arial" w:hAnsi="Arial"/>
                <w:sz w:val="13"/>
                <w:szCs w:val="13"/>
                <w:color w:val="auto"/>
              </w:rPr>
              <w:t>mandates in legal entities which are controlled by the Company or which control the</w:t>
            </w:r>
          </w:p>
        </w:tc>
        <w:tc>
          <w:tcPr>
            <w:tcW w:w="240" w:type="dxa"/>
            <w:vAlign w:val="bottom"/>
            <w:tcBorders>
              <w:right w:val="single" w:sz="8" w:color="auto"/>
            </w:tcBorders>
          </w:tcPr>
          <w:p>
            <w:pPr>
              <w:spacing w:after="0"/>
              <w:rPr>
                <w:sz w:val="23"/>
                <w:szCs w:val="23"/>
                <w:color w:val="auto"/>
              </w:rPr>
            </w:pPr>
          </w:p>
        </w:tc>
        <w:tc>
          <w:tcPr>
            <w:tcW w:w="5520" w:type="dxa"/>
            <w:vAlign w:val="bottom"/>
            <w:tcBorders>
              <w:right w:val="single" w:sz="8" w:color="auto"/>
            </w:tcBorders>
          </w:tcPr>
          <w:p>
            <w:pPr>
              <w:ind w:left="20"/>
              <w:spacing w:after="0"/>
              <w:rPr>
                <w:sz w:val="20"/>
                <w:szCs w:val="20"/>
                <w:color w:val="auto"/>
              </w:rPr>
            </w:pPr>
            <w:r>
              <w:rPr>
                <w:rFonts w:ascii="Arial" w:cs="Arial" w:eastAsia="Arial" w:hAnsi="Arial"/>
                <w:sz w:val="13"/>
                <w:szCs w:val="13"/>
                <w:color w:val="auto"/>
              </w:rPr>
              <w:t>a)   les mandats dans des entités juridiques qui sont contrôlées par la société ou qui contrôlent</w:t>
            </w:r>
          </w:p>
        </w:tc>
      </w:tr>
      <w:tr>
        <w:trPr>
          <w:trHeight w:val="168"/>
        </w:trPr>
        <w:tc>
          <w:tcPr>
            <w:tcW w:w="220" w:type="dxa"/>
            <w:vAlign w:val="bottom"/>
            <w:tcBorders>
              <w:left w:val="single" w:sz="8" w:color="auto"/>
            </w:tcBorders>
          </w:tcPr>
          <w:p>
            <w:pPr>
              <w:spacing w:after="0"/>
              <w:rPr>
                <w:sz w:val="14"/>
                <w:szCs w:val="14"/>
                <w:color w:val="auto"/>
              </w:rPr>
            </w:pPr>
          </w:p>
        </w:tc>
        <w:tc>
          <w:tcPr>
            <w:tcW w:w="5320" w:type="dxa"/>
            <w:vAlign w:val="bottom"/>
            <w:tcBorders>
              <w:right w:val="single" w:sz="8" w:color="auto"/>
            </w:tcBorders>
          </w:tcPr>
          <w:p>
            <w:pPr>
              <w:ind w:left="80"/>
              <w:spacing w:after="0"/>
              <w:rPr>
                <w:sz w:val="20"/>
                <w:szCs w:val="20"/>
                <w:color w:val="auto"/>
              </w:rPr>
            </w:pPr>
            <w:r>
              <w:rPr>
                <w:rFonts w:ascii="Arial" w:cs="Arial" w:eastAsia="Arial" w:hAnsi="Arial"/>
                <w:sz w:val="13"/>
                <w:szCs w:val="13"/>
                <w:color w:val="auto"/>
              </w:rPr>
              <w:t>Company;</w:t>
            </w:r>
          </w:p>
        </w:tc>
        <w:tc>
          <w:tcPr>
            <w:tcW w:w="240" w:type="dxa"/>
            <w:vAlign w:val="bottom"/>
            <w:tcBorders>
              <w:right w:val="single" w:sz="8" w:color="auto"/>
            </w:tcBorders>
          </w:tcPr>
          <w:p>
            <w:pPr>
              <w:spacing w:after="0"/>
              <w:rPr>
                <w:sz w:val="14"/>
                <w:szCs w:val="14"/>
                <w:color w:val="auto"/>
              </w:rPr>
            </w:pPr>
          </w:p>
        </w:tc>
        <w:tc>
          <w:tcPr>
            <w:tcW w:w="5520" w:type="dxa"/>
            <w:vAlign w:val="bottom"/>
            <w:tcBorders>
              <w:right w:val="single" w:sz="8" w:color="auto"/>
            </w:tcBorders>
          </w:tcPr>
          <w:p>
            <w:pPr>
              <w:ind w:left="340"/>
              <w:spacing w:after="0"/>
              <w:rPr>
                <w:sz w:val="20"/>
                <w:szCs w:val="20"/>
                <w:color w:val="auto"/>
              </w:rPr>
            </w:pPr>
            <w:r>
              <w:rPr>
                <w:rFonts w:ascii="Arial" w:cs="Arial" w:eastAsia="Arial" w:hAnsi="Arial"/>
                <w:sz w:val="13"/>
                <w:szCs w:val="13"/>
                <w:color w:val="auto"/>
              </w:rPr>
              <w:t>la société;</w:t>
            </w:r>
          </w:p>
        </w:tc>
      </w:tr>
      <w:tr>
        <w:trPr>
          <w:trHeight w:val="290"/>
        </w:trPr>
        <w:tc>
          <w:tcPr>
            <w:tcW w:w="5540" w:type="dxa"/>
            <w:vAlign w:val="bottom"/>
            <w:tcBorders>
              <w:left w:val="single" w:sz="8" w:color="auto"/>
              <w:right w:val="single" w:sz="8" w:color="auto"/>
            </w:tcBorders>
            <w:gridSpan w:val="2"/>
          </w:tcPr>
          <w:p>
            <w:pPr>
              <w:ind w:left="40"/>
              <w:spacing w:after="0"/>
              <w:rPr>
                <w:sz w:val="20"/>
                <w:szCs w:val="20"/>
                <w:color w:val="auto"/>
              </w:rPr>
            </w:pPr>
            <w:r>
              <w:rPr>
                <w:rFonts w:ascii="Arial" w:cs="Arial" w:eastAsia="Arial" w:hAnsi="Arial"/>
                <w:sz w:val="13"/>
                <w:szCs w:val="13"/>
                <w:color w:val="auto"/>
              </w:rPr>
              <w:t>b)  honorary mandates in charitable legal entities.</w:t>
            </w:r>
          </w:p>
        </w:tc>
        <w:tc>
          <w:tcPr>
            <w:tcW w:w="240" w:type="dxa"/>
            <w:vAlign w:val="bottom"/>
            <w:tcBorders>
              <w:right w:val="single" w:sz="8" w:color="auto"/>
            </w:tcBorders>
          </w:tcPr>
          <w:p>
            <w:pPr>
              <w:spacing w:after="0"/>
              <w:rPr>
                <w:sz w:val="24"/>
                <w:szCs w:val="24"/>
                <w:color w:val="auto"/>
              </w:rPr>
            </w:pPr>
          </w:p>
        </w:tc>
        <w:tc>
          <w:tcPr>
            <w:tcW w:w="5520" w:type="dxa"/>
            <w:vAlign w:val="bottom"/>
            <w:tcBorders>
              <w:right w:val="single" w:sz="8" w:color="auto"/>
            </w:tcBorders>
          </w:tcPr>
          <w:p>
            <w:pPr>
              <w:ind w:left="20"/>
              <w:spacing w:after="0"/>
              <w:rPr>
                <w:sz w:val="20"/>
                <w:szCs w:val="20"/>
                <w:color w:val="auto"/>
              </w:rPr>
            </w:pPr>
            <w:r>
              <w:rPr>
                <w:rFonts w:ascii="Arial" w:cs="Arial" w:eastAsia="Arial" w:hAnsi="Arial"/>
                <w:sz w:val="13"/>
                <w:szCs w:val="13"/>
                <w:color w:val="auto"/>
              </w:rPr>
              <w:t>b)   des mandats d'honneur à des personnes morales de bienfaisance.</w:t>
            </w:r>
          </w:p>
        </w:tc>
      </w:tr>
      <w:tr>
        <w:trPr>
          <w:trHeight w:val="153"/>
        </w:trPr>
        <w:tc>
          <w:tcPr>
            <w:tcW w:w="5540" w:type="dxa"/>
            <w:vAlign w:val="bottom"/>
            <w:tcBorders>
              <w:left w:val="single" w:sz="8" w:color="auto"/>
              <w:bottom w:val="single" w:sz="8" w:color="auto"/>
              <w:right w:val="single" w:sz="8" w:color="auto"/>
            </w:tcBorders>
            <w:gridSpan w:val="2"/>
          </w:tcPr>
          <w:p>
            <w:pPr>
              <w:spacing w:after="0"/>
              <w:rPr>
                <w:sz w:val="13"/>
                <w:szCs w:val="13"/>
                <w:color w:val="auto"/>
              </w:rPr>
            </w:pPr>
          </w:p>
        </w:tc>
        <w:tc>
          <w:tcPr>
            <w:tcW w:w="240" w:type="dxa"/>
            <w:vAlign w:val="bottom"/>
            <w:tcBorders>
              <w:bottom w:val="single" w:sz="8" w:color="auto"/>
              <w:right w:val="single" w:sz="8" w:color="auto"/>
            </w:tcBorders>
          </w:tcPr>
          <w:p>
            <w:pPr>
              <w:spacing w:after="0"/>
              <w:rPr>
                <w:sz w:val="13"/>
                <w:szCs w:val="13"/>
                <w:color w:val="auto"/>
              </w:rPr>
            </w:pPr>
          </w:p>
        </w:tc>
        <w:tc>
          <w:tcPr>
            <w:tcW w:w="5520" w:type="dxa"/>
            <w:vAlign w:val="bottom"/>
            <w:tcBorders>
              <w:bottom w:val="single" w:sz="8" w:color="auto"/>
              <w:right w:val="single" w:sz="8" w:color="auto"/>
            </w:tcBorders>
          </w:tcPr>
          <w:p>
            <w:pPr>
              <w:spacing w:after="0"/>
              <w:rPr>
                <w:sz w:val="13"/>
                <w:szCs w:val="13"/>
                <w:color w:val="auto"/>
              </w:rPr>
            </w:pPr>
          </w:p>
        </w:tc>
      </w:tr>
      <w:tr>
        <w:trPr>
          <w:trHeight w:val="173"/>
        </w:trPr>
        <w:tc>
          <w:tcPr>
            <w:tcW w:w="5540" w:type="dxa"/>
            <w:vAlign w:val="bottom"/>
            <w:tcBorders>
              <w:left w:val="single" w:sz="8" w:color="auto"/>
              <w:right w:val="single" w:sz="8" w:color="auto"/>
            </w:tcBorders>
            <w:gridSpan w:val="2"/>
          </w:tcPr>
          <w:p>
            <w:pPr>
              <w:ind w:left="40"/>
              <w:spacing w:after="0"/>
              <w:rPr>
                <w:sz w:val="20"/>
                <w:szCs w:val="20"/>
                <w:color w:val="auto"/>
              </w:rPr>
            </w:pPr>
            <w:r>
              <w:rPr>
                <w:rFonts w:ascii="Arial" w:cs="Arial" w:eastAsia="Arial" w:hAnsi="Arial"/>
                <w:sz w:val="13"/>
                <w:szCs w:val="13"/>
                <w:b w:val="1"/>
                <w:bCs w:val="1"/>
                <w:color w:val="auto"/>
              </w:rPr>
              <w:t>Art. 38   Mandates of a Member of the Executive Committee outside the Company</w:t>
            </w:r>
          </w:p>
        </w:tc>
        <w:tc>
          <w:tcPr>
            <w:tcW w:w="240" w:type="dxa"/>
            <w:vAlign w:val="bottom"/>
            <w:tcBorders>
              <w:right w:val="single" w:sz="8" w:color="auto"/>
            </w:tcBorders>
          </w:tcPr>
          <w:p>
            <w:pPr>
              <w:spacing w:after="0"/>
              <w:rPr>
                <w:sz w:val="15"/>
                <w:szCs w:val="15"/>
                <w:color w:val="auto"/>
              </w:rPr>
            </w:pPr>
          </w:p>
        </w:tc>
        <w:tc>
          <w:tcPr>
            <w:tcW w:w="5520" w:type="dxa"/>
            <w:vAlign w:val="bottom"/>
            <w:tcBorders>
              <w:right w:val="single" w:sz="8" w:color="auto"/>
            </w:tcBorders>
          </w:tcPr>
          <w:p>
            <w:pPr>
              <w:ind w:left="20"/>
              <w:spacing w:after="0"/>
              <w:rPr>
                <w:sz w:val="20"/>
                <w:szCs w:val="20"/>
                <w:color w:val="auto"/>
              </w:rPr>
            </w:pPr>
            <w:r>
              <w:rPr>
                <w:rFonts w:ascii="Arial" w:cs="Arial" w:eastAsia="Arial" w:hAnsi="Arial"/>
                <w:sz w:val="13"/>
                <w:szCs w:val="13"/>
                <w:b w:val="1"/>
                <w:bCs w:val="1"/>
                <w:color w:val="auto"/>
              </w:rPr>
              <w:t>Art. 38   Mandats d'un membre du comité exécutif en-dehors de la société</w:t>
            </w:r>
          </w:p>
        </w:tc>
      </w:tr>
      <w:tr>
        <w:trPr>
          <w:trHeight w:val="258"/>
        </w:trPr>
        <w:tc>
          <w:tcPr>
            <w:tcW w:w="5540" w:type="dxa"/>
            <w:vAlign w:val="bottom"/>
            <w:tcBorders>
              <w:left w:val="single" w:sz="8" w:color="auto"/>
              <w:right w:val="single" w:sz="8" w:color="auto"/>
            </w:tcBorders>
            <w:gridSpan w:val="2"/>
          </w:tcPr>
          <w:p>
            <w:pPr>
              <w:ind w:left="40"/>
              <w:spacing w:after="0"/>
              <w:rPr>
                <w:sz w:val="20"/>
                <w:szCs w:val="20"/>
                <w:color w:val="auto"/>
              </w:rPr>
            </w:pPr>
            <w:r>
              <w:rPr>
                <w:rFonts w:ascii="Arial" w:cs="Arial" w:eastAsia="Arial" w:hAnsi="Arial"/>
                <w:sz w:val="13"/>
                <w:szCs w:val="13"/>
                <w:color w:val="auto"/>
              </w:rPr>
              <w:t>Each member of the Executive Committee may, with approval of the Board of Directors,</w:t>
            </w:r>
          </w:p>
        </w:tc>
        <w:tc>
          <w:tcPr>
            <w:tcW w:w="240" w:type="dxa"/>
            <w:vAlign w:val="bottom"/>
            <w:tcBorders>
              <w:right w:val="single" w:sz="8" w:color="auto"/>
            </w:tcBorders>
          </w:tcPr>
          <w:p>
            <w:pPr>
              <w:spacing w:after="0"/>
              <w:rPr>
                <w:sz w:val="22"/>
                <w:szCs w:val="22"/>
                <w:color w:val="auto"/>
              </w:rPr>
            </w:pPr>
          </w:p>
        </w:tc>
        <w:tc>
          <w:tcPr>
            <w:tcW w:w="5520" w:type="dxa"/>
            <w:vAlign w:val="bottom"/>
            <w:tcBorders>
              <w:right w:val="single" w:sz="8" w:color="auto"/>
            </w:tcBorders>
          </w:tcPr>
          <w:p>
            <w:pPr>
              <w:ind w:left="20"/>
              <w:spacing w:after="0"/>
              <w:rPr>
                <w:sz w:val="20"/>
                <w:szCs w:val="20"/>
                <w:color w:val="auto"/>
              </w:rPr>
            </w:pPr>
            <w:r>
              <w:rPr>
                <w:rFonts w:ascii="Arial" w:cs="Arial" w:eastAsia="Arial" w:hAnsi="Arial"/>
                <w:sz w:val="13"/>
                <w:szCs w:val="13"/>
                <w:color w:val="auto"/>
              </w:rPr>
              <w:t>Chaque membre du comité exécutif peut, avec l'approbation du conseil d'administration,</w:t>
            </w:r>
          </w:p>
        </w:tc>
      </w:tr>
      <w:tr>
        <w:trPr>
          <w:trHeight w:val="168"/>
        </w:trPr>
        <w:tc>
          <w:tcPr>
            <w:tcW w:w="5540" w:type="dxa"/>
            <w:vAlign w:val="bottom"/>
            <w:tcBorders>
              <w:left w:val="single" w:sz="8" w:color="auto"/>
              <w:right w:val="single" w:sz="8" w:color="auto"/>
            </w:tcBorders>
            <w:gridSpan w:val="2"/>
          </w:tcPr>
          <w:p>
            <w:pPr>
              <w:ind w:left="40"/>
              <w:spacing w:after="0"/>
              <w:rPr>
                <w:sz w:val="20"/>
                <w:szCs w:val="20"/>
                <w:color w:val="auto"/>
              </w:rPr>
            </w:pPr>
            <w:r>
              <w:rPr>
                <w:rFonts w:ascii="Arial" w:cs="Arial" w:eastAsia="Arial" w:hAnsi="Arial"/>
                <w:sz w:val="13"/>
                <w:szCs w:val="13"/>
                <w:color w:val="auto"/>
              </w:rPr>
              <w:t>cumulatively assume not more than the</w:t>
            </w:r>
          </w:p>
        </w:tc>
        <w:tc>
          <w:tcPr>
            <w:tcW w:w="240" w:type="dxa"/>
            <w:vAlign w:val="bottom"/>
            <w:tcBorders>
              <w:right w:val="single" w:sz="8" w:color="auto"/>
            </w:tcBorders>
          </w:tcPr>
          <w:p>
            <w:pPr>
              <w:spacing w:after="0"/>
              <w:rPr>
                <w:sz w:val="14"/>
                <w:szCs w:val="14"/>
                <w:color w:val="auto"/>
              </w:rPr>
            </w:pPr>
          </w:p>
        </w:tc>
        <w:tc>
          <w:tcPr>
            <w:tcW w:w="5520" w:type="dxa"/>
            <w:vAlign w:val="bottom"/>
            <w:tcBorders>
              <w:right w:val="single" w:sz="8" w:color="auto"/>
            </w:tcBorders>
          </w:tcPr>
          <w:p>
            <w:pPr>
              <w:ind w:left="20"/>
              <w:spacing w:after="0"/>
              <w:rPr>
                <w:sz w:val="20"/>
                <w:szCs w:val="20"/>
                <w:color w:val="auto"/>
              </w:rPr>
            </w:pPr>
            <w:r>
              <w:rPr>
                <w:rFonts w:ascii="Arial" w:cs="Arial" w:eastAsia="Arial" w:hAnsi="Arial"/>
                <w:sz w:val="13"/>
                <w:szCs w:val="13"/>
                <w:color w:val="auto"/>
              </w:rPr>
              <w:t>cumuler pas plus que le</w:t>
            </w:r>
          </w:p>
        </w:tc>
      </w:tr>
      <w:tr>
        <w:trPr>
          <w:trHeight w:val="153"/>
        </w:trPr>
        <w:tc>
          <w:tcPr>
            <w:tcW w:w="220" w:type="dxa"/>
            <w:vAlign w:val="bottom"/>
            <w:tcBorders>
              <w:left w:val="single" w:sz="8" w:color="auto"/>
              <w:bottom w:val="single" w:sz="8" w:color="auto"/>
            </w:tcBorders>
          </w:tcPr>
          <w:p>
            <w:pPr>
              <w:spacing w:after="0"/>
              <w:rPr>
                <w:sz w:val="13"/>
                <w:szCs w:val="13"/>
                <w:color w:val="auto"/>
              </w:rPr>
            </w:pPr>
          </w:p>
        </w:tc>
        <w:tc>
          <w:tcPr>
            <w:tcW w:w="5320" w:type="dxa"/>
            <w:vAlign w:val="bottom"/>
            <w:tcBorders>
              <w:bottom w:val="single" w:sz="8" w:color="auto"/>
              <w:right w:val="single" w:sz="8" w:color="auto"/>
            </w:tcBorders>
          </w:tcPr>
          <w:p>
            <w:pPr>
              <w:spacing w:after="0"/>
              <w:rPr>
                <w:sz w:val="13"/>
                <w:szCs w:val="13"/>
                <w:color w:val="auto"/>
              </w:rPr>
            </w:pPr>
          </w:p>
        </w:tc>
        <w:tc>
          <w:tcPr>
            <w:tcW w:w="240" w:type="dxa"/>
            <w:vAlign w:val="bottom"/>
            <w:tcBorders>
              <w:bottom w:val="single" w:sz="8" w:color="auto"/>
              <w:right w:val="single" w:sz="8" w:color="auto"/>
            </w:tcBorders>
          </w:tcPr>
          <w:p>
            <w:pPr>
              <w:spacing w:after="0"/>
              <w:rPr>
                <w:sz w:val="13"/>
                <w:szCs w:val="13"/>
                <w:color w:val="auto"/>
              </w:rPr>
            </w:pPr>
          </w:p>
        </w:tc>
        <w:tc>
          <w:tcPr>
            <w:tcW w:w="5520" w:type="dxa"/>
            <w:vAlign w:val="bottom"/>
            <w:tcBorders>
              <w:bottom w:val="single" w:sz="8" w:color="auto"/>
              <w:right w:val="single" w:sz="8" w:color="auto"/>
            </w:tcBorders>
          </w:tcPr>
          <w:p>
            <w:pPr>
              <w:spacing w:after="0"/>
              <w:rPr>
                <w:sz w:val="13"/>
                <w:szCs w:val="13"/>
                <w:color w:val="auto"/>
              </w:rPr>
            </w:pPr>
          </w:p>
        </w:tc>
      </w:tr>
    </w:tbl>
    <w:p>
      <w:pPr>
        <w:spacing w:after="0" w:line="59"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5"/>
          <w:szCs w:val="15"/>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12700</wp:posOffset>
            </wp:positionV>
            <wp:extent cx="7171690" cy="635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71690" cy="6350"/>
                    </a:xfrm>
                    <a:prstGeom prst="rect">
                      <a:avLst/>
                    </a:prstGeom>
                    <a:noFill/>
                  </pic:spPr>
                </pic:pic>
              </a:graphicData>
            </a:graphic>
          </wp:anchor>
        </w:drawing>
      </w:r>
    </w:p>
    <w:p>
      <w:pPr>
        <w:sectPr>
          <w:pgSz w:w="11900" w:h="16838" w:orient="portrait"/>
          <w:cols w:equalWidth="0" w:num="1">
            <w:col w:w="11300"/>
          </w:cols>
          <w:pgMar w:left="300" w:top="448" w:right="299" w:bottom="1440" w:gutter="0" w:footer="0" w:header="0"/>
        </w:sectPr>
      </w:pPr>
    </w:p>
    <w:bookmarkStart w:id="86" w:name="page87"/>
    <w:bookmarkEnd w:id="86"/>
    <w:tbl>
      <w:tblPr>
        <w:tblLayout w:type="fixed"/>
        <w:tblInd w:w="10" w:type="dxa"/>
        <w:tblCellMar>
          <w:top w:w="0" w:type="dxa"/>
          <w:left w:w="0" w:type="dxa"/>
          <w:bottom w:w="0" w:type="dxa"/>
          <w:right w:w="0" w:type="dxa"/>
        </w:tblCellMar>
      </w:tblPr>
      <w:tr>
        <w:trPr>
          <w:trHeight w:val="161"/>
        </w:trPr>
        <w:tc>
          <w:tcPr>
            <w:tcW w:w="5540" w:type="dxa"/>
            <w:vAlign w:val="bottom"/>
            <w:tcBorders>
              <w:top w:val="single" w:sz="8" w:color="auto"/>
              <w:left w:val="single" w:sz="8" w:color="auto"/>
              <w:right w:val="single" w:sz="8" w:color="auto"/>
            </w:tcBorders>
            <w:gridSpan w:val="3"/>
          </w:tcPr>
          <w:p>
            <w:pPr>
              <w:ind w:left="40"/>
              <w:spacing w:after="0"/>
              <w:rPr>
                <w:sz w:val="20"/>
                <w:szCs w:val="20"/>
                <w:color w:val="auto"/>
              </w:rPr>
            </w:pPr>
            <w:r>
              <w:rPr>
                <w:rFonts w:ascii="Arial" w:cs="Arial" w:eastAsia="Arial" w:hAnsi="Arial"/>
                <w:sz w:val="13"/>
                <w:szCs w:val="13"/>
                <w:color w:val="auto"/>
              </w:rPr>
              <w:t>following number of mandates in the board of directors, the superior management or an</w:t>
            </w:r>
          </w:p>
        </w:tc>
        <w:tc>
          <w:tcPr>
            <w:tcW w:w="240" w:type="dxa"/>
            <w:vAlign w:val="bottom"/>
            <w:tcBorders>
              <w:top w:val="single" w:sz="8" w:color="auto"/>
              <w:right w:val="single" w:sz="8" w:color="auto"/>
            </w:tcBorders>
          </w:tcPr>
          <w:p>
            <w:pPr>
              <w:spacing w:after="0"/>
              <w:rPr>
                <w:sz w:val="14"/>
                <w:szCs w:val="14"/>
                <w:color w:val="auto"/>
              </w:rPr>
            </w:pPr>
          </w:p>
        </w:tc>
        <w:tc>
          <w:tcPr>
            <w:tcW w:w="5520" w:type="dxa"/>
            <w:vAlign w:val="bottom"/>
            <w:tcBorders>
              <w:top w:val="single" w:sz="8" w:color="auto"/>
              <w:right w:val="single" w:sz="8" w:color="auto"/>
            </w:tcBorders>
          </w:tcPr>
          <w:p>
            <w:pPr>
              <w:ind w:left="20"/>
              <w:spacing w:after="0"/>
              <w:rPr>
                <w:sz w:val="20"/>
                <w:szCs w:val="20"/>
                <w:color w:val="auto"/>
              </w:rPr>
            </w:pPr>
            <w:r>
              <w:rPr>
                <w:rFonts w:ascii="Arial" w:cs="Arial" w:eastAsia="Arial" w:hAnsi="Arial"/>
                <w:sz w:val="13"/>
                <w:szCs w:val="13"/>
                <w:color w:val="auto"/>
              </w:rPr>
              <w:t>nombre suivant de mandats dans un conseil d'administration, une direction supérieure ou un</w:t>
            </w:r>
          </w:p>
        </w:tc>
      </w:tr>
      <w:tr>
        <w:trPr>
          <w:trHeight w:val="145"/>
        </w:trPr>
        <w:tc>
          <w:tcPr>
            <w:tcW w:w="5540" w:type="dxa"/>
            <w:vAlign w:val="bottom"/>
            <w:tcBorders>
              <w:left w:val="single" w:sz="8" w:color="auto"/>
              <w:right w:val="single" w:sz="8" w:color="auto"/>
            </w:tcBorders>
            <w:gridSpan w:val="3"/>
          </w:tcPr>
          <w:p>
            <w:pPr>
              <w:ind w:left="40"/>
              <w:spacing w:after="0" w:line="145" w:lineRule="exact"/>
              <w:rPr>
                <w:sz w:val="20"/>
                <w:szCs w:val="20"/>
                <w:color w:val="auto"/>
              </w:rPr>
            </w:pPr>
            <w:r>
              <w:rPr>
                <w:rFonts w:ascii="Arial" w:cs="Arial" w:eastAsia="Arial" w:hAnsi="Arial"/>
                <w:sz w:val="13"/>
                <w:szCs w:val="13"/>
                <w:color w:val="auto"/>
              </w:rPr>
              <w:t>administrative body of a legal entity which is obliged to be registered in the Swiss commercial</w:t>
            </w:r>
          </w:p>
        </w:tc>
        <w:tc>
          <w:tcPr>
            <w:tcW w:w="240" w:type="dxa"/>
            <w:vAlign w:val="bottom"/>
            <w:tcBorders>
              <w:right w:val="single" w:sz="8" w:color="auto"/>
            </w:tcBorders>
          </w:tcPr>
          <w:p>
            <w:pPr>
              <w:spacing w:after="0"/>
              <w:rPr>
                <w:sz w:val="12"/>
                <w:szCs w:val="12"/>
                <w:color w:val="auto"/>
              </w:rPr>
            </w:pPr>
          </w:p>
        </w:tc>
        <w:tc>
          <w:tcPr>
            <w:tcW w:w="5520" w:type="dxa"/>
            <w:vAlign w:val="bottom"/>
            <w:tcBorders>
              <w:right w:val="single" w:sz="8" w:color="auto"/>
            </w:tcBorders>
          </w:tcPr>
          <w:p>
            <w:pPr>
              <w:ind w:left="20"/>
              <w:spacing w:after="0" w:line="145" w:lineRule="exact"/>
              <w:rPr>
                <w:sz w:val="20"/>
                <w:szCs w:val="20"/>
                <w:color w:val="auto"/>
              </w:rPr>
            </w:pPr>
            <w:r>
              <w:rPr>
                <w:rFonts w:ascii="Arial" w:cs="Arial" w:eastAsia="Arial" w:hAnsi="Arial"/>
                <w:sz w:val="13"/>
                <w:szCs w:val="13"/>
                <w:color w:val="auto"/>
                <w:w w:val="99"/>
              </w:rPr>
              <w:t>organisme administratif d'une personne morale qui est obligée d'être inscrite dans le registre du</w:t>
            </w:r>
          </w:p>
        </w:tc>
      </w:tr>
      <w:tr>
        <w:trPr>
          <w:trHeight w:val="168"/>
        </w:trPr>
        <w:tc>
          <w:tcPr>
            <w:tcW w:w="5540" w:type="dxa"/>
            <w:vAlign w:val="bottom"/>
            <w:tcBorders>
              <w:left w:val="single" w:sz="8" w:color="auto"/>
              <w:right w:val="single" w:sz="8" w:color="auto"/>
            </w:tcBorders>
            <w:gridSpan w:val="3"/>
          </w:tcPr>
          <w:p>
            <w:pPr>
              <w:ind w:left="40"/>
              <w:spacing w:after="0"/>
              <w:rPr>
                <w:sz w:val="20"/>
                <w:szCs w:val="20"/>
                <w:color w:val="auto"/>
              </w:rPr>
            </w:pPr>
            <w:r>
              <w:rPr>
                <w:rFonts w:ascii="Arial" w:cs="Arial" w:eastAsia="Arial" w:hAnsi="Arial"/>
                <w:sz w:val="13"/>
                <w:szCs w:val="13"/>
                <w:color w:val="auto"/>
              </w:rPr>
              <w:t>register or an equivalent foreign register:</w:t>
            </w:r>
          </w:p>
        </w:tc>
        <w:tc>
          <w:tcPr>
            <w:tcW w:w="240" w:type="dxa"/>
            <w:vAlign w:val="bottom"/>
            <w:tcBorders>
              <w:right w:val="single" w:sz="8" w:color="auto"/>
            </w:tcBorders>
          </w:tcPr>
          <w:p>
            <w:pPr>
              <w:spacing w:after="0"/>
              <w:rPr>
                <w:sz w:val="14"/>
                <w:szCs w:val="14"/>
                <w:color w:val="auto"/>
              </w:rPr>
            </w:pPr>
          </w:p>
        </w:tc>
        <w:tc>
          <w:tcPr>
            <w:tcW w:w="5520" w:type="dxa"/>
            <w:vAlign w:val="bottom"/>
            <w:tcBorders>
              <w:right w:val="single" w:sz="8" w:color="auto"/>
            </w:tcBorders>
          </w:tcPr>
          <w:p>
            <w:pPr>
              <w:ind w:left="20"/>
              <w:spacing w:after="0"/>
              <w:rPr>
                <w:sz w:val="20"/>
                <w:szCs w:val="20"/>
                <w:color w:val="auto"/>
              </w:rPr>
            </w:pPr>
            <w:r>
              <w:rPr>
                <w:rFonts w:ascii="Arial" w:cs="Arial" w:eastAsia="Arial" w:hAnsi="Arial"/>
                <w:sz w:val="13"/>
                <w:szCs w:val="13"/>
                <w:color w:val="auto"/>
              </w:rPr>
              <w:t>commerce suisse ou un registre étranger équivalent:</w:t>
            </w:r>
          </w:p>
        </w:tc>
      </w:tr>
      <w:tr>
        <w:trPr>
          <w:trHeight w:val="290"/>
        </w:trPr>
        <w:tc>
          <w:tcPr>
            <w:tcW w:w="280" w:type="dxa"/>
            <w:vAlign w:val="bottom"/>
            <w:tcBorders>
              <w:left w:val="single" w:sz="8" w:color="auto"/>
            </w:tcBorders>
          </w:tcPr>
          <w:p>
            <w:pPr>
              <w:ind w:left="40"/>
              <w:spacing w:after="0"/>
              <w:rPr>
                <w:sz w:val="20"/>
                <w:szCs w:val="20"/>
                <w:color w:val="auto"/>
              </w:rPr>
            </w:pPr>
            <w:r>
              <w:rPr>
                <w:rFonts w:ascii="Arial" w:cs="Arial" w:eastAsia="Arial" w:hAnsi="Arial"/>
                <w:sz w:val="13"/>
                <w:szCs w:val="13"/>
                <w:color w:val="auto"/>
              </w:rPr>
              <w:t>a)</w:t>
            </w:r>
          </w:p>
        </w:tc>
        <w:tc>
          <w:tcPr>
            <w:tcW w:w="5260" w:type="dxa"/>
            <w:vAlign w:val="bottom"/>
            <w:tcBorders>
              <w:right w:val="single" w:sz="8" w:color="auto"/>
            </w:tcBorders>
            <w:gridSpan w:val="2"/>
          </w:tcPr>
          <w:p>
            <w:pPr>
              <w:spacing w:after="0"/>
              <w:rPr>
                <w:sz w:val="20"/>
                <w:szCs w:val="20"/>
                <w:color w:val="auto"/>
              </w:rPr>
            </w:pPr>
            <w:r>
              <w:rPr>
                <w:rFonts w:ascii="Arial" w:cs="Arial" w:eastAsia="Arial" w:hAnsi="Arial"/>
                <w:sz w:val="13"/>
                <w:szCs w:val="13"/>
                <w:color w:val="auto"/>
              </w:rPr>
              <w:t>2 mandates for publicly traded companies pursuant to Art. 727 para. 1 number 1 CO; and</w:t>
            </w:r>
          </w:p>
        </w:tc>
        <w:tc>
          <w:tcPr>
            <w:tcW w:w="240" w:type="dxa"/>
            <w:vAlign w:val="bottom"/>
            <w:tcBorders>
              <w:right w:val="single" w:sz="8" w:color="auto"/>
            </w:tcBorders>
          </w:tcPr>
          <w:p>
            <w:pPr>
              <w:spacing w:after="0"/>
              <w:rPr>
                <w:sz w:val="24"/>
                <w:szCs w:val="24"/>
                <w:color w:val="auto"/>
              </w:rPr>
            </w:pPr>
          </w:p>
        </w:tc>
        <w:tc>
          <w:tcPr>
            <w:tcW w:w="5520" w:type="dxa"/>
            <w:vAlign w:val="bottom"/>
            <w:tcBorders>
              <w:right w:val="single" w:sz="8" w:color="auto"/>
            </w:tcBorders>
          </w:tcPr>
          <w:p>
            <w:pPr>
              <w:ind w:left="20"/>
              <w:spacing w:after="0"/>
              <w:rPr>
                <w:sz w:val="20"/>
                <w:szCs w:val="20"/>
                <w:color w:val="auto"/>
              </w:rPr>
            </w:pPr>
            <w:r>
              <w:rPr>
                <w:rFonts w:ascii="Arial" w:cs="Arial" w:eastAsia="Arial" w:hAnsi="Arial"/>
                <w:sz w:val="13"/>
                <w:szCs w:val="13"/>
                <w:color w:val="auto"/>
              </w:rPr>
              <w:t>a)  2 mandats pour les entreprises cotées en bourse selon l'art. 727 al. 1 chiffre 1 CO; et</w:t>
            </w:r>
          </w:p>
        </w:tc>
      </w:tr>
      <w:tr>
        <w:trPr>
          <w:trHeight w:val="290"/>
        </w:trPr>
        <w:tc>
          <w:tcPr>
            <w:tcW w:w="280" w:type="dxa"/>
            <w:vAlign w:val="bottom"/>
            <w:tcBorders>
              <w:left w:val="single" w:sz="8" w:color="auto"/>
            </w:tcBorders>
          </w:tcPr>
          <w:p>
            <w:pPr>
              <w:ind w:left="40"/>
              <w:spacing w:after="0"/>
              <w:rPr>
                <w:sz w:val="20"/>
                <w:szCs w:val="20"/>
                <w:color w:val="auto"/>
              </w:rPr>
            </w:pPr>
            <w:r>
              <w:rPr>
                <w:rFonts w:ascii="Arial" w:cs="Arial" w:eastAsia="Arial" w:hAnsi="Arial"/>
                <w:sz w:val="13"/>
                <w:szCs w:val="13"/>
                <w:color w:val="auto"/>
              </w:rPr>
              <w:t>b)</w:t>
            </w:r>
          </w:p>
        </w:tc>
        <w:tc>
          <w:tcPr>
            <w:tcW w:w="5260" w:type="dxa"/>
            <w:vAlign w:val="bottom"/>
            <w:tcBorders>
              <w:right w:val="single" w:sz="8" w:color="auto"/>
            </w:tcBorders>
            <w:gridSpan w:val="2"/>
          </w:tcPr>
          <w:p>
            <w:pPr>
              <w:spacing w:after="0"/>
              <w:rPr>
                <w:sz w:val="20"/>
                <w:szCs w:val="20"/>
                <w:color w:val="auto"/>
              </w:rPr>
            </w:pPr>
            <w:r>
              <w:rPr>
                <w:rFonts w:ascii="Arial" w:cs="Arial" w:eastAsia="Arial" w:hAnsi="Arial"/>
                <w:sz w:val="13"/>
                <w:szCs w:val="13"/>
                <w:color w:val="auto"/>
              </w:rPr>
              <w:t>3 mandates for companies pursuant to Art. 727 para. 1 number 2 CO; and</w:t>
            </w:r>
          </w:p>
        </w:tc>
        <w:tc>
          <w:tcPr>
            <w:tcW w:w="240" w:type="dxa"/>
            <w:vAlign w:val="bottom"/>
            <w:tcBorders>
              <w:right w:val="single" w:sz="8" w:color="auto"/>
            </w:tcBorders>
          </w:tcPr>
          <w:p>
            <w:pPr>
              <w:spacing w:after="0"/>
              <w:rPr>
                <w:sz w:val="24"/>
                <w:szCs w:val="24"/>
                <w:color w:val="auto"/>
              </w:rPr>
            </w:pPr>
          </w:p>
        </w:tc>
        <w:tc>
          <w:tcPr>
            <w:tcW w:w="5520" w:type="dxa"/>
            <w:vAlign w:val="bottom"/>
            <w:tcBorders>
              <w:right w:val="single" w:sz="8" w:color="auto"/>
            </w:tcBorders>
          </w:tcPr>
          <w:p>
            <w:pPr>
              <w:ind w:left="20"/>
              <w:spacing w:after="0"/>
              <w:rPr>
                <w:sz w:val="20"/>
                <w:szCs w:val="20"/>
                <w:color w:val="auto"/>
              </w:rPr>
            </w:pPr>
            <w:r>
              <w:rPr>
                <w:rFonts w:ascii="Arial" w:cs="Arial" w:eastAsia="Arial" w:hAnsi="Arial"/>
                <w:sz w:val="13"/>
                <w:szCs w:val="13"/>
                <w:color w:val="auto"/>
              </w:rPr>
              <w:t>b)  3 mandats pour des entreprises selon l'art. 727 al. 1 chiffre 2 CO; et</w:t>
            </w:r>
          </w:p>
        </w:tc>
      </w:tr>
      <w:tr>
        <w:trPr>
          <w:trHeight w:val="290"/>
        </w:trPr>
        <w:tc>
          <w:tcPr>
            <w:tcW w:w="5540" w:type="dxa"/>
            <w:vAlign w:val="bottom"/>
            <w:tcBorders>
              <w:left w:val="single" w:sz="8" w:color="auto"/>
              <w:right w:val="single" w:sz="8" w:color="auto"/>
            </w:tcBorders>
            <w:gridSpan w:val="3"/>
          </w:tcPr>
          <w:p>
            <w:pPr>
              <w:ind w:left="40"/>
              <w:spacing w:after="0"/>
              <w:rPr>
                <w:sz w:val="20"/>
                <w:szCs w:val="20"/>
                <w:color w:val="auto"/>
              </w:rPr>
            </w:pPr>
            <w:r>
              <w:rPr>
                <w:rFonts w:ascii="Arial" w:cs="Arial" w:eastAsia="Arial" w:hAnsi="Arial"/>
                <w:sz w:val="13"/>
                <w:szCs w:val="13"/>
                <w:color w:val="auto"/>
              </w:rPr>
              <w:t>c)  5 mandates for companies which do not fulfil the criteria under litera a) and b) above.</w:t>
            </w:r>
          </w:p>
        </w:tc>
        <w:tc>
          <w:tcPr>
            <w:tcW w:w="240" w:type="dxa"/>
            <w:vAlign w:val="bottom"/>
            <w:tcBorders>
              <w:right w:val="single" w:sz="8" w:color="auto"/>
            </w:tcBorders>
          </w:tcPr>
          <w:p>
            <w:pPr>
              <w:spacing w:after="0"/>
              <w:rPr>
                <w:sz w:val="24"/>
                <w:szCs w:val="24"/>
                <w:color w:val="auto"/>
              </w:rPr>
            </w:pPr>
          </w:p>
        </w:tc>
        <w:tc>
          <w:tcPr>
            <w:tcW w:w="5520" w:type="dxa"/>
            <w:vAlign w:val="bottom"/>
            <w:tcBorders>
              <w:right w:val="single" w:sz="8" w:color="auto"/>
            </w:tcBorders>
          </w:tcPr>
          <w:p>
            <w:pPr>
              <w:ind w:left="20"/>
              <w:spacing w:after="0"/>
              <w:rPr>
                <w:sz w:val="20"/>
                <w:szCs w:val="20"/>
                <w:color w:val="auto"/>
              </w:rPr>
            </w:pPr>
            <w:r>
              <w:rPr>
                <w:rFonts w:ascii="Arial" w:cs="Arial" w:eastAsia="Arial" w:hAnsi="Arial"/>
                <w:sz w:val="13"/>
                <w:szCs w:val="13"/>
                <w:color w:val="auto"/>
              </w:rPr>
              <w:t>c)  5 mandats pour les entreprises qui ne remplissent pas les critères sous a) et b) ci-dessus.</w:t>
            </w:r>
          </w:p>
        </w:tc>
      </w:tr>
      <w:tr>
        <w:trPr>
          <w:trHeight w:val="266"/>
        </w:trPr>
        <w:tc>
          <w:tcPr>
            <w:tcW w:w="5540" w:type="dxa"/>
            <w:vAlign w:val="bottom"/>
            <w:tcBorders>
              <w:left w:val="single" w:sz="8" w:color="auto"/>
              <w:right w:val="single" w:sz="8" w:color="auto"/>
            </w:tcBorders>
            <w:gridSpan w:val="3"/>
          </w:tcPr>
          <w:p>
            <w:pPr>
              <w:ind w:left="40"/>
              <w:spacing w:after="0"/>
              <w:rPr>
                <w:sz w:val="20"/>
                <w:szCs w:val="20"/>
                <w:color w:val="auto"/>
              </w:rPr>
            </w:pPr>
            <w:r>
              <w:rPr>
                <w:rFonts w:ascii="Arial" w:cs="Arial" w:eastAsia="Arial" w:hAnsi="Arial"/>
                <w:sz w:val="13"/>
                <w:szCs w:val="13"/>
                <w:color w:val="auto"/>
              </w:rPr>
              <w:t>Mandates held in several legal entities each operating under the same management or same</w:t>
            </w:r>
          </w:p>
        </w:tc>
        <w:tc>
          <w:tcPr>
            <w:tcW w:w="240" w:type="dxa"/>
            <w:vAlign w:val="bottom"/>
            <w:tcBorders>
              <w:right w:val="single" w:sz="8" w:color="auto"/>
            </w:tcBorders>
          </w:tcPr>
          <w:p>
            <w:pPr>
              <w:spacing w:after="0"/>
              <w:rPr>
                <w:sz w:val="23"/>
                <w:szCs w:val="23"/>
                <w:color w:val="auto"/>
              </w:rPr>
            </w:pPr>
          </w:p>
        </w:tc>
        <w:tc>
          <w:tcPr>
            <w:tcW w:w="5520" w:type="dxa"/>
            <w:vAlign w:val="bottom"/>
            <w:tcBorders>
              <w:right w:val="single" w:sz="8" w:color="auto"/>
            </w:tcBorders>
          </w:tcPr>
          <w:p>
            <w:pPr>
              <w:ind w:left="20"/>
              <w:spacing w:after="0"/>
              <w:rPr>
                <w:sz w:val="20"/>
                <w:szCs w:val="20"/>
                <w:color w:val="auto"/>
              </w:rPr>
            </w:pPr>
            <w:r>
              <w:rPr>
                <w:rFonts w:ascii="Arial" w:cs="Arial" w:eastAsia="Arial" w:hAnsi="Arial"/>
                <w:sz w:val="13"/>
                <w:szCs w:val="13"/>
                <w:color w:val="auto"/>
              </w:rPr>
              <w:t>Les mandats exercés dans plusieurs entités juridiques opérant chacun sous la même direction</w:t>
            </w:r>
          </w:p>
        </w:tc>
      </w:tr>
      <w:tr>
        <w:trPr>
          <w:trHeight w:val="168"/>
        </w:trPr>
        <w:tc>
          <w:tcPr>
            <w:tcW w:w="5540" w:type="dxa"/>
            <w:vAlign w:val="bottom"/>
            <w:tcBorders>
              <w:left w:val="single" w:sz="8" w:color="auto"/>
              <w:right w:val="single" w:sz="8" w:color="auto"/>
            </w:tcBorders>
            <w:gridSpan w:val="3"/>
          </w:tcPr>
          <w:p>
            <w:pPr>
              <w:ind w:left="40"/>
              <w:spacing w:after="0"/>
              <w:rPr>
                <w:sz w:val="20"/>
                <w:szCs w:val="20"/>
                <w:color w:val="auto"/>
              </w:rPr>
            </w:pPr>
            <w:r>
              <w:rPr>
                <w:rFonts w:ascii="Arial" w:cs="Arial" w:eastAsia="Arial" w:hAnsi="Arial"/>
                <w:sz w:val="13"/>
                <w:szCs w:val="13"/>
                <w:color w:val="auto"/>
              </w:rPr>
              <w:t>beneficial owner (group) are deemed to be a single mandate.</w:t>
            </w:r>
          </w:p>
        </w:tc>
        <w:tc>
          <w:tcPr>
            <w:tcW w:w="240" w:type="dxa"/>
            <w:vAlign w:val="bottom"/>
            <w:tcBorders>
              <w:right w:val="single" w:sz="8" w:color="auto"/>
            </w:tcBorders>
          </w:tcPr>
          <w:p>
            <w:pPr>
              <w:spacing w:after="0"/>
              <w:rPr>
                <w:sz w:val="14"/>
                <w:szCs w:val="14"/>
                <w:color w:val="auto"/>
              </w:rPr>
            </w:pPr>
          </w:p>
        </w:tc>
        <w:tc>
          <w:tcPr>
            <w:tcW w:w="5520" w:type="dxa"/>
            <w:vAlign w:val="bottom"/>
            <w:tcBorders>
              <w:right w:val="single" w:sz="8" w:color="auto"/>
            </w:tcBorders>
          </w:tcPr>
          <w:p>
            <w:pPr>
              <w:ind w:left="20"/>
              <w:spacing w:after="0"/>
              <w:rPr>
                <w:sz w:val="20"/>
                <w:szCs w:val="20"/>
                <w:color w:val="auto"/>
              </w:rPr>
            </w:pPr>
            <w:r>
              <w:rPr>
                <w:rFonts w:ascii="Arial" w:cs="Arial" w:eastAsia="Arial" w:hAnsi="Arial"/>
                <w:sz w:val="13"/>
                <w:szCs w:val="13"/>
                <w:color w:val="auto"/>
              </w:rPr>
              <w:t>ou même bénéficiaire effectif (groupe) sont réputés être un seul mandat.</w:t>
            </w:r>
          </w:p>
        </w:tc>
      </w:tr>
      <w:tr>
        <w:trPr>
          <w:trHeight w:val="266"/>
        </w:trPr>
        <w:tc>
          <w:tcPr>
            <w:tcW w:w="5540" w:type="dxa"/>
            <w:vAlign w:val="bottom"/>
            <w:tcBorders>
              <w:left w:val="single" w:sz="8" w:color="auto"/>
              <w:right w:val="single" w:sz="8" w:color="auto"/>
            </w:tcBorders>
            <w:gridSpan w:val="3"/>
          </w:tcPr>
          <w:p>
            <w:pPr>
              <w:ind w:left="40"/>
              <w:spacing w:after="0"/>
              <w:rPr>
                <w:sz w:val="20"/>
                <w:szCs w:val="20"/>
                <w:color w:val="auto"/>
              </w:rPr>
            </w:pPr>
            <w:r>
              <w:rPr>
                <w:rFonts w:ascii="Arial" w:cs="Arial" w:eastAsia="Arial" w:hAnsi="Arial"/>
                <w:sz w:val="13"/>
                <w:szCs w:val="13"/>
                <w:color w:val="auto"/>
              </w:rPr>
              <w:t>If a legal entity fulfills several of the above mentioned criteria, it can be freely counted towards</w:t>
            </w:r>
          </w:p>
        </w:tc>
        <w:tc>
          <w:tcPr>
            <w:tcW w:w="240" w:type="dxa"/>
            <w:vAlign w:val="bottom"/>
            <w:tcBorders>
              <w:right w:val="single" w:sz="8" w:color="auto"/>
            </w:tcBorders>
          </w:tcPr>
          <w:p>
            <w:pPr>
              <w:spacing w:after="0"/>
              <w:rPr>
                <w:sz w:val="23"/>
                <w:szCs w:val="23"/>
                <w:color w:val="auto"/>
              </w:rPr>
            </w:pPr>
          </w:p>
        </w:tc>
        <w:tc>
          <w:tcPr>
            <w:tcW w:w="5520" w:type="dxa"/>
            <w:vAlign w:val="bottom"/>
            <w:tcBorders>
              <w:right w:val="single" w:sz="8" w:color="auto"/>
            </w:tcBorders>
          </w:tcPr>
          <w:p>
            <w:pPr>
              <w:ind w:left="20"/>
              <w:spacing w:after="0"/>
              <w:rPr>
                <w:sz w:val="20"/>
                <w:szCs w:val="20"/>
                <w:color w:val="auto"/>
              </w:rPr>
            </w:pPr>
            <w:r>
              <w:rPr>
                <w:rFonts w:ascii="Arial" w:cs="Arial" w:eastAsia="Arial" w:hAnsi="Arial"/>
                <w:sz w:val="13"/>
                <w:szCs w:val="13"/>
                <w:color w:val="auto"/>
              </w:rPr>
              <w:t>Si une entité juridique remplit plusieurs des critères mentionnés ci-dessus, elle peut être</w:t>
            </w:r>
          </w:p>
        </w:tc>
      </w:tr>
      <w:tr>
        <w:trPr>
          <w:trHeight w:val="168"/>
        </w:trPr>
        <w:tc>
          <w:tcPr>
            <w:tcW w:w="5540" w:type="dxa"/>
            <w:vAlign w:val="bottom"/>
            <w:tcBorders>
              <w:left w:val="single" w:sz="8" w:color="auto"/>
              <w:right w:val="single" w:sz="8" w:color="auto"/>
            </w:tcBorders>
            <w:gridSpan w:val="3"/>
          </w:tcPr>
          <w:p>
            <w:pPr>
              <w:ind w:left="40"/>
              <w:spacing w:after="0"/>
              <w:rPr>
                <w:sz w:val="20"/>
                <w:szCs w:val="20"/>
                <w:color w:val="auto"/>
              </w:rPr>
            </w:pPr>
            <w:r>
              <w:rPr>
                <w:rFonts w:ascii="Arial" w:cs="Arial" w:eastAsia="Arial" w:hAnsi="Arial"/>
                <w:sz w:val="13"/>
                <w:szCs w:val="13"/>
                <w:color w:val="auto"/>
              </w:rPr>
              <w:t>any category. The following mandates are excepted from this restrictions:</w:t>
            </w:r>
          </w:p>
        </w:tc>
        <w:tc>
          <w:tcPr>
            <w:tcW w:w="240" w:type="dxa"/>
            <w:vAlign w:val="bottom"/>
            <w:tcBorders>
              <w:right w:val="single" w:sz="8" w:color="auto"/>
            </w:tcBorders>
          </w:tcPr>
          <w:p>
            <w:pPr>
              <w:spacing w:after="0"/>
              <w:rPr>
                <w:sz w:val="14"/>
                <w:szCs w:val="14"/>
                <w:color w:val="auto"/>
              </w:rPr>
            </w:pPr>
          </w:p>
        </w:tc>
        <w:tc>
          <w:tcPr>
            <w:tcW w:w="5520" w:type="dxa"/>
            <w:vAlign w:val="bottom"/>
            <w:tcBorders>
              <w:right w:val="single" w:sz="8" w:color="auto"/>
            </w:tcBorders>
          </w:tcPr>
          <w:p>
            <w:pPr>
              <w:ind w:left="20"/>
              <w:spacing w:after="0"/>
              <w:rPr>
                <w:sz w:val="20"/>
                <w:szCs w:val="20"/>
                <w:color w:val="auto"/>
              </w:rPr>
            </w:pPr>
            <w:r>
              <w:rPr>
                <w:rFonts w:ascii="Arial" w:cs="Arial" w:eastAsia="Arial" w:hAnsi="Arial"/>
                <w:sz w:val="13"/>
                <w:szCs w:val="13"/>
                <w:color w:val="auto"/>
              </w:rPr>
              <w:t>librement placée dans une catégorie. Les mandats suivants sont exceptés de ces restrictions:</w:t>
            </w:r>
          </w:p>
        </w:tc>
      </w:tr>
      <w:tr>
        <w:trPr>
          <w:trHeight w:val="266"/>
        </w:trPr>
        <w:tc>
          <w:tcPr>
            <w:tcW w:w="280" w:type="dxa"/>
            <w:vAlign w:val="bottom"/>
            <w:tcBorders>
              <w:left w:val="single" w:sz="8" w:color="auto"/>
            </w:tcBorders>
          </w:tcPr>
          <w:p>
            <w:pPr>
              <w:ind w:left="40"/>
              <w:spacing w:after="0"/>
              <w:rPr>
                <w:sz w:val="20"/>
                <w:szCs w:val="20"/>
                <w:color w:val="auto"/>
              </w:rPr>
            </w:pPr>
            <w:r>
              <w:rPr>
                <w:rFonts w:ascii="Arial" w:cs="Arial" w:eastAsia="Arial" w:hAnsi="Arial"/>
                <w:sz w:val="13"/>
                <w:szCs w:val="13"/>
                <w:color w:val="auto"/>
              </w:rPr>
              <w:t>a)</w:t>
            </w:r>
          </w:p>
        </w:tc>
        <w:tc>
          <w:tcPr>
            <w:tcW w:w="5260" w:type="dxa"/>
            <w:vAlign w:val="bottom"/>
            <w:tcBorders>
              <w:right w:val="single" w:sz="8" w:color="auto"/>
            </w:tcBorders>
            <w:gridSpan w:val="2"/>
          </w:tcPr>
          <w:p>
            <w:pPr>
              <w:ind w:left="120"/>
              <w:spacing w:after="0"/>
              <w:rPr>
                <w:sz w:val="20"/>
                <w:szCs w:val="20"/>
                <w:color w:val="auto"/>
              </w:rPr>
            </w:pPr>
            <w:r>
              <w:rPr>
                <w:rFonts w:ascii="Arial" w:cs="Arial" w:eastAsia="Arial" w:hAnsi="Arial"/>
                <w:sz w:val="13"/>
                <w:szCs w:val="13"/>
                <w:color w:val="auto"/>
              </w:rPr>
              <w:t>mandates in legal entities which are controlled by the Company or which control the</w:t>
            </w:r>
          </w:p>
        </w:tc>
        <w:tc>
          <w:tcPr>
            <w:tcW w:w="240" w:type="dxa"/>
            <w:vAlign w:val="bottom"/>
            <w:tcBorders>
              <w:right w:val="single" w:sz="8" w:color="auto"/>
            </w:tcBorders>
          </w:tcPr>
          <w:p>
            <w:pPr>
              <w:spacing w:after="0"/>
              <w:rPr>
                <w:sz w:val="23"/>
                <w:szCs w:val="23"/>
                <w:color w:val="auto"/>
              </w:rPr>
            </w:pPr>
          </w:p>
        </w:tc>
        <w:tc>
          <w:tcPr>
            <w:tcW w:w="5520" w:type="dxa"/>
            <w:vAlign w:val="bottom"/>
            <w:tcBorders>
              <w:right w:val="single" w:sz="8" w:color="auto"/>
            </w:tcBorders>
          </w:tcPr>
          <w:p>
            <w:pPr>
              <w:ind w:left="20"/>
              <w:spacing w:after="0"/>
              <w:rPr>
                <w:sz w:val="20"/>
                <w:szCs w:val="20"/>
                <w:color w:val="auto"/>
              </w:rPr>
            </w:pPr>
            <w:r>
              <w:rPr>
                <w:rFonts w:ascii="Arial" w:cs="Arial" w:eastAsia="Arial" w:hAnsi="Arial"/>
                <w:sz w:val="13"/>
                <w:szCs w:val="13"/>
                <w:color w:val="auto"/>
              </w:rPr>
              <w:t>a)   les mandats dans des entités juridiques qui sont contrôlées par la société ou qui contrôlent</w:t>
            </w:r>
          </w:p>
        </w:tc>
      </w:tr>
      <w:tr>
        <w:trPr>
          <w:trHeight w:val="168"/>
        </w:trPr>
        <w:tc>
          <w:tcPr>
            <w:tcW w:w="280" w:type="dxa"/>
            <w:vAlign w:val="bottom"/>
            <w:tcBorders>
              <w:left w:val="single" w:sz="8" w:color="auto"/>
            </w:tcBorders>
          </w:tcPr>
          <w:p>
            <w:pPr>
              <w:spacing w:after="0"/>
              <w:rPr>
                <w:sz w:val="14"/>
                <w:szCs w:val="14"/>
                <w:color w:val="auto"/>
              </w:rPr>
            </w:pPr>
          </w:p>
        </w:tc>
        <w:tc>
          <w:tcPr>
            <w:tcW w:w="5260" w:type="dxa"/>
            <w:vAlign w:val="bottom"/>
            <w:tcBorders>
              <w:right w:val="single" w:sz="8" w:color="auto"/>
            </w:tcBorders>
            <w:gridSpan w:val="2"/>
          </w:tcPr>
          <w:p>
            <w:pPr>
              <w:ind w:left="20"/>
              <w:spacing w:after="0"/>
              <w:rPr>
                <w:sz w:val="20"/>
                <w:szCs w:val="20"/>
                <w:color w:val="auto"/>
              </w:rPr>
            </w:pPr>
            <w:r>
              <w:rPr>
                <w:rFonts w:ascii="Arial" w:cs="Arial" w:eastAsia="Arial" w:hAnsi="Arial"/>
                <w:sz w:val="13"/>
                <w:szCs w:val="13"/>
                <w:color w:val="auto"/>
              </w:rPr>
              <w:t>Company;</w:t>
            </w:r>
          </w:p>
        </w:tc>
        <w:tc>
          <w:tcPr>
            <w:tcW w:w="240" w:type="dxa"/>
            <w:vAlign w:val="bottom"/>
            <w:tcBorders>
              <w:right w:val="single" w:sz="8" w:color="auto"/>
            </w:tcBorders>
          </w:tcPr>
          <w:p>
            <w:pPr>
              <w:spacing w:after="0"/>
              <w:rPr>
                <w:sz w:val="14"/>
                <w:szCs w:val="14"/>
                <w:color w:val="auto"/>
              </w:rPr>
            </w:pPr>
          </w:p>
        </w:tc>
        <w:tc>
          <w:tcPr>
            <w:tcW w:w="5520" w:type="dxa"/>
            <w:vAlign w:val="bottom"/>
            <w:tcBorders>
              <w:right w:val="single" w:sz="8" w:color="auto"/>
            </w:tcBorders>
          </w:tcPr>
          <w:p>
            <w:pPr>
              <w:ind w:left="340"/>
              <w:spacing w:after="0"/>
              <w:rPr>
                <w:sz w:val="20"/>
                <w:szCs w:val="20"/>
                <w:color w:val="auto"/>
              </w:rPr>
            </w:pPr>
            <w:r>
              <w:rPr>
                <w:rFonts w:ascii="Arial" w:cs="Arial" w:eastAsia="Arial" w:hAnsi="Arial"/>
                <w:sz w:val="13"/>
                <w:szCs w:val="13"/>
                <w:color w:val="auto"/>
              </w:rPr>
              <w:t>la société;</w:t>
            </w:r>
          </w:p>
        </w:tc>
      </w:tr>
      <w:tr>
        <w:trPr>
          <w:trHeight w:val="290"/>
        </w:trPr>
        <w:tc>
          <w:tcPr>
            <w:tcW w:w="280" w:type="dxa"/>
            <w:vAlign w:val="bottom"/>
            <w:tcBorders>
              <w:left w:val="single" w:sz="8" w:color="auto"/>
            </w:tcBorders>
          </w:tcPr>
          <w:p>
            <w:pPr>
              <w:ind w:left="40"/>
              <w:spacing w:after="0"/>
              <w:rPr>
                <w:sz w:val="20"/>
                <w:szCs w:val="20"/>
                <w:color w:val="auto"/>
              </w:rPr>
            </w:pPr>
            <w:r>
              <w:rPr>
                <w:rFonts w:ascii="Arial" w:cs="Arial" w:eastAsia="Arial" w:hAnsi="Arial"/>
                <w:sz w:val="13"/>
                <w:szCs w:val="13"/>
                <w:color w:val="auto"/>
              </w:rPr>
              <w:t>b)</w:t>
            </w:r>
          </w:p>
        </w:tc>
        <w:tc>
          <w:tcPr>
            <w:tcW w:w="5260" w:type="dxa"/>
            <w:vAlign w:val="bottom"/>
            <w:tcBorders>
              <w:right w:val="single" w:sz="8" w:color="auto"/>
            </w:tcBorders>
            <w:gridSpan w:val="2"/>
          </w:tcPr>
          <w:p>
            <w:pPr>
              <w:spacing w:after="0"/>
              <w:rPr>
                <w:sz w:val="20"/>
                <w:szCs w:val="20"/>
                <w:color w:val="auto"/>
              </w:rPr>
            </w:pPr>
            <w:r>
              <w:rPr>
                <w:rFonts w:ascii="Arial" w:cs="Arial" w:eastAsia="Arial" w:hAnsi="Arial"/>
                <w:sz w:val="13"/>
                <w:szCs w:val="13"/>
                <w:color w:val="auto"/>
              </w:rPr>
              <w:t>honorary mandates in charitable legal entities.</w:t>
            </w:r>
          </w:p>
        </w:tc>
        <w:tc>
          <w:tcPr>
            <w:tcW w:w="240" w:type="dxa"/>
            <w:vAlign w:val="bottom"/>
            <w:tcBorders>
              <w:right w:val="single" w:sz="8" w:color="auto"/>
            </w:tcBorders>
          </w:tcPr>
          <w:p>
            <w:pPr>
              <w:spacing w:after="0"/>
              <w:rPr>
                <w:sz w:val="24"/>
                <w:szCs w:val="24"/>
                <w:color w:val="auto"/>
              </w:rPr>
            </w:pPr>
          </w:p>
        </w:tc>
        <w:tc>
          <w:tcPr>
            <w:tcW w:w="5520" w:type="dxa"/>
            <w:vAlign w:val="bottom"/>
            <w:tcBorders>
              <w:right w:val="single" w:sz="8" w:color="auto"/>
            </w:tcBorders>
          </w:tcPr>
          <w:p>
            <w:pPr>
              <w:ind w:left="20"/>
              <w:spacing w:after="0"/>
              <w:rPr>
                <w:sz w:val="20"/>
                <w:szCs w:val="20"/>
                <w:color w:val="auto"/>
              </w:rPr>
            </w:pPr>
            <w:r>
              <w:rPr>
                <w:rFonts w:ascii="Arial" w:cs="Arial" w:eastAsia="Arial" w:hAnsi="Arial"/>
                <w:sz w:val="13"/>
                <w:szCs w:val="13"/>
                <w:color w:val="auto"/>
              </w:rPr>
              <w:t>b)   mandats d'honneur dans des entités juridiques de bienfaisance.</w:t>
            </w:r>
          </w:p>
        </w:tc>
      </w:tr>
      <w:tr>
        <w:trPr>
          <w:trHeight w:val="153"/>
        </w:trPr>
        <w:tc>
          <w:tcPr>
            <w:tcW w:w="280" w:type="dxa"/>
            <w:vAlign w:val="bottom"/>
            <w:tcBorders>
              <w:left w:val="single" w:sz="8" w:color="auto"/>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5040" w:type="dxa"/>
            <w:vAlign w:val="bottom"/>
            <w:tcBorders>
              <w:bottom w:val="single" w:sz="8" w:color="auto"/>
              <w:right w:val="single" w:sz="8" w:color="auto"/>
            </w:tcBorders>
          </w:tcPr>
          <w:p>
            <w:pPr>
              <w:spacing w:after="0"/>
              <w:rPr>
                <w:sz w:val="13"/>
                <w:szCs w:val="13"/>
                <w:color w:val="auto"/>
              </w:rPr>
            </w:pPr>
          </w:p>
        </w:tc>
        <w:tc>
          <w:tcPr>
            <w:tcW w:w="240" w:type="dxa"/>
            <w:vAlign w:val="bottom"/>
            <w:tcBorders>
              <w:bottom w:val="single" w:sz="8" w:color="auto"/>
              <w:right w:val="single" w:sz="8" w:color="auto"/>
            </w:tcBorders>
          </w:tcPr>
          <w:p>
            <w:pPr>
              <w:spacing w:after="0"/>
              <w:rPr>
                <w:sz w:val="13"/>
                <w:szCs w:val="13"/>
                <w:color w:val="auto"/>
              </w:rPr>
            </w:pPr>
          </w:p>
        </w:tc>
        <w:tc>
          <w:tcPr>
            <w:tcW w:w="5520" w:type="dxa"/>
            <w:vAlign w:val="bottom"/>
            <w:tcBorders>
              <w:bottom w:val="single" w:sz="8" w:color="auto"/>
              <w:right w:val="single" w:sz="8" w:color="auto"/>
            </w:tcBorders>
          </w:tcPr>
          <w:p>
            <w:pPr>
              <w:spacing w:after="0"/>
              <w:rPr>
                <w:sz w:val="13"/>
                <w:szCs w:val="13"/>
                <w:color w:val="auto"/>
              </w:rPr>
            </w:pPr>
          </w:p>
        </w:tc>
      </w:tr>
      <w:tr>
        <w:trPr>
          <w:trHeight w:val="173"/>
        </w:trPr>
        <w:tc>
          <w:tcPr>
            <w:tcW w:w="280" w:type="dxa"/>
            <w:vAlign w:val="bottom"/>
            <w:tcBorders>
              <w:left w:val="single" w:sz="8" w:color="auto"/>
            </w:tcBorders>
          </w:tcPr>
          <w:p>
            <w:pPr>
              <w:ind w:left="40"/>
              <w:spacing w:after="0"/>
              <w:rPr>
                <w:sz w:val="20"/>
                <w:szCs w:val="20"/>
                <w:color w:val="auto"/>
              </w:rPr>
            </w:pPr>
            <w:r>
              <w:rPr>
                <w:rFonts w:ascii="Arial" w:cs="Arial" w:eastAsia="Arial" w:hAnsi="Arial"/>
                <w:sz w:val="13"/>
                <w:szCs w:val="13"/>
                <w:b w:val="1"/>
                <w:bCs w:val="1"/>
                <w:color w:val="auto"/>
                <w:w w:val="98"/>
              </w:rPr>
              <w:t>Art.</w:t>
            </w:r>
          </w:p>
        </w:tc>
        <w:tc>
          <w:tcPr>
            <w:tcW w:w="220" w:type="dxa"/>
            <w:vAlign w:val="bottom"/>
          </w:tcPr>
          <w:p>
            <w:pPr>
              <w:spacing w:after="0"/>
              <w:rPr>
                <w:sz w:val="20"/>
                <w:szCs w:val="20"/>
                <w:color w:val="auto"/>
              </w:rPr>
            </w:pPr>
            <w:r>
              <w:rPr>
                <w:rFonts w:ascii="Arial" w:cs="Arial" w:eastAsia="Arial" w:hAnsi="Arial"/>
                <w:sz w:val="13"/>
                <w:szCs w:val="13"/>
                <w:b w:val="1"/>
                <w:bCs w:val="1"/>
                <w:color w:val="auto"/>
              </w:rPr>
              <w:t>39</w:t>
            </w:r>
          </w:p>
        </w:tc>
        <w:tc>
          <w:tcPr>
            <w:tcW w:w="5040" w:type="dxa"/>
            <w:vAlign w:val="bottom"/>
            <w:tcBorders>
              <w:right w:val="single" w:sz="8" w:color="auto"/>
            </w:tcBorders>
          </w:tcPr>
          <w:p>
            <w:pPr>
              <w:ind w:left="80"/>
              <w:spacing w:after="0"/>
              <w:rPr>
                <w:sz w:val="20"/>
                <w:szCs w:val="20"/>
                <w:color w:val="auto"/>
              </w:rPr>
            </w:pPr>
            <w:r>
              <w:rPr>
                <w:rFonts w:ascii="Arial" w:cs="Arial" w:eastAsia="Arial" w:hAnsi="Arial"/>
                <w:sz w:val="13"/>
                <w:szCs w:val="13"/>
                <w:b w:val="1"/>
                <w:bCs w:val="1"/>
                <w:color w:val="auto"/>
              </w:rPr>
              <w:t>Loans and Credits</w:t>
            </w:r>
          </w:p>
        </w:tc>
        <w:tc>
          <w:tcPr>
            <w:tcW w:w="240" w:type="dxa"/>
            <w:vAlign w:val="bottom"/>
            <w:tcBorders>
              <w:right w:val="single" w:sz="8" w:color="auto"/>
            </w:tcBorders>
          </w:tcPr>
          <w:p>
            <w:pPr>
              <w:spacing w:after="0"/>
              <w:rPr>
                <w:sz w:val="15"/>
                <w:szCs w:val="15"/>
                <w:color w:val="auto"/>
              </w:rPr>
            </w:pPr>
          </w:p>
        </w:tc>
        <w:tc>
          <w:tcPr>
            <w:tcW w:w="5520" w:type="dxa"/>
            <w:vAlign w:val="bottom"/>
            <w:tcBorders>
              <w:right w:val="single" w:sz="8" w:color="auto"/>
            </w:tcBorders>
          </w:tcPr>
          <w:p>
            <w:pPr>
              <w:ind w:left="20"/>
              <w:spacing w:after="0"/>
              <w:rPr>
                <w:sz w:val="20"/>
                <w:szCs w:val="20"/>
                <w:color w:val="auto"/>
              </w:rPr>
            </w:pPr>
            <w:r>
              <w:rPr>
                <w:rFonts w:ascii="Arial" w:cs="Arial" w:eastAsia="Arial" w:hAnsi="Arial"/>
                <w:sz w:val="13"/>
                <w:szCs w:val="13"/>
                <w:b w:val="1"/>
                <w:bCs w:val="1"/>
                <w:color w:val="auto"/>
              </w:rPr>
              <w:t>Art. 39  Prêts et crédits</w:t>
            </w:r>
          </w:p>
        </w:tc>
      </w:tr>
      <w:tr>
        <w:trPr>
          <w:trHeight w:val="258"/>
        </w:trPr>
        <w:tc>
          <w:tcPr>
            <w:tcW w:w="5540" w:type="dxa"/>
            <w:vAlign w:val="bottom"/>
            <w:tcBorders>
              <w:left w:val="single" w:sz="8" w:color="auto"/>
              <w:right w:val="single" w:sz="8" w:color="auto"/>
            </w:tcBorders>
            <w:gridSpan w:val="3"/>
          </w:tcPr>
          <w:p>
            <w:pPr>
              <w:ind w:left="40"/>
              <w:spacing w:after="0"/>
              <w:rPr>
                <w:sz w:val="20"/>
                <w:szCs w:val="20"/>
                <w:color w:val="auto"/>
              </w:rPr>
            </w:pPr>
            <w:r>
              <w:rPr>
                <w:rFonts w:ascii="Arial" w:cs="Arial" w:eastAsia="Arial" w:hAnsi="Arial"/>
                <w:sz w:val="13"/>
                <w:szCs w:val="13"/>
                <w:color w:val="auto"/>
              </w:rPr>
              <w:t>The members of the Board of Directors and the Executive Committee may not be granted any</w:t>
            </w:r>
          </w:p>
        </w:tc>
        <w:tc>
          <w:tcPr>
            <w:tcW w:w="240" w:type="dxa"/>
            <w:vAlign w:val="bottom"/>
            <w:tcBorders>
              <w:right w:val="single" w:sz="8" w:color="auto"/>
            </w:tcBorders>
          </w:tcPr>
          <w:p>
            <w:pPr>
              <w:spacing w:after="0"/>
              <w:rPr>
                <w:sz w:val="22"/>
                <w:szCs w:val="22"/>
                <w:color w:val="auto"/>
              </w:rPr>
            </w:pPr>
          </w:p>
        </w:tc>
        <w:tc>
          <w:tcPr>
            <w:tcW w:w="5520" w:type="dxa"/>
            <w:vAlign w:val="bottom"/>
            <w:tcBorders>
              <w:right w:val="single" w:sz="8" w:color="auto"/>
            </w:tcBorders>
          </w:tcPr>
          <w:p>
            <w:pPr>
              <w:ind w:left="20"/>
              <w:spacing w:after="0"/>
              <w:rPr>
                <w:sz w:val="20"/>
                <w:szCs w:val="20"/>
                <w:color w:val="auto"/>
              </w:rPr>
            </w:pPr>
            <w:r>
              <w:rPr>
                <w:rFonts w:ascii="Arial" w:cs="Arial" w:eastAsia="Arial" w:hAnsi="Arial"/>
                <w:sz w:val="13"/>
                <w:szCs w:val="13"/>
                <w:color w:val="auto"/>
              </w:rPr>
              <w:t>Les membres du conseil d'administration et du comité exécutif ne peuvent pas souscrire des</w:t>
            </w:r>
          </w:p>
        </w:tc>
      </w:tr>
      <w:tr>
        <w:trPr>
          <w:trHeight w:val="145"/>
        </w:trPr>
        <w:tc>
          <w:tcPr>
            <w:tcW w:w="5540" w:type="dxa"/>
            <w:vAlign w:val="bottom"/>
            <w:tcBorders>
              <w:left w:val="single" w:sz="8" w:color="auto"/>
              <w:right w:val="single" w:sz="8" w:color="auto"/>
            </w:tcBorders>
            <w:gridSpan w:val="3"/>
          </w:tcPr>
          <w:p>
            <w:pPr>
              <w:ind w:left="40"/>
              <w:spacing w:after="0" w:line="145" w:lineRule="exact"/>
              <w:rPr>
                <w:sz w:val="20"/>
                <w:szCs w:val="20"/>
                <w:color w:val="auto"/>
              </w:rPr>
            </w:pPr>
            <w:r>
              <w:rPr>
                <w:rFonts w:ascii="Arial" w:cs="Arial" w:eastAsia="Arial" w:hAnsi="Arial"/>
                <w:sz w:val="13"/>
                <w:szCs w:val="13"/>
                <w:color w:val="auto"/>
              </w:rPr>
              <w:t>loans, credits or securities. Excepted from the above are advances in the maximum amount of</w:t>
            </w:r>
          </w:p>
        </w:tc>
        <w:tc>
          <w:tcPr>
            <w:tcW w:w="240" w:type="dxa"/>
            <w:vAlign w:val="bottom"/>
            <w:tcBorders>
              <w:right w:val="single" w:sz="8" w:color="auto"/>
            </w:tcBorders>
          </w:tcPr>
          <w:p>
            <w:pPr>
              <w:spacing w:after="0"/>
              <w:rPr>
                <w:sz w:val="12"/>
                <w:szCs w:val="12"/>
                <w:color w:val="auto"/>
              </w:rPr>
            </w:pPr>
          </w:p>
        </w:tc>
        <w:tc>
          <w:tcPr>
            <w:tcW w:w="5520" w:type="dxa"/>
            <w:vAlign w:val="bottom"/>
            <w:tcBorders>
              <w:right w:val="single" w:sz="8" w:color="auto"/>
            </w:tcBorders>
          </w:tcPr>
          <w:p>
            <w:pPr>
              <w:ind w:left="20"/>
              <w:spacing w:after="0" w:line="145" w:lineRule="exact"/>
              <w:rPr>
                <w:sz w:val="20"/>
                <w:szCs w:val="20"/>
                <w:color w:val="auto"/>
              </w:rPr>
            </w:pPr>
            <w:r>
              <w:rPr>
                <w:rFonts w:ascii="Arial" w:cs="Arial" w:eastAsia="Arial" w:hAnsi="Arial"/>
                <w:sz w:val="13"/>
                <w:szCs w:val="13"/>
                <w:color w:val="auto"/>
              </w:rPr>
              <w:t>prêts, des crédits ou des titres. Sont exceptées les avances d'un montant maximum de CHF</w:t>
            </w:r>
          </w:p>
        </w:tc>
      </w:tr>
      <w:tr>
        <w:trPr>
          <w:trHeight w:val="145"/>
        </w:trPr>
        <w:tc>
          <w:tcPr>
            <w:tcW w:w="5540" w:type="dxa"/>
            <w:vAlign w:val="bottom"/>
            <w:tcBorders>
              <w:left w:val="single" w:sz="8" w:color="auto"/>
              <w:right w:val="single" w:sz="8" w:color="auto"/>
            </w:tcBorders>
            <w:gridSpan w:val="3"/>
          </w:tcPr>
          <w:p>
            <w:pPr>
              <w:ind w:left="40"/>
              <w:spacing w:after="0" w:line="145" w:lineRule="exact"/>
              <w:rPr>
                <w:sz w:val="20"/>
                <w:szCs w:val="20"/>
                <w:color w:val="auto"/>
              </w:rPr>
            </w:pPr>
            <w:r>
              <w:rPr>
                <w:rFonts w:ascii="Arial" w:cs="Arial" w:eastAsia="Arial" w:hAnsi="Arial"/>
                <w:sz w:val="13"/>
                <w:szCs w:val="13"/>
                <w:color w:val="auto"/>
              </w:rPr>
              <w:t>CHF 500'000 per person for attorneys' fees, court and other similar costs required for the</w:t>
            </w:r>
          </w:p>
        </w:tc>
        <w:tc>
          <w:tcPr>
            <w:tcW w:w="240" w:type="dxa"/>
            <w:vAlign w:val="bottom"/>
            <w:tcBorders>
              <w:right w:val="single" w:sz="8" w:color="auto"/>
            </w:tcBorders>
          </w:tcPr>
          <w:p>
            <w:pPr>
              <w:spacing w:after="0"/>
              <w:rPr>
                <w:sz w:val="12"/>
                <w:szCs w:val="12"/>
                <w:color w:val="auto"/>
              </w:rPr>
            </w:pPr>
          </w:p>
        </w:tc>
        <w:tc>
          <w:tcPr>
            <w:tcW w:w="5520" w:type="dxa"/>
            <w:vAlign w:val="bottom"/>
            <w:tcBorders>
              <w:right w:val="single" w:sz="8" w:color="auto"/>
            </w:tcBorders>
          </w:tcPr>
          <w:p>
            <w:pPr>
              <w:ind w:left="20"/>
              <w:spacing w:after="0" w:line="145" w:lineRule="exact"/>
              <w:rPr>
                <w:sz w:val="20"/>
                <w:szCs w:val="20"/>
                <w:color w:val="auto"/>
              </w:rPr>
            </w:pPr>
            <w:r>
              <w:rPr>
                <w:rFonts w:ascii="Arial" w:cs="Arial" w:eastAsia="Arial" w:hAnsi="Arial"/>
                <w:sz w:val="13"/>
                <w:szCs w:val="13"/>
                <w:color w:val="auto"/>
                <w:w w:val="99"/>
              </w:rPr>
              <w:t>500'000 par personne pour les frais d'avocat, des coûts de tribunaux et d'autres coûts similaires</w:t>
            </w:r>
          </w:p>
        </w:tc>
      </w:tr>
      <w:tr>
        <w:trPr>
          <w:trHeight w:val="168"/>
        </w:trPr>
        <w:tc>
          <w:tcPr>
            <w:tcW w:w="5540" w:type="dxa"/>
            <w:vAlign w:val="bottom"/>
            <w:tcBorders>
              <w:left w:val="single" w:sz="8" w:color="auto"/>
              <w:right w:val="single" w:sz="8" w:color="auto"/>
            </w:tcBorders>
            <w:gridSpan w:val="3"/>
          </w:tcPr>
          <w:p>
            <w:pPr>
              <w:ind w:left="40"/>
              <w:spacing w:after="0"/>
              <w:rPr>
                <w:sz w:val="20"/>
                <w:szCs w:val="20"/>
                <w:color w:val="auto"/>
              </w:rPr>
            </w:pPr>
            <w:r>
              <w:rPr>
                <w:rFonts w:ascii="Arial" w:cs="Arial" w:eastAsia="Arial" w:hAnsi="Arial"/>
                <w:sz w:val="13"/>
                <w:szCs w:val="13"/>
                <w:color w:val="auto"/>
              </w:rPr>
              <w:t>defence of third-party liability claims permitted by Article 29.</w:t>
            </w:r>
          </w:p>
        </w:tc>
        <w:tc>
          <w:tcPr>
            <w:tcW w:w="240" w:type="dxa"/>
            <w:vAlign w:val="bottom"/>
            <w:tcBorders>
              <w:right w:val="single" w:sz="8" w:color="auto"/>
            </w:tcBorders>
          </w:tcPr>
          <w:p>
            <w:pPr>
              <w:spacing w:after="0"/>
              <w:rPr>
                <w:sz w:val="14"/>
                <w:szCs w:val="14"/>
                <w:color w:val="auto"/>
              </w:rPr>
            </w:pPr>
          </w:p>
        </w:tc>
        <w:tc>
          <w:tcPr>
            <w:tcW w:w="5520" w:type="dxa"/>
            <w:vAlign w:val="bottom"/>
            <w:tcBorders>
              <w:right w:val="single" w:sz="8" w:color="auto"/>
            </w:tcBorders>
          </w:tcPr>
          <w:p>
            <w:pPr>
              <w:ind w:left="20"/>
              <w:spacing w:after="0"/>
              <w:rPr>
                <w:sz w:val="20"/>
                <w:szCs w:val="20"/>
                <w:color w:val="auto"/>
              </w:rPr>
            </w:pPr>
            <w:r>
              <w:rPr>
                <w:rFonts w:ascii="Arial" w:cs="Arial" w:eastAsia="Arial" w:hAnsi="Arial"/>
                <w:sz w:val="13"/>
                <w:szCs w:val="13"/>
                <w:color w:val="auto"/>
              </w:rPr>
              <w:t>nécessaires à la défense contre des actions en responsabilité civile autorisés par l'article 29.</w:t>
            </w:r>
          </w:p>
        </w:tc>
      </w:tr>
      <w:tr>
        <w:trPr>
          <w:trHeight w:val="153"/>
        </w:trPr>
        <w:tc>
          <w:tcPr>
            <w:tcW w:w="280" w:type="dxa"/>
            <w:vAlign w:val="bottom"/>
            <w:tcBorders>
              <w:left w:val="single" w:sz="8" w:color="auto"/>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5040" w:type="dxa"/>
            <w:vAlign w:val="bottom"/>
            <w:tcBorders>
              <w:bottom w:val="single" w:sz="8" w:color="auto"/>
              <w:right w:val="single" w:sz="8" w:color="auto"/>
            </w:tcBorders>
          </w:tcPr>
          <w:p>
            <w:pPr>
              <w:spacing w:after="0"/>
              <w:rPr>
                <w:sz w:val="13"/>
                <w:szCs w:val="13"/>
                <w:color w:val="auto"/>
              </w:rPr>
            </w:pPr>
          </w:p>
        </w:tc>
        <w:tc>
          <w:tcPr>
            <w:tcW w:w="240" w:type="dxa"/>
            <w:vAlign w:val="bottom"/>
            <w:tcBorders>
              <w:bottom w:val="single" w:sz="8" w:color="auto"/>
              <w:right w:val="single" w:sz="8" w:color="auto"/>
            </w:tcBorders>
          </w:tcPr>
          <w:p>
            <w:pPr>
              <w:spacing w:after="0"/>
              <w:rPr>
                <w:sz w:val="13"/>
                <w:szCs w:val="13"/>
                <w:color w:val="auto"/>
              </w:rPr>
            </w:pPr>
          </w:p>
        </w:tc>
        <w:tc>
          <w:tcPr>
            <w:tcW w:w="5520" w:type="dxa"/>
            <w:vAlign w:val="bottom"/>
            <w:tcBorders>
              <w:bottom w:val="single" w:sz="8" w:color="auto"/>
              <w:right w:val="single" w:sz="8" w:color="auto"/>
            </w:tcBorders>
          </w:tcPr>
          <w:p>
            <w:pPr>
              <w:spacing w:after="0"/>
              <w:rPr>
                <w:sz w:val="13"/>
                <w:szCs w:val="13"/>
                <w:color w:val="auto"/>
              </w:rPr>
            </w:pPr>
          </w:p>
        </w:tc>
      </w:tr>
      <w:tr>
        <w:trPr>
          <w:trHeight w:val="173"/>
        </w:trPr>
        <w:tc>
          <w:tcPr>
            <w:tcW w:w="280" w:type="dxa"/>
            <w:vAlign w:val="bottom"/>
            <w:tcBorders>
              <w:left w:val="single" w:sz="8" w:color="auto"/>
            </w:tcBorders>
          </w:tcPr>
          <w:p>
            <w:pPr>
              <w:ind w:left="40"/>
              <w:spacing w:after="0"/>
              <w:rPr>
                <w:sz w:val="20"/>
                <w:szCs w:val="20"/>
                <w:color w:val="auto"/>
              </w:rPr>
            </w:pPr>
            <w:r>
              <w:rPr>
                <w:rFonts w:ascii="Arial" w:cs="Arial" w:eastAsia="Arial" w:hAnsi="Arial"/>
                <w:sz w:val="13"/>
                <w:szCs w:val="13"/>
                <w:b w:val="1"/>
                <w:bCs w:val="1"/>
                <w:color w:val="auto"/>
                <w:w w:val="98"/>
              </w:rPr>
              <w:t>Art.</w:t>
            </w:r>
          </w:p>
        </w:tc>
        <w:tc>
          <w:tcPr>
            <w:tcW w:w="220" w:type="dxa"/>
            <w:vAlign w:val="bottom"/>
          </w:tcPr>
          <w:p>
            <w:pPr>
              <w:spacing w:after="0"/>
              <w:rPr>
                <w:sz w:val="20"/>
                <w:szCs w:val="20"/>
                <w:color w:val="auto"/>
              </w:rPr>
            </w:pPr>
            <w:r>
              <w:rPr>
                <w:rFonts w:ascii="Arial" w:cs="Arial" w:eastAsia="Arial" w:hAnsi="Arial"/>
                <w:sz w:val="13"/>
                <w:szCs w:val="13"/>
                <w:b w:val="1"/>
                <w:bCs w:val="1"/>
                <w:color w:val="auto"/>
              </w:rPr>
              <w:t>40</w:t>
            </w:r>
          </w:p>
        </w:tc>
        <w:tc>
          <w:tcPr>
            <w:tcW w:w="5040" w:type="dxa"/>
            <w:vAlign w:val="bottom"/>
            <w:tcBorders>
              <w:right w:val="single" w:sz="8" w:color="auto"/>
            </w:tcBorders>
          </w:tcPr>
          <w:p>
            <w:pPr>
              <w:ind w:left="80"/>
              <w:spacing w:after="0"/>
              <w:rPr>
                <w:sz w:val="20"/>
                <w:szCs w:val="20"/>
                <w:color w:val="auto"/>
              </w:rPr>
            </w:pPr>
            <w:r>
              <w:rPr>
                <w:rFonts w:ascii="Arial" w:cs="Arial" w:eastAsia="Arial" w:hAnsi="Arial"/>
                <w:sz w:val="13"/>
                <w:szCs w:val="13"/>
                <w:b w:val="1"/>
                <w:bCs w:val="1"/>
                <w:color w:val="auto"/>
              </w:rPr>
              <w:t>Pension Funds</w:t>
            </w:r>
          </w:p>
        </w:tc>
        <w:tc>
          <w:tcPr>
            <w:tcW w:w="240" w:type="dxa"/>
            <w:vAlign w:val="bottom"/>
            <w:tcBorders>
              <w:right w:val="single" w:sz="8" w:color="auto"/>
            </w:tcBorders>
          </w:tcPr>
          <w:p>
            <w:pPr>
              <w:spacing w:after="0"/>
              <w:rPr>
                <w:sz w:val="15"/>
                <w:szCs w:val="15"/>
                <w:color w:val="auto"/>
              </w:rPr>
            </w:pPr>
          </w:p>
        </w:tc>
        <w:tc>
          <w:tcPr>
            <w:tcW w:w="5520" w:type="dxa"/>
            <w:vAlign w:val="bottom"/>
            <w:tcBorders>
              <w:right w:val="single" w:sz="8" w:color="auto"/>
            </w:tcBorders>
          </w:tcPr>
          <w:p>
            <w:pPr>
              <w:ind w:left="20"/>
              <w:spacing w:after="0"/>
              <w:rPr>
                <w:sz w:val="20"/>
                <w:szCs w:val="20"/>
                <w:color w:val="auto"/>
              </w:rPr>
            </w:pPr>
            <w:r>
              <w:rPr>
                <w:rFonts w:ascii="Arial" w:cs="Arial" w:eastAsia="Arial" w:hAnsi="Arial"/>
                <w:sz w:val="13"/>
                <w:szCs w:val="13"/>
                <w:b w:val="1"/>
                <w:bCs w:val="1"/>
                <w:color w:val="auto"/>
              </w:rPr>
              <w:t>Art. 40  Fonds de pension</w:t>
            </w:r>
          </w:p>
        </w:tc>
      </w:tr>
      <w:tr>
        <w:trPr>
          <w:trHeight w:val="258"/>
        </w:trPr>
        <w:tc>
          <w:tcPr>
            <w:tcW w:w="5540" w:type="dxa"/>
            <w:vAlign w:val="bottom"/>
            <w:tcBorders>
              <w:left w:val="single" w:sz="8" w:color="auto"/>
              <w:right w:val="single" w:sz="8" w:color="auto"/>
            </w:tcBorders>
            <w:gridSpan w:val="3"/>
          </w:tcPr>
          <w:p>
            <w:pPr>
              <w:ind w:left="40"/>
              <w:spacing w:after="0"/>
              <w:rPr>
                <w:sz w:val="20"/>
                <w:szCs w:val="20"/>
                <w:color w:val="auto"/>
              </w:rPr>
            </w:pPr>
            <w:r>
              <w:rPr>
                <w:rFonts w:ascii="Arial" w:cs="Arial" w:eastAsia="Arial" w:hAnsi="Arial"/>
                <w:sz w:val="13"/>
                <w:szCs w:val="13"/>
                <w:color w:val="auto"/>
              </w:rPr>
              <w:t>The Company shall remunerate members of the Board of Directors only in respect of the</w:t>
            </w:r>
          </w:p>
        </w:tc>
        <w:tc>
          <w:tcPr>
            <w:tcW w:w="240" w:type="dxa"/>
            <w:vAlign w:val="bottom"/>
            <w:tcBorders>
              <w:right w:val="single" w:sz="8" w:color="auto"/>
            </w:tcBorders>
          </w:tcPr>
          <w:p>
            <w:pPr>
              <w:spacing w:after="0"/>
              <w:rPr>
                <w:sz w:val="22"/>
                <w:szCs w:val="22"/>
                <w:color w:val="auto"/>
              </w:rPr>
            </w:pPr>
          </w:p>
        </w:tc>
        <w:tc>
          <w:tcPr>
            <w:tcW w:w="5520" w:type="dxa"/>
            <w:vAlign w:val="bottom"/>
            <w:tcBorders>
              <w:right w:val="single" w:sz="8" w:color="auto"/>
            </w:tcBorders>
          </w:tcPr>
          <w:p>
            <w:pPr>
              <w:ind w:left="20"/>
              <w:spacing w:after="0"/>
              <w:rPr>
                <w:sz w:val="20"/>
                <w:szCs w:val="20"/>
                <w:color w:val="auto"/>
              </w:rPr>
            </w:pPr>
            <w:r>
              <w:rPr>
                <w:rFonts w:ascii="Arial" w:cs="Arial" w:eastAsia="Arial" w:hAnsi="Arial"/>
                <w:sz w:val="13"/>
                <w:szCs w:val="13"/>
                <w:color w:val="auto"/>
              </w:rPr>
              <w:t>La société ne doit rémunérer les membres du conseil d'administration que du montant dû au</w:t>
            </w:r>
          </w:p>
        </w:tc>
      </w:tr>
      <w:tr>
        <w:trPr>
          <w:trHeight w:val="145"/>
        </w:trPr>
        <w:tc>
          <w:tcPr>
            <w:tcW w:w="5540" w:type="dxa"/>
            <w:vAlign w:val="bottom"/>
            <w:tcBorders>
              <w:left w:val="single" w:sz="8" w:color="auto"/>
              <w:right w:val="single" w:sz="8" w:color="auto"/>
            </w:tcBorders>
            <w:gridSpan w:val="3"/>
          </w:tcPr>
          <w:p>
            <w:pPr>
              <w:ind w:left="40"/>
              <w:spacing w:after="0" w:line="145" w:lineRule="exact"/>
              <w:rPr>
                <w:sz w:val="20"/>
                <w:szCs w:val="20"/>
                <w:color w:val="auto"/>
              </w:rPr>
            </w:pPr>
            <w:r>
              <w:rPr>
                <w:rFonts w:ascii="Arial" w:cs="Arial" w:eastAsia="Arial" w:hAnsi="Arial"/>
                <w:sz w:val="13"/>
                <w:szCs w:val="13"/>
                <w:color w:val="auto"/>
              </w:rPr>
              <w:t>employer's mandatory contributions to social insurance. Above and beyond this, the Company</w:t>
            </w:r>
          </w:p>
        </w:tc>
        <w:tc>
          <w:tcPr>
            <w:tcW w:w="240" w:type="dxa"/>
            <w:vAlign w:val="bottom"/>
            <w:tcBorders>
              <w:right w:val="single" w:sz="8" w:color="auto"/>
            </w:tcBorders>
          </w:tcPr>
          <w:p>
            <w:pPr>
              <w:spacing w:after="0"/>
              <w:rPr>
                <w:sz w:val="12"/>
                <w:szCs w:val="12"/>
                <w:color w:val="auto"/>
              </w:rPr>
            </w:pPr>
          </w:p>
        </w:tc>
        <w:tc>
          <w:tcPr>
            <w:tcW w:w="5520" w:type="dxa"/>
            <w:vAlign w:val="bottom"/>
            <w:tcBorders>
              <w:right w:val="single" w:sz="8" w:color="auto"/>
            </w:tcBorders>
          </w:tcPr>
          <w:p>
            <w:pPr>
              <w:ind w:left="20"/>
              <w:spacing w:after="0" w:line="145" w:lineRule="exact"/>
              <w:rPr>
                <w:sz w:val="20"/>
                <w:szCs w:val="20"/>
                <w:color w:val="auto"/>
              </w:rPr>
            </w:pPr>
            <w:r>
              <w:rPr>
                <w:rFonts w:ascii="Arial" w:cs="Arial" w:eastAsia="Arial" w:hAnsi="Arial"/>
                <w:sz w:val="13"/>
                <w:szCs w:val="13"/>
                <w:color w:val="auto"/>
                <w:w w:val="99"/>
              </w:rPr>
              <w:t>titre de contributions obligatoire de l'employeur à l'assurance sociale. Au-delà de ce montant, la</w:t>
            </w:r>
          </w:p>
        </w:tc>
      </w:tr>
      <w:tr>
        <w:trPr>
          <w:trHeight w:val="168"/>
        </w:trPr>
        <w:tc>
          <w:tcPr>
            <w:tcW w:w="5540" w:type="dxa"/>
            <w:vAlign w:val="bottom"/>
            <w:tcBorders>
              <w:left w:val="single" w:sz="8" w:color="auto"/>
              <w:right w:val="single" w:sz="8" w:color="auto"/>
            </w:tcBorders>
            <w:gridSpan w:val="3"/>
          </w:tcPr>
          <w:p>
            <w:pPr>
              <w:ind w:left="40"/>
              <w:spacing w:after="0"/>
              <w:rPr>
                <w:sz w:val="20"/>
                <w:szCs w:val="20"/>
                <w:color w:val="auto"/>
              </w:rPr>
            </w:pPr>
            <w:r>
              <w:rPr>
                <w:rFonts w:ascii="Arial" w:cs="Arial" w:eastAsia="Arial" w:hAnsi="Arial"/>
                <w:sz w:val="13"/>
                <w:szCs w:val="13"/>
                <w:color w:val="auto"/>
              </w:rPr>
              <w:t>shall not make any contributions to</w:t>
            </w:r>
          </w:p>
        </w:tc>
        <w:tc>
          <w:tcPr>
            <w:tcW w:w="240" w:type="dxa"/>
            <w:vAlign w:val="bottom"/>
            <w:tcBorders>
              <w:right w:val="single" w:sz="8" w:color="auto"/>
            </w:tcBorders>
          </w:tcPr>
          <w:p>
            <w:pPr>
              <w:spacing w:after="0"/>
              <w:rPr>
                <w:sz w:val="14"/>
                <w:szCs w:val="14"/>
                <w:color w:val="auto"/>
              </w:rPr>
            </w:pPr>
          </w:p>
        </w:tc>
        <w:tc>
          <w:tcPr>
            <w:tcW w:w="5520" w:type="dxa"/>
            <w:vAlign w:val="bottom"/>
            <w:tcBorders>
              <w:right w:val="single" w:sz="8" w:color="auto"/>
            </w:tcBorders>
          </w:tcPr>
          <w:p>
            <w:pPr>
              <w:ind w:left="20"/>
              <w:spacing w:after="0"/>
              <w:rPr>
                <w:sz w:val="20"/>
                <w:szCs w:val="20"/>
                <w:color w:val="auto"/>
              </w:rPr>
            </w:pPr>
            <w:r>
              <w:rPr>
                <w:rFonts w:ascii="Arial" w:cs="Arial" w:eastAsia="Arial" w:hAnsi="Arial"/>
                <w:sz w:val="13"/>
                <w:szCs w:val="13"/>
                <w:color w:val="auto"/>
              </w:rPr>
              <w:t>société ne doit pas verser de</w:t>
            </w:r>
          </w:p>
        </w:tc>
      </w:tr>
      <w:tr>
        <w:trPr>
          <w:trHeight w:val="153"/>
        </w:trPr>
        <w:tc>
          <w:tcPr>
            <w:tcW w:w="280" w:type="dxa"/>
            <w:vAlign w:val="bottom"/>
            <w:tcBorders>
              <w:left w:val="single" w:sz="8" w:color="auto"/>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5040" w:type="dxa"/>
            <w:vAlign w:val="bottom"/>
            <w:tcBorders>
              <w:bottom w:val="single" w:sz="8" w:color="auto"/>
              <w:right w:val="single" w:sz="8" w:color="auto"/>
            </w:tcBorders>
          </w:tcPr>
          <w:p>
            <w:pPr>
              <w:spacing w:after="0"/>
              <w:rPr>
                <w:sz w:val="13"/>
                <w:szCs w:val="13"/>
                <w:color w:val="auto"/>
              </w:rPr>
            </w:pPr>
          </w:p>
        </w:tc>
        <w:tc>
          <w:tcPr>
            <w:tcW w:w="240" w:type="dxa"/>
            <w:vAlign w:val="bottom"/>
            <w:tcBorders>
              <w:bottom w:val="single" w:sz="8" w:color="auto"/>
              <w:right w:val="single" w:sz="8" w:color="auto"/>
            </w:tcBorders>
          </w:tcPr>
          <w:p>
            <w:pPr>
              <w:spacing w:after="0"/>
              <w:rPr>
                <w:sz w:val="13"/>
                <w:szCs w:val="13"/>
                <w:color w:val="auto"/>
              </w:rPr>
            </w:pPr>
          </w:p>
        </w:tc>
        <w:tc>
          <w:tcPr>
            <w:tcW w:w="5520" w:type="dxa"/>
            <w:vAlign w:val="bottom"/>
            <w:tcBorders>
              <w:bottom w:val="single" w:sz="8" w:color="auto"/>
              <w:right w:val="single" w:sz="8" w:color="auto"/>
            </w:tcBorders>
          </w:tcPr>
          <w:p>
            <w:pPr>
              <w:spacing w:after="0"/>
              <w:rPr>
                <w:sz w:val="13"/>
                <w:szCs w:val="13"/>
                <w:color w:val="auto"/>
              </w:rPr>
            </w:pPr>
          </w:p>
        </w:tc>
      </w:tr>
    </w:tbl>
    <w:p>
      <w:pPr>
        <w:spacing w:after="0" w:line="59"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5"/>
          <w:szCs w:val="15"/>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12700</wp:posOffset>
            </wp:positionV>
            <wp:extent cx="7171690" cy="635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71690" cy="6350"/>
                    </a:xfrm>
                    <a:prstGeom prst="rect">
                      <a:avLst/>
                    </a:prstGeom>
                    <a:noFill/>
                  </pic:spPr>
                </pic:pic>
              </a:graphicData>
            </a:graphic>
          </wp:anchor>
        </w:drawing>
      </w:r>
    </w:p>
    <w:p>
      <w:pPr>
        <w:sectPr>
          <w:pgSz w:w="11900" w:h="16838" w:orient="portrait"/>
          <w:cols w:equalWidth="0" w:num="1">
            <w:col w:w="11300"/>
          </w:cols>
          <w:pgMar w:left="300" w:top="448" w:right="299" w:bottom="1440" w:gutter="0" w:footer="0" w:header="0"/>
        </w:sectPr>
      </w:pPr>
    </w:p>
    <w:bookmarkStart w:id="87" w:name="page88"/>
    <w:bookmarkEnd w:id="87"/>
    <w:tbl>
      <w:tblPr>
        <w:tblLayout w:type="fixed"/>
        <w:tblInd w:w="10" w:type="dxa"/>
        <w:tblCellMar>
          <w:top w:w="0" w:type="dxa"/>
          <w:left w:w="0" w:type="dxa"/>
          <w:bottom w:w="0" w:type="dxa"/>
          <w:right w:w="0" w:type="dxa"/>
        </w:tblCellMar>
      </w:tblPr>
      <w:tr>
        <w:trPr>
          <w:trHeight w:val="161"/>
        </w:trPr>
        <w:tc>
          <w:tcPr>
            <w:tcW w:w="5540" w:type="dxa"/>
            <w:vAlign w:val="bottom"/>
            <w:tcBorders>
              <w:top w:val="single" w:sz="8" w:color="auto"/>
              <w:left w:val="single" w:sz="8" w:color="auto"/>
              <w:right w:val="single" w:sz="8" w:color="auto"/>
            </w:tcBorders>
          </w:tcPr>
          <w:p>
            <w:pPr>
              <w:ind w:left="40"/>
              <w:spacing w:after="0"/>
              <w:rPr>
                <w:sz w:val="20"/>
                <w:szCs w:val="20"/>
                <w:color w:val="auto"/>
              </w:rPr>
            </w:pPr>
            <w:r>
              <w:rPr>
                <w:rFonts w:ascii="Arial" w:cs="Arial" w:eastAsia="Arial" w:hAnsi="Arial"/>
                <w:sz w:val="13"/>
                <w:szCs w:val="13"/>
                <w:color w:val="auto"/>
              </w:rPr>
              <w:t>pension funds or other such pension plans. In exceptional cases, contributions such as these</w:t>
            </w:r>
          </w:p>
        </w:tc>
        <w:tc>
          <w:tcPr>
            <w:tcW w:w="240" w:type="dxa"/>
            <w:vAlign w:val="bottom"/>
            <w:tcBorders>
              <w:top w:val="single" w:sz="8" w:color="auto"/>
              <w:right w:val="single" w:sz="8" w:color="auto"/>
            </w:tcBorders>
          </w:tcPr>
          <w:p>
            <w:pPr>
              <w:spacing w:after="0"/>
              <w:rPr>
                <w:sz w:val="14"/>
                <w:szCs w:val="14"/>
                <w:color w:val="auto"/>
              </w:rPr>
            </w:pPr>
          </w:p>
        </w:tc>
        <w:tc>
          <w:tcPr>
            <w:tcW w:w="5520" w:type="dxa"/>
            <w:vAlign w:val="bottom"/>
            <w:tcBorders>
              <w:top w:val="single" w:sz="8" w:color="auto"/>
              <w:right w:val="single" w:sz="8" w:color="auto"/>
            </w:tcBorders>
          </w:tcPr>
          <w:p>
            <w:pPr>
              <w:ind w:left="20"/>
              <w:spacing w:after="0"/>
              <w:rPr>
                <w:sz w:val="20"/>
                <w:szCs w:val="20"/>
                <w:color w:val="auto"/>
              </w:rPr>
            </w:pPr>
            <w:r>
              <w:rPr>
                <w:rFonts w:ascii="Arial" w:cs="Arial" w:eastAsia="Arial" w:hAnsi="Arial"/>
                <w:sz w:val="13"/>
                <w:szCs w:val="13"/>
                <w:color w:val="auto"/>
              </w:rPr>
              <w:t>cotisations à des institutions de prévoyance  ou à d'autres régimes de retraite. Dans des cas</w:t>
            </w:r>
          </w:p>
        </w:tc>
      </w:tr>
      <w:tr>
        <w:trPr>
          <w:trHeight w:val="145"/>
        </w:trPr>
        <w:tc>
          <w:tcPr>
            <w:tcW w:w="5540" w:type="dxa"/>
            <w:vAlign w:val="bottom"/>
            <w:tcBorders>
              <w:left w:val="single" w:sz="8" w:color="auto"/>
              <w:right w:val="single" w:sz="8" w:color="auto"/>
            </w:tcBorders>
          </w:tcPr>
          <w:p>
            <w:pPr>
              <w:ind w:left="40"/>
              <w:spacing w:after="0" w:line="145" w:lineRule="exact"/>
              <w:rPr>
                <w:sz w:val="20"/>
                <w:szCs w:val="20"/>
                <w:color w:val="auto"/>
              </w:rPr>
            </w:pPr>
            <w:r>
              <w:rPr>
                <w:rFonts w:ascii="Arial" w:cs="Arial" w:eastAsia="Arial" w:hAnsi="Arial"/>
                <w:sz w:val="13"/>
                <w:szCs w:val="13"/>
                <w:color w:val="auto"/>
              </w:rPr>
              <w:t>may be made subject to a request by the Compensation Committee and the approval of the</w:t>
            </w:r>
          </w:p>
        </w:tc>
        <w:tc>
          <w:tcPr>
            <w:tcW w:w="240" w:type="dxa"/>
            <w:vAlign w:val="bottom"/>
            <w:tcBorders>
              <w:right w:val="single" w:sz="8" w:color="auto"/>
            </w:tcBorders>
          </w:tcPr>
          <w:p>
            <w:pPr>
              <w:spacing w:after="0"/>
              <w:rPr>
                <w:sz w:val="12"/>
                <w:szCs w:val="12"/>
                <w:color w:val="auto"/>
              </w:rPr>
            </w:pPr>
          </w:p>
        </w:tc>
        <w:tc>
          <w:tcPr>
            <w:tcW w:w="5520" w:type="dxa"/>
            <w:vAlign w:val="bottom"/>
            <w:tcBorders>
              <w:right w:val="single" w:sz="8" w:color="auto"/>
            </w:tcBorders>
          </w:tcPr>
          <w:p>
            <w:pPr>
              <w:ind w:left="20"/>
              <w:spacing w:after="0" w:line="145" w:lineRule="exact"/>
              <w:rPr>
                <w:sz w:val="20"/>
                <w:szCs w:val="20"/>
                <w:color w:val="auto"/>
              </w:rPr>
            </w:pPr>
            <w:r>
              <w:rPr>
                <w:rFonts w:ascii="Arial" w:cs="Arial" w:eastAsia="Arial" w:hAnsi="Arial"/>
                <w:sz w:val="13"/>
                <w:szCs w:val="13"/>
                <w:color w:val="auto"/>
                <w:w w:val="99"/>
              </w:rPr>
              <w:t>exceptionnels, des contributions comme celles-ci peuvent être faites sur demande au comité de</w:t>
            </w:r>
          </w:p>
        </w:tc>
      </w:tr>
      <w:tr>
        <w:trPr>
          <w:trHeight w:val="173"/>
        </w:trPr>
        <w:tc>
          <w:tcPr>
            <w:tcW w:w="554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3"/>
                <w:szCs w:val="13"/>
                <w:color w:val="auto"/>
              </w:rPr>
              <w:t>General Meeting.</w:t>
            </w:r>
          </w:p>
        </w:tc>
        <w:tc>
          <w:tcPr>
            <w:tcW w:w="240" w:type="dxa"/>
            <w:vAlign w:val="bottom"/>
            <w:tcBorders>
              <w:bottom w:val="single" w:sz="8" w:color="auto"/>
              <w:right w:val="single" w:sz="8" w:color="auto"/>
            </w:tcBorders>
          </w:tcPr>
          <w:p>
            <w:pPr>
              <w:spacing w:after="0"/>
              <w:rPr>
                <w:sz w:val="15"/>
                <w:szCs w:val="15"/>
                <w:color w:val="auto"/>
              </w:rPr>
            </w:pPr>
          </w:p>
        </w:tc>
        <w:tc>
          <w:tcPr>
            <w:tcW w:w="55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3"/>
                <w:szCs w:val="13"/>
                <w:color w:val="auto"/>
              </w:rPr>
              <w:t>rémunération et sous réserve de l'approbation de l'assemblée générale.</w:t>
            </w:r>
          </w:p>
        </w:tc>
      </w:tr>
      <w:tr>
        <w:trPr>
          <w:trHeight w:val="145"/>
        </w:trPr>
        <w:tc>
          <w:tcPr>
            <w:tcW w:w="5540" w:type="dxa"/>
            <w:vAlign w:val="bottom"/>
            <w:tcBorders>
              <w:left w:val="single" w:sz="8" w:color="auto"/>
              <w:right w:val="single" w:sz="8" w:color="auto"/>
            </w:tcBorders>
          </w:tcPr>
          <w:p>
            <w:pPr>
              <w:ind w:left="40"/>
              <w:spacing w:after="0" w:line="146" w:lineRule="exact"/>
              <w:rPr>
                <w:sz w:val="20"/>
                <w:szCs w:val="20"/>
                <w:color w:val="auto"/>
              </w:rPr>
            </w:pPr>
            <w:r>
              <w:rPr>
                <w:rFonts w:ascii="Arial" w:cs="Arial" w:eastAsia="Arial" w:hAnsi="Arial"/>
                <w:sz w:val="13"/>
                <w:szCs w:val="13"/>
                <w:color w:val="auto"/>
              </w:rPr>
              <w:t>Members  of  the  Executive  Committee  participate  in  the  Company's  pension  plans  (the</w:t>
            </w:r>
          </w:p>
        </w:tc>
        <w:tc>
          <w:tcPr>
            <w:tcW w:w="240" w:type="dxa"/>
            <w:vAlign w:val="bottom"/>
            <w:tcBorders>
              <w:right w:val="single" w:sz="8" w:color="auto"/>
            </w:tcBorders>
          </w:tcPr>
          <w:p>
            <w:pPr>
              <w:spacing w:after="0"/>
              <w:rPr>
                <w:sz w:val="12"/>
                <w:szCs w:val="12"/>
                <w:color w:val="auto"/>
              </w:rPr>
            </w:pPr>
          </w:p>
        </w:tc>
        <w:tc>
          <w:tcPr>
            <w:tcW w:w="5520" w:type="dxa"/>
            <w:vAlign w:val="bottom"/>
            <w:tcBorders>
              <w:right w:val="single" w:sz="8" w:color="auto"/>
            </w:tcBorders>
          </w:tcPr>
          <w:p>
            <w:pPr>
              <w:ind w:left="20"/>
              <w:spacing w:after="0" w:line="146" w:lineRule="exact"/>
              <w:rPr>
                <w:sz w:val="20"/>
                <w:szCs w:val="20"/>
                <w:color w:val="auto"/>
              </w:rPr>
            </w:pPr>
            <w:r>
              <w:rPr>
                <w:rFonts w:ascii="Arial" w:cs="Arial" w:eastAsia="Arial" w:hAnsi="Arial"/>
                <w:sz w:val="13"/>
                <w:szCs w:val="13"/>
                <w:color w:val="auto"/>
              </w:rPr>
              <w:t>Les membres du comité exécutif participent aux régimes de retraite de la société (le fond de</w:t>
            </w:r>
          </w:p>
        </w:tc>
      </w:tr>
      <w:tr>
        <w:trPr>
          <w:trHeight w:val="145"/>
        </w:trPr>
        <w:tc>
          <w:tcPr>
            <w:tcW w:w="5540" w:type="dxa"/>
            <w:vAlign w:val="bottom"/>
            <w:tcBorders>
              <w:left w:val="single" w:sz="8" w:color="auto"/>
              <w:right w:val="single" w:sz="8" w:color="auto"/>
            </w:tcBorders>
          </w:tcPr>
          <w:p>
            <w:pPr>
              <w:ind w:left="40"/>
              <w:spacing w:after="0" w:line="145" w:lineRule="exact"/>
              <w:rPr>
                <w:sz w:val="20"/>
                <w:szCs w:val="20"/>
                <w:color w:val="auto"/>
              </w:rPr>
            </w:pPr>
            <w:r>
              <w:rPr>
                <w:rFonts w:ascii="Arial" w:cs="Arial" w:eastAsia="Arial" w:hAnsi="Arial"/>
                <w:sz w:val="13"/>
                <w:szCs w:val="13"/>
                <w:color w:val="auto"/>
                <w:w w:val="99"/>
              </w:rPr>
              <w:t>Company's pension fund and the management pension plan). The pension plans conform to the</w:t>
            </w:r>
          </w:p>
        </w:tc>
        <w:tc>
          <w:tcPr>
            <w:tcW w:w="240" w:type="dxa"/>
            <w:vAlign w:val="bottom"/>
            <w:tcBorders>
              <w:right w:val="single" w:sz="8" w:color="auto"/>
            </w:tcBorders>
          </w:tcPr>
          <w:p>
            <w:pPr>
              <w:spacing w:after="0"/>
              <w:rPr>
                <w:sz w:val="12"/>
                <w:szCs w:val="12"/>
                <w:color w:val="auto"/>
              </w:rPr>
            </w:pPr>
          </w:p>
        </w:tc>
        <w:tc>
          <w:tcPr>
            <w:tcW w:w="5520" w:type="dxa"/>
            <w:vAlign w:val="bottom"/>
            <w:tcBorders>
              <w:right w:val="single" w:sz="8" w:color="auto"/>
            </w:tcBorders>
          </w:tcPr>
          <w:p>
            <w:pPr>
              <w:ind w:left="20"/>
              <w:spacing w:after="0" w:line="145" w:lineRule="exact"/>
              <w:rPr>
                <w:sz w:val="20"/>
                <w:szCs w:val="20"/>
                <w:color w:val="auto"/>
              </w:rPr>
            </w:pPr>
            <w:r>
              <w:rPr>
                <w:rFonts w:ascii="Arial" w:cs="Arial" w:eastAsia="Arial" w:hAnsi="Arial"/>
                <w:sz w:val="13"/>
                <w:szCs w:val="13"/>
                <w:color w:val="auto"/>
              </w:rPr>
              <w:t>pension de la société et le régime de retraite du management). Les régimes de retraite sont</w:t>
            </w:r>
          </w:p>
        </w:tc>
      </w:tr>
      <w:tr>
        <w:trPr>
          <w:trHeight w:val="145"/>
        </w:trPr>
        <w:tc>
          <w:tcPr>
            <w:tcW w:w="5540" w:type="dxa"/>
            <w:vAlign w:val="bottom"/>
            <w:tcBorders>
              <w:left w:val="single" w:sz="8" w:color="auto"/>
              <w:right w:val="single" w:sz="8" w:color="auto"/>
            </w:tcBorders>
          </w:tcPr>
          <w:p>
            <w:pPr>
              <w:ind w:left="40"/>
              <w:spacing w:after="0" w:line="145" w:lineRule="exact"/>
              <w:rPr>
                <w:sz w:val="20"/>
                <w:szCs w:val="20"/>
                <w:color w:val="auto"/>
              </w:rPr>
            </w:pPr>
            <w:r>
              <w:rPr>
                <w:rFonts w:ascii="Arial" w:cs="Arial" w:eastAsia="Arial" w:hAnsi="Arial"/>
                <w:sz w:val="13"/>
                <w:szCs w:val="13"/>
                <w:color w:val="auto"/>
                <w:w w:val="99"/>
              </w:rPr>
              <w:t>legal requirements. For members of the Executive Committee, the insured income is defined as</w:t>
            </w:r>
          </w:p>
        </w:tc>
        <w:tc>
          <w:tcPr>
            <w:tcW w:w="240" w:type="dxa"/>
            <w:vAlign w:val="bottom"/>
            <w:tcBorders>
              <w:right w:val="single" w:sz="8" w:color="auto"/>
            </w:tcBorders>
          </w:tcPr>
          <w:p>
            <w:pPr>
              <w:spacing w:after="0"/>
              <w:rPr>
                <w:sz w:val="12"/>
                <w:szCs w:val="12"/>
                <w:color w:val="auto"/>
              </w:rPr>
            </w:pPr>
          </w:p>
        </w:tc>
        <w:tc>
          <w:tcPr>
            <w:tcW w:w="5520" w:type="dxa"/>
            <w:vAlign w:val="bottom"/>
            <w:tcBorders>
              <w:right w:val="single" w:sz="8" w:color="auto"/>
            </w:tcBorders>
          </w:tcPr>
          <w:p>
            <w:pPr>
              <w:ind w:left="20"/>
              <w:spacing w:after="0" w:line="145" w:lineRule="exact"/>
              <w:rPr>
                <w:sz w:val="20"/>
                <w:szCs w:val="20"/>
                <w:color w:val="auto"/>
              </w:rPr>
            </w:pPr>
            <w:r>
              <w:rPr>
                <w:rFonts w:ascii="Arial" w:cs="Arial" w:eastAsia="Arial" w:hAnsi="Arial"/>
                <w:sz w:val="13"/>
                <w:szCs w:val="13"/>
                <w:color w:val="auto"/>
              </w:rPr>
              <w:t>conformes aux exigences légales (LPP). Pour les membres du comité exécutif, le revenu</w:t>
            </w:r>
          </w:p>
        </w:tc>
      </w:tr>
      <w:tr>
        <w:trPr>
          <w:trHeight w:val="145"/>
        </w:trPr>
        <w:tc>
          <w:tcPr>
            <w:tcW w:w="5540" w:type="dxa"/>
            <w:vAlign w:val="bottom"/>
            <w:tcBorders>
              <w:left w:val="single" w:sz="8" w:color="auto"/>
              <w:right w:val="single" w:sz="8" w:color="auto"/>
            </w:tcBorders>
          </w:tcPr>
          <w:p>
            <w:pPr>
              <w:ind w:left="40"/>
              <w:spacing w:after="0" w:line="145" w:lineRule="exact"/>
              <w:rPr>
                <w:sz w:val="20"/>
                <w:szCs w:val="20"/>
                <w:color w:val="auto"/>
              </w:rPr>
            </w:pPr>
            <w:r>
              <w:rPr>
                <w:rFonts w:ascii="Arial" w:cs="Arial" w:eastAsia="Arial" w:hAnsi="Arial"/>
                <w:sz w:val="13"/>
                <w:szCs w:val="13"/>
                <w:color w:val="auto"/>
              </w:rPr>
              <w:t>the fixed remuneration plus 50 percent of the target performance-related remuneration, up to</w:t>
            </w:r>
          </w:p>
        </w:tc>
        <w:tc>
          <w:tcPr>
            <w:tcW w:w="240" w:type="dxa"/>
            <w:vAlign w:val="bottom"/>
            <w:tcBorders>
              <w:right w:val="single" w:sz="8" w:color="auto"/>
            </w:tcBorders>
          </w:tcPr>
          <w:p>
            <w:pPr>
              <w:spacing w:after="0"/>
              <w:rPr>
                <w:sz w:val="12"/>
                <w:szCs w:val="12"/>
                <w:color w:val="auto"/>
              </w:rPr>
            </w:pPr>
          </w:p>
        </w:tc>
        <w:tc>
          <w:tcPr>
            <w:tcW w:w="5520" w:type="dxa"/>
            <w:vAlign w:val="bottom"/>
            <w:tcBorders>
              <w:right w:val="single" w:sz="8" w:color="auto"/>
            </w:tcBorders>
          </w:tcPr>
          <w:p>
            <w:pPr>
              <w:ind w:left="20"/>
              <w:spacing w:after="0" w:line="145" w:lineRule="exact"/>
              <w:rPr>
                <w:sz w:val="20"/>
                <w:szCs w:val="20"/>
                <w:color w:val="auto"/>
              </w:rPr>
            </w:pPr>
            <w:r>
              <w:rPr>
                <w:rFonts w:ascii="Arial" w:cs="Arial" w:eastAsia="Arial" w:hAnsi="Arial"/>
                <w:sz w:val="13"/>
                <w:szCs w:val="13"/>
                <w:color w:val="auto"/>
              </w:rPr>
              <w:t>assuré est défini comme la rémunération fixe plus les 50 pour cent de la rémunération liée à la</w:t>
            </w:r>
          </w:p>
        </w:tc>
      </w:tr>
      <w:tr>
        <w:trPr>
          <w:trHeight w:val="145"/>
        </w:trPr>
        <w:tc>
          <w:tcPr>
            <w:tcW w:w="5540" w:type="dxa"/>
            <w:vAlign w:val="bottom"/>
            <w:tcBorders>
              <w:left w:val="single" w:sz="8" w:color="auto"/>
              <w:right w:val="single" w:sz="8" w:color="auto"/>
            </w:tcBorders>
          </w:tcPr>
          <w:p>
            <w:pPr>
              <w:ind w:left="40"/>
              <w:spacing w:after="0" w:line="145" w:lineRule="exact"/>
              <w:rPr>
                <w:sz w:val="20"/>
                <w:szCs w:val="20"/>
                <w:color w:val="auto"/>
              </w:rPr>
            </w:pPr>
            <w:r>
              <w:rPr>
                <w:rFonts w:ascii="Arial" w:cs="Arial" w:eastAsia="Arial" w:hAnsi="Arial"/>
                <w:sz w:val="13"/>
                <w:szCs w:val="13"/>
                <w:color w:val="auto"/>
              </w:rPr>
              <w:t>the legal maximum. Equity-linked income components are not included.</w:t>
            </w:r>
          </w:p>
        </w:tc>
        <w:tc>
          <w:tcPr>
            <w:tcW w:w="240" w:type="dxa"/>
            <w:vAlign w:val="bottom"/>
            <w:tcBorders>
              <w:right w:val="single" w:sz="8" w:color="auto"/>
            </w:tcBorders>
          </w:tcPr>
          <w:p>
            <w:pPr>
              <w:spacing w:after="0"/>
              <w:rPr>
                <w:sz w:val="12"/>
                <w:szCs w:val="12"/>
                <w:color w:val="auto"/>
              </w:rPr>
            </w:pPr>
          </w:p>
        </w:tc>
        <w:tc>
          <w:tcPr>
            <w:tcW w:w="5520" w:type="dxa"/>
            <w:vAlign w:val="bottom"/>
            <w:tcBorders>
              <w:right w:val="single" w:sz="8" w:color="auto"/>
            </w:tcBorders>
          </w:tcPr>
          <w:p>
            <w:pPr>
              <w:ind w:left="20"/>
              <w:spacing w:after="0" w:line="145" w:lineRule="exact"/>
              <w:rPr>
                <w:sz w:val="20"/>
                <w:szCs w:val="20"/>
                <w:color w:val="auto"/>
              </w:rPr>
            </w:pPr>
            <w:r>
              <w:rPr>
                <w:rFonts w:ascii="Arial" w:cs="Arial" w:eastAsia="Arial" w:hAnsi="Arial"/>
                <w:sz w:val="13"/>
                <w:szCs w:val="13"/>
                <w:color w:val="auto"/>
              </w:rPr>
              <w:t>performance, jusqu'au maximum légal. Les composantes du revenu liées au capital propre ne</w:t>
            </w:r>
          </w:p>
        </w:tc>
      </w:tr>
      <w:tr>
        <w:trPr>
          <w:trHeight w:val="173"/>
        </w:trPr>
        <w:tc>
          <w:tcPr>
            <w:tcW w:w="5540" w:type="dxa"/>
            <w:vAlign w:val="bottom"/>
            <w:tcBorders>
              <w:left w:val="single" w:sz="8" w:color="auto"/>
              <w:bottom w:val="single" w:sz="8" w:color="auto"/>
              <w:right w:val="single" w:sz="8" w:color="auto"/>
            </w:tcBorders>
          </w:tcPr>
          <w:p>
            <w:pPr>
              <w:spacing w:after="0"/>
              <w:rPr>
                <w:sz w:val="15"/>
                <w:szCs w:val="15"/>
                <w:color w:val="auto"/>
              </w:rPr>
            </w:pPr>
          </w:p>
        </w:tc>
        <w:tc>
          <w:tcPr>
            <w:tcW w:w="240" w:type="dxa"/>
            <w:vAlign w:val="bottom"/>
            <w:tcBorders>
              <w:bottom w:val="single" w:sz="8" w:color="auto"/>
              <w:right w:val="single" w:sz="8" w:color="auto"/>
            </w:tcBorders>
          </w:tcPr>
          <w:p>
            <w:pPr>
              <w:spacing w:after="0"/>
              <w:rPr>
                <w:sz w:val="15"/>
                <w:szCs w:val="15"/>
                <w:color w:val="auto"/>
              </w:rPr>
            </w:pPr>
          </w:p>
        </w:tc>
        <w:tc>
          <w:tcPr>
            <w:tcW w:w="55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3"/>
                <w:szCs w:val="13"/>
                <w:color w:val="auto"/>
              </w:rPr>
              <w:t>sont pas inclus.</w:t>
            </w:r>
          </w:p>
        </w:tc>
      </w:tr>
      <w:tr>
        <w:trPr>
          <w:trHeight w:val="145"/>
        </w:trPr>
        <w:tc>
          <w:tcPr>
            <w:tcW w:w="5540" w:type="dxa"/>
            <w:vAlign w:val="bottom"/>
            <w:tcBorders>
              <w:left w:val="single" w:sz="8" w:color="auto"/>
              <w:right w:val="single" w:sz="8" w:color="auto"/>
            </w:tcBorders>
          </w:tcPr>
          <w:p>
            <w:pPr>
              <w:ind w:left="40"/>
              <w:spacing w:after="0" w:line="146" w:lineRule="exact"/>
              <w:rPr>
                <w:sz w:val="20"/>
                <w:szCs w:val="20"/>
                <w:color w:val="auto"/>
              </w:rPr>
            </w:pPr>
            <w:r>
              <w:rPr>
                <w:rFonts w:ascii="Arial" w:cs="Arial" w:eastAsia="Arial" w:hAnsi="Arial"/>
                <w:sz w:val="13"/>
                <w:szCs w:val="13"/>
                <w:color w:val="auto"/>
              </w:rPr>
              <w:t>Within the overall compensation approved by the General Meeting, the Company may make</w:t>
            </w:r>
          </w:p>
        </w:tc>
        <w:tc>
          <w:tcPr>
            <w:tcW w:w="240" w:type="dxa"/>
            <w:vAlign w:val="bottom"/>
            <w:tcBorders>
              <w:right w:val="single" w:sz="8" w:color="auto"/>
            </w:tcBorders>
          </w:tcPr>
          <w:p>
            <w:pPr>
              <w:spacing w:after="0"/>
              <w:rPr>
                <w:sz w:val="12"/>
                <w:szCs w:val="12"/>
                <w:color w:val="auto"/>
              </w:rPr>
            </w:pPr>
          </w:p>
        </w:tc>
        <w:tc>
          <w:tcPr>
            <w:tcW w:w="5520" w:type="dxa"/>
            <w:vAlign w:val="bottom"/>
            <w:tcBorders>
              <w:right w:val="single" w:sz="8" w:color="auto"/>
            </w:tcBorders>
          </w:tcPr>
          <w:p>
            <w:pPr>
              <w:ind w:left="20"/>
              <w:spacing w:after="0" w:line="146" w:lineRule="exact"/>
              <w:rPr>
                <w:sz w:val="20"/>
                <w:szCs w:val="20"/>
                <w:color w:val="auto"/>
              </w:rPr>
            </w:pPr>
            <w:r>
              <w:rPr>
                <w:rFonts w:ascii="Arial" w:cs="Arial" w:eastAsia="Arial" w:hAnsi="Arial"/>
                <w:sz w:val="13"/>
                <w:szCs w:val="13"/>
                <w:color w:val="auto"/>
              </w:rPr>
              <w:t>Dans la rémunération globale approuvée par l'assemblée générale, la société pourra effectuer</w:t>
            </w:r>
          </w:p>
        </w:tc>
      </w:tr>
      <w:tr>
        <w:trPr>
          <w:trHeight w:val="145"/>
        </w:trPr>
        <w:tc>
          <w:tcPr>
            <w:tcW w:w="5540" w:type="dxa"/>
            <w:vAlign w:val="bottom"/>
            <w:tcBorders>
              <w:left w:val="single" w:sz="8" w:color="auto"/>
              <w:right w:val="single" w:sz="8" w:color="auto"/>
            </w:tcBorders>
          </w:tcPr>
          <w:p>
            <w:pPr>
              <w:ind w:left="40"/>
              <w:spacing w:after="0" w:line="145" w:lineRule="exact"/>
              <w:rPr>
                <w:sz w:val="20"/>
                <w:szCs w:val="20"/>
                <w:color w:val="auto"/>
              </w:rPr>
            </w:pPr>
            <w:r>
              <w:rPr>
                <w:rFonts w:ascii="Arial" w:cs="Arial" w:eastAsia="Arial" w:hAnsi="Arial"/>
                <w:sz w:val="13"/>
                <w:szCs w:val="13"/>
                <w:color w:val="auto"/>
              </w:rPr>
              <w:t>additional payments into the Company's pension funds for the benefit of members of the</w:t>
            </w:r>
          </w:p>
        </w:tc>
        <w:tc>
          <w:tcPr>
            <w:tcW w:w="240" w:type="dxa"/>
            <w:vAlign w:val="bottom"/>
            <w:tcBorders>
              <w:right w:val="single" w:sz="8" w:color="auto"/>
            </w:tcBorders>
          </w:tcPr>
          <w:p>
            <w:pPr>
              <w:spacing w:after="0"/>
              <w:rPr>
                <w:sz w:val="12"/>
                <w:szCs w:val="12"/>
                <w:color w:val="auto"/>
              </w:rPr>
            </w:pPr>
          </w:p>
        </w:tc>
        <w:tc>
          <w:tcPr>
            <w:tcW w:w="5520" w:type="dxa"/>
            <w:vAlign w:val="bottom"/>
            <w:tcBorders>
              <w:right w:val="single" w:sz="8" w:color="auto"/>
            </w:tcBorders>
          </w:tcPr>
          <w:p>
            <w:pPr>
              <w:ind w:left="20"/>
              <w:spacing w:after="0" w:line="145" w:lineRule="exact"/>
              <w:rPr>
                <w:sz w:val="20"/>
                <w:szCs w:val="20"/>
                <w:color w:val="auto"/>
              </w:rPr>
            </w:pPr>
            <w:r>
              <w:rPr>
                <w:rFonts w:ascii="Arial" w:cs="Arial" w:eastAsia="Arial" w:hAnsi="Arial"/>
                <w:sz w:val="13"/>
                <w:szCs w:val="13"/>
                <w:color w:val="auto"/>
              </w:rPr>
              <w:t>des paiements supplémentaires dans les caisses de retraite de la société pour le bénéfice des</w:t>
            </w:r>
          </w:p>
        </w:tc>
      </w:tr>
      <w:tr>
        <w:trPr>
          <w:trHeight w:val="145"/>
        </w:trPr>
        <w:tc>
          <w:tcPr>
            <w:tcW w:w="5540" w:type="dxa"/>
            <w:vAlign w:val="bottom"/>
            <w:tcBorders>
              <w:left w:val="single" w:sz="8" w:color="auto"/>
              <w:right w:val="single" w:sz="8" w:color="auto"/>
            </w:tcBorders>
          </w:tcPr>
          <w:p>
            <w:pPr>
              <w:ind w:left="40"/>
              <w:spacing w:after="0" w:line="145" w:lineRule="exact"/>
              <w:rPr>
                <w:sz w:val="20"/>
                <w:szCs w:val="20"/>
                <w:color w:val="auto"/>
              </w:rPr>
            </w:pPr>
            <w:r>
              <w:rPr>
                <w:rFonts w:ascii="Arial" w:cs="Arial" w:eastAsia="Arial" w:hAnsi="Arial"/>
                <w:sz w:val="13"/>
                <w:szCs w:val="13"/>
                <w:color w:val="auto"/>
              </w:rPr>
              <w:t>Executive Committee in order to cover any disadvantage suffered as a result of the change of</w:t>
            </w:r>
          </w:p>
        </w:tc>
        <w:tc>
          <w:tcPr>
            <w:tcW w:w="240" w:type="dxa"/>
            <w:vAlign w:val="bottom"/>
            <w:tcBorders>
              <w:right w:val="single" w:sz="8" w:color="auto"/>
            </w:tcBorders>
          </w:tcPr>
          <w:p>
            <w:pPr>
              <w:spacing w:after="0"/>
              <w:rPr>
                <w:sz w:val="12"/>
                <w:szCs w:val="12"/>
                <w:color w:val="auto"/>
              </w:rPr>
            </w:pPr>
          </w:p>
        </w:tc>
        <w:tc>
          <w:tcPr>
            <w:tcW w:w="5520" w:type="dxa"/>
            <w:vAlign w:val="bottom"/>
            <w:tcBorders>
              <w:right w:val="single" w:sz="8" w:color="auto"/>
            </w:tcBorders>
          </w:tcPr>
          <w:p>
            <w:pPr>
              <w:ind w:left="20"/>
              <w:spacing w:after="0" w:line="145" w:lineRule="exact"/>
              <w:rPr>
                <w:sz w:val="20"/>
                <w:szCs w:val="20"/>
                <w:color w:val="auto"/>
              </w:rPr>
            </w:pPr>
            <w:r>
              <w:rPr>
                <w:rFonts w:ascii="Arial" w:cs="Arial" w:eastAsia="Arial" w:hAnsi="Arial"/>
                <w:sz w:val="13"/>
                <w:szCs w:val="13"/>
                <w:color w:val="auto"/>
              </w:rPr>
              <w:t>membres du comité exécutif afin de couvrir tout désavantage subi par suite de la modification</w:t>
            </w:r>
          </w:p>
        </w:tc>
      </w:tr>
      <w:tr>
        <w:trPr>
          <w:trHeight w:val="145"/>
        </w:trPr>
        <w:tc>
          <w:tcPr>
            <w:tcW w:w="5540" w:type="dxa"/>
            <w:vAlign w:val="bottom"/>
            <w:tcBorders>
              <w:left w:val="single" w:sz="8" w:color="auto"/>
              <w:right w:val="single" w:sz="8" w:color="auto"/>
            </w:tcBorders>
          </w:tcPr>
          <w:p>
            <w:pPr>
              <w:ind w:left="40"/>
              <w:spacing w:after="0" w:line="145" w:lineRule="exact"/>
              <w:rPr>
                <w:sz w:val="20"/>
                <w:szCs w:val="20"/>
                <w:color w:val="auto"/>
              </w:rPr>
            </w:pPr>
            <w:r>
              <w:rPr>
                <w:rFonts w:ascii="Arial" w:cs="Arial" w:eastAsia="Arial" w:hAnsi="Arial"/>
                <w:sz w:val="13"/>
                <w:szCs w:val="13"/>
                <w:color w:val="auto"/>
              </w:rPr>
              <w:t>jobs or to purchase additional pension entitlements. In this context the Company may conclude</w:t>
            </w:r>
          </w:p>
        </w:tc>
        <w:tc>
          <w:tcPr>
            <w:tcW w:w="240" w:type="dxa"/>
            <w:vAlign w:val="bottom"/>
            <w:tcBorders>
              <w:right w:val="single" w:sz="8" w:color="auto"/>
            </w:tcBorders>
          </w:tcPr>
          <w:p>
            <w:pPr>
              <w:spacing w:after="0"/>
              <w:rPr>
                <w:sz w:val="12"/>
                <w:szCs w:val="12"/>
                <w:color w:val="auto"/>
              </w:rPr>
            </w:pPr>
          </w:p>
        </w:tc>
        <w:tc>
          <w:tcPr>
            <w:tcW w:w="5520" w:type="dxa"/>
            <w:vAlign w:val="bottom"/>
            <w:tcBorders>
              <w:right w:val="single" w:sz="8" w:color="auto"/>
            </w:tcBorders>
          </w:tcPr>
          <w:p>
            <w:pPr>
              <w:ind w:left="20"/>
              <w:spacing w:after="0" w:line="145" w:lineRule="exact"/>
              <w:rPr>
                <w:sz w:val="20"/>
                <w:szCs w:val="20"/>
                <w:color w:val="auto"/>
              </w:rPr>
            </w:pPr>
            <w:r>
              <w:rPr>
                <w:rFonts w:ascii="Arial" w:cs="Arial" w:eastAsia="Arial" w:hAnsi="Arial"/>
                <w:sz w:val="13"/>
                <w:szCs w:val="13"/>
                <w:color w:val="auto"/>
              </w:rPr>
              <w:t>de l'emploi ou pour acheter des droits de pension supplémentaires. Dans ce contexte, la</w:t>
            </w:r>
          </w:p>
        </w:tc>
      </w:tr>
      <w:tr>
        <w:trPr>
          <w:trHeight w:val="145"/>
        </w:trPr>
        <w:tc>
          <w:tcPr>
            <w:tcW w:w="5540" w:type="dxa"/>
            <w:vAlign w:val="bottom"/>
            <w:tcBorders>
              <w:left w:val="single" w:sz="8" w:color="auto"/>
              <w:right w:val="single" w:sz="8" w:color="auto"/>
            </w:tcBorders>
          </w:tcPr>
          <w:p>
            <w:pPr>
              <w:ind w:left="40"/>
              <w:spacing w:after="0" w:line="145" w:lineRule="exact"/>
              <w:rPr>
                <w:sz w:val="20"/>
                <w:szCs w:val="20"/>
                <w:color w:val="auto"/>
              </w:rPr>
            </w:pPr>
            <w:r>
              <w:rPr>
                <w:rFonts w:ascii="Arial" w:cs="Arial" w:eastAsia="Arial" w:hAnsi="Arial"/>
                <w:sz w:val="13"/>
                <w:szCs w:val="13"/>
                <w:color w:val="auto"/>
                <w:w w:val="99"/>
              </w:rPr>
              <w:t>life insurance policies on behalf of members of the Executive Committee and pay the insurance</w:t>
            </w:r>
          </w:p>
        </w:tc>
        <w:tc>
          <w:tcPr>
            <w:tcW w:w="240" w:type="dxa"/>
            <w:vAlign w:val="bottom"/>
            <w:tcBorders>
              <w:right w:val="single" w:sz="8" w:color="auto"/>
            </w:tcBorders>
          </w:tcPr>
          <w:p>
            <w:pPr>
              <w:spacing w:after="0"/>
              <w:rPr>
                <w:sz w:val="12"/>
                <w:szCs w:val="12"/>
                <w:color w:val="auto"/>
              </w:rPr>
            </w:pPr>
          </w:p>
        </w:tc>
        <w:tc>
          <w:tcPr>
            <w:tcW w:w="5520" w:type="dxa"/>
            <w:vAlign w:val="bottom"/>
            <w:tcBorders>
              <w:right w:val="single" w:sz="8" w:color="auto"/>
            </w:tcBorders>
          </w:tcPr>
          <w:p>
            <w:pPr>
              <w:ind w:left="20"/>
              <w:spacing w:after="0" w:line="145" w:lineRule="exact"/>
              <w:rPr>
                <w:sz w:val="20"/>
                <w:szCs w:val="20"/>
                <w:color w:val="auto"/>
              </w:rPr>
            </w:pPr>
            <w:r>
              <w:rPr>
                <w:rFonts w:ascii="Arial" w:cs="Arial" w:eastAsia="Arial" w:hAnsi="Arial"/>
                <w:sz w:val="13"/>
                <w:szCs w:val="13"/>
                <w:color w:val="auto"/>
              </w:rPr>
              <w:t>société peut conclure des contrats d'assurance-vie au nom des membres du comité exécutif et</w:t>
            </w:r>
          </w:p>
        </w:tc>
      </w:tr>
      <w:tr>
        <w:trPr>
          <w:trHeight w:val="173"/>
        </w:trPr>
        <w:tc>
          <w:tcPr>
            <w:tcW w:w="554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3"/>
                <w:szCs w:val="13"/>
                <w:color w:val="auto"/>
              </w:rPr>
              <w:t>premiums either fully or in part.</w:t>
            </w:r>
          </w:p>
        </w:tc>
        <w:tc>
          <w:tcPr>
            <w:tcW w:w="240" w:type="dxa"/>
            <w:vAlign w:val="bottom"/>
            <w:tcBorders>
              <w:bottom w:val="single" w:sz="8" w:color="auto"/>
              <w:right w:val="single" w:sz="8" w:color="auto"/>
            </w:tcBorders>
          </w:tcPr>
          <w:p>
            <w:pPr>
              <w:spacing w:after="0"/>
              <w:rPr>
                <w:sz w:val="15"/>
                <w:szCs w:val="15"/>
                <w:color w:val="auto"/>
              </w:rPr>
            </w:pPr>
          </w:p>
        </w:tc>
        <w:tc>
          <w:tcPr>
            <w:tcW w:w="55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3"/>
                <w:szCs w:val="13"/>
                <w:color w:val="auto"/>
              </w:rPr>
              <w:t>payer en totalité ou en partie les primes d'assurance.</w:t>
            </w:r>
          </w:p>
        </w:tc>
      </w:tr>
      <w:tr>
        <w:trPr>
          <w:trHeight w:val="145"/>
        </w:trPr>
        <w:tc>
          <w:tcPr>
            <w:tcW w:w="5540" w:type="dxa"/>
            <w:vAlign w:val="bottom"/>
            <w:tcBorders>
              <w:left w:val="single" w:sz="8" w:color="auto"/>
              <w:right w:val="single" w:sz="8" w:color="auto"/>
            </w:tcBorders>
          </w:tcPr>
          <w:p>
            <w:pPr>
              <w:ind w:left="40"/>
              <w:spacing w:after="0" w:line="146" w:lineRule="exact"/>
              <w:rPr>
                <w:sz w:val="20"/>
                <w:szCs w:val="20"/>
                <w:color w:val="auto"/>
              </w:rPr>
            </w:pPr>
            <w:r>
              <w:rPr>
                <w:rFonts w:ascii="Arial" w:cs="Arial" w:eastAsia="Arial" w:hAnsi="Arial"/>
                <w:sz w:val="13"/>
                <w:szCs w:val="13"/>
                <w:color w:val="auto"/>
                <w:w w:val="99"/>
              </w:rPr>
              <w:t>Upon retirement, the Company may also grant members of the Executive Committee a bridging</w:t>
            </w:r>
          </w:p>
        </w:tc>
        <w:tc>
          <w:tcPr>
            <w:tcW w:w="240" w:type="dxa"/>
            <w:vAlign w:val="bottom"/>
            <w:tcBorders>
              <w:right w:val="single" w:sz="8" w:color="auto"/>
            </w:tcBorders>
          </w:tcPr>
          <w:p>
            <w:pPr>
              <w:spacing w:after="0"/>
              <w:rPr>
                <w:sz w:val="12"/>
                <w:szCs w:val="12"/>
                <w:color w:val="auto"/>
              </w:rPr>
            </w:pPr>
          </w:p>
        </w:tc>
        <w:tc>
          <w:tcPr>
            <w:tcW w:w="5520" w:type="dxa"/>
            <w:vAlign w:val="bottom"/>
            <w:tcBorders>
              <w:right w:val="single" w:sz="8" w:color="auto"/>
            </w:tcBorders>
          </w:tcPr>
          <w:p>
            <w:pPr>
              <w:ind w:left="20"/>
              <w:spacing w:after="0" w:line="146" w:lineRule="exact"/>
              <w:rPr>
                <w:sz w:val="20"/>
                <w:szCs w:val="20"/>
                <w:color w:val="auto"/>
              </w:rPr>
            </w:pPr>
            <w:r>
              <w:rPr>
                <w:rFonts w:ascii="Arial" w:cs="Arial" w:eastAsia="Arial" w:hAnsi="Arial"/>
                <w:sz w:val="13"/>
                <w:szCs w:val="13"/>
                <w:color w:val="auto"/>
              </w:rPr>
              <w:t>À la retraite, la société peut également accorder aux membres du comité exécutif, une pension</w:t>
            </w:r>
          </w:p>
        </w:tc>
      </w:tr>
      <w:tr>
        <w:trPr>
          <w:trHeight w:val="145"/>
        </w:trPr>
        <w:tc>
          <w:tcPr>
            <w:tcW w:w="5540" w:type="dxa"/>
            <w:vAlign w:val="bottom"/>
            <w:tcBorders>
              <w:left w:val="single" w:sz="8" w:color="auto"/>
              <w:right w:val="single" w:sz="8" w:color="auto"/>
            </w:tcBorders>
          </w:tcPr>
          <w:p>
            <w:pPr>
              <w:ind w:left="40"/>
              <w:spacing w:after="0" w:line="145" w:lineRule="exact"/>
              <w:rPr>
                <w:sz w:val="20"/>
                <w:szCs w:val="20"/>
                <w:color w:val="auto"/>
              </w:rPr>
            </w:pPr>
            <w:r>
              <w:rPr>
                <w:rFonts w:ascii="Arial" w:cs="Arial" w:eastAsia="Arial" w:hAnsi="Arial"/>
                <w:sz w:val="13"/>
                <w:szCs w:val="13"/>
                <w:color w:val="auto"/>
                <w:w w:val="99"/>
              </w:rPr>
              <w:t>pension to cover the period between early retirement at 62 and the ordinary age of retirement, if</w:t>
            </w:r>
          </w:p>
        </w:tc>
        <w:tc>
          <w:tcPr>
            <w:tcW w:w="240" w:type="dxa"/>
            <w:vAlign w:val="bottom"/>
            <w:tcBorders>
              <w:right w:val="single" w:sz="8" w:color="auto"/>
            </w:tcBorders>
          </w:tcPr>
          <w:p>
            <w:pPr>
              <w:spacing w:after="0"/>
              <w:rPr>
                <w:sz w:val="12"/>
                <w:szCs w:val="12"/>
                <w:color w:val="auto"/>
              </w:rPr>
            </w:pPr>
          </w:p>
        </w:tc>
        <w:tc>
          <w:tcPr>
            <w:tcW w:w="5520" w:type="dxa"/>
            <w:vAlign w:val="bottom"/>
            <w:tcBorders>
              <w:right w:val="single" w:sz="8" w:color="auto"/>
            </w:tcBorders>
          </w:tcPr>
          <w:p>
            <w:pPr>
              <w:ind w:left="20"/>
              <w:spacing w:after="0" w:line="145" w:lineRule="exact"/>
              <w:rPr>
                <w:sz w:val="20"/>
                <w:szCs w:val="20"/>
                <w:color w:val="auto"/>
              </w:rPr>
            </w:pPr>
            <w:r>
              <w:rPr>
                <w:rFonts w:ascii="Arial" w:cs="Arial" w:eastAsia="Arial" w:hAnsi="Arial"/>
                <w:sz w:val="13"/>
                <w:szCs w:val="13"/>
                <w:color w:val="auto"/>
              </w:rPr>
              <w:t>de transition pour couvrir la période entre la retraite anticipée à 62 ans et l'âge ordinaire de la</w:t>
            </w:r>
          </w:p>
        </w:tc>
      </w:tr>
      <w:tr>
        <w:trPr>
          <w:trHeight w:val="145"/>
        </w:trPr>
        <w:tc>
          <w:tcPr>
            <w:tcW w:w="5540" w:type="dxa"/>
            <w:vAlign w:val="bottom"/>
            <w:tcBorders>
              <w:left w:val="single" w:sz="8" w:color="auto"/>
              <w:right w:val="single" w:sz="8" w:color="auto"/>
            </w:tcBorders>
          </w:tcPr>
          <w:p>
            <w:pPr>
              <w:ind w:left="40"/>
              <w:spacing w:after="0" w:line="145" w:lineRule="exact"/>
              <w:rPr>
                <w:sz w:val="20"/>
                <w:szCs w:val="20"/>
                <w:color w:val="auto"/>
              </w:rPr>
            </w:pPr>
            <w:r>
              <w:rPr>
                <w:rFonts w:ascii="Arial" w:cs="Arial" w:eastAsia="Arial" w:hAnsi="Arial"/>
                <w:sz w:val="13"/>
                <w:szCs w:val="13"/>
                <w:color w:val="auto"/>
              </w:rPr>
              <w:t>such bridging pension does not exceed 100 percent of the total annual compensation of the</w:t>
            </w:r>
          </w:p>
        </w:tc>
        <w:tc>
          <w:tcPr>
            <w:tcW w:w="240" w:type="dxa"/>
            <w:vAlign w:val="bottom"/>
            <w:tcBorders>
              <w:right w:val="single" w:sz="8" w:color="auto"/>
            </w:tcBorders>
          </w:tcPr>
          <w:p>
            <w:pPr>
              <w:spacing w:after="0"/>
              <w:rPr>
                <w:sz w:val="12"/>
                <w:szCs w:val="12"/>
                <w:color w:val="auto"/>
              </w:rPr>
            </w:pPr>
          </w:p>
        </w:tc>
        <w:tc>
          <w:tcPr>
            <w:tcW w:w="5520" w:type="dxa"/>
            <w:vAlign w:val="bottom"/>
            <w:tcBorders>
              <w:right w:val="single" w:sz="8" w:color="auto"/>
            </w:tcBorders>
          </w:tcPr>
          <w:p>
            <w:pPr>
              <w:ind w:left="20"/>
              <w:spacing w:after="0" w:line="145" w:lineRule="exact"/>
              <w:rPr>
                <w:sz w:val="20"/>
                <w:szCs w:val="20"/>
                <w:color w:val="auto"/>
              </w:rPr>
            </w:pPr>
            <w:r>
              <w:rPr>
                <w:rFonts w:ascii="Arial" w:cs="Arial" w:eastAsia="Arial" w:hAnsi="Arial"/>
                <w:sz w:val="13"/>
                <w:szCs w:val="13"/>
                <w:color w:val="auto"/>
              </w:rPr>
              <w:t>retraite, si cette rente transitoire ne dépasse pas 100 pour cent du dernier montant de la</w:t>
            </w:r>
          </w:p>
        </w:tc>
      </w:tr>
      <w:tr>
        <w:trPr>
          <w:trHeight w:val="173"/>
        </w:trPr>
        <w:tc>
          <w:tcPr>
            <w:tcW w:w="554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3"/>
                <w:szCs w:val="13"/>
                <w:color w:val="auto"/>
              </w:rPr>
              <w:t>respective member last paid.</w:t>
            </w:r>
          </w:p>
        </w:tc>
        <w:tc>
          <w:tcPr>
            <w:tcW w:w="240" w:type="dxa"/>
            <w:vAlign w:val="bottom"/>
            <w:tcBorders>
              <w:bottom w:val="single" w:sz="8" w:color="auto"/>
              <w:right w:val="single" w:sz="8" w:color="auto"/>
            </w:tcBorders>
          </w:tcPr>
          <w:p>
            <w:pPr>
              <w:spacing w:after="0"/>
              <w:rPr>
                <w:sz w:val="15"/>
                <w:szCs w:val="15"/>
                <w:color w:val="auto"/>
              </w:rPr>
            </w:pPr>
          </w:p>
        </w:tc>
        <w:tc>
          <w:tcPr>
            <w:tcW w:w="55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3"/>
                <w:szCs w:val="13"/>
                <w:color w:val="auto"/>
              </w:rPr>
              <w:t>rémunération annuelle totale payée au membre respectif.</w:t>
            </w:r>
          </w:p>
        </w:tc>
      </w:tr>
      <w:tr>
        <w:trPr>
          <w:trHeight w:val="177"/>
        </w:trPr>
        <w:tc>
          <w:tcPr>
            <w:tcW w:w="55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3"/>
                <w:szCs w:val="13"/>
                <w:b w:val="1"/>
                <w:bCs w:val="1"/>
                <w:color w:val="auto"/>
              </w:rPr>
              <w:t>Art. 41  Option and Share Plans</w:t>
            </w:r>
          </w:p>
        </w:tc>
        <w:tc>
          <w:tcPr>
            <w:tcW w:w="240" w:type="dxa"/>
            <w:vAlign w:val="bottom"/>
            <w:tcBorders>
              <w:right w:val="single" w:sz="8" w:color="auto"/>
            </w:tcBorders>
          </w:tcPr>
          <w:p>
            <w:pPr>
              <w:spacing w:after="0"/>
              <w:rPr>
                <w:sz w:val="15"/>
                <w:szCs w:val="15"/>
                <w:color w:val="auto"/>
              </w:rPr>
            </w:pPr>
          </w:p>
        </w:tc>
        <w:tc>
          <w:tcPr>
            <w:tcW w:w="5520" w:type="dxa"/>
            <w:vAlign w:val="bottom"/>
            <w:tcBorders>
              <w:right w:val="single" w:sz="8" w:color="auto"/>
            </w:tcBorders>
          </w:tcPr>
          <w:p>
            <w:pPr>
              <w:ind w:left="20"/>
              <w:spacing w:after="0"/>
              <w:rPr>
                <w:sz w:val="20"/>
                <w:szCs w:val="20"/>
                <w:color w:val="auto"/>
              </w:rPr>
            </w:pPr>
            <w:r>
              <w:rPr>
                <w:rFonts w:ascii="Arial" w:cs="Arial" w:eastAsia="Arial" w:hAnsi="Arial"/>
                <w:sz w:val="13"/>
                <w:szCs w:val="13"/>
                <w:b w:val="1"/>
                <w:bCs w:val="1"/>
                <w:color w:val="auto"/>
              </w:rPr>
              <w:t>Art. 41  Options et plan d'actions</w:t>
            </w:r>
          </w:p>
        </w:tc>
      </w:tr>
      <w:tr>
        <w:trPr>
          <w:trHeight w:val="258"/>
        </w:trPr>
        <w:tc>
          <w:tcPr>
            <w:tcW w:w="55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3"/>
                <w:szCs w:val="13"/>
                <w:color w:val="auto"/>
              </w:rPr>
              <w:t>Under the Company's Long Term Incentive Plan, the Board of Directors, upon proposal of the</w:t>
            </w:r>
          </w:p>
        </w:tc>
        <w:tc>
          <w:tcPr>
            <w:tcW w:w="240" w:type="dxa"/>
            <w:vAlign w:val="bottom"/>
            <w:tcBorders>
              <w:right w:val="single" w:sz="8" w:color="auto"/>
            </w:tcBorders>
          </w:tcPr>
          <w:p>
            <w:pPr>
              <w:spacing w:after="0"/>
              <w:rPr>
                <w:sz w:val="22"/>
                <w:szCs w:val="22"/>
                <w:color w:val="auto"/>
              </w:rPr>
            </w:pPr>
          </w:p>
        </w:tc>
        <w:tc>
          <w:tcPr>
            <w:tcW w:w="5520" w:type="dxa"/>
            <w:vAlign w:val="bottom"/>
            <w:tcBorders>
              <w:right w:val="single" w:sz="8" w:color="auto"/>
            </w:tcBorders>
          </w:tcPr>
          <w:p>
            <w:pPr>
              <w:ind w:left="20"/>
              <w:spacing w:after="0"/>
              <w:rPr>
                <w:sz w:val="20"/>
                <w:szCs w:val="20"/>
                <w:color w:val="auto"/>
              </w:rPr>
            </w:pPr>
            <w:r>
              <w:rPr>
                <w:rFonts w:ascii="Arial" w:cs="Arial" w:eastAsia="Arial" w:hAnsi="Arial"/>
                <w:sz w:val="13"/>
                <w:szCs w:val="13"/>
                <w:color w:val="auto"/>
              </w:rPr>
              <w:t>En vertu du plan d’intéressement à long terme de la société, le conseil d'administration, sur</w:t>
            </w:r>
          </w:p>
        </w:tc>
      </w:tr>
      <w:tr>
        <w:trPr>
          <w:trHeight w:val="145"/>
        </w:trPr>
        <w:tc>
          <w:tcPr>
            <w:tcW w:w="5540" w:type="dxa"/>
            <w:vAlign w:val="bottom"/>
            <w:tcBorders>
              <w:left w:val="single" w:sz="8" w:color="auto"/>
              <w:right w:val="single" w:sz="8" w:color="auto"/>
            </w:tcBorders>
          </w:tcPr>
          <w:p>
            <w:pPr>
              <w:ind w:left="40"/>
              <w:spacing w:after="0" w:line="145" w:lineRule="exact"/>
              <w:rPr>
                <w:sz w:val="20"/>
                <w:szCs w:val="20"/>
                <w:color w:val="auto"/>
              </w:rPr>
            </w:pPr>
            <w:r>
              <w:rPr>
                <w:rFonts w:ascii="Arial" w:cs="Arial" w:eastAsia="Arial" w:hAnsi="Arial"/>
                <w:sz w:val="13"/>
                <w:szCs w:val="13"/>
                <w:color w:val="auto"/>
                <w:w w:val="99"/>
              </w:rPr>
              <w:t>Compensation Committee, allocates the participating members of the Executive Committee and</w:t>
            </w:r>
          </w:p>
        </w:tc>
        <w:tc>
          <w:tcPr>
            <w:tcW w:w="240" w:type="dxa"/>
            <w:vAlign w:val="bottom"/>
            <w:tcBorders>
              <w:right w:val="single" w:sz="8" w:color="auto"/>
            </w:tcBorders>
          </w:tcPr>
          <w:p>
            <w:pPr>
              <w:spacing w:after="0"/>
              <w:rPr>
                <w:sz w:val="12"/>
                <w:szCs w:val="12"/>
                <w:color w:val="auto"/>
              </w:rPr>
            </w:pPr>
          </w:p>
        </w:tc>
        <w:tc>
          <w:tcPr>
            <w:tcW w:w="5520" w:type="dxa"/>
            <w:vAlign w:val="bottom"/>
            <w:tcBorders>
              <w:right w:val="single" w:sz="8" w:color="auto"/>
            </w:tcBorders>
          </w:tcPr>
          <w:p>
            <w:pPr>
              <w:ind w:left="20"/>
              <w:spacing w:after="0" w:line="145" w:lineRule="exact"/>
              <w:rPr>
                <w:sz w:val="20"/>
                <w:szCs w:val="20"/>
                <w:color w:val="auto"/>
              </w:rPr>
            </w:pPr>
            <w:r>
              <w:rPr>
                <w:rFonts w:ascii="Arial" w:cs="Arial" w:eastAsia="Arial" w:hAnsi="Arial"/>
                <w:sz w:val="13"/>
                <w:szCs w:val="13"/>
                <w:color w:val="auto"/>
                <w:w w:val="99"/>
              </w:rPr>
              <w:t>proposition du comité de rémunération, attribue aux membres participants du comité exécutif et</w:t>
            </w:r>
          </w:p>
        </w:tc>
      </w:tr>
      <w:tr>
        <w:trPr>
          <w:trHeight w:val="145"/>
        </w:trPr>
        <w:tc>
          <w:tcPr>
            <w:tcW w:w="5540" w:type="dxa"/>
            <w:vAlign w:val="bottom"/>
            <w:tcBorders>
              <w:left w:val="single" w:sz="8" w:color="auto"/>
              <w:right w:val="single" w:sz="8" w:color="auto"/>
            </w:tcBorders>
          </w:tcPr>
          <w:p>
            <w:pPr>
              <w:ind w:left="40"/>
              <w:spacing w:after="0" w:line="145" w:lineRule="exact"/>
              <w:rPr>
                <w:sz w:val="20"/>
                <w:szCs w:val="20"/>
                <w:color w:val="auto"/>
              </w:rPr>
            </w:pPr>
            <w:r>
              <w:rPr>
                <w:rFonts w:ascii="Arial" w:cs="Arial" w:eastAsia="Arial" w:hAnsi="Arial"/>
                <w:sz w:val="13"/>
                <w:szCs w:val="13"/>
                <w:color w:val="auto"/>
              </w:rPr>
              <w:t>the Board of Directors a fixed number of options or shares with a vesting or a blocking period</w:t>
            </w:r>
          </w:p>
        </w:tc>
        <w:tc>
          <w:tcPr>
            <w:tcW w:w="240" w:type="dxa"/>
            <w:vAlign w:val="bottom"/>
            <w:tcBorders>
              <w:right w:val="single" w:sz="8" w:color="auto"/>
            </w:tcBorders>
          </w:tcPr>
          <w:p>
            <w:pPr>
              <w:spacing w:after="0"/>
              <w:rPr>
                <w:sz w:val="12"/>
                <w:szCs w:val="12"/>
                <w:color w:val="auto"/>
              </w:rPr>
            </w:pPr>
          </w:p>
        </w:tc>
        <w:tc>
          <w:tcPr>
            <w:tcW w:w="5520" w:type="dxa"/>
            <w:vAlign w:val="bottom"/>
            <w:tcBorders>
              <w:right w:val="single" w:sz="8" w:color="auto"/>
            </w:tcBorders>
          </w:tcPr>
          <w:p>
            <w:pPr>
              <w:ind w:left="20"/>
              <w:spacing w:after="0" w:line="145" w:lineRule="exact"/>
              <w:rPr>
                <w:sz w:val="20"/>
                <w:szCs w:val="20"/>
                <w:color w:val="auto"/>
              </w:rPr>
            </w:pPr>
            <w:r>
              <w:rPr>
                <w:rFonts w:ascii="Arial" w:cs="Arial" w:eastAsia="Arial" w:hAnsi="Arial"/>
                <w:sz w:val="13"/>
                <w:szCs w:val="13"/>
                <w:color w:val="auto"/>
              </w:rPr>
              <w:t>du conseil d'administration un nombre fixe d'options ou d'actions avec une période de vesting</w:t>
            </w:r>
          </w:p>
        </w:tc>
      </w:tr>
      <w:tr>
        <w:trPr>
          <w:trHeight w:val="168"/>
        </w:trPr>
        <w:tc>
          <w:tcPr>
            <w:tcW w:w="55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3"/>
                <w:szCs w:val="13"/>
                <w:color w:val="auto"/>
              </w:rPr>
              <w:t>(the vesting period). At the</w:t>
            </w:r>
          </w:p>
        </w:tc>
        <w:tc>
          <w:tcPr>
            <w:tcW w:w="240" w:type="dxa"/>
            <w:vAlign w:val="bottom"/>
            <w:tcBorders>
              <w:right w:val="single" w:sz="8" w:color="auto"/>
            </w:tcBorders>
          </w:tcPr>
          <w:p>
            <w:pPr>
              <w:spacing w:after="0"/>
              <w:rPr>
                <w:sz w:val="14"/>
                <w:szCs w:val="14"/>
                <w:color w:val="auto"/>
              </w:rPr>
            </w:pPr>
          </w:p>
        </w:tc>
        <w:tc>
          <w:tcPr>
            <w:tcW w:w="5520" w:type="dxa"/>
            <w:vAlign w:val="bottom"/>
            <w:tcBorders>
              <w:right w:val="single" w:sz="8" w:color="auto"/>
            </w:tcBorders>
          </w:tcPr>
          <w:p>
            <w:pPr>
              <w:ind w:left="20"/>
              <w:spacing w:after="0"/>
              <w:rPr>
                <w:sz w:val="20"/>
                <w:szCs w:val="20"/>
                <w:color w:val="auto"/>
              </w:rPr>
            </w:pPr>
            <w:r>
              <w:rPr>
                <w:rFonts w:ascii="Arial" w:cs="Arial" w:eastAsia="Arial" w:hAnsi="Arial"/>
                <w:sz w:val="13"/>
                <w:szCs w:val="13"/>
                <w:color w:val="auto"/>
              </w:rPr>
              <w:t>ou de</w:t>
            </w:r>
          </w:p>
        </w:tc>
      </w:tr>
      <w:tr>
        <w:trPr>
          <w:trHeight w:val="153"/>
        </w:trPr>
        <w:tc>
          <w:tcPr>
            <w:tcW w:w="5540" w:type="dxa"/>
            <w:vAlign w:val="bottom"/>
            <w:tcBorders>
              <w:left w:val="single" w:sz="8" w:color="auto"/>
              <w:bottom w:val="single" w:sz="8" w:color="auto"/>
              <w:right w:val="single" w:sz="8" w:color="auto"/>
            </w:tcBorders>
          </w:tcPr>
          <w:p>
            <w:pPr>
              <w:spacing w:after="0"/>
              <w:rPr>
                <w:sz w:val="13"/>
                <w:szCs w:val="13"/>
                <w:color w:val="auto"/>
              </w:rPr>
            </w:pPr>
          </w:p>
        </w:tc>
        <w:tc>
          <w:tcPr>
            <w:tcW w:w="240" w:type="dxa"/>
            <w:vAlign w:val="bottom"/>
            <w:tcBorders>
              <w:bottom w:val="single" w:sz="8" w:color="auto"/>
              <w:right w:val="single" w:sz="8" w:color="auto"/>
            </w:tcBorders>
          </w:tcPr>
          <w:p>
            <w:pPr>
              <w:spacing w:after="0"/>
              <w:rPr>
                <w:sz w:val="13"/>
                <w:szCs w:val="13"/>
                <w:color w:val="auto"/>
              </w:rPr>
            </w:pPr>
          </w:p>
        </w:tc>
        <w:tc>
          <w:tcPr>
            <w:tcW w:w="5520" w:type="dxa"/>
            <w:vAlign w:val="bottom"/>
            <w:tcBorders>
              <w:bottom w:val="single" w:sz="8" w:color="auto"/>
              <w:right w:val="single" w:sz="8" w:color="auto"/>
            </w:tcBorders>
          </w:tcPr>
          <w:p>
            <w:pPr>
              <w:spacing w:after="0"/>
              <w:rPr>
                <w:sz w:val="13"/>
                <w:szCs w:val="13"/>
                <w:color w:val="auto"/>
              </w:rPr>
            </w:pPr>
          </w:p>
        </w:tc>
      </w:tr>
    </w:tbl>
    <w:p>
      <w:pPr>
        <w:spacing w:after="0" w:line="59"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5"/>
          <w:szCs w:val="15"/>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12700</wp:posOffset>
            </wp:positionV>
            <wp:extent cx="7171690" cy="635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71690" cy="6350"/>
                    </a:xfrm>
                    <a:prstGeom prst="rect">
                      <a:avLst/>
                    </a:prstGeom>
                    <a:noFill/>
                  </pic:spPr>
                </pic:pic>
              </a:graphicData>
            </a:graphic>
          </wp:anchor>
        </w:drawing>
      </w:r>
    </w:p>
    <w:p>
      <w:pPr>
        <w:sectPr>
          <w:pgSz w:w="11900" w:h="16838" w:orient="portrait"/>
          <w:cols w:equalWidth="0" w:num="1">
            <w:col w:w="11300"/>
          </w:cols>
          <w:pgMar w:left="300" w:top="448" w:right="299" w:bottom="1440" w:gutter="0" w:footer="0" w:header="0"/>
        </w:sectPr>
      </w:pPr>
    </w:p>
    <w:bookmarkStart w:id="88" w:name="page89"/>
    <w:bookmarkEnd w:id="88"/>
    <w:p>
      <w:pPr>
        <w:jc w:val="both"/>
        <w:ind w:left="7"/>
        <w:spacing w:after="0" w:line="247" w:lineRule="auto"/>
        <w:rPr>
          <w:sz w:val="20"/>
          <w:szCs w:val="20"/>
          <w:color w:val="auto"/>
        </w:rPr>
      </w:pPr>
      <w:r>
        <w:rPr>
          <w:rFonts w:ascii="Arial" w:cs="Arial" w:eastAsia="Arial" w:hAnsi="Arial"/>
          <w:sz w:val="13"/>
          <w:szCs w:val="13"/>
          <w:color w:val="auto"/>
        </w:rPr>
        <w:drawing>
          <wp:anchor simplePos="0" relativeHeight="251657728" behindDoc="1" locked="0" layoutInCell="0" allowOverlap="1">
            <wp:simplePos x="0" y="0"/>
            <wp:positionH relativeFrom="page">
              <wp:posOffset>188595</wp:posOffset>
            </wp:positionH>
            <wp:positionV relativeFrom="page">
              <wp:posOffset>297180</wp:posOffset>
            </wp:positionV>
            <wp:extent cx="7171690" cy="261112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71690" cy="2611120"/>
                    </a:xfrm>
                    <a:prstGeom prst="rect">
                      <a:avLst/>
                    </a:prstGeom>
                    <a:noFill/>
                  </pic:spPr>
                </pic:pic>
              </a:graphicData>
            </a:graphic>
          </wp:anchor>
        </w:drawing>
        <w:t>end of the vesting period, participants in the Long Term Incentive Plan are entitled to exercise the options granted against payment of the strike price. These options to acquire shares in the Company or allocated shares are subject to the basic principles set out in the following:</w:t>
      </w:r>
    </w:p>
    <w:p>
      <w:pPr>
        <w:spacing w:after="0" w:line="118" w:lineRule="exact"/>
        <w:rPr>
          <w:sz w:val="20"/>
          <w:szCs w:val="20"/>
          <w:color w:val="auto"/>
        </w:rPr>
      </w:pPr>
    </w:p>
    <w:p>
      <w:pPr>
        <w:jc w:val="both"/>
        <w:ind w:left="267" w:hanging="267"/>
        <w:spacing w:after="0" w:line="247" w:lineRule="auto"/>
        <w:tabs>
          <w:tab w:leader="none" w:pos="297" w:val="left"/>
        </w:tabs>
        <w:numPr>
          <w:ilvl w:val="0"/>
          <w:numId w:val="9"/>
        </w:numPr>
        <w:rPr>
          <w:rFonts w:ascii="Arial" w:cs="Arial" w:eastAsia="Arial" w:hAnsi="Arial"/>
          <w:sz w:val="13"/>
          <w:szCs w:val="13"/>
          <w:color w:val="auto"/>
        </w:rPr>
      </w:pPr>
      <w:r>
        <w:rPr>
          <w:rFonts w:ascii="Arial" w:cs="Arial" w:eastAsia="Arial" w:hAnsi="Arial"/>
          <w:sz w:val="13"/>
          <w:szCs w:val="13"/>
          <w:color w:val="auto"/>
        </w:rPr>
        <w:t>it is the sole discretion of the Board of Directors to decide whether to allocate options or shares and to whom and to determine the valuation of each compensation element on the basis of the principles that apply to the establishment of the compensation report;</w:t>
      </w:r>
    </w:p>
    <w:p>
      <w:pPr>
        <w:spacing w:after="0" w:line="117" w:lineRule="exact"/>
        <w:rPr>
          <w:rFonts w:ascii="Arial" w:cs="Arial" w:eastAsia="Arial" w:hAnsi="Arial"/>
          <w:sz w:val="13"/>
          <w:szCs w:val="13"/>
          <w:color w:val="auto"/>
        </w:rPr>
      </w:pPr>
    </w:p>
    <w:p>
      <w:pPr>
        <w:jc w:val="both"/>
        <w:ind w:left="267" w:hanging="267"/>
        <w:spacing w:after="0" w:line="247" w:lineRule="auto"/>
        <w:tabs>
          <w:tab w:leader="none" w:pos="390" w:val="left"/>
        </w:tabs>
        <w:numPr>
          <w:ilvl w:val="0"/>
          <w:numId w:val="9"/>
        </w:numPr>
        <w:rPr>
          <w:rFonts w:ascii="Arial" w:cs="Arial" w:eastAsia="Arial" w:hAnsi="Arial"/>
          <w:sz w:val="13"/>
          <w:szCs w:val="13"/>
          <w:color w:val="auto"/>
        </w:rPr>
      </w:pPr>
      <w:r>
        <w:rPr>
          <w:rFonts w:ascii="Arial" w:cs="Arial" w:eastAsia="Arial" w:hAnsi="Arial"/>
          <w:sz w:val="13"/>
          <w:szCs w:val="13"/>
          <w:color w:val="auto"/>
        </w:rPr>
        <w:t>each year, the Board of Directors, upon proposal of the Compensation Committee, stipulates the number of options and shares to be allocated, the date of allocation and the strike price;</w:t>
      </w:r>
    </w:p>
    <w:p>
      <w:pPr>
        <w:spacing w:after="0" w:line="117" w:lineRule="exact"/>
        <w:rPr>
          <w:rFonts w:ascii="Arial" w:cs="Arial" w:eastAsia="Arial" w:hAnsi="Arial"/>
          <w:sz w:val="13"/>
          <w:szCs w:val="13"/>
          <w:color w:val="auto"/>
        </w:rPr>
      </w:pPr>
    </w:p>
    <w:p>
      <w:pPr>
        <w:ind w:left="267" w:hanging="267"/>
        <w:spacing w:after="0" w:line="262" w:lineRule="auto"/>
        <w:tabs>
          <w:tab w:leader="none" w:pos="259" w:val="left"/>
        </w:tabs>
        <w:numPr>
          <w:ilvl w:val="0"/>
          <w:numId w:val="9"/>
        </w:numPr>
        <w:rPr>
          <w:rFonts w:ascii="Arial" w:cs="Arial" w:eastAsia="Arial" w:hAnsi="Arial"/>
          <w:sz w:val="13"/>
          <w:szCs w:val="13"/>
          <w:color w:val="auto"/>
        </w:rPr>
      </w:pPr>
      <w:r>
        <w:rPr>
          <w:rFonts w:ascii="Arial" w:cs="Arial" w:eastAsia="Arial" w:hAnsi="Arial"/>
          <w:sz w:val="13"/>
          <w:szCs w:val="13"/>
          <w:color w:val="auto"/>
        </w:rPr>
        <w:t>each option incorporates a non-transferable, pre-emptive, and contingent right to acquire a certain number of Company's shares;</w:t>
      </w:r>
    </w:p>
    <w:p>
      <w:pPr>
        <w:spacing w:after="0" w:line="107" w:lineRule="exact"/>
        <w:rPr>
          <w:rFonts w:ascii="Arial" w:cs="Arial" w:eastAsia="Arial" w:hAnsi="Arial"/>
          <w:sz w:val="13"/>
          <w:szCs w:val="13"/>
          <w:color w:val="auto"/>
        </w:rPr>
      </w:pPr>
    </w:p>
    <w:p>
      <w:pPr>
        <w:jc w:val="both"/>
        <w:ind w:left="267" w:hanging="267"/>
        <w:spacing w:after="0" w:line="238" w:lineRule="auto"/>
        <w:tabs>
          <w:tab w:leader="none" w:pos="266" w:val="left"/>
        </w:tabs>
        <w:numPr>
          <w:ilvl w:val="0"/>
          <w:numId w:val="9"/>
        </w:numPr>
        <w:rPr>
          <w:rFonts w:ascii="Arial" w:cs="Arial" w:eastAsia="Arial" w:hAnsi="Arial"/>
          <w:sz w:val="13"/>
          <w:szCs w:val="13"/>
          <w:color w:val="auto"/>
        </w:rPr>
      </w:pPr>
      <w:r>
        <w:rPr>
          <w:rFonts w:ascii="Arial" w:cs="Arial" w:eastAsia="Arial" w:hAnsi="Arial"/>
          <w:sz w:val="13"/>
          <w:szCs w:val="13"/>
          <w:color w:val="auto"/>
        </w:rPr>
        <w:t>in the case of a change of control (as defined in the Long Term Incentive Plan) or delisting of the Company's shares, the vesting period shall end (accelerated vesting) and the participant shall be entitled to exercise the options on a pro rata basis on the day the transaction that led to the change of control or delisting was executed. It is at the sole discretion of the Board of Directors to decide upon proposal of the Compensation Committee whether the financial objectives have been met;</w:t>
      </w:r>
    </w:p>
    <w:p>
      <w:pPr>
        <w:spacing w:after="0" w:line="124" w:lineRule="exact"/>
        <w:rPr>
          <w:rFonts w:ascii="Arial" w:cs="Arial" w:eastAsia="Arial" w:hAnsi="Arial"/>
          <w:sz w:val="13"/>
          <w:szCs w:val="13"/>
          <w:color w:val="auto"/>
        </w:rPr>
      </w:pPr>
    </w:p>
    <w:p>
      <w:pPr>
        <w:jc w:val="both"/>
        <w:ind w:left="267" w:hanging="267"/>
        <w:spacing w:after="0" w:line="247" w:lineRule="auto"/>
        <w:tabs>
          <w:tab w:leader="none" w:pos="274" w:val="left"/>
        </w:tabs>
        <w:numPr>
          <w:ilvl w:val="0"/>
          <w:numId w:val="9"/>
        </w:numPr>
        <w:rPr>
          <w:rFonts w:ascii="Arial" w:cs="Arial" w:eastAsia="Arial" w:hAnsi="Arial"/>
          <w:sz w:val="13"/>
          <w:szCs w:val="13"/>
          <w:color w:val="auto"/>
        </w:rPr>
      </w:pPr>
      <w:r>
        <w:rPr>
          <w:rFonts w:ascii="Arial" w:cs="Arial" w:eastAsia="Arial" w:hAnsi="Arial"/>
          <w:sz w:val="13"/>
          <w:szCs w:val="13"/>
          <w:color w:val="auto"/>
        </w:rPr>
        <w:t>the individual members of the Executive Committee or the Board of Directors participating in the Long Term Incentive Plan are responsible for paying any taxes or social security contributions and for declaring income correctly to the authorities;</w:t>
      </w:r>
    </w:p>
    <w:p>
      <w:pPr>
        <w:spacing w:after="0" w:line="20" w:lineRule="exact"/>
        <w:rPr>
          <w:sz w:val="20"/>
          <w:szCs w:val="20"/>
          <w:color w:val="auto"/>
        </w:rPr>
      </w:pPr>
      <w:r>
        <w:rPr>
          <w:sz w:val="20"/>
          <w:szCs w:val="20"/>
          <w:color w:val="auto"/>
        </w:rPr>
        <w:br w:type="column"/>
      </w:r>
    </w:p>
    <w:p>
      <w:pPr>
        <w:jc w:val="both"/>
        <w:ind w:left="5"/>
        <w:spacing w:after="0" w:line="242" w:lineRule="auto"/>
        <w:rPr>
          <w:sz w:val="20"/>
          <w:szCs w:val="20"/>
          <w:color w:val="auto"/>
        </w:rPr>
      </w:pPr>
      <w:r>
        <w:rPr>
          <w:rFonts w:ascii="Arial" w:cs="Arial" w:eastAsia="Arial" w:hAnsi="Arial"/>
          <w:sz w:val="13"/>
          <w:szCs w:val="13"/>
          <w:color w:val="auto"/>
        </w:rPr>
        <w:t>blocage (la "Période de Vesting "). À la fin de la Période de Vesting, les participants au plan d’intéressement à long terme sont habilités à exercer les options attribuées contre paiement du prix d'exercice. Ces options d'achat d'actions de la société ou d'actions attribuées sont soumises aux principes de base suivants:</w:t>
      </w:r>
    </w:p>
    <w:p>
      <w:pPr>
        <w:spacing w:after="0" w:line="121" w:lineRule="exact"/>
        <w:rPr>
          <w:sz w:val="20"/>
          <w:szCs w:val="20"/>
          <w:color w:val="auto"/>
        </w:rPr>
      </w:pPr>
    </w:p>
    <w:p>
      <w:pPr>
        <w:jc w:val="both"/>
        <w:ind w:left="325" w:right="20" w:hanging="325"/>
        <w:spacing w:after="0" w:line="242" w:lineRule="auto"/>
        <w:tabs>
          <w:tab w:leader="none" w:pos="377" w:val="left"/>
        </w:tabs>
        <w:numPr>
          <w:ilvl w:val="0"/>
          <w:numId w:val="10"/>
        </w:numPr>
        <w:rPr>
          <w:rFonts w:ascii="Arial" w:cs="Arial" w:eastAsia="Arial" w:hAnsi="Arial"/>
          <w:sz w:val="13"/>
          <w:szCs w:val="13"/>
          <w:color w:val="auto"/>
        </w:rPr>
      </w:pPr>
      <w:r>
        <w:rPr>
          <w:rFonts w:ascii="Arial" w:cs="Arial" w:eastAsia="Arial" w:hAnsi="Arial"/>
          <w:sz w:val="13"/>
          <w:szCs w:val="13"/>
          <w:color w:val="auto"/>
        </w:rPr>
        <w:t>il relève de la libre appréciation du conseil d'administration de décider si des options ou actions sont attribuées et à qui et de déterminer l'évaluation de chaque élément de rémunération sur la base des principes qui s'appliquent à l'établissement du rapport de rémunération;</w:t>
      </w:r>
    </w:p>
    <w:p>
      <w:pPr>
        <w:spacing w:after="0" w:line="120" w:lineRule="exact"/>
        <w:rPr>
          <w:rFonts w:ascii="Arial" w:cs="Arial" w:eastAsia="Arial" w:hAnsi="Arial"/>
          <w:sz w:val="13"/>
          <w:szCs w:val="13"/>
          <w:color w:val="auto"/>
        </w:rPr>
      </w:pPr>
    </w:p>
    <w:p>
      <w:pPr>
        <w:ind w:left="325" w:hanging="325"/>
        <w:spacing w:after="0" w:line="262" w:lineRule="auto"/>
        <w:tabs>
          <w:tab w:leader="none" w:pos="327" w:val="left"/>
        </w:tabs>
        <w:numPr>
          <w:ilvl w:val="0"/>
          <w:numId w:val="10"/>
        </w:numPr>
        <w:rPr>
          <w:rFonts w:ascii="Arial" w:cs="Arial" w:eastAsia="Arial" w:hAnsi="Arial"/>
          <w:sz w:val="13"/>
          <w:szCs w:val="13"/>
          <w:color w:val="auto"/>
        </w:rPr>
      </w:pPr>
      <w:r>
        <w:rPr>
          <w:rFonts w:ascii="Arial" w:cs="Arial" w:eastAsia="Arial" w:hAnsi="Arial"/>
          <w:sz w:val="13"/>
          <w:szCs w:val="13"/>
          <w:color w:val="auto"/>
        </w:rPr>
        <w:t>chaque année, le conseil d'administration, sur proposition du comité de rémunération, fixe le nombre d'options et d'actions à attribuer, la date d'attribution et le prix d'exercice;</w:t>
      </w:r>
    </w:p>
    <w:p>
      <w:pPr>
        <w:spacing w:after="0" w:line="107" w:lineRule="exact"/>
        <w:rPr>
          <w:rFonts w:ascii="Arial" w:cs="Arial" w:eastAsia="Arial" w:hAnsi="Arial"/>
          <w:sz w:val="13"/>
          <w:szCs w:val="13"/>
          <w:color w:val="auto"/>
        </w:rPr>
      </w:pPr>
    </w:p>
    <w:p>
      <w:pPr>
        <w:ind w:left="325" w:hanging="325"/>
        <w:spacing w:after="0" w:line="262" w:lineRule="auto"/>
        <w:tabs>
          <w:tab w:leader="none" w:pos="494" w:val="left"/>
        </w:tabs>
        <w:numPr>
          <w:ilvl w:val="0"/>
          <w:numId w:val="10"/>
        </w:numPr>
        <w:rPr>
          <w:rFonts w:ascii="Arial" w:cs="Arial" w:eastAsia="Arial" w:hAnsi="Arial"/>
          <w:sz w:val="13"/>
          <w:szCs w:val="13"/>
          <w:color w:val="auto"/>
        </w:rPr>
      </w:pPr>
      <w:r>
        <w:rPr>
          <w:rFonts w:ascii="Arial" w:cs="Arial" w:eastAsia="Arial" w:hAnsi="Arial"/>
          <w:sz w:val="13"/>
          <w:szCs w:val="13"/>
          <w:color w:val="auto"/>
        </w:rPr>
        <w:t>chaque option comporte un droit non transférable, de souscription préférentielle et optionnel d'acquérir un certain nombre d'actions de la société;</w:t>
      </w:r>
    </w:p>
    <w:p>
      <w:pPr>
        <w:spacing w:after="0" w:line="107" w:lineRule="exact"/>
        <w:rPr>
          <w:rFonts w:ascii="Arial" w:cs="Arial" w:eastAsia="Arial" w:hAnsi="Arial"/>
          <w:sz w:val="13"/>
          <w:szCs w:val="13"/>
          <w:color w:val="auto"/>
        </w:rPr>
      </w:pPr>
    </w:p>
    <w:p>
      <w:pPr>
        <w:jc w:val="both"/>
        <w:ind w:left="325" w:hanging="325"/>
        <w:spacing w:after="0" w:line="237" w:lineRule="auto"/>
        <w:tabs>
          <w:tab w:leader="none" w:pos="348" w:val="left"/>
        </w:tabs>
        <w:numPr>
          <w:ilvl w:val="0"/>
          <w:numId w:val="10"/>
        </w:numPr>
        <w:rPr>
          <w:rFonts w:ascii="Arial" w:cs="Arial" w:eastAsia="Arial" w:hAnsi="Arial"/>
          <w:sz w:val="13"/>
          <w:szCs w:val="13"/>
          <w:color w:val="auto"/>
        </w:rPr>
      </w:pPr>
      <w:r>
        <w:rPr>
          <w:rFonts w:ascii="Arial" w:cs="Arial" w:eastAsia="Arial" w:hAnsi="Arial"/>
          <w:sz w:val="13"/>
          <w:szCs w:val="13"/>
          <w:color w:val="auto"/>
        </w:rPr>
        <w:t>dans le cas d'un changement de contrôle (tel que défini dans le plan d’intéressement à long terme) ou la radiation des actions de la société, la Période de Vesting prend fin (vesting accéléré) et le participant est en droit d'exercer les options sur une base pro rata, le jour de la transaction qui a conduit à un changement de contrôle ou le jour où la radiation a été exécutée. Il relève de la libre appréciation du conseil d'administration de décider, sur proposition du comité de rémunération, si les objectifs financiers ont été atteints;</w:t>
      </w:r>
    </w:p>
    <w:p>
      <w:pPr>
        <w:spacing w:after="0" w:line="124" w:lineRule="exact"/>
        <w:rPr>
          <w:rFonts w:ascii="Arial" w:cs="Arial" w:eastAsia="Arial" w:hAnsi="Arial"/>
          <w:sz w:val="13"/>
          <w:szCs w:val="13"/>
          <w:color w:val="auto"/>
        </w:rPr>
      </w:pPr>
    </w:p>
    <w:p>
      <w:pPr>
        <w:jc w:val="both"/>
        <w:ind w:left="325" w:hanging="325"/>
        <w:spacing w:after="0" w:line="247" w:lineRule="auto"/>
        <w:tabs>
          <w:tab w:leader="none" w:pos="369" w:val="left"/>
        </w:tabs>
        <w:numPr>
          <w:ilvl w:val="0"/>
          <w:numId w:val="10"/>
        </w:numPr>
        <w:rPr>
          <w:rFonts w:ascii="Arial" w:cs="Arial" w:eastAsia="Arial" w:hAnsi="Arial"/>
          <w:sz w:val="13"/>
          <w:szCs w:val="13"/>
          <w:color w:val="auto"/>
        </w:rPr>
      </w:pPr>
      <w:r>
        <w:rPr>
          <w:rFonts w:ascii="Arial" w:cs="Arial" w:eastAsia="Arial" w:hAnsi="Arial"/>
          <w:sz w:val="13"/>
          <w:szCs w:val="13"/>
          <w:color w:val="auto"/>
        </w:rPr>
        <w:t>les membres individuels du comité exécutif ou du conseil d'administration qui participent au plan d’intéressement à long terme sont responsables du paiement de tous les impôts ou cotisations de sécurité sociale et de déclarer correctement le revenu aux autorités;</w:t>
      </w:r>
    </w:p>
    <w:p>
      <w:pPr>
        <w:spacing w:after="0" w:line="200" w:lineRule="exact"/>
        <w:rPr>
          <w:sz w:val="20"/>
          <w:szCs w:val="20"/>
          <w:color w:val="auto"/>
        </w:rPr>
      </w:pPr>
    </w:p>
    <w:p>
      <w:pPr>
        <w:sectPr>
          <w:pgSz w:w="11900" w:h="16838" w:orient="portrait"/>
          <w:cols w:equalWidth="0" w:num="2">
            <w:col w:w="5467" w:space="295"/>
            <w:col w:w="5465"/>
          </w:cols>
          <w:pgMar w:left="333" w:top="484" w:right="339" w:bottom="1440" w:gutter="0" w:footer="0" w:header="0"/>
        </w:sectPr>
      </w:pPr>
    </w:p>
    <w:p>
      <w:pPr>
        <w:spacing w:after="0" w:line="18" w:lineRule="exact"/>
        <w:rPr>
          <w:sz w:val="20"/>
          <w:szCs w:val="20"/>
          <w:color w:val="auto"/>
        </w:rPr>
      </w:pPr>
    </w:p>
    <w:p>
      <w:pPr>
        <w:jc w:val="center"/>
        <w:ind w:right="53"/>
        <w:spacing w:after="0"/>
        <w:rPr>
          <w:sz w:val="20"/>
          <w:szCs w:val="20"/>
          <w:color w:val="auto"/>
        </w:rPr>
      </w:pPr>
      <w:r>
        <w:rPr>
          <w:rFonts w:ascii="Times New Roman" w:cs="Times New Roman" w:eastAsia="Times New Roman" w:hAnsi="Times New Roman"/>
          <w:sz w:val="15"/>
          <w:szCs w:val="15"/>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wp:posOffset>
            </wp:positionH>
            <wp:positionV relativeFrom="paragraph">
              <wp:posOffset>12700</wp:posOffset>
            </wp:positionV>
            <wp:extent cx="7171690" cy="635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71690" cy="6350"/>
                    </a:xfrm>
                    <a:prstGeom prst="rect">
                      <a:avLst/>
                    </a:prstGeom>
                    <a:noFill/>
                  </pic:spPr>
                </pic:pic>
              </a:graphicData>
            </a:graphic>
          </wp:anchor>
        </w:drawing>
      </w:r>
    </w:p>
    <w:p>
      <w:pPr>
        <w:sectPr>
          <w:pgSz w:w="11900" w:h="16838" w:orient="portrait"/>
          <w:cols w:equalWidth="0" w:num="1">
            <w:col w:w="11227"/>
          </w:cols>
          <w:pgMar w:left="333" w:top="484" w:right="339" w:bottom="1440" w:gutter="0" w:footer="0" w:header="0"/>
          <w:type w:val="continuous"/>
        </w:sectPr>
      </w:pPr>
    </w:p>
    <w:bookmarkStart w:id="89" w:name="page90"/>
    <w:bookmarkEnd w:id="89"/>
    <w:tbl>
      <w:tblPr>
        <w:tblLayout w:type="fixed"/>
        <w:tblInd w:w="10" w:type="dxa"/>
        <w:tblCellMar>
          <w:top w:w="0" w:type="dxa"/>
          <w:left w:w="0" w:type="dxa"/>
          <w:bottom w:w="0" w:type="dxa"/>
          <w:right w:w="0" w:type="dxa"/>
        </w:tblCellMar>
      </w:tblPr>
      <w:tr>
        <w:trPr>
          <w:trHeight w:val="161"/>
        </w:trPr>
        <w:tc>
          <w:tcPr>
            <w:tcW w:w="320" w:type="dxa"/>
            <w:vAlign w:val="bottom"/>
            <w:tcBorders>
              <w:top w:val="single" w:sz="8" w:color="auto"/>
              <w:left w:val="single" w:sz="8" w:color="auto"/>
            </w:tcBorders>
          </w:tcPr>
          <w:p>
            <w:pPr>
              <w:ind w:left="40"/>
              <w:spacing w:after="0"/>
              <w:rPr>
                <w:sz w:val="20"/>
                <w:szCs w:val="20"/>
                <w:color w:val="auto"/>
              </w:rPr>
            </w:pPr>
            <w:r>
              <w:rPr>
                <w:rFonts w:ascii="Arial" w:cs="Arial" w:eastAsia="Arial" w:hAnsi="Arial"/>
                <w:sz w:val="13"/>
                <w:szCs w:val="13"/>
                <w:color w:val="auto"/>
              </w:rPr>
              <w:t>f)</w:t>
            </w:r>
          </w:p>
        </w:tc>
        <w:tc>
          <w:tcPr>
            <w:tcW w:w="5220" w:type="dxa"/>
            <w:vAlign w:val="bottom"/>
            <w:tcBorders>
              <w:top w:val="single" w:sz="8" w:color="auto"/>
              <w:right w:val="single" w:sz="8" w:color="auto"/>
            </w:tcBorders>
            <w:gridSpan w:val="2"/>
          </w:tcPr>
          <w:p>
            <w:pPr>
              <w:jc w:val="right"/>
              <w:spacing w:after="0"/>
              <w:rPr>
                <w:sz w:val="20"/>
                <w:szCs w:val="20"/>
                <w:color w:val="auto"/>
              </w:rPr>
            </w:pPr>
            <w:r>
              <w:rPr>
                <w:rFonts w:ascii="Arial" w:cs="Arial" w:eastAsia="Arial" w:hAnsi="Arial"/>
                <w:sz w:val="13"/>
                <w:szCs w:val="13"/>
                <w:color w:val="auto"/>
              </w:rPr>
              <w:t>it is at the sole discretion of the Board of Directors to decide whether to supplement the</w:t>
            </w:r>
          </w:p>
        </w:tc>
        <w:tc>
          <w:tcPr>
            <w:tcW w:w="240" w:type="dxa"/>
            <w:vAlign w:val="bottom"/>
            <w:tcBorders>
              <w:top w:val="single" w:sz="8" w:color="auto"/>
              <w:right w:val="single" w:sz="8" w:color="auto"/>
            </w:tcBorders>
          </w:tcPr>
          <w:p>
            <w:pPr>
              <w:spacing w:after="0"/>
              <w:rPr>
                <w:sz w:val="14"/>
                <w:szCs w:val="14"/>
                <w:color w:val="auto"/>
              </w:rPr>
            </w:pPr>
          </w:p>
        </w:tc>
        <w:tc>
          <w:tcPr>
            <w:tcW w:w="460" w:type="dxa"/>
            <w:vAlign w:val="bottom"/>
            <w:tcBorders>
              <w:top w:val="single" w:sz="8" w:color="auto"/>
            </w:tcBorders>
          </w:tcPr>
          <w:p>
            <w:pPr>
              <w:ind w:left="20"/>
              <w:spacing w:after="0"/>
              <w:rPr>
                <w:sz w:val="20"/>
                <w:szCs w:val="20"/>
                <w:color w:val="auto"/>
              </w:rPr>
            </w:pPr>
            <w:r>
              <w:rPr>
                <w:rFonts w:ascii="Arial" w:cs="Arial" w:eastAsia="Arial" w:hAnsi="Arial"/>
                <w:sz w:val="13"/>
                <w:szCs w:val="13"/>
                <w:color w:val="auto"/>
              </w:rPr>
              <w:t>f)</w:t>
            </w:r>
          </w:p>
        </w:tc>
        <w:tc>
          <w:tcPr>
            <w:tcW w:w="5060" w:type="dxa"/>
            <w:vAlign w:val="bottom"/>
            <w:tcBorders>
              <w:top w:val="single" w:sz="8" w:color="auto"/>
              <w:right w:val="single" w:sz="8" w:color="auto"/>
            </w:tcBorders>
          </w:tcPr>
          <w:p>
            <w:pPr>
              <w:ind w:left="60"/>
              <w:spacing w:after="0"/>
              <w:rPr>
                <w:sz w:val="20"/>
                <w:szCs w:val="20"/>
                <w:color w:val="auto"/>
              </w:rPr>
            </w:pPr>
            <w:r>
              <w:rPr>
                <w:rFonts w:ascii="Arial" w:cs="Arial" w:eastAsia="Arial" w:hAnsi="Arial"/>
                <w:sz w:val="13"/>
                <w:szCs w:val="13"/>
                <w:color w:val="auto"/>
              </w:rPr>
              <w:t>il relève de la libre appréciation du conseil d'administration de compléter le plan</w:t>
            </w:r>
          </w:p>
        </w:tc>
      </w:tr>
      <w:tr>
        <w:trPr>
          <w:trHeight w:val="145"/>
        </w:trPr>
        <w:tc>
          <w:tcPr>
            <w:tcW w:w="320" w:type="dxa"/>
            <w:vAlign w:val="bottom"/>
            <w:tcBorders>
              <w:left w:val="single" w:sz="8" w:color="auto"/>
            </w:tcBorders>
          </w:tcPr>
          <w:p>
            <w:pPr>
              <w:spacing w:after="0"/>
              <w:rPr>
                <w:sz w:val="12"/>
                <w:szCs w:val="12"/>
                <w:color w:val="auto"/>
              </w:rPr>
            </w:pPr>
          </w:p>
        </w:tc>
        <w:tc>
          <w:tcPr>
            <w:tcW w:w="5220" w:type="dxa"/>
            <w:vAlign w:val="bottom"/>
            <w:tcBorders>
              <w:right w:val="single" w:sz="8" w:color="auto"/>
            </w:tcBorders>
            <w:gridSpan w:val="2"/>
          </w:tcPr>
          <w:p>
            <w:pPr>
              <w:jc w:val="right"/>
              <w:spacing w:after="0" w:line="145" w:lineRule="exact"/>
              <w:rPr>
                <w:sz w:val="20"/>
                <w:szCs w:val="20"/>
                <w:color w:val="auto"/>
              </w:rPr>
            </w:pPr>
            <w:r>
              <w:rPr>
                <w:rFonts w:ascii="Arial" w:cs="Arial" w:eastAsia="Arial" w:hAnsi="Arial"/>
                <w:sz w:val="13"/>
                <w:szCs w:val="13"/>
                <w:color w:val="auto"/>
              </w:rPr>
              <w:t>Long Term Incentive Plan within the bounds of the principles set out above or to</w:t>
            </w:r>
          </w:p>
        </w:tc>
        <w:tc>
          <w:tcPr>
            <w:tcW w:w="240" w:type="dxa"/>
            <w:vAlign w:val="bottom"/>
            <w:tcBorders>
              <w:right w:val="single" w:sz="8" w:color="auto"/>
            </w:tcBorders>
          </w:tcPr>
          <w:p>
            <w:pPr>
              <w:spacing w:after="0"/>
              <w:rPr>
                <w:sz w:val="12"/>
                <w:szCs w:val="12"/>
                <w:color w:val="auto"/>
              </w:rPr>
            </w:pPr>
          </w:p>
        </w:tc>
        <w:tc>
          <w:tcPr>
            <w:tcW w:w="5520" w:type="dxa"/>
            <w:vAlign w:val="bottom"/>
            <w:tcBorders>
              <w:right w:val="single" w:sz="8" w:color="auto"/>
            </w:tcBorders>
            <w:gridSpan w:val="2"/>
          </w:tcPr>
          <w:p>
            <w:pPr>
              <w:ind w:left="340"/>
              <w:spacing w:after="0" w:line="145" w:lineRule="exact"/>
              <w:rPr>
                <w:sz w:val="20"/>
                <w:szCs w:val="20"/>
                <w:color w:val="auto"/>
              </w:rPr>
            </w:pPr>
            <w:r>
              <w:rPr>
                <w:rFonts w:ascii="Arial" w:cs="Arial" w:eastAsia="Arial" w:hAnsi="Arial"/>
                <w:sz w:val="13"/>
                <w:szCs w:val="13"/>
                <w:color w:val="auto"/>
              </w:rPr>
              <w:t>d’intéressement à long terme dans les limites des principes énoncés ci-dessus ou de</w:t>
            </w:r>
          </w:p>
        </w:tc>
      </w:tr>
      <w:tr>
        <w:trPr>
          <w:trHeight w:val="168"/>
        </w:trPr>
        <w:tc>
          <w:tcPr>
            <w:tcW w:w="320" w:type="dxa"/>
            <w:vAlign w:val="bottom"/>
            <w:tcBorders>
              <w:left w:val="single" w:sz="8" w:color="auto"/>
            </w:tcBorders>
          </w:tcPr>
          <w:p>
            <w:pPr>
              <w:spacing w:after="0"/>
              <w:rPr>
                <w:sz w:val="14"/>
                <w:szCs w:val="14"/>
                <w:color w:val="auto"/>
              </w:rPr>
            </w:pPr>
          </w:p>
        </w:tc>
        <w:tc>
          <w:tcPr>
            <w:tcW w:w="5220" w:type="dxa"/>
            <w:vAlign w:val="bottom"/>
            <w:tcBorders>
              <w:right w:val="single" w:sz="8" w:color="auto"/>
            </w:tcBorders>
            <w:gridSpan w:val="2"/>
          </w:tcPr>
          <w:p>
            <w:pPr>
              <w:jc w:val="right"/>
              <w:ind w:right="4336"/>
              <w:spacing w:after="0"/>
              <w:rPr>
                <w:sz w:val="20"/>
                <w:szCs w:val="20"/>
                <w:color w:val="auto"/>
              </w:rPr>
            </w:pPr>
            <w:r>
              <w:rPr>
                <w:rFonts w:ascii="Arial" w:cs="Arial" w:eastAsia="Arial" w:hAnsi="Arial"/>
                <w:sz w:val="13"/>
                <w:szCs w:val="13"/>
                <w:color w:val="auto"/>
              </w:rPr>
              <w:t>discontinue it.</w:t>
            </w:r>
          </w:p>
        </w:tc>
        <w:tc>
          <w:tcPr>
            <w:tcW w:w="240" w:type="dxa"/>
            <w:vAlign w:val="bottom"/>
            <w:tcBorders>
              <w:right w:val="single" w:sz="8" w:color="auto"/>
            </w:tcBorders>
          </w:tcPr>
          <w:p>
            <w:pPr>
              <w:spacing w:after="0"/>
              <w:rPr>
                <w:sz w:val="14"/>
                <w:szCs w:val="14"/>
                <w:color w:val="auto"/>
              </w:rPr>
            </w:pPr>
          </w:p>
        </w:tc>
        <w:tc>
          <w:tcPr>
            <w:tcW w:w="5520" w:type="dxa"/>
            <w:vAlign w:val="bottom"/>
            <w:tcBorders>
              <w:right w:val="single" w:sz="8" w:color="auto"/>
            </w:tcBorders>
            <w:gridSpan w:val="2"/>
          </w:tcPr>
          <w:p>
            <w:pPr>
              <w:ind w:left="340"/>
              <w:spacing w:after="0"/>
              <w:rPr>
                <w:sz w:val="20"/>
                <w:szCs w:val="20"/>
                <w:color w:val="auto"/>
              </w:rPr>
            </w:pPr>
            <w:r>
              <w:rPr>
                <w:rFonts w:ascii="Arial" w:cs="Arial" w:eastAsia="Arial" w:hAnsi="Arial"/>
                <w:sz w:val="13"/>
                <w:szCs w:val="13"/>
                <w:color w:val="auto"/>
              </w:rPr>
              <w:t>l'interrompre.</w:t>
            </w:r>
          </w:p>
        </w:tc>
      </w:tr>
      <w:tr>
        <w:trPr>
          <w:trHeight w:val="153"/>
        </w:trPr>
        <w:tc>
          <w:tcPr>
            <w:tcW w:w="5540" w:type="dxa"/>
            <w:vAlign w:val="bottom"/>
            <w:tcBorders>
              <w:left w:val="single" w:sz="8" w:color="auto"/>
              <w:bottom w:val="single" w:sz="8" w:color="auto"/>
              <w:right w:val="single" w:sz="8" w:color="auto"/>
            </w:tcBorders>
            <w:gridSpan w:val="3"/>
          </w:tcPr>
          <w:p>
            <w:pPr>
              <w:spacing w:after="0"/>
              <w:rPr>
                <w:sz w:val="13"/>
                <w:szCs w:val="13"/>
                <w:color w:val="auto"/>
              </w:rPr>
            </w:pPr>
          </w:p>
        </w:tc>
        <w:tc>
          <w:tcPr>
            <w:tcW w:w="240" w:type="dxa"/>
            <w:vAlign w:val="bottom"/>
            <w:tcBorders>
              <w:bottom w:val="single" w:sz="8" w:color="auto"/>
              <w:right w:val="single" w:sz="8" w:color="auto"/>
            </w:tcBorders>
          </w:tcPr>
          <w:p>
            <w:pPr>
              <w:spacing w:after="0"/>
              <w:rPr>
                <w:sz w:val="13"/>
                <w:szCs w:val="13"/>
                <w:color w:val="auto"/>
              </w:rPr>
            </w:pPr>
          </w:p>
        </w:tc>
        <w:tc>
          <w:tcPr>
            <w:tcW w:w="5520" w:type="dxa"/>
            <w:vAlign w:val="bottom"/>
            <w:tcBorders>
              <w:bottom w:val="single" w:sz="8" w:color="auto"/>
              <w:right w:val="single" w:sz="8" w:color="auto"/>
            </w:tcBorders>
            <w:gridSpan w:val="2"/>
          </w:tcPr>
          <w:p>
            <w:pPr>
              <w:spacing w:after="0"/>
              <w:rPr>
                <w:sz w:val="13"/>
                <w:szCs w:val="13"/>
                <w:color w:val="auto"/>
              </w:rPr>
            </w:pPr>
          </w:p>
        </w:tc>
      </w:tr>
      <w:tr>
        <w:trPr>
          <w:trHeight w:val="141"/>
        </w:trPr>
        <w:tc>
          <w:tcPr>
            <w:tcW w:w="5540" w:type="dxa"/>
            <w:vAlign w:val="bottom"/>
            <w:tcBorders>
              <w:left w:val="single" w:sz="8" w:color="auto"/>
              <w:right w:val="single" w:sz="8" w:color="auto"/>
            </w:tcBorders>
            <w:gridSpan w:val="3"/>
          </w:tcPr>
          <w:p>
            <w:pPr>
              <w:ind w:left="40"/>
              <w:spacing w:after="0" w:line="141" w:lineRule="exact"/>
              <w:rPr>
                <w:sz w:val="20"/>
                <w:szCs w:val="20"/>
                <w:color w:val="auto"/>
              </w:rPr>
            </w:pPr>
            <w:r>
              <w:rPr>
                <w:rFonts w:ascii="Arial" w:cs="Arial" w:eastAsia="Arial" w:hAnsi="Arial"/>
                <w:sz w:val="13"/>
                <w:szCs w:val="13"/>
                <w:color w:val="auto"/>
              </w:rPr>
              <w:t>The Company may periodically offer shares in the Company to important and long-term</w:t>
            </w:r>
          </w:p>
        </w:tc>
        <w:tc>
          <w:tcPr>
            <w:tcW w:w="240" w:type="dxa"/>
            <w:vAlign w:val="bottom"/>
            <w:tcBorders>
              <w:right w:val="single" w:sz="8" w:color="auto"/>
            </w:tcBorders>
          </w:tcPr>
          <w:p>
            <w:pPr>
              <w:spacing w:after="0"/>
              <w:rPr>
                <w:sz w:val="12"/>
                <w:szCs w:val="12"/>
                <w:color w:val="auto"/>
              </w:rPr>
            </w:pPr>
          </w:p>
        </w:tc>
        <w:tc>
          <w:tcPr>
            <w:tcW w:w="5520" w:type="dxa"/>
            <w:vAlign w:val="bottom"/>
            <w:tcBorders>
              <w:right w:val="single" w:sz="8" w:color="auto"/>
            </w:tcBorders>
            <w:gridSpan w:val="2"/>
          </w:tcPr>
          <w:p>
            <w:pPr>
              <w:ind w:left="20"/>
              <w:spacing w:after="0" w:line="141" w:lineRule="exact"/>
              <w:rPr>
                <w:sz w:val="20"/>
                <w:szCs w:val="20"/>
                <w:color w:val="auto"/>
              </w:rPr>
            </w:pPr>
            <w:r>
              <w:rPr>
                <w:rFonts w:ascii="Arial" w:cs="Arial" w:eastAsia="Arial" w:hAnsi="Arial"/>
                <w:sz w:val="13"/>
                <w:szCs w:val="13"/>
                <w:color w:val="auto"/>
                <w:w w:val="99"/>
              </w:rPr>
              <w:t>La société peut périodiquement offrir des actions de la société aux salariés importants et à long</w:t>
            </w:r>
          </w:p>
        </w:tc>
      </w:tr>
      <w:tr>
        <w:trPr>
          <w:trHeight w:val="145"/>
        </w:trPr>
        <w:tc>
          <w:tcPr>
            <w:tcW w:w="5540" w:type="dxa"/>
            <w:vAlign w:val="bottom"/>
            <w:tcBorders>
              <w:left w:val="single" w:sz="8" w:color="auto"/>
              <w:right w:val="single" w:sz="8" w:color="auto"/>
            </w:tcBorders>
            <w:gridSpan w:val="3"/>
          </w:tcPr>
          <w:p>
            <w:pPr>
              <w:ind w:left="40"/>
              <w:spacing w:after="0" w:line="145" w:lineRule="exact"/>
              <w:rPr>
                <w:sz w:val="20"/>
                <w:szCs w:val="20"/>
                <w:color w:val="auto"/>
              </w:rPr>
            </w:pPr>
            <w:r>
              <w:rPr>
                <w:rFonts w:ascii="Arial" w:cs="Arial" w:eastAsia="Arial" w:hAnsi="Arial"/>
                <w:sz w:val="13"/>
                <w:szCs w:val="13"/>
                <w:color w:val="auto"/>
                <w:w w:val="99"/>
              </w:rPr>
              <w:t>employees for a price being at maximum ten percent below the average volume-weighted price</w:t>
            </w:r>
          </w:p>
        </w:tc>
        <w:tc>
          <w:tcPr>
            <w:tcW w:w="240" w:type="dxa"/>
            <w:vAlign w:val="bottom"/>
            <w:tcBorders>
              <w:right w:val="single" w:sz="8" w:color="auto"/>
            </w:tcBorders>
          </w:tcPr>
          <w:p>
            <w:pPr>
              <w:spacing w:after="0"/>
              <w:rPr>
                <w:sz w:val="12"/>
                <w:szCs w:val="12"/>
                <w:color w:val="auto"/>
              </w:rPr>
            </w:pPr>
          </w:p>
        </w:tc>
        <w:tc>
          <w:tcPr>
            <w:tcW w:w="5520" w:type="dxa"/>
            <w:vAlign w:val="bottom"/>
            <w:tcBorders>
              <w:right w:val="single" w:sz="8" w:color="auto"/>
            </w:tcBorders>
            <w:gridSpan w:val="2"/>
          </w:tcPr>
          <w:p>
            <w:pPr>
              <w:ind w:left="20"/>
              <w:spacing w:after="0" w:line="145" w:lineRule="exact"/>
              <w:rPr>
                <w:sz w:val="20"/>
                <w:szCs w:val="20"/>
                <w:color w:val="auto"/>
              </w:rPr>
            </w:pPr>
            <w:r>
              <w:rPr>
                <w:rFonts w:ascii="Arial" w:cs="Arial" w:eastAsia="Arial" w:hAnsi="Arial"/>
                <w:sz w:val="13"/>
                <w:szCs w:val="13"/>
                <w:color w:val="auto"/>
              </w:rPr>
              <w:t>terme pour un prix étant au maximum dix pour cent au-dessous du prix moyen pondéré par les</w:t>
            </w:r>
          </w:p>
        </w:tc>
      </w:tr>
      <w:tr>
        <w:trPr>
          <w:trHeight w:val="145"/>
        </w:trPr>
        <w:tc>
          <w:tcPr>
            <w:tcW w:w="5540" w:type="dxa"/>
            <w:vAlign w:val="bottom"/>
            <w:tcBorders>
              <w:left w:val="single" w:sz="8" w:color="auto"/>
              <w:right w:val="single" w:sz="8" w:color="auto"/>
            </w:tcBorders>
            <w:gridSpan w:val="3"/>
          </w:tcPr>
          <w:p>
            <w:pPr>
              <w:ind w:left="40"/>
              <w:spacing w:after="0" w:line="145" w:lineRule="exact"/>
              <w:rPr>
                <w:sz w:val="20"/>
                <w:szCs w:val="20"/>
                <w:color w:val="auto"/>
              </w:rPr>
            </w:pPr>
            <w:r>
              <w:rPr>
                <w:rFonts w:ascii="Arial" w:cs="Arial" w:eastAsia="Arial" w:hAnsi="Arial"/>
                <w:sz w:val="13"/>
                <w:szCs w:val="13"/>
                <w:color w:val="auto"/>
              </w:rPr>
              <w:t>of the last 30 trading days at the stock exchange. Members of the Board of Directors and the</w:t>
            </w:r>
          </w:p>
        </w:tc>
        <w:tc>
          <w:tcPr>
            <w:tcW w:w="240" w:type="dxa"/>
            <w:vAlign w:val="bottom"/>
            <w:tcBorders>
              <w:right w:val="single" w:sz="8" w:color="auto"/>
            </w:tcBorders>
          </w:tcPr>
          <w:p>
            <w:pPr>
              <w:spacing w:after="0"/>
              <w:rPr>
                <w:sz w:val="12"/>
                <w:szCs w:val="12"/>
                <w:color w:val="auto"/>
              </w:rPr>
            </w:pPr>
          </w:p>
        </w:tc>
        <w:tc>
          <w:tcPr>
            <w:tcW w:w="5520" w:type="dxa"/>
            <w:vAlign w:val="bottom"/>
            <w:tcBorders>
              <w:right w:val="single" w:sz="8" w:color="auto"/>
            </w:tcBorders>
            <w:gridSpan w:val="2"/>
          </w:tcPr>
          <w:p>
            <w:pPr>
              <w:ind w:left="20"/>
              <w:spacing w:after="0" w:line="145" w:lineRule="exact"/>
              <w:rPr>
                <w:sz w:val="20"/>
                <w:szCs w:val="20"/>
                <w:color w:val="auto"/>
              </w:rPr>
            </w:pPr>
            <w:r>
              <w:rPr>
                <w:rFonts w:ascii="Arial" w:cs="Arial" w:eastAsia="Arial" w:hAnsi="Arial"/>
                <w:sz w:val="13"/>
                <w:szCs w:val="13"/>
                <w:color w:val="auto"/>
              </w:rPr>
              <w:t>volumes des 30 derniers jours à la bourse. Les membres du conseil d'administration et du</w:t>
            </w:r>
          </w:p>
        </w:tc>
      </w:tr>
      <w:tr>
        <w:trPr>
          <w:trHeight w:val="145"/>
        </w:trPr>
        <w:tc>
          <w:tcPr>
            <w:tcW w:w="5540" w:type="dxa"/>
            <w:vAlign w:val="bottom"/>
            <w:tcBorders>
              <w:left w:val="single" w:sz="8" w:color="auto"/>
              <w:right w:val="single" w:sz="8" w:color="auto"/>
            </w:tcBorders>
            <w:gridSpan w:val="3"/>
          </w:tcPr>
          <w:p>
            <w:pPr>
              <w:ind w:left="40"/>
              <w:spacing w:after="0" w:line="145" w:lineRule="exact"/>
              <w:rPr>
                <w:sz w:val="20"/>
                <w:szCs w:val="20"/>
                <w:color w:val="auto"/>
              </w:rPr>
            </w:pPr>
            <w:r>
              <w:rPr>
                <w:rFonts w:ascii="Arial" w:cs="Arial" w:eastAsia="Arial" w:hAnsi="Arial"/>
                <w:sz w:val="13"/>
                <w:szCs w:val="13"/>
                <w:color w:val="auto"/>
              </w:rPr>
              <w:t>Executive Committee may be included in this program. The shares acquired thereby shall be</w:t>
            </w:r>
          </w:p>
        </w:tc>
        <w:tc>
          <w:tcPr>
            <w:tcW w:w="240" w:type="dxa"/>
            <w:vAlign w:val="bottom"/>
            <w:tcBorders>
              <w:right w:val="single" w:sz="8" w:color="auto"/>
            </w:tcBorders>
          </w:tcPr>
          <w:p>
            <w:pPr>
              <w:spacing w:after="0"/>
              <w:rPr>
                <w:sz w:val="12"/>
                <w:szCs w:val="12"/>
                <w:color w:val="auto"/>
              </w:rPr>
            </w:pPr>
          </w:p>
        </w:tc>
        <w:tc>
          <w:tcPr>
            <w:tcW w:w="5520" w:type="dxa"/>
            <w:vAlign w:val="bottom"/>
            <w:tcBorders>
              <w:right w:val="single" w:sz="8" w:color="auto"/>
            </w:tcBorders>
            <w:gridSpan w:val="2"/>
          </w:tcPr>
          <w:p>
            <w:pPr>
              <w:ind w:left="20"/>
              <w:spacing w:after="0" w:line="145" w:lineRule="exact"/>
              <w:rPr>
                <w:sz w:val="20"/>
                <w:szCs w:val="20"/>
                <w:color w:val="auto"/>
              </w:rPr>
            </w:pPr>
            <w:r>
              <w:rPr>
                <w:rFonts w:ascii="Arial" w:cs="Arial" w:eastAsia="Arial" w:hAnsi="Arial"/>
                <w:sz w:val="13"/>
                <w:szCs w:val="13"/>
                <w:color w:val="auto"/>
              </w:rPr>
              <w:t>comité exécutif peuvent être inclus dans ce programme. Les actions ainsi acquises seront</w:t>
            </w:r>
          </w:p>
        </w:tc>
      </w:tr>
      <w:tr>
        <w:trPr>
          <w:trHeight w:val="173"/>
        </w:trPr>
        <w:tc>
          <w:tcPr>
            <w:tcW w:w="5540" w:type="dxa"/>
            <w:vAlign w:val="bottom"/>
            <w:tcBorders>
              <w:left w:val="single" w:sz="8" w:color="auto"/>
              <w:bottom w:val="single" w:sz="8" w:color="auto"/>
              <w:right w:val="single" w:sz="8" w:color="auto"/>
            </w:tcBorders>
            <w:gridSpan w:val="3"/>
          </w:tcPr>
          <w:p>
            <w:pPr>
              <w:ind w:left="40"/>
              <w:spacing w:after="0"/>
              <w:rPr>
                <w:sz w:val="20"/>
                <w:szCs w:val="20"/>
                <w:color w:val="auto"/>
              </w:rPr>
            </w:pPr>
            <w:r>
              <w:rPr>
                <w:rFonts w:ascii="Arial" w:cs="Arial" w:eastAsia="Arial" w:hAnsi="Arial"/>
                <w:sz w:val="13"/>
                <w:szCs w:val="13"/>
                <w:color w:val="auto"/>
              </w:rPr>
              <w:t>blocked for a period of at least 3 years.</w:t>
            </w:r>
          </w:p>
        </w:tc>
        <w:tc>
          <w:tcPr>
            <w:tcW w:w="240" w:type="dxa"/>
            <w:vAlign w:val="bottom"/>
            <w:tcBorders>
              <w:bottom w:val="single" w:sz="8" w:color="auto"/>
              <w:right w:val="single" w:sz="8" w:color="auto"/>
            </w:tcBorders>
          </w:tcPr>
          <w:p>
            <w:pPr>
              <w:spacing w:after="0"/>
              <w:rPr>
                <w:sz w:val="15"/>
                <w:szCs w:val="15"/>
                <w:color w:val="auto"/>
              </w:rPr>
            </w:pPr>
          </w:p>
        </w:tc>
        <w:tc>
          <w:tcPr>
            <w:tcW w:w="5520" w:type="dxa"/>
            <w:vAlign w:val="bottom"/>
            <w:tcBorders>
              <w:bottom w:val="single" w:sz="8" w:color="auto"/>
              <w:right w:val="single" w:sz="8" w:color="auto"/>
            </w:tcBorders>
            <w:gridSpan w:val="2"/>
          </w:tcPr>
          <w:p>
            <w:pPr>
              <w:ind w:left="20"/>
              <w:spacing w:after="0"/>
              <w:rPr>
                <w:sz w:val="20"/>
                <w:szCs w:val="20"/>
                <w:color w:val="auto"/>
              </w:rPr>
            </w:pPr>
            <w:r>
              <w:rPr>
                <w:rFonts w:ascii="Arial" w:cs="Arial" w:eastAsia="Arial" w:hAnsi="Arial"/>
                <w:sz w:val="13"/>
                <w:szCs w:val="13"/>
                <w:color w:val="auto"/>
              </w:rPr>
              <w:t>bloquées pour une période d'au moins 3 ans.</w:t>
            </w:r>
          </w:p>
        </w:tc>
      </w:tr>
      <w:tr>
        <w:trPr>
          <w:trHeight w:val="177"/>
        </w:trPr>
        <w:tc>
          <w:tcPr>
            <w:tcW w:w="320" w:type="dxa"/>
            <w:vAlign w:val="bottom"/>
            <w:tcBorders>
              <w:left w:val="single" w:sz="8" w:color="auto"/>
              <w:bottom w:val="single" w:sz="8" w:color="auto"/>
            </w:tcBorders>
          </w:tcPr>
          <w:p>
            <w:pPr>
              <w:ind w:left="40"/>
              <w:spacing w:after="0"/>
              <w:rPr>
                <w:sz w:val="20"/>
                <w:szCs w:val="20"/>
                <w:color w:val="auto"/>
              </w:rPr>
            </w:pPr>
            <w:r>
              <w:rPr>
                <w:rFonts w:ascii="Arial" w:cs="Arial" w:eastAsia="Arial" w:hAnsi="Arial"/>
                <w:sz w:val="13"/>
                <w:szCs w:val="13"/>
                <w:b w:val="1"/>
                <w:bCs w:val="1"/>
                <w:color w:val="auto"/>
              </w:rPr>
              <w:t>VIII.</w:t>
            </w:r>
          </w:p>
        </w:tc>
        <w:tc>
          <w:tcPr>
            <w:tcW w:w="180" w:type="dxa"/>
            <w:vAlign w:val="bottom"/>
            <w:tcBorders>
              <w:bottom w:val="single" w:sz="8" w:color="auto"/>
            </w:tcBorders>
          </w:tcPr>
          <w:p>
            <w:pPr>
              <w:spacing w:after="0"/>
              <w:rPr>
                <w:sz w:val="15"/>
                <w:szCs w:val="15"/>
                <w:color w:val="auto"/>
              </w:rPr>
            </w:pPr>
          </w:p>
        </w:tc>
        <w:tc>
          <w:tcPr>
            <w:tcW w:w="5040" w:type="dxa"/>
            <w:vAlign w:val="bottom"/>
            <w:tcBorders>
              <w:bottom w:val="single" w:sz="8" w:color="auto"/>
              <w:right w:val="single" w:sz="8" w:color="auto"/>
            </w:tcBorders>
          </w:tcPr>
          <w:p>
            <w:pPr>
              <w:jc w:val="right"/>
              <w:ind w:right="1156"/>
              <w:spacing w:after="0"/>
              <w:rPr>
                <w:sz w:val="20"/>
                <w:szCs w:val="20"/>
                <w:color w:val="auto"/>
              </w:rPr>
            </w:pPr>
            <w:r>
              <w:rPr>
                <w:rFonts w:ascii="Arial" w:cs="Arial" w:eastAsia="Arial" w:hAnsi="Arial"/>
                <w:sz w:val="13"/>
                <w:szCs w:val="13"/>
                <w:b w:val="1"/>
                <w:bCs w:val="1"/>
                <w:color w:val="auto"/>
              </w:rPr>
              <w:t>BUSINESS YEAR, ACCOUNTING, ALLOCATION OF PROFITS</w:t>
            </w:r>
          </w:p>
        </w:tc>
        <w:tc>
          <w:tcPr>
            <w:tcW w:w="240" w:type="dxa"/>
            <w:vAlign w:val="bottom"/>
            <w:tcBorders>
              <w:bottom w:val="single" w:sz="8" w:color="auto"/>
              <w:right w:val="single" w:sz="8" w:color="auto"/>
            </w:tcBorders>
          </w:tcPr>
          <w:p>
            <w:pPr>
              <w:spacing w:after="0"/>
              <w:rPr>
                <w:sz w:val="15"/>
                <w:szCs w:val="15"/>
                <w:color w:val="auto"/>
              </w:rPr>
            </w:pPr>
          </w:p>
        </w:tc>
        <w:tc>
          <w:tcPr>
            <w:tcW w:w="5520" w:type="dxa"/>
            <w:vAlign w:val="bottom"/>
            <w:tcBorders>
              <w:bottom w:val="single" w:sz="8" w:color="auto"/>
              <w:right w:val="single" w:sz="8" w:color="auto"/>
            </w:tcBorders>
            <w:gridSpan w:val="2"/>
          </w:tcPr>
          <w:p>
            <w:pPr>
              <w:ind w:left="20"/>
              <w:spacing w:after="0"/>
              <w:rPr>
                <w:sz w:val="20"/>
                <w:szCs w:val="20"/>
                <w:color w:val="auto"/>
              </w:rPr>
            </w:pPr>
            <w:r>
              <w:rPr>
                <w:rFonts w:ascii="Arial" w:cs="Arial" w:eastAsia="Arial" w:hAnsi="Arial"/>
                <w:sz w:val="13"/>
                <w:szCs w:val="13"/>
                <w:b w:val="1"/>
                <w:bCs w:val="1"/>
                <w:color w:val="auto"/>
              </w:rPr>
              <w:t>VIII.  EXERCICE, COMPTABILITÉ, RÉPARTITION DES BÉNÉFICES</w:t>
            </w:r>
          </w:p>
        </w:tc>
      </w:tr>
      <w:tr>
        <w:trPr>
          <w:trHeight w:val="173"/>
        </w:trPr>
        <w:tc>
          <w:tcPr>
            <w:tcW w:w="500" w:type="dxa"/>
            <w:vAlign w:val="bottom"/>
            <w:tcBorders>
              <w:left w:val="single" w:sz="8" w:color="auto"/>
            </w:tcBorders>
            <w:gridSpan w:val="2"/>
          </w:tcPr>
          <w:p>
            <w:pPr>
              <w:ind w:left="40"/>
              <w:spacing w:after="0"/>
              <w:rPr>
                <w:sz w:val="20"/>
                <w:szCs w:val="20"/>
                <w:color w:val="auto"/>
              </w:rPr>
            </w:pPr>
            <w:r>
              <w:rPr>
                <w:rFonts w:ascii="Arial" w:cs="Arial" w:eastAsia="Arial" w:hAnsi="Arial"/>
                <w:sz w:val="13"/>
                <w:szCs w:val="13"/>
                <w:b w:val="1"/>
                <w:bCs w:val="1"/>
                <w:color w:val="auto"/>
              </w:rPr>
              <w:t>Art. 42</w:t>
            </w:r>
          </w:p>
        </w:tc>
        <w:tc>
          <w:tcPr>
            <w:tcW w:w="5040" w:type="dxa"/>
            <w:vAlign w:val="bottom"/>
            <w:tcBorders>
              <w:right w:val="single" w:sz="8" w:color="auto"/>
            </w:tcBorders>
          </w:tcPr>
          <w:p>
            <w:pPr>
              <w:ind w:left="80"/>
              <w:spacing w:after="0"/>
              <w:rPr>
                <w:sz w:val="20"/>
                <w:szCs w:val="20"/>
                <w:color w:val="auto"/>
              </w:rPr>
            </w:pPr>
            <w:r>
              <w:rPr>
                <w:rFonts w:ascii="Arial" w:cs="Arial" w:eastAsia="Arial" w:hAnsi="Arial"/>
                <w:sz w:val="13"/>
                <w:szCs w:val="13"/>
                <w:b w:val="1"/>
                <w:bCs w:val="1"/>
                <w:color w:val="auto"/>
              </w:rPr>
              <w:t>Business Year</w:t>
            </w:r>
          </w:p>
        </w:tc>
        <w:tc>
          <w:tcPr>
            <w:tcW w:w="240" w:type="dxa"/>
            <w:vAlign w:val="bottom"/>
            <w:tcBorders>
              <w:right w:val="single" w:sz="8" w:color="auto"/>
            </w:tcBorders>
          </w:tcPr>
          <w:p>
            <w:pPr>
              <w:spacing w:after="0"/>
              <w:rPr>
                <w:sz w:val="15"/>
                <w:szCs w:val="15"/>
                <w:color w:val="auto"/>
              </w:rPr>
            </w:pPr>
          </w:p>
        </w:tc>
        <w:tc>
          <w:tcPr>
            <w:tcW w:w="460" w:type="dxa"/>
            <w:vAlign w:val="bottom"/>
          </w:tcPr>
          <w:p>
            <w:pPr>
              <w:ind w:left="20"/>
              <w:spacing w:after="0"/>
              <w:rPr>
                <w:sz w:val="20"/>
                <w:szCs w:val="20"/>
                <w:color w:val="auto"/>
              </w:rPr>
            </w:pPr>
            <w:r>
              <w:rPr>
                <w:rFonts w:ascii="Arial" w:cs="Arial" w:eastAsia="Arial" w:hAnsi="Arial"/>
                <w:sz w:val="13"/>
                <w:szCs w:val="13"/>
                <w:b w:val="1"/>
                <w:bCs w:val="1"/>
                <w:color w:val="auto"/>
              </w:rPr>
              <w:t>Art. 42</w:t>
            </w:r>
          </w:p>
        </w:tc>
        <w:tc>
          <w:tcPr>
            <w:tcW w:w="5060" w:type="dxa"/>
            <w:vAlign w:val="bottom"/>
            <w:tcBorders>
              <w:right w:val="single" w:sz="8" w:color="auto"/>
            </w:tcBorders>
          </w:tcPr>
          <w:p>
            <w:pPr>
              <w:ind w:left="100"/>
              <w:spacing w:after="0"/>
              <w:rPr>
                <w:sz w:val="20"/>
                <w:szCs w:val="20"/>
                <w:color w:val="auto"/>
              </w:rPr>
            </w:pPr>
            <w:r>
              <w:rPr>
                <w:rFonts w:ascii="Arial" w:cs="Arial" w:eastAsia="Arial" w:hAnsi="Arial"/>
                <w:sz w:val="13"/>
                <w:szCs w:val="13"/>
                <w:b w:val="1"/>
                <w:bCs w:val="1"/>
                <w:color w:val="auto"/>
              </w:rPr>
              <w:t>Exercice</w:t>
            </w:r>
          </w:p>
        </w:tc>
      </w:tr>
      <w:tr>
        <w:trPr>
          <w:trHeight w:val="282"/>
        </w:trPr>
        <w:tc>
          <w:tcPr>
            <w:tcW w:w="5540" w:type="dxa"/>
            <w:vAlign w:val="bottom"/>
            <w:tcBorders>
              <w:left w:val="single" w:sz="8" w:color="auto"/>
              <w:right w:val="single" w:sz="8" w:color="auto"/>
            </w:tcBorders>
            <w:gridSpan w:val="3"/>
          </w:tcPr>
          <w:p>
            <w:pPr>
              <w:ind w:left="40"/>
              <w:spacing w:after="0"/>
              <w:rPr>
                <w:sz w:val="20"/>
                <w:szCs w:val="20"/>
                <w:color w:val="auto"/>
              </w:rPr>
            </w:pPr>
            <w:r>
              <w:rPr>
                <w:rFonts w:ascii="Arial" w:cs="Arial" w:eastAsia="Arial" w:hAnsi="Arial"/>
                <w:sz w:val="13"/>
                <w:szCs w:val="13"/>
                <w:color w:val="auto"/>
              </w:rPr>
              <w:t>The Board of Directors shall determine the start and the end of the Company's business year.</w:t>
            </w:r>
          </w:p>
        </w:tc>
        <w:tc>
          <w:tcPr>
            <w:tcW w:w="240" w:type="dxa"/>
            <w:vAlign w:val="bottom"/>
            <w:tcBorders>
              <w:right w:val="single" w:sz="8" w:color="auto"/>
            </w:tcBorders>
          </w:tcPr>
          <w:p>
            <w:pPr>
              <w:spacing w:after="0"/>
              <w:rPr>
                <w:sz w:val="24"/>
                <w:szCs w:val="24"/>
                <w:color w:val="auto"/>
              </w:rPr>
            </w:pPr>
          </w:p>
        </w:tc>
        <w:tc>
          <w:tcPr>
            <w:tcW w:w="5520" w:type="dxa"/>
            <w:vAlign w:val="bottom"/>
            <w:tcBorders>
              <w:right w:val="single" w:sz="8" w:color="auto"/>
            </w:tcBorders>
            <w:gridSpan w:val="2"/>
          </w:tcPr>
          <w:p>
            <w:pPr>
              <w:ind w:left="20"/>
              <w:spacing w:after="0"/>
              <w:rPr>
                <w:sz w:val="20"/>
                <w:szCs w:val="20"/>
                <w:color w:val="auto"/>
              </w:rPr>
            </w:pPr>
            <w:r>
              <w:rPr>
                <w:rFonts w:ascii="Arial" w:cs="Arial" w:eastAsia="Arial" w:hAnsi="Arial"/>
                <w:sz w:val="13"/>
                <w:szCs w:val="13"/>
                <w:color w:val="auto"/>
              </w:rPr>
              <w:t>Le conseil d'administration détermine le début et la fin de l'exercice de la société.</w:t>
            </w:r>
          </w:p>
        </w:tc>
      </w:tr>
      <w:tr>
        <w:trPr>
          <w:trHeight w:val="153"/>
        </w:trPr>
        <w:tc>
          <w:tcPr>
            <w:tcW w:w="500" w:type="dxa"/>
            <w:vAlign w:val="bottom"/>
            <w:tcBorders>
              <w:left w:val="single" w:sz="8" w:color="auto"/>
              <w:bottom w:val="single" w:sz="8" w:color="auto"/>
            </w:tcBorders>
            <w:gridSpan w:val="2"/>
          </w:tcPr>
          <w:p>
            <w:pPr>
              <w:spacing w:after="0"/>
              <w:rPr>
                <w:sz w:val="13"/>
                <w:szCs w:val="13"/>
                <w:color w:val="auto"/>
              </w:rPr>
            </w:pPr>
          </w:p>
        </w:tc>
        <w:tc>
          <w:tcPr>
            <w:tcW w:w="5040" w:type="dxa"/>
            <w:vAlign w:val="bottom"/>
            <w:tcBorders>
              <w:bottom w:val="single" w:sz="8" w:color="auto"/>
              <w:right w:val="single" w:sz="8" w:color="auto"/>
            </w:tcBorders>
          </w:tcPr>
          <w:p>
            <w:pPr>
              <w:spacing w:after="0"/>
              <w:rPr>
                <w:sz w:val="13"/>
                <w:szCs w:val="13"/>
                <w:color w:val="auto"/>
              </w:rPr>
            </w:pPr>
          </w:p>
        </w:tc>
        <w:tc>
          <w:tcPr>
            <w:tcW w:w="240" w:type="dxa"/>
            <w:vAlign w:val="bottom"/>
            <w:tcBorders>
              <w:bottom w:val="single" w:sz="8" w:color="auto"/>
              <w:right w:val="single" w:sz="8" w:color="auto"/>
            </w:tcBorders>
          </w:tcPr>
          <w:p>
            <w:pPr>
              <w:spacing w:after="0"/>
              <w:rPr>
                <w:sz w:val="13"/>
                <w:szCs w:val="13"/>
                <w:color w:val="auto"/>
              </w:rPr>
            </w:pPr>
          </w:p>
        </w:tc>
        <w:tc>
          <w:tcPr>
            <w:tcW w:w="460" w:type="dxa"/>
            <w:vAlign w:val="bottom"/>
            <w:tcBorders>
              <w:bottom w:val="single" w:sz="8" w:color="auto"/>
            </w:tcBorders>
          </w:tcPr>
          <w:p>
            <w:pPr>
              <w:spacing w:after="0"/>
              <w:rPr>
                <w:sz w:val="13"/>
                <w:szCs w:val="13"/>
                <w:color w:val="auto"/>
              </w:rPr>
            </w:pPr>
          </w:p>
        </w:tc>
        <w:tc>
          <w:tcPr>
            <w:tcW w:w="5060" w:type="dxa"/>
            <w:vAlign w:val="bottom"/>
            <w:tcBorders>
              <w:bottom w:val="single" w:sz="8" w:color="auto"/>
              <w:right w:val="single" w:sz="8" w:color="auto"/>
            </w:tcBorders>
          </w:tcPr>
          <w:p>
            <w:pPr>
              <w:spacing w:after="0"/>
              <w:rPr>
                <w:sz w:val="13"/>
                <w:szCs w:val="13"/>
                <w:color w:val="auto"/>
              </w:rPr>
            </w:pPr>
          </w:p>
        </w:tc>
      </w:tr>
      <w:tr>
        <w:trPr>
          <w:trHeight w:val="173"/>
        </w:trPr>
        <w:tc>
          <w:tcPr>
            <w:tcW w:w="500" w:type="dxa"/>
            <w:vAlign w:val="bottom"/>
            <w:tcBorders>
              <w:left w:val="single" w:sz="8" w:color="auto"/>
            </w:tcBorders>
            <w:gridSpan w:val="2"/>
          </w:tcPr>
          <w:p>
            <w:pPr>
              <w:ind w:left="40"/>
              <w:spacing w:after="0"/>
              <w:rPr>
                <w:sz w:val="20"/>
                <w:szCs w:val="20"/>
                <w:color w:val="auto"/>
              </w:rPr>
            </w:pPr>
            <w:r>
              <w:rPr>
                <w:rFonts w:ascii="Arial" w:cs="Arial" w:eastAsia="Arial" w:hAnsi="Arial"/>
                <w:sz w:val="13"/>
                <w:szCs w:val="13"/>
                <w:b w:val="1"/>
                <w:bCs w:val="1"/>
                <w:color w:val="auto"/>
              </w:rPr>
              <w:t>Art. 43</w:t>
            </w:r>
          </w:p>
        </w:tc>
        <w:tc>
          <w:tcPr>
            <w:tcW w:w="5040" w:type="dxa"/>
            <w:vAlign w:val="bottom"/>
            <w:tcBorders>
              <w:right w:val="single" w:sz="8" w:color="auto"/>
            </w:tcBorders>
          </w:tcPr>
          <w:p>
            <w:pPr>
              <w:ind w:left="80"/>
              <w:spacing w:after="0"/>
              <w:rPr>
                <w:sz w:val="20"/>
                <w:szCs w:val="20"/>
                <w:color w:val="auto"/>
              </w:rPr>
            </w:pPr>
            <w:r>
              <w:rPr>
                <w:rFonts w:ascii="Arial" w:cs="Arial" w:eastAsia="Arial" w:hAnsi="Arial"/>
                <w:sz w:val="13"/>
                <w:szCs w:val="13"/>
                <w:b w:val="1"/>
                <w:bCs w:val="1"/>
                <w:color w:val="auto"/>
              </w:rPr>
              <w:t>Accounting</w:t>
            </w:r>
          </w:p>
        </w:tc>
        <w:tc>
          <w:tcPr>
            <w:tcW w:w="240" w:type="dxa"/>
            <w:vAlign w:val="bottom"/>
            <w:tcBorders>
              <w:right w:val="single" w:sz="8" w:color="auto"/>
            </w:tcBorders>
          </w:tcPr>
          <w:p>
            <w:pPr>
              <w:spacing w:after="0"/>
              <w:rPr>
                <w:sz w:val="15"/>
                <w:szCs w:val="15"/>
                <w:color w:val="auto"/>
              </w:rPr>
            </w:pPr>
          </w:p>
        </w:tc>
        <w:tc>
          <w:tcPr>
            <w:tcW w:w="460" w:type="dxa"/>
            <w:vAlign w:val="bottom"/>
          </w:tcPr>
          <w:p>
            <w:pPr>
              <w:ind w:left="20"/>
              <w:spacing w:after="0"/>
              <w:rPr>
                <w:sz w:val="20"/>
                <w:szCs w:val="20"/>
                <w:color w:val="auto"/>
              </w:rPr>
            </w:pPr>
            <w:r>
              <w:rPr>
                <w:rFonts w:ascii="Arial" w:cs="Arial" w:eastAsia="Arial" w:hAnsi="Arial"/>
                <w:sz w:val="13"/>
                <w:szCs w:val="13"/>
                <w:b w:val="1"/>
                <w:bCs w:val="1"/>
                <w:color w:val="auto"/>
              </w:rPr>
              <w:t>Art. 43</w:t>
            </w:r>
          </w:p>
        </w:tc>
        <w:tc>
          <w:tcPr>
            <w:tcW w:w="5060" w:type="dxa"/>
            <w:vAlign w:val="bottom"/>
            <w:tcBorders>
              <w:right w:val="single" w:sz="8" w:color="auto"/>
            </w:tcBorders>
          </w:tcPr>
          <w:p>
            <w:pPr>
              <w:ind w:left="100"/>
              <w:spacing w:after="0"/>
              <w:rPr>
                <w:sz w:val="20"/>
                <w:szCs w:val="20"/>
                <w:color w:val="auto"/>
              </w:rPr>
            </w:pPr>
            <w:r>
              <w:rPr>
                <w:rFonts w:ascii="Arial" w:cs="Arial" w:eastAsia="Arial" w:hAnsi="Arial"/>
                <w:sz w:val="13"/>
                <w:szCs w:val="13"/>
                <w:b w:val="1"/>
                <w:bCs w:val="1"/>
                <w:color w:val="auto"/>
              </w:rPr>
              <w:t>Comptabilité</w:t>
            </w:r>
          </w:p>
        </w:tc>
      </w:tr>
      <w:tr>
        <w:trPr>
          <w:trHeight w:val="258"/>
        </w:trPr>
        <w:tc>
          <w:tcPr>
            <w:tcW w:w="5540" w:type="dxa"/>
            <w:vAlign w:val="bottom"/>
            <w:tcBorders>
              <w:left w:val="single" w:sz="8" w:color="auto"/>
              <w:right w:val="single" w:sz="8" w:color="auto"/>
            </w:tcBorders>
            <w:gridSpan w:val="3"/>
          </w:tcPr>
          <w:p>
            <w:pPr>
              <w:ind w:left="40"/>
              <w:spacing w:after="0"/>
              <w:rPr>
                <w:sz w:val="20"/>
                <w:szCs w:val="20"/>
                <w:color w:val="auto"/>
              </w:rPr>
            </w:pPr>
            <w:r>
              <w:rPr>
                <w:rFonts w:ascii="Arial" w:cs="Arial" w:eastAsia="Arial" w:hAnsi="Arial"/>
                <w:sz w:val="13"/>
                <w:szCs w:val="13"/>
                <w:color w:val="auto"/>
              </w:rPr>
              <w:t>The annual accounts consist of the profit and loss statement, the balance sheet, the cash flow</w:t>
            </w:r>
          </w:p>
        </w:tc>
        <w:tc>
          <w:tcPr>
            <w:tcW w:w="240" w:type="dxa"/>
            <w:vAlign w:val="bottom"/>
            <w:tcBorders>
              <w:right w:val="single" w:sz="8" w:color="auto"/>
            </w:tcBorders>
          </w:tcPr>
          <w:p>
            <w:pPr>
              <w:spacing w:after="0"/>
              <w:rPr>
                <w:sz w:val="22"/>
                <w:szCs w:val="22"/>
                <w:color w:val="auto"/>
              </w:rPr>
            </w:pPr>
          </w:p>
        </w:tc>
        <w:tc>
          <w:tcPr>
            <w:tcW w:w="5520" w:type="dxa"/>
            <w:vAlign w:val="bottom"/>
            <w:tcBorders>
              <w:right w:val="single" w:sz="8" w:color="auto"/>
            </w:tcBorders>
            <w:gridSpan w:val="2"/>
          </w:tcPr>
          <w:p>
            <w:pPr>
              <w:ind w:left="20"/>
              <w:spacing w:after="0"/>
              <w:rPr>
                <w:sz w:val="20"/>
                <w:szCs w:val="20"/>
                <w:color w:val="auto"/>
              </w:rPr>
            </w:pPr>
            <w:r>
              <w:rPr>
                <w:rFonts w:ascii="Arial" w:cs="Arial" w:eastAsia="Arial" w:hAnsi="Arial"/>
                <w:sz w:val="13"/>
                <w:szCs w:val="13"/>
                <w:color w:val="auto"/>
              </w:rPr>
              <w:t>Les comptes annuels se composent du compte de profits et pertes, du bilan, du tableau des</w:t>
            </w:r>
          </w:p>
        </w:tc>
      </w:tr>
      <w:tr>
        <w:trPr>
          <w:trHeight w:val="145"/>
        </w:trPr>
        <w:tc>
          <w:tcPr>
            <w:tcW w:w="5540" w:type="dxa"/>
            <w:vAlign w:val="bottom"/>
            <w:tcBorders>
              <w:left w:val="single" w:sz="8" w:color="auto"/>
              <w:right w:val="single" w:sz="8" w:color="auto"/>
            </w:tcBorders>
            <w:gridSpan w:val="3"/>
          </w:tcPr>
          <w:p>
            <w:pPr>
              <w:ind w:left="40"/>
              <w:spacing w:after="0" w:line="145" w:lineRule="exact"/>
              <w:rPr>
                <w:sz w:val="20"/>
                <w:szCs w:val="20"/>
                <w:color w:val="auto"/>
              </w:rPr>
            </w:pPr>
            <w:r>
              <w:rPr>
                <w:rFonts w:ascii="Arial" w:cs="Arial" w:eastAsia="Arial" w:hAnsi="Arial"/>
                <w:sz w:val="13"/>
                <w:szCs w:val="13"/>
                <w:color w:val="auto"/>
              </w:rPr>
              <w:t>statement, the annex and the management report, and shall be drawn up pursuant to the</w:t>
            </w:r>
          </w:p>
        </w:tc>
        <w:tc>
          <w:tcPr>
            <w:tcW w:w="240" w:type="dxa"/>
            <w:vAlign w:val="bottom"/>
            <w:tcBorders>
              <w:right w:val="single" w:sz="8" w:color="auto"/>
            </w:tcBorders>
          </w:tcPr>
          <w:p>
            <w:pPr>
              <w:spacing w:after="0"/>
              <w:rPr>
                <w:sz w:val="12"/>
                <w:szCs w:val="12"/>
                <w:color w:val="auto"/>
              </w:rPr>
            </w:pPr>
          </w:p>
        </w:tc>
        <w:tc>
          <w:tcPr>
            <w:tcW w:w="5520" w:type="dxa"/>
            <w:vAlign w:val="bottom"/>
            <w:tcBorders>
              <w:right w:val="single" w:sz="8" w:color="auto"/>
            </w:tcBorders>
            <w:gridSpan w:val="2"/>
          </w:tcPr>
          <w:p>
            <w:pPr>
              <w:ind w:left="20"/>
              <w:spacing w:after="0" w:line="145" w:lineRule="exact"/>
              <w:rPr>
                <w:sz w:val="20"/>
                <w:szCs w:val="20"/>
                <w:color w:val="auto"/>
              </w:rPr>
            </w:pPr>
            <w:r>
              <w:rPr>
                <w:rFonts w:ascii="Arial" w:cs="Arial" w:eastAsia="Arial" w:hAnsi="Arial"/>
                <w:sz w:val="13"/>
                <w:szCs w:val="13"/>
                <w:color w:val="auto"/>
              </w:rPr>
              <w:t>flux de trésorerie, de l'annexe et du rapport de gestion, et sont établis conformément aux</w:t>
            </w:r>
          </w:p>
        </w:tc>
      </w:tr>
      <w:tr>
        <w:trPr>
          <w:trHeight w:val="145"/>
        </w:trPr>
        <w:tc>
          <w:tcPr>
            <w:tcW w:w="5540" w:type="dxa"/>
            <w:vAlign w:val="bottom"/>
            <w:tcBorders>
              <w:left w:val="single" w:sz="8" w:color="auto"/>
              <w:right w:val="single" w:sz="8" w:color="auto"/>
            </w:tcBorders>
            <w:gridSpan w:val="3"/>
          </w:tcPr>
          <w:p>
            <w:pPr>
              <w:ind w:left="40"/>
              <w:spacing w:after="0" w:line="145" w:lineRule="exact"/>
              <w:rPr>
                <w:sz w:val="20"/>
                <w:szCs w:val="20"/>
                <w:color w:val="auto"/>
              </w:rPr>
            </w:pPr>
            <w:r>
              <w:rPr>
                <w:rFonts w:ascii="Arial" w:cs="Arial" w:eastAsia="Arial" w:hAnsi="Arial"/>
                <w:sz w:val="13"/>
                <w:szCs w:val="13"/>
                <w:color w:val="auto"/>
              </w:rPr>
              <w:t xml:space="preserve">provisions of the CO, particularly of Articles 958 </w:t>
            </w:r>
            <w:r>
              <w:rPr>
                <w:rFonts w:ascii="Arial" w:cs="Arial" w:eastAsia="Arial" w:hAnsi="Arial"/>
                <w:sz w:val="13"/>
                <w:szCs w:val="13"/>
                <w:i w:val="1"/>
                <w:iCs w:val="1"/>
                <w:color w:val="auto"/>
              </w:rPr>
              <w:t>et seq.</w:t>
            </w:r>
            <w:r>
              <w:rPr>
                <w:rFonts w:ascii="Arial" w:cs="Arial" w:eastAsia="Arial" w:hAnsi="Arial"/>
                <w:sz w:val="13"/>
                <w:szCs w:val="13"/>
                <w:color w:val="auto"/>
              </w:rPr>
              <w:t xml:space="preserve">  CO, and the generally accepted</w:t>
            </w:r>
          </w:p>
        </w:tc>
        <w:tc>
          <w:tcPr>
            <w:tcW w:w="240" w:type="dxa"/>
            <w:vAlign w:val="bottom"/>
            <w:tcBorders>
              <w:right w:val="single" w:sz="8" w:color="auto"/>
            </w:tcBorders>
          </w:tcPr>
          <w:p>
            <w:pPr>
              <w:spacing w:after="0"/>
              <w:rPr>
                <w:sz w:val="12"/>
                <w:szCs w:val="12"/>
                <w:color w:val="auto"/>
              </w:rPr>
            </w:pPr>
          </w:p>
        </w:tc>
        <w:tc>
          <w:tcPr>
            <w:tcW w:w="5520" w:type="dxa"/>
            <w:vAlign w:val="bottom"/>
            <w:tcBorders>
              <w:right w:val="single" w:sz="8" w:color="auto"/>
            </w:tcBorders>
            <w:gridSpan w:val="2"/>
          </w:tcPr>
          <w:p>
            <w:pPr>
              <w:ind w:left="20"/>
              <w:spacing w:after="0" w:line="145" w:lineRule="exact"/>
              <w:rPr>
                <w:sz w:val="20"/>
                <w:szCs w:val="20"/>
                <w:color w:val="auto"/>
              </w:rPr>
            </w:pPr>
            <w:r>
              <w:rPr>
                <w:rFonts w:ascii="Arial" w:cs="Arial" w:eastAsia="Arial" w:hAnsi="Arial"/>
                <w:sz w:val="13"/>
                <w:szCs w:val="13"/>
                <w:color w:val="auto"/>
              </w:rPr>
              <w:t>dispositions du CO, en particulier des articles 958 ss. CO, et aux principes commerciaux</w:t>
            </w:r>
          </w:p>
        </w:tc>
      </w:tr>
      <w:tr>
        <w:trPr>
          <w:trHeight w:val="168"/>
        </w:trPr>
        <w:tc>
          <w:tcPr>
            <w:tcW w:w="5540" w:type="dxa"/>
            <w:vAlign w:val="bottom"/>
            <w:tcBorders>
              <w:left w:val="single" w:sz="8" w:color="auto"/>
              <w:right w:val="single" w:sz="8" w:color="auto"/>
            </w:tcBorders>
            <w:gridSpan w:val="3"/>
          </w:tcPr>
          <w:p>
            <w:pPr>
              <w:ind w:left="40"/>
              <w:spacing w:after="0"/>
              <w:rPr>
                <w:sz w:val="20"/>
                <w:szCs w:val="20"/>
                <w:color w:val="auto"/>
              </w:rPr>
            </w:pPr>
            <w:r>
              <w:rPr>
                <w:rFonts w:ascii="Arial" w:cs="Arial" w:eastAsia="Arial" w:hAnsi="Arial"/>
                <w:sz w:val="13"/>
                <w:szCs w:val="13"/>
                <w:color w:val="auto"/>
              </w:rPr>
              <w:t>commercial principles and customary rules in that business area.</w:t>
            </w:r>
          </w:p>
        </w:tc>
        <w:tc>
          <w:tcPr>
            <w:tcW w:w="240" w:type="dxa"/>
            <w:vAlign w:val="bottom"/>
            <w:tcBorders>
              <w:right w:val="single" w:sz="8" w:color="auto"/>
            </w:tcBorders>
          </w:tcPr>
          <w:p>
            <w:pPr>
              <w:spacing w:after="0"/>
              <w:rPr>
                <w:sz w:val="14"/>
                <w:szCs w:val="14"/>
                <w:color w:val="auto"/>
              </w:rPr>
            </w:pPr>
          </w:p>
        </w:tc>
        <w:tc>
          <w:tcPr>
            <w:tcW w:w="5520" w:type="dxa"/>
            <w:vAlign w:val="bottom"/>
            <w:tcBorders>
              <w:right w:val="single" w:sz="8" w:color="auto"/>
            </w:tcBorders>
            <w:gridSpan w:val="2"/>
          </w:tcPr>
          <w:p>
            <w:pPr>
              <w:ind w:left="20"/>
              <w:spacing w:after="0"/>
              <w:rPr>
                <w:sz w:val="20"/>
                <w:szCs w:val="20"/>
                <w:color w:val="auto"/>
              </w:rPr>
            </w:pPr>
            <w:r>
              <w:rPr>
                <w:rFonts w:ascii="Arial" w:cs="Arial" w:eastAsia="Arial" w:hAnsi="Arial"/>
                <w:sz w:val="13"/>
                <w:szCs w:val="13"/>
                <w:color w:val="auto"/>
              </w:rPr>
              <w:t>généralement reconnus et aux règles coutumières dans ce secteur d'activité.</w:t>
            </w:r>
          </w:p>
        </w:tc>
      </w:tr>
      <w:tr>
        <w:trPr>
          <w:trHeight w:val="153"/>
        </w:trPr>
        <w:tc>
          <w:tcPr>
            <w:tcW w:w="5540" w:type="dxa"/>
            <w:vAlign w:val="bottom"/>
            <w:tcBorders>
              <w:left w:val="single" w:sz="8" w:color="auto"/>
              <w:bottom w:val="single" w:sz="8" w:color="auto"/>
              <w:right w:val="single" w:sz="8" w:color="auto"/>
            </w:tcBorders>
            <w:gridSpan w:val="3"/>
          </w:tcPr>
          <w:p>
            <w:pPr>
              <w:spacing w:after="0"/>
              <w:rPr>
                <w:sz w:val="13"/>
                <w:szCs w:val="13"/>
                <w:color w:val="auto"/>
              </w:rPr>
            </w:pPr>
          </w:p>
        </w:tc>
        <w:tc>
          <w:tcPr>
            <w:tcW w:w="240" w:type="dxa"/>
            <w:vAlign w:val="bottom"/>
            <w:tcBorders>
              <w:bottom w:val="single" w:sz="8" w:color="auto"/>
              <w:right w:val="single" w:sz="8" w:color="auto"/>
            </w:tcBorders>
          </w:tcPr>
          <w:p>
            <w:pPr>
              <w:spacing w:after="0"/>
              <w:rPr>
                <w:sz w:val="13"/>
                <w:szCs w:val="13"/>
                <w:color w:val="auto"/>
              </w:rPr>
            </w:pPr>
          </w:p>
        </w:tc>
        <w:tc>
          <w:tcPr>
            <w:tcW w:w="5520" w:type="dxa"/>
            <w:vAlign w:val="bottom"/>
            <w:tcBorders>
              <w:bottom w:val="single" w:sz="8" w:color="auto"/>
              <w:right w:val="single" w:sz="8" w:color="auto"/>
            </w:tcBorders>
            <w:gridSpan w:val="2"/>
          </w:tcPr>
          <w:p>
            <w:pPr>
              <w:spacing w:after="0"/>
              <w:rPr>
                <w:sz w:val="13"/>
                <w:szCs w:val="13"/>
                <w:color w:val="auto"/>
              </w:rPr>
            </w:pPr>
          </w:p>
        </w:tc>
      </w:tr>
      <w:tr>
        <w:trPr>
          <w:trHeight w:val="141"/>
        </w:trPr>
        <w:tc>
          <w:tcPr>
            <w:tcW w:w="5540" w:type="dxa"/>
            <w:vAlign w:val="bottom"/>
            <w:tcBorders>
              <w:left w:val="single" w:sz="8" w:color="auto"/>
              <w:right w:val="single" w:sz="8" w:color="auto"/>
            </w:tcBorders>
            <w:gridSpan w:val="3"/>
          </w:tcPr>
          <w:p>
            <w:pPr>
              <w:ind w:left="40"/>
              <w:spacing w:after="0" w:line="141" w:lineRule="exact"/>
              <w:rPr>
                <w:sz w:val="20"/>
                <w:szCs w:val="20"/>
                <w:color w:val="auto"/>
              </w:rPr>
            </w:pPr>
            <w:r>
              <w:rPr>
                <w:rFonts w:ascii="Arial" w:cs="Arial" w:eastAsia="Arial" w:hAnsi="Arial"/>
                <w:sz w:val="13"/>
                <w:szCs w:val="13"/>
                <w:color w:val="auto"/>
              </w:rPr>
              <w:t>If required by law, the consolidated financial statements shall be drawn in accordance with the</w:t>
            </w:r>
          </w:p>
        </w:tc>
        <w:tc>
          <w:tcPr>
            <w:tcW w:w="240" w:type="dxa"/>
            <w:vAlign w:val="bottom"/>
            <w:tcBorders>
              <w:right w:val="single" w:sz="8" w:color="auto"/>
            </w:tcBorders>
          </w:tcPr>
          <w:p>
            <w:pPr>
              <w:spacing w:after="0"/>
              <w:rPr>
                <w:sz w:val="12"/>
                <w:szCs w:val="12"/>
                <w:color w:val="auto"/>
              </w:rPr>
            </w:pPr>
          </w:p>
        </w:tc>
        <w:tc>
          <w:tcPr>
            <w:tcW w:w="5520" w:type="dxa"/>
            <w:vAlign w:val="bottom"/>
            <w:tcBorders>
              <w:right w:val="single" w:sz="8" w:color="auto"/>
            </w:tcBorders>
            <w:gridSpan w:val="2"/>
          </w:tcPr>
          <w:p>
            <w:pPr>
              <w:ind w:left="20"/>
              <w:spacing w:after="0" w:line="141" w:lineRule="exact"/>
              <w:rPr>
                <w:sz w:val="20"/>
                <w:szCs w:val="20"/>
                <w:color w:val="auto"/>
              </w:rPr>
            </w:pPr>
            <w:r>
              <w:rPr>
                <w:rFonts w:ascii="Arial" w:cs="Arial" w:eastAsia="Arial" w:hAnsi="Arial"/>
                <w:sz w:val="13"/>
                <w:szCs w:val="13"/>
                <w:color w:val="auto"/>
              </w:rPr>
              <w:t>Si requis par la loi, les états financiers consolidés sont établis en conformité avec les</w:t>
            </w:r>
          </w:p>
        </w:tc>
      </w:tr>
      <w:tr>
        <w:trPr>
          <w:trHeight w:val="173"/>
        </w:trPr>
        <w:tc>
          <w:tcPr>
            <w:tcW w:w="5540" w:type="dxa"/>
            <w:vAlign w:val="bottom"/>
            <w:tcBorders>
              <w:left w:val="single" w:sz="8" w:color="auto"/>
              <w:bottom w:val="single" w:sz="8" w:color="auto"/>
              <w:right w:val="single" w:sz="8" w:color="auto"/>
            </w:tcBorders>
            <w:gridSpan w:val="3"/>
          </w:tcPr>
          <w:p>
            <w:pPr>
              <w:ind w:left="40"/>
              <w:spacing w:after="0"/>
              <w:rPr>
                <w:sz w:val="20"/>
                <w:szCs w:val="20"/>
                <w:color w:val="auto"/>
              </w:rPr>
            </w:pPr>
            <w:r>
              <w:rPr>
                <w:rFonts w:ascii="Arial" w:cs="Arial" w:eastAsia="Arial" w:hAnsi="Arial"/>
                <w:sz w:val="13"/>
                <w:szCs w:val="13"/>
                <w:color w:val="auto"/>
              </w:rPr>
              <w:t>provisions of Article 962 CO.</w:t>
            </w:r>
          </w:p>
        </w:tc>
        <w:tc>
          <w:tcPr>
            <w:tcW w:w="240" w:type="dxa"/>
            <w:vAlign w:val="bottom"/>
            <w:tcBorders>
              <w:bottom w:val="single" w:sz="8" w:color="auto"/>
              <w:right w:val="single" w:sz="8" w:color="auto"/>
            </w:tcBorders>
          </w:tcPr>
          <w:p>
            <w:pPr>
              <w:spacing w:after="0"/>
              <w:rPr>
                <w:sz w:val="15"/>
                <w:szCs w:val="15"/>
                <w:color w:val="auto"/>
              </w:rPr>
            </w:pPr>
          </w:p>
        </w:tc>
        <w:tc>
          <w:tcPr>
            <w:tcW w:w="5520" w:type="dxa"/>
            <w:vAlign w:val="bottom"/>
            <w:tcBorders>
              <w:bottom w:val="single" w:sz="8" w:color="auto"/>
              <w:right w:val="single" w:sz="8" w:color="auto"/>
            </w:tcBorders>
            <w:gridSpan w:val="2"/>
          </w:tcPr>
          <w:p>
            <w:pPr>
              <w:ind w:left="20"/>
              <w:spacing w:after="0"/>
              <w:rPr>
                <w:sz w:val="20"/>
                <w:szCs w:val="20"/>
                <w:color w:val="auto"/>
              </w:rPr>
            </w:pPr>
            <w:r>
              <w:rPr>
                <w:rFonts w:ascii="Arial" w:cs="Arial" w:eastAsia="Arial" w:hAnsi="Arial"/>
                <w:sz w:val="13"/>
                <w:szCs w:val="13"/>
                <w:color w:val="auto"/>
              </w:rPr>
              <w:t>dispositions de l'article 962 CO.</w:t>
            </w:r>
          </w:p>
        </w:tc>
      </w:tr>
      <w:tr>
        <w:trPr>
          <w:trHeight w:val="177"/>
        </w:trPr>
        <w:tc>
          <w:tcPr>
            <w:tcW w:w="5540" w:type="dxa"/>
            <w:vAlign w:val="bottom"/>
            <w:tcBorders>
              <w:left w:val="single" w:sz="8" w:color="auto"/>
              <w:right w:val="single" w:sz="8" w:color="auto"/>
            </w:tcBorders>
            <w:gridSpan w:val="3"/>
          </w:tcPr>
          <w:p>
            <w:pPr>
              <w:ind w:left="40"/>
              <w:spacing w:after="0"/>
              <w:rPr>
                <w:sz w:val="20"/>
                <w:szCs w:val="20"/>
                <w:color w:val="auto"/>
              </w:rPr>
            </w:pPr>
            <w:r>
              <w:rPr>
                <w:rFonts w:ascii="Arial" w:cs="Arial" w:eastAsia="Arial" w:hAnsi="Arial"/>
                <w:sz w:val="13"/>
                <w:szCs w:val="13"/>
                <w:b w:val="1"/>
                <w:bCs w:val="1"/>
                <w:color w:val="auto"/>
              </w:rPr>
              <w:t>Art. 44  Allocation of Profits</w:t>
            </w:r>
          </w:p>
        </w:tc>
        <w:tc>
          <w:tcPr>
            <w:tcW w:w="240" w:type="dxa"/>
            <w:vAlign w:val="bottom"/>
            <w:tcBorders>
              <w:right w:val="single" w:sz="8" w:color="auto"/>
            </w:tcBorders>
          </w:tcPr>
          <w:p>
            <w:pPr>
              <w:spacing w:after="0"/>
              <w:rPr>
                <w:sz w:val="15"/>
                <w:szCs w:val="15"/>
                <w:color w:val="auto"/>
              </w:rPr>
            </w:pPr>
          </w:p>
        </w:tc>
        <w:tc>
          <w:tcPr>
            <w:tcW w:w="5520" w:type="dxa"/>
            <w:vAlign w:val="bottom"/>
            <w:tcBorders>
              <w:right w:val="single" w:sz="8" w:color="auto"/>
            </w:tcBorders>
            <w:gridSpan w:val="2"/>
          </w:tcPr>
          <w:p>
            <w:pPr>
              <w:ind w:left="20"/>
              <w:spacing w:after="0"/>
              <w:rPr>
                <w:sz w:val="20"/>
                <w:szCs w:val="20"/>
                <w:color w:val="auto"/>
              </w:rPr>
            </w:pPr>
            <w:r>
              <w:rPr>
                <w:rFonts w:ascii="Arial" w:cs="Arial" w:eastAsia="Arial" w:hAnsi="Arial"/>
                <w:sz w:val="13"/>
                <w:szCs w:val="13"/>
                <w:b w:val="1"/>
                <w:bCs w:val="1"/>
                <w:color w:val="auto"/>
              </w:rPr>
              <w:t>Art. 44  Répartition des bénéfices</w:t>
            </w:r>
          </w:p>
        </w:tc>
      </w:tr>
      <w:tr>
        <w:trPr>
          <w:trHeight w:val="258"/>
        </w:trPr>
        <w:tc>
          <w:tcPr>
            <w:tcW w:w="5540" w:type="dxa"/>
            <w:vAlign w:val="bottom"/>
            <w:tcBorders>
              <w:left w:val="single" w:sz="8" w:color="auto"/>
              <w:right w:val="single" w:sz="8" w:color="auto"/>
            </w:tcBorders>
            <w:gridSpan w:val="3"/>
          </w:tcPr>
          <w:p>
            <w:pPr>
              <w:ind w:left="40"/>
              <w:spacing w:after="0"/>
              <w:rPr>
                <w:sz w:val="20"/>
                <w:szCs w:val="20"/>
                <w:color w:val="auto"/>
              </w:rPr>
            </w:pPr>
            <w:r>
              <w:rPr>
                <w:rFonts w:ascii="Arial" w:cs="Arial" w:eastAsia="Arial" w:hAnsi="Arial"/>
                <w:sz w:val="13"/>
                <w:szCs w:val="13"/>
                <w:color w:val="auto"/>
              </w:rPr>
              <w:t>Subject to the legal provisions regarding distribution of profits, the profit as shown on the</w:t>
            </w:r>
          </w:p>
        </w:tc>
        <w:tc>
          <w:tcPr>
            <w:tcW w:w="240" w:type="dxa"/>
            <w:vAlign w:val="bottom"/>
            <w:tcBorders>
              <w:right w:val="single" w:sz="8" w:color="auto"/>
            </w:tcBorders>
          </w:tcPr>
          <w:p>
            <w:pPr>
              <w:spacing w:after="0"/>
              <w:rPr>
                <w:sz w:val="22"/>
                <w:szCs w:val="22"/>
                <w:color w:val="auto"/>
              </w:rPr>
            </w:pPr>
          </w:p>
        </w:tc>
        <w:tc>
          <w:tcPr>
            <w:tcW w:w="5520" w:type="dxa"/>
            <w:vAlign w:val="bottom"/>
            <w:tcBorders>
              <w:right w:val="single" w:sz="8" w:color="auto"/>
            </w:tcBorders>
            <w:gridSpan w:val="2"/>
          </w:tcPr>
          <w:p>
            <w:pPr>
              <w:ind w:left="20"/>
              <w:spacing w:after="0"/>
              <w:rPr>
                <w:sz w:val="20"/>
                <w:szCs w:val="20"/>
                <w:color w:val="auto"/>
              </w:rPr>
            </w:pPr>
            <w:r>
              <w:rPr>
                <w:rFonts w:ascii="Arial" w:cs="Arial" w:eastAsia="Arial" w:hAnsi="Arial"/>
                <w:sz w:val="13"/>
                <w:szCs w:val="13"/>
                <w:color w:val="auto"/>
              </w:rPr>
              <w:t>Sous réserve des dispositions légales en matière de répartition des bénéfices, le bénéfice</w:t>
            </w:r>
          </w:p>
        </w:tc>
      </w:tr>
      <w:tr>
        <w:trPr>
          <w:trHeight w:val="145"/>
        </w:trPr>
        <w:tc>
          <w:tcPr>
            <w:tcW w:w="5540" w:type="dxa"/>
            <w:vAlign w:val="bottom"/>
            <w:tcBorders>
              <w:left w:val="single" w:sz="8" w:color="auto"/>
              <w:right w:val="single" w:sz="8" w:color="auto"/>
            </w:tcBorders>
            <w:gridSpan w:val="3"/>
          </w:tcPr>
          <w:p>
            <w:pPr>
              <w:ind w:left="40"/>
              <w:spacing w:after="0" w:line="145" w:lineRule="exact"/>
              <w:rPr>
                <w:sz w:val="20"/>
                <w:szCs w:val="20"/>
                <w:color w:val="auto"/>
              </w:rPr>
            </w:pPr>
            <w:r>
              <w:rPr>
                <w:rFonts w:ascii="Arial" w:cs="Arial" w:eastAsia="Arial" w:hAnsi="Arial"/>
                <w:sz w:val="13"/>
                <w:szCs w:val="13"/>
                <w:color w:val="auto"/>
              </w:rPr>
              <w:t>balance sheet shall be allocated by the General Meeting at its discretion after receipt of the</w:t>
            </w:r>
          </w:p>
        </w:tc>
        <w:tc>
          <w:tcPr>
            <w:tcW w:w="240" w:type="dxa"/>
            <w:vAlign w:val="bottom"/>
            <w:tcBorders>
              <w:right w:val="single" w:sz="8" w:color="auto"/>
            </w:tcBorders>
          </w:tcPr>
          <w:p>
            <w:pPr>
              <w:spacing w:after="0"/>
              <w:rPr>
                <w:sz w:val="12"/>
                <w:szCs w:val="12"/>
                <w:color w:val="auto"/>
              </w:rPr>
            </w:pPr>
          </w:p>
        </w:tc>
        <w:tc>
          <w:tcPr>
            <w:tcW w:w="5520" w:type="dxa"/>
            <w:vAlign w:val="bottom"/>
            <w:tcBorders>
              <w:right w:val="single" w:sz="8" w:color="auto"/>
            </w:tcBorders>
            <w:gridSpan w:val="2"/>
          </w:tcPr>
          <w:p>
            <w:pPr>
              <w:ind w:left="20"/>
              <w:spacing w:after="0" w:line="145" w:lineRule="exact"/>
              <w:rPr>
                <w:sz w:val="20"/>
                <w:szCs w:val="20"/>
                <w:color w:val="auto"/>
              </w:rPr>
            </w:pPr>
            <w:r>
              <w:rPr>
                <w:rFonts w:ascii="Arial" w:cs="Arial" w:eastAsia="Arial" w:hAnsi="Arial"/>
                <w:sz w:val="13"/>
                <w:szCs w:val="13"/>
                <w:color w:val="auto"/>
                <w:w w:val="99"/>
              </w:rPr>
              <w:t>comme indiqué sur le bilan doit être alloué à la libre appréciation de l'assemblée générale après</w:t>
            </w:r>
          </w:p>
        </w:tc>
      </w:tr>
      <w:tr>
        <w:trPr>
          <w:trHeight w:val="168"/>
        </w:trPr>
        <w:tc>
          <w:tcPr>
            <w:tcW w:w="5540" w:type="dxa"/>
            <w:vAlign w:val="bottom"/>
            <w:tcBorders>
              <w:left w:val="single" w:sz="8" w:color="auto"/>
              <w:right w:val="single" w:sz="8" w:color="auto"/>
            </w:tcBorders>
            <w:gridSpan w:val="3"/>
          </w:tcPr>
          <w:p>
            <w:pPr>
              <w:ind w:left="40"/>
              <w:spacing w:after="0"/>
              <w:rPr>
                <w:sz w:val="20"/>
                <w:szCs w:val="20"/>
                <w:color w:val="auto"/>
              </w:rPr>
            </w:pPr>
            <w:r>
              <w:rPr>
                <w:rFonts w:ascii="Arial" w:cs="Arial" w:eastAsia="Arial" w:hAnsi="Arial"/>
                <w:sz w:val="13"/>
                <w:szCs w:val="13"/>
                <w:color w:val="auto"/>
              </w:rPr>
              <w:t>proposals of the Board of Directors and the Auditors.</w:t>
            </w:r>
          </w:p>
        </w:tc>
        <w:tc>
          <w:tcPr>
            <w:tcW w:w="240" w:type="dxa"/>
            <w:vAlign w:val="bottom"/>
            <w:tcBorders>
              <w:right w:val="single" w:sz="8" w:color="auto"/>
            </w:tcBorders>
          </w:tcPr>
          <w:p>
            <w:pPr>
              <w:spacing w:after="0"/>
              <w:rPr>
                <w:sz w:val="14"/>
                <w:szCs w:val="14"/>
                <w:color w:val="auto"/>
              </w:rPr>
            </w:pPr>
          </w:p>
        </w:tc>
        <w:tc>
          <w:tcPr>
            <w:tcW w:w="5520" w:type="dxa"/>
            <w:vAlign w:val="bottom"/>
            <w:tcBorders>
              <w:right w:val="single" w:sz="8" w:color="auto"/>
            </w:tcBorders>
            <w:gridSpan w:val="2"/>
          </w:tcPr>
          <w:p>
            <w:pPr>
              <w:ind w:left="20"/>
              <w:spacing w:after="0"/>
              <w:rPr>
                <w:sz w:val="20"/>
                <w:szCs w:val="20"/>
                <w:color w:val="auto"/>
              </w:rPr>
            </w:pPr>
            <w:r>
              <w:rPr>
                <w:rFonts w:ascii="Arial" w:cs="Arial" w:eastAsia="Arial" w:hAnsi="Arial"/>
                <w:sz w:val="13"/>
                <w:szCs w:val="13"/>
                <w:color w:val="auto"/>
              </w:rPr>
              <w:t>réception des propositions du conseil d'administration et de l'organe de</w:t>
            </w:r>
          </w:p>
        </w:tc>
      </w:tr>
      <w:tr>
        <w:trPr>
          <w:trHeight w:val="153"/>
        </w:trPr>
        <w:tc>
          <w:tcPr>
            <w:tcW w:w="320" w:type="dxa"/>
            <w:vAlign w:val="bottom"/>
            <w:tcBorders>
              <w:left w:val="single" w:sz="8" w:color="auto"/>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5040" w:type="dxa"/>
            <w:vAlign w:val="bottom"/>
            <w:tcBorders>
              <w:bottom w:val="single" w:sz="8" w:color="auto"/>
              <w:right w:val="single" w:sz="8" w:color="auto"/>
            </w:tcBorders>
          </w:tcPr>
          <w:p>
            <w:pPr>
              <w:spacing w:after="0"/>
              <w:rPr>
                <w:sz w:val="13"/>
                <w:szCs w:val="13"/>
                <w:color w:val="auto"/>
              </w:rPr>
            </w:pPr>
          </w:p>
        </w:tc>
        <w:tc>
          <w:tcPr>
            <w:tcW w:w="240" w:type="dxa"/>
            <w:vAlign w:val="bottom"/>
            <w:tcBorders>
              <w:bottom w:val="single" w:sz="8" w:color="auto"/>
              <w:right w:val="single" w:sz="8" w:color="auto"/>
            </w:tcBorders>
          </w:tcPr>
          <w:p>
            <w:pPr>
              <w:spacing w:after="0"/>
              <w:rPr>
                <w:sz w:val="13"/>
                <w:szCs w:val="13"/>
                <w:color w:val="auto"/>
              </w:rPr>
            </w:pPr>
          </w:p>
        </w:tc>
        <w:tc>
          <w:tcPr>
            <w:tcW w:w="460" w:type="dxa"/>
            <w:vAlign w:val="bottom"/>
            <w:tcBorders>
              <w:bottom w:val="single" w:sz="8" w:color="auto"/>
            </w:tcBorders>
          </w:tcPr>
          <w:p>
            <w:pPr>
              <w:spacing w:after="0"/>
              <w:rPr>
                <w:sz w:val="13"/>
                <w:szCs w:val="13"/>
                <w:color w:val="auto"/>
              </w:rPr>
            </w:pPr>
          </w:p>
        </w:tc>
        <w:tc>
          <w:tcPr>
            <w:tcW w:w="5060" w:type="dxa"/>
            <w:vAlign w:val="bottom"/>
            <w:tcBorders>
              <w:bottom w:val="single" w:sz="8" w:color="auto"/>
              <w:right w:val="single" w:sz="8" w:color="auto"/>
            </w:tcBorders>
          </w:tcPr>
          <w:p>
            <w:pPr>
              <w:spacing w:after="0"/>
              <w:rPr>
                <w:sz w:val="13"/>
                <w:szCs w:val="13"/>
                <w:color w:val="auto"/>
              </w:rPr>
            </w:pPr>
          </w:p>
        </w:tc>
      </w:tr>
    </w:tbl>
    <w:p>
      <w:pPr>
        <w:spacing w:after="0" w:line="59"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5"/>
          <w:szCs w:val="15"/>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12700</wp:posOffset>
            </wp:positionV>
            <wp:extent cx="7171690" cy="635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71690" cy="6350"/>
                    </a:xfrm>
                    <a:prstGeom prst="rect">
                      <a:avLst/>
                    </a:prstGeom>
                    <a:noFill/>
                  </pic:spPr>
                </pic:pic>
              </a:graphicData>
            </a:graphic>
          </wp:anchor>
        </w:drawing>
      </w:r>
    </w:p>
    <w:p>
      <w:pPr>
        <w:sectPr>
          <w:pgSz w:w="11900" w:h="16838" w:orient="portrait"/>
          <w:cols w:equalWidth="0" w:num="1">
            <w:col w:w="11300"/>
          </w:cols>
          <w:pgMar w:left="300" w:top="448" w:right="299" w:bottom="1440" w:gutter="0" w:footer="0" w:header="0"/>
        </w:sectPr>
      </w:pPr>
    </w:p>
    <w:bookmarkStart w:id="90" w:name="page91"/>
    <w:bookmarkEnd w:id="90"/>
    <w:tbl>
      <w:tblPr>
        <w:tblLayout w:type="fixed"/>
        <w:tblInd w:w="10" w:type="dxa"/>
        <w:tblCellMar>
          <w:top w:w="0" w:type="dxa"/>
          <w:left w:w="0" w:type="dxa"/>
          <w:bottom w:w="0" w:type="dxa"/>
          <w:right w:w="0" w:type="dxa"/>
        </w:tblCellMar>
      </w:tblPr>
      <w:tr>
        <w:trPr>
          <w:trHeight w:val="189"/>
        </w:trPr>
        <w:tc>
          <w:tcPr>
            <w:tcW w:w="240" w:type="dxa"/>
            <w:vAlign w:val="bottom"/>
            <w:tcBorders>
              <w:top w:val="single" w:sz="8" w:color="auto"/>
              <w:left w:val="single" w:sz="8" w:color="auto"/>
              <w:bottom w:val="single" w:sz="8" w:color="auto"/>
            </w:tcBorders>
          </w:tcPr>
          <w:p>
            <w:pPr>
              <w:spacing w:after="0"/>
              <w:rPr>
                <w:sz w:val="16"/>
                <w:szCs w:val="16"/>
                <w:color w:val="auto"/>
              </w:rPr>
            </w:pPr>
          </w:p>
        </w:tc>
        <w:tc>
          <w:tcPr>
            <w:tcW w:w="5300" w:type="dxa"/>
            <w:vAlign w:val="bottom"/>
            <w:tcBorders>
              <w:top w:val="single" w:sz="8" w:color="auto"/>
              <w:bottom w:val="single" w:sz="8" w:color="auto"/>
              <w:right w:val="single" w:sz="8" w:color="auto"/>
            </w:tcBorders>
          </w:tcPr>
          <w:p>
            <w:pPr>
              <w:spacing w:after="0"/>
              <w:rPr>
                <w:sz w:val="16"/>
                <w:szCs w:val="16"/>
                <w:color w:val="auto"/>
              </w:rPr>
            </w:pPr>
          </w:p>
        </w:tc>
        <w:tc>
          <w:tcPr>
            <w:tcW w:w="240" w:type="dxa"/>
            <w:vAlign w:val="bottom"/>
            <w:tcBorders>
              <w:top w:val="single" w:sz="8" w:color="auto"/>
              <w:bottom w:val="single" w:sz="8" w:color="auto"/>
              <w:right w:val="single" w:sz="8" w:color="auto"/>
            </w:tcBorders>
          </w:tcPr>
          <w:p>
            <w:pPr>
              <w:spacing w:after="0"/>
              <w:rPr>
                <w:sz w:val="16"/>
                <w:szCs w:val="16"/>
                <w:color w:val="auto"/>
              </w:rPr>
            </w:pPr>
          </w:p>
        </w:tc>
        <w:tc>
          <w:tcPr>
            <w:tcW w:w="5520" w:type="dxa"/>
            <w:vAlign w:val="bottom"/>
            <w:tcBorders>
              <w:top w:val="single" w:sz="8" w:color="auto"/>
              <w:bottom w:val="single" w:sz="8" w:color="auto"/>
              <w:right w:val="single" w:sz="8" w:color="auto"/>
            </w:tcBorders>
            <w:gridSpan w:val="2"/>
          </w:tcPr>
          <w:p>
            <w:pPr>
              <w:ind w:left="20"/>
              <w:spacing w:after="0"/>
              <w:rPr>
                <w:sz w:val="20"/>
                <w:szCs w:val="20"/>
                <w:color w:val="auto"/>
              </w:rPr>
            </w:pPr>
            <w:r>
              <w:rPr>
                <w:rFonts w:ascii="Arial" w:cs="Arial" w:eastAsia="Arial" w:hAnsi="Arial"/>
                <w:sz w:val="13"/>
                <w:szCs w:val="13"/>
                <w:color w:val="auto"/>
              </w:rPr>
              <w:t>révision.</w:t>
            </w:r>
          </w:p>
        </w:tc>
        <w:tc>
          <w:tcPr>
            <w:tcW w:w="0" w:type="dxa"/>
            <w:vAlign w:val="bottom"/>
          </w:tcPr>
          <w:p>
            <w:pPr>
              <w:spacing w:after="0"/>
              <w:rPr>
                <w:sz w:val="1"/>
                <w:szCs w:val="1"/>
                <w:color w:val="auto"/>
              </w:rPr>
            </w:pPr>
          </w:p>
        </w:tc>
      </w:tr>
      <w:tr>
        <w:trPr>
          <w:trHeight w:val="173"/>
        </w:trPr>
        <w:tc>
          <w:tcPr>
            <w:tcW w:w="5540" w:type="dxa"/>
            <w:vAlign w:val="bottom"/>
            <w:tcBorders>
              <w:left w:val="single" w:sz="8" w:color="auto"/>
              <w:bottom w:val="single" w:sz="8" w:color="auto"/>
              <w:right w:val="single" w:sz="8" w:color="auto"/>
            </w:tcBorders>
            <w:gridSpan w:val="2"/>
          </w:tcPr>
          <w:p>
            <w:pPr>
              <w:ind w:left="40"/>
              <w:spacing w:after="0"/>
              <w:rPr>
                <w:sz w:val="20"/>
                <w:szCs w:val="20"/>
                <w:color w:val="auto"/>
              </w:rPr>
            </w:pPr>
            <w:r>
              <w:rPr>
                <w:rFonts w:ascii="Arial" w:cs="Arial" w:eastAsia="Arial" w:hAnsi="Arial"/>
                <w:sz w:val="13"/>
                <w:szCs w:val="13"/>
                <w:color w:val="auto"/>
              </w:rPr>
              <w:t>In addition to the legal reserves, the General Meeting may create supplemental reserves.</w:t>
            </w:r>
          </w:p>
        </w:tc>
        <w:tc>
          <w:tcPr>
            <w:tcW w:w="240" w:type="dxa"/>
            <w:vAlign w:val="bottom"/>
            <w:tcBorders>
              <w:bottom w:val="single" w:sz="8" w:color="auto"/>
              <w:right w:val="single" w:sz="8" w:color="auto"/>
            </w:tcBorders>
          </w:tcPr>
          <w:p>
            <w:pPr>
              <w:spacing w:after="0"/>
              <w:rPr>
                <w:sz w:val="15"/>
                <w:szCs w:val="15"/>
                <w:color w:val="auto"/>
              </w:rPr>
            </w:pPr>
          </w:p>
        </w:tc>
        <w:tc>
          <w:tcPr>
            <w:tcW w:w="5520" w:type="dxa"/>
            <w:vAlign w:val="bottom"/>
            <w:tcBorders>
              <w:bottom w:val="single" w:sz="8" w:color="auto"/>
              <w:right w:val="single" w:sz="8" w:color="auto"/>
            </w:tcBorders>
            <w:gridSpan w:val="2"/>
          </w:tcPr>
          <w:p>
            <w:pPr>
              <w:ind w:left="20"/>
              <w:spacing w:after="0"/>
              <w:rPr>
                <w:sz w:val="20"/>
                <w:szCs w:val="20"/>
                <w:color w:val="auto"/>
              </w:rPr>
            </w:pPr>
            <w:r>
              <w:rPr>
                <w:rFonts w:ascii="Arial" w:cs="Arial" w:eastAsia="Arial" w:hAnsi="Arial"/>
                <w:sz w:val="13"/>
                <w:szCs w:val="13"/>
                <w:color w:val="auto"/>
              </w:rPr>
              <w:t>En plus des réserves légales, l'assemblée générale peut créer des réserves supplémentaires.</w:t>
            </w:r>
          </w:p>
        </w:tc>
        <w:tc>
          <w:tcPr>
            <w:tcW w:w="0" w:type="dxa"/>
            <w:vAlign w:val="bottom"/>
          </w:tcPr>
          <w:p>
            <w:pPr>
              <w:spacing w:after="0"/>
              <w:rPr>
                <w:sz w:val="1"/>
                <w:szCs w:val="1"/>
                <w:color w:val="auto"/>
              </w:rPr>
            </w:pPr>
          </w:p>
        </w:tc>
      </w:tr>
      <w:tr>
        <w:trPr>
          <w:trHeight w:val="145"/>
        </w:trPr>
        <w:tc>
          <w:tcPr>
            <w:tcW w:w="5540" w:type="dxa"/>
            <w:vAlign w:val="bottom"/>
            <w:tcBorders>
              <w:left w:val="single" w:sz="8" w:color="auto"/>
              <w:right w:val="single" w:sz="8" w:color="auto"/>
            </w:tcBorders>
            <w:gridSpan w:val="2"/>
          </w:tcPr>
          <w:p>
            <w:pPr>
              <w:ind w:left="40"/>
              <w:spacing w:after="0" w:line="146" w:lineRule="exact"/>
              <w:rPr>
                <w:sz w:val="20"/>
                <w:szCs w:val="20"/>
                <w:color w:val="auto"/>
              </w:rPr>
            </w:pPr>
            <w:r>
              <w:rPr>
                <w:rFonts w:ascii="Arial" w:cs="Arial" w:eastAsia="Arial" w:hAnsi="Arial"/>
                <w:sz w:val="13"/>
                <w:szCs w:val="13"/>
                <w:color w:val="auto"/>
              </w:rPr>
              <w:t>Dividends not claimed within five years after the due date shall remain with the Company and</w:t>
            </w:r>
          </w:p>
        </w:tc>
        <w:tc>
          <w:tcPr>
            <w:tcW w:w="240" w:type="dxa"/>
            <w:vAlign w:val="bottom"/>
            <w:tcBorders>
              <w:right w:val="single" w:sz="8" w:color="auto"/>
            </w:tcBorders>
          </w:tcPr>
          <w:p>
            <w:pPr>
              <w:spacing w:after="0"/>
              <w:rPr>
                <w:sz w:val="12"/>
                <w:szCs w:val="12"/>
                <w:color w:val="auto"/>
              </w:rPr>
            </w:pPr>
          </w:p>
        </w:tc>
        <w:tc>
          <w:tcPr>
            <w:tcW w:w="5520" w:type="dxa"/>
            <w:vAlign w:val="bottom"/>
            <w:tcBorders>
              <w:right w:val="single" w:sz="8" w:color="auto"/>
            </w:tcBorders>
            <w:gridSpan w:val="2"/>
          </w:tcPr>
          <w:p>
            <w:pPr>
              <w:ind w:left="20"/>
              <w:spacing w:after="0" w:line="146" w:lineRule="exact"/>
              <w:rPr>
                <w:sz w:val="20"/>
                <w:szCs w:val="20"/>
                <w:color w:val="auto"/>
              </w:rPr>
            </w:pPr>
            <w:r>
              <w:rPr>
                <w:rFonts w:ascii="Arial" w:cs="Arial" w:eastAsia="Arial" w:hAnsi="Arial"/>
                <w:sz w:val="13"/>
                <w:szCs w:val="13"/>
                <w:color w:val="auto"/>
              </w:rPr>
              <w:t>Les dividendes non réclamés dans les cinq ans après la date d'échéance restent avec la</w:t>
            </w:r>
          </w:p>
        </w:tc>
        <w:tc>
          <w:tcPr>
            <w:tcW w:w="0" w:type="dxa"/>
            <w:vAlign w:val="bottom"/>
          </w:tcPr>
          <w:p>
            <w:pPr>
              <w:spacing w:after="0"/>
              <w:rPr>
                <w:sz w:val="1"/>
                <w:szCs w:val="1"/>
                <w:color w:val="auto"/>
              </w:rPr>
            </w:pPr>
          </w:p>
        </w:tc>
      </w:tr>
      <w:tr>
        <w:trPr>
          <w:trHeight w:val="173"/>
        </w:trPr>
        <w:tc>
          <w:tcPr>
            <w:tcW w:w="5540" w:type="dxa"/>
            <w:vAlign w:val="bottom"/>
            <w:tcBorders>
              <w:left w:val="single" w:sz="8" w:color="auto"/>
              <w:bottom w:val="single" w:sz="8" w:color="auto"/>
              <w:right w:val="single" w:sz="8" w:color="auto"/>
            </w:tcBorders>
            <w:gridSpan w:val="2"/>
          </w:tcPr>
          <w:p>
            <w:pPr>
              <w:ind w:left="40"/>
              <w:spacing w:after="0"/>
              <w:rPr>
                <w:sz w:val="20"/>
                <w:szCs w:val="20"/>
                <w:color w:val="auto"/>
              </w:rPr>
            </w:pPr>
            <w:r>
              <w:rPr>
                <w:rFonts w:ascii="Arial" w:cs="Arial" w:eastAsia="Arial" w:hAnsi="Arial"/>
                <w:sz w:val="13"/>
                <w:szCs w:val="13"/>
                <w:color w:val="auto"/>
              </w:rPr>
              <w:t>be allocated to the general reserves.</w:t>
            </w:r>
          </w:p>
        </w:tc>
        <w:tc>
          <w:tcPr>
            <w:tcW w:w="240" w:type="dxa"/>
            <w:vAlign w:val="bottom"/>
            <w:tcBorders>
              <w:bottom w:val="single" w:sz="8" w:color="auto"/>
              <w:right w:val="single" w:sz="8" w:color="auto"/>
            </w:tcBorders>
          </w:tcPr>
          <w:p>
            <w:pPr>
              <w:spacing w:after="0"/>
              <w:rPr>
                <w:sz w:val="15"/>
                <w:szCs w:val="15"/>
                <w:color w:val="auto"/>
              </w:rPr>
            </w:pPr>
          </w:p>
        </w:tc>
        <w:tc>
          <w:tcPr>
            <w:tcW w:w="5520" w:type="dxa"/>
            <w:vAlign w:val="bottom"/>
            <w:tcBorders>
              <w:bottom w:val="single" w:sz="8" w:color="auto"/>
              <w:right w:val="single" w:sz="8" w:color="auto"/>
            </w:tcBorders>
            <w:gridSpan w:val="2"/>
          </w:tcPr>
          <w:p>
            <w:pPr>
              <w:ind w:left="20"/>
              <w:spacing w:after="0"/>
              <w:rPr>
                <w:sz w:val="20"/>
                <w:szCs w:val="20"/>
                <w:color w:val="auto"/>
              </w:rPr>
            </w:pPr>
            <w:r>
              <w:rPr>
                <w:rFonts w:ascii="Arial" w:cs="Arial" w:eastAsia="Arial" w:hAnsi="Arial"/>
                <w:sz w:val="13"/>
                <w:szCs w:val="13"/>
                <w:color w:val="auto"/>
              </w:rPr>
              <w:t>société et sont attribués aux réserves générales.</w:t>
            </w:r>
          </w:p>
        </w:tc>
        <w:tc>
          <w:tcPr>
            <w:tcW w:w="0" w:type="dxa"/>
            <w:vAlign w:val="bottom"/>
          </w:tcPr>
          <w:p>
            <w:pPr>
              <w:spacing w:after="0"/>
              <w:rPr>
                <w:sz w:val="1"/>
                <w:szCs w:val="1"/>
                <w:color w:val="auto"/>
              </w:rPr>
            </w:pPr>
          </w:p>
        </w:tc>
      </w:tr>
      <w:tr>
        <w:trPr>
          <w:trHeight w:val="177"/>
        </w:trPr>
        <w:tc>
          <w:tcPr>
            <w:tcW w:w="240" w:type="dxa"/>
            <w:vAlign w:val="bottom"/>
            <w:tcBorders>
              <w:left w:val="single" w:sz="8" w:color="auto"/>
              <w:bottom w:val="single" w:sz="8" w:color="auto"/>
            </w:tcBorders>
          </w:tcPr>
          <w:p>
            <w:pPr>
              <w:ind w:left="40"/>
              <w:spacing w:after="0"/>
              <w:rPr>
                <w:sz w:val="20"/>
                <w:szCs w:val="20"/>
                <w:color w:val="auto"/>
              </w:rPr>
            </w:pPr>
            <w:r>
              <w:rPr>
                <w:rFonts w:ascii="Arial" w:cs="Arial" w:eastAsia="Arial" w:hAnsi="Arial"/>
                <w:sz w:val="13"/>
                <w:szCs w:val="13"/>
                <w:b w:val="1"/>
                <w:bCs w:val="1"/>
                <w:color w:val="auto"/>
              </w:rPr>
              <w:t>IX.</w:t>
            </w:r>
          </w:p>
        </w:tc>
        <w:tc>
          <w:tcPr>
            <w:tcW w:w="530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3"/>
                <w:szCs w:val="13"/>
                <w:b w:val="1"/>
                <w:bCs w:val="1"/>
                <w:color w:val="auto"/>
              </w:rPr>
              <w:t>DISSOLUTION AND LIQUIDATION</w:t>
            </w:r>
          </w:p>
        </w:tc>
        <w:tc>
          <w:tcPr>
            <w:tcW w:w="240" w:type="dxa"/>
            <w:vAlign w:val="bottom"/>
            <w:tcBorders>
              <w:bottom w:val="single" w:sz="8" w:color="auto"/>
              <w:right w:val="single" w:sz="8" w:color="auto"/>
            </w:tcBorders>
          </w:tcPr>
          <w:p>
            <w:pPr>
              <w:spacing w:after="0"/>
              <w:rPr>
                <w:sz w:val="15"/>
                <w:szCs w:val="15"/>
                <w:color w:val="auto"/>
              </w:rPr>
            </w:pPr>
          </w:p>
        </w:tc>
        <w:tc>
          <w:tcPr>
            <w:tcW w:w="220" w:type="dxa"/>
            <w:vAlign w:val="bottom"/>
            <w:tcBorders>
              <w:bottom w:val="single" w:sz="8" w:color="auto"/>
            </w:tcBorders>
          </w:tcPr>
          <w:p>
            <w:pPr>
              <w:ind w:left="20"/>
              <w:spacing w:after="0"/>
              <w:rPr>
                <w:sz w:val="20"/>
                <w:szCs w:val="20"/>
                <w:color w:val="auto"/>
              </w:rPr>
            </w:pPr>
            <w:r>
              <w:rPr>
                <w:rFonts w:ascii="Arial" w:cs="Arial" w:eastAsia="Arial" w:hAnsi="Arial"/>
                <w:sz w:val="13"/>
                <w:szCs w:val="13"/>
                <w:b w:val="1"/>
                <w:bCs w:val="1"/>
                <w:color w:val="auto"/>
              </w:rPr>
              <w:t>IX.</w:t>
            </w:r>
          </w:p>
        </w:tc>
        <w:tc>
          <w:tcPr>
            <w:tcW w:w="530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3"/>
                <w:szCs w:val="13"/>
                <w:b w:val="1"/>
                <w:bCs w:val="1"/>
                <w:color w:val="auto"/>
              </w:rPr>
              <w:t>DISSOLUTION ET LIQUIDATION</w:t>
            </w:r>
          </w:p>
        </w:tc>
        <w:tc>
          <w:tcPr>
            <w:tcW w:w="0" w:type="dxa"/>
            <w:vAlign w:val="bottom"/>
          </w:tcPr>
          <w:p>
            <w:pPr>
              <w:spacing w:after="0"/>
              <w:rPr>
                <w:sz w:val="1"/>
                <w:szCs w:val="1"/>
                <w:color w:val="auto"/>
              </w:rPr>
            </w:pPr>
          </w:p>
        </w:tc>
      </w:tr>
      <w:tr>
        <w:trPr>
          <w:trHeight w:val="173"/>
        </w:trPr>
        <w:tc>
          <w:tcPr>
            <w:tcW w:w="5540" w:type="dxa"/>
            <w:vAlign w:val="bottom"/>
            <w:tcBorders>
              <w:left w:val="single" w:sz="8" w:color="auto"/>
              <w:right w:val="single" w:sz="8" w:color="auto"/>
            </w:tcBorders>
            <w:gridSpan w:val="2"/>
          </w:tcPr>
          <w:p>
            <w:pPr>
              <w:ind w:left="40"/>
              <w:spacing w:after="0"/>
              <w:rPr>
                <w:sz w:val="20"/>
                <w:szCs w:val="20"/>
                <w:color w:val="auto"/>
              </w:rPr>
            </w:pPr>
            <w:r>
              <w:rPr>
                <w:rFonts w:ascii="Arial" w:cs="Arial" w:eastAsia="Arial" w:hAnsi="Arial"/>
                <w:sz w:val="13"/>
                <w:szCs w:val="13"/>
                <w:b w:val="1"/>
                <w:bCs w:val="1"/>
                <w:color w:val="auto"/>
              </w:rPr>
              <w:t>Art. 45  Dissolution and Liquidation</w:t>
            </w:r>
          </w:p>
        </w:tc>
        <w:tc>
          <w:tcPr>
            <w:tcW w:w="240" w:type="dxa"/>
            <w:vAlign w:val="bottom"/>
            <w:tcBorders>
              <w:right w:val="single" w:sz="8" w:color="auto"/>
            </w:tcBorders>
          </w:tcPr>
          <w:p>
            <w:pPr>
              <w:spacing w:after="0"/>
              <w:rPr>
                <w:sz w:val="15"/>
                <w:szCs w:val="15"/>
                <w:color w:val="auto"/>
              </w:rPr>
            </w:pPr>
          </w:p>
        </w:tc>
        <w:tc>
          <w:tcPr>
            <w:tcW w:w="5520" w:type="dxa"/>
            <w:vAlign w:val="bottom"/>
            <w:tcBorders>
              <w:right w:val="single" w:sz="8" w:color="auto"/>
            </w:tcBorders>
            <w:gridSpan w:val="2"/>
          </w:tcPr>
          <w:p>
            <w:pPr>
              <w:ind w:left="20"/>
              <w:spacing w:after="0"/>
              <w:rPr>
                <w:sz w:val="20"/>
                <w:szCs w:val="20"/>
                <w:color w:val="auto"/>
              </w:rPr>
            </w:pPr>
            <w:r>
              <w:rPr>
                <w:rFonts w:ascii="Arial" w:cs="Arial" w:eastAsia="Arial" w:hAnsi="Arial"/>
                <w:sz w:val="13"/>
                <w:szCs w:val="13"/>
                <w:b w:val="1"/>
                <w:bCs w:val="1"/>
                <w:color w:val="auto"/>
              </w:rPr>
              <w:t>Art. 45  Dissolution et Liquidation</w:t>
            </w:r>
          </w:p>
        </w:tc>
        <w:tc>
          <w:tcPr>
            <w:tcW w:w="0" w:type="dxa"/>
            <w:vAlign w:val="bottom"/>
          </w:tcPr>
          <w:p>
            <w:pPr>
              <w:spacing w:after="0"/>
              <w:rPr>
                <w:sz w:val="1"/>
                <w:szCs w:val="1"/>
                <w:color w:val="auto"/>
              </w:rPr>
            </w:pPr>
          </w:p>
        </w:tc>
      </w:tr>
      <w:tr>
        <w:trPr>
          <w:trHeight w:val="258"/>
        </w:trPr>
        <w:tc>
          <w:tcPr>
            <w:tcW w:w="5540" w:type="dxa"/>
            <w:vAlign w:val="bottom"/>
            <w:tcBorders>
              <w:left w:val="single" w:sz="8" w:color="auto"/>
              <w:right w:val="single" w:sz="8" w:color="auto"/>
            </w:tcBorders>
            <w:gridSpan w:val="2"/>
          </w:tcPr>
          <w:p>
            <w:pPr>
              <w:ind w:left="40"/>
              <w:spacing w:after="0"/>
              <w:rPr>
                <w:sz w:val="20"/>
                <w:szCs w:val="20"/>
                <w:color w:val="auto"/>
              </w:rPr>
            </w:pPr>
            <w:r>
              <w:rPr>
                <w:rFonts w:ascii="Arial" w:cs="Arial" w:eastAsia="Arial" w:hAnsi="Arial"/>
                <w:sz w:val="13"/>
                <w:szCs w:val="13"/>
                <w:color w:val="auto"/>
              </w:rPr>
              <w:t>The dissolution and liquidation of the Company shall take place in accordance with the</w:t>
            </w:r>
          </w:p>
        </w:tc>
        <w:tc>
          <w:tcPr>
            <w:tcW w:w="240" w:type="dxa"/>
            <w:vAlign w:val="bottom"/>
            <w:tcBorders>
              <w:right w:val="single" w:sz="8" w:color="auto"/>
            </w:tcBorders>
          </w:tcPr>
          <w:p>
            <w:pPr>
              <w:spacing w:after="0"/>
              <w:rPr>
                <w:sz w:val="22"/>
                <w:szCs w:val="22"/>
                <w:color w:val="auto"/>
              </w:rPr>
            </w:pPr>
          </w:p>
        </w:tc>
        <w:tc>
          <w:tcPr>
            <w:tcW w:w="5520" w:type="dxa"/>
            <w:vAlign w:val="bottom"/>
            <w:tcBorders>
              <w:right w:val="single" w:sz="8" w:color="auto"/>
            </w:tcBorders>
            <w:gridSpan w:val="2"/>
          </w:tcPr>
          <w:p>
            <w:pPr>
              <w:ind w:left="20"/>
              <w:spacing w:after="0"/>
              <w:rPr>
                <w:sz w:val="20"/>
                <w:szCs w:val="20"/>
                <w:color w:val="auto"/>
              </w:rPr>
            </w:pPr>
            <w:r>
              <w:rPr>
                <w:rFonts w:ascii="Arial" w:cs="Arial" w:eastAsia="Arial" w:hAnsi="Arial"/>
                <w:sz w:val="13"/>
                <w:szCs w:val="13"/>
                <w:color w:val="auto"/>
              </w:rPr>
              <w:t>La dissolution et la liquidation de la société ont lieu en conformité avec les dispositions du CO.</w:t>
            </w:r>
          </w:p>
        </w:tc>
        <w:tc>
          <w:tcPr>
            <w:tcW w:w="0" w:type="dxa"/>
            <w:vAlign w:val="bottom"/>
          </w:tcPr>
          <w:p>
            <w:pPr>
              <w:spacing w:after="0"/>
              <w:rPr>
                <w:sz w:val="1"/>
                <w:szCs w:val="1"/>
                <w:color w:val="auto"/>
              </w:rPr>
            </w:pPr>
          </w:p>
        </w:tc>
      </w:tr>
      <w:tr>
        <w:trPr>
          <w:trHeight w:val="168"/>
        </w:trPr>
        <w:tc>
          <w:tcPr>
            <w:tcW w:w="5540" w:type="dxa"/>
            <w:vAlign w:val="bottom"/>
            <w:tcBorders>
              <w:left w:val="single" w:sz="8" w:color="auto"/>
              <w:right w:val="single" w:sz="8" w:color="auto"/>
            </w:tcBorders>
            <w:gridSpan w:val="2"/>
          </w:tcPr>
          <w:p>
            <w:pPr>
              <w:ind w:left="40"/>
              <w:spacing w:after="0"/>
              <w:rPr>
                <w:sz w:val="20"/>
                <w:szCs w:val="20"/>
                <w:color w:val="auto"/>
              </w:rPr>
            </w:pPr>
            <w:r>
              <w:rPr>
                <w:rFonts w:ascii="Arial" w:cs="Arial" w:eastAsia="Arial" w:hAnsi="Arial"/>
                <w:sz w:val="13"/>
                <w:szCs w:val="13"/>
                <w:color w:val="auto"/>
              </w:rPr>
              <w:t>provisions of the CO.</w:t>
            </w:r>
          </w:p>
        </w:tc>
        <w:tc>
          <w:tcPr>
            <w:tcW w:w="240" w:type="dxa"/>
            <w:vAlign w:val="bottom"/>
            <w:tcBorders>
              <w:right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530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53"/>
        </w:trPr>
        <w:tc>
          <w:tcPr>
            <w:tcW w:w="240" w:type="dxa"/>
            <w:vAlign w:val="bottom"/>
            <w:tcBorders>
              <w:left w:val="single" w:sz="8" w:color="auto"/>
              <w:bottom w:val="single" w:sz="8" w:color="auto"/>
            </w:tcBorders>
          </w:tcPr>
          <w:p>
            <w:pPr>
              <w:spacing w:after="0"/>
              <w:rPr>
                <w:sz w:val="13"/>
                <w:szCs w:val="13"/>
                <w:color w:val="auto"/>
              </w:rPr>
            </w:pPr>
          </w:p>
        </w:tc>
        <w:tc>
          <w:tcPr>
            <w:tcW w:w="5300" w:type="dxa"/>
            <w:vAlign w:val="bottom"/>
            <w:tcBorders>
              <w:bottom w:val="single" w:sz="8" w:color="auto"/>
              <w:right w:val="single" w:sz="8" w:color="auto"/>
            </w:tcBorders>
          </w:tcPr>
          <w:p>
            <w:pPr>
              <w:spacing w:after="0"/>
              <w:rPr>
                <w:sz w:val="13"/>
                <w:szCs w:val="13"/>
                <w:color w:val="auto"/>
              </w:rPr>
            </w:pPr>
          </w:p>
        </w:tc>
        <w:tc>
          <w:tcPr>
            <w:tcW w:w="240" w:type="dxa"/>
            <w:vAlign w:val="bottom"/>
            <w:tcBorders>
              <w:bottom w:val="single" w:sz="8" w:color="auto"/>
              <w:right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5300" w:type="dxa"/>
            <w:vAlign w:val="bottom"/>
            <w:tcBorders>
              <w:bottom w:val="single" w:sz="8" w:color="auto"/>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240" w:type="dxa"/>
            <w:vAlign w:val="bottom"/>
            <w:tcBorders>
              <w:left w:val="single" w:sz="8" w:color="auto"/>
              <w:bottom w:val="single" w:sz="8" w:color="auto"/>
            </w:tcBorders>
          </w:tcPr>
          <w:p>
            <w:pPr>
              <w:ind w:left="40"/>
              <w:spacing w:after="0"/>
              <w:rPr>
                <w:sz w:val="20"/>
                <w:szCs w:val="20"/>
                <w:color w:val="auto"/>
              </w:rPr>
            </w:pPr>
            <w:r>
              <w:rPr>
                <w:rFonts w:ascii="Arial" w:cs="Arial" w:eastAsia="Arial" w:hAnsi="Arial"/>
                <w:sz w:val="13"/>
                <w:szCs w:val="13"/>
                <w:b w:val="1"/>
                <w:bCs w:val="1"/>
                <w:color w:val="auto"/>
              </w:rPr>
              <w:t>X.</w:t>
            </w:r>
          </w:p>
        </w:tc>
        <w:tc>
          <w:tcPr>
            <w:tcW w:w="530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3"/>
                <w:szCs w:val="13"/>
                <w:b w:val="1"/>
                <w:bCs w:val="1"/>
                <w:color w:val="auto"/>
              </w:rPr>
              <w:t>NOTICES AND PUBLICATIONS</w:t>
            </w:r>
          </w:p>
        </w:tc>
        <w:tc>
          <w:tcPr>
            <w:tcW w:w="240" w:type="dxa"/>
            <w:vAlign w:val="bottom"/>
            <w:tcBorders>
              <w:bottom w:val="single" w:sz="8" w:color="auto"/>
              <w:right w:val="single" w:sz="8" w:color="auto"/>
            </w:tcBorders>
          </w:tcPr>
          <w:p>
            <w:pPr>
              <w:spacing w:after="0"/>
              <w:rPr>
                <w:sz w:val="15"/>
                <w:szCs w:val="15"/>
                <w:color w:val="auto"/>
              </w:rPr>
            </w:pPr>
          </w:p>
        </w:tc>
        <w:tc>
          <w:tcPr>
            <w:tcW w:w="220" w:type="dxa"/>
            <w:vAlign w:val="bottom"/>
            <w:tcBorders>
              <w:bottom w:val="single" w:sz="8" w:color="auto"/>
            </w:tcBorders>
          </w:tcPr>
          <w:p>
            <w:pPr>
              <w:ind w:left="20"/>
              <w:spacing w:after="0"/>
              <w:rPr>
                <w:sz w:val="20"/>
                <w:szCs w:val="20"/>
                <w:color w:val="auto"/>
              </w:rPr>
            </w:pPr>
            <w:r>
              <w:rPr>
                <w:rFonts w:ascii="Arial" w:cs="Arial" w:eastAsia="Arial" w:hAnsi="Arial"/>
                <w:sz w:val="13"/>
                <w:szCs w:val="13"/>
                <w:b w:val="1"/>
                <w:bCs w:val="1"/>
                <w:color w:val="auto"/>
              </w:rPr>
              <w:t>X.</w:t>
            </w:r>
          </w:p>
        </w:tc>
        <w:tc>
          <w:tcPr>
            <w:tcW w:w="530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3"/>
                <w:szCs w:val="13"/>
                <w:b w:val="1"/>
                <w:bCs w:val="1"/>
                <w:color w:val="auto"/>
              </w:rPr>
              <w:t>AVIS ET PUBLICATIONS</w:t>
            </w:r>
          </w:p>
        </w:tc>
        <w:tc>
          <w:tcPr>
            <w:tcW w:w="0" w:type="dxa"/>
            <w:vAlign w:val="bottom"/>
          </w:tcPr>
          <w:p>
            <w:pPr>
              <w:spacing w:after="0"/>
              <w:rPr>
                <w:sz w:val="1"/>
                <w:szCs w:val="1"/>
                <w:color w:val="auto"/>
              </w:rPr>
            </w:pPr>
          </w:p>
        </w:tc>
      </w:tr>
      <w:tr>
        <w:trPr>
          <w:trHeight w:val="173"/>
        </w:trPr>
        <w:tc>
          <w:tcPr>
            <w:tcW w:w="5540" w:type="dxa"/>
            <w:vAlign w:val="bottom"/>
            <w:tcBorders>
              <w:left w:val="single" w:sz="8" w:color="auto"/>
              <w:right w:val="single" w:sz="8" w:color="auto"/>
            </w:tcBorders>
            <w:gridSpan w:val="2"/>
          </w:tcPr>
          <w:p>
            <w:pPr>
              <w:ind w:left="40"/>
              <w:spacing w:after="0"/>
              <w:rPr>
                <w:sz w:val="20"/>
                <w:szCs w:val="20"/>
                <w:color w:val="auto"/>
              </w:rPr>
            </w:pPr>
            <w:r>
              <w:rPr>
                <w:rFonts w:ascii="Arial" w:cs="Arial" w:eastAsia="Arial" w:hAnsi="Arial"/>
                <w:sz w:val="13"/>
                <w:szCs w:val="13"/>
                <w:b w:val="1"/>
                <w:bCs w:val="1"/>
                <w:color w:val="auto"/>
              </w:rPr>
              <w:t>Art. 46  Notices and Publications</w:t>
            </w:r>
          </w:p>
        </w:tc>
        <w:tc>
          <w:tcPr>
            <w:tcW w:w="240" w:type="dxa"/>
            <w:vAlign w:val="bottom"/>
            <w:tcBorders>
              <w:right w:val="single" w:sz="8" w:color="auto"/>
            </w:tcBorders>
          </w:tcPr>
          <w:p>
            <w:pPr>
              <w:spacing w:after="0"/>
              <w:rPr>
                <w:sz w:val="15"/>
                <w:szCs w:val="15"/>
                <w:color w:val="auto"/>
              </w:rPr>
            </w:pPr>
          </w:p>
        </w:tc>
        <w:tc>
          <w:tcPr>
            <w:tcW w:w="5520" w:type="dxa"/>
            <w:vAlign w:val="bottom"/>
            <w:tcBorders>
              <w:right w:val="single" w:sz="8" w:color="auto"/>
            </w:tcBorders>
            <w:gridSpan w:val="2"/>
          </w:tcPr>
          <w:p>
            <w:pPr>
              <w:ind w:left="20"/>
              <w:spacing w:after="0"/>
              <w:rPr>
                <w:sz w:val="20"/>
                <w:szCs w:val="20"/>
                <w:color w:val="auto"/>
              </w:rPr>
            </w:pPr>
            <w:r>
              <w:rPr>
                <w:rFonts w:ascii="Arial" w:cs="Arial" w:eastAsia="Arial" w:hAnsi="Arial"/>
                <w:sz w:val="13"/>
                <w:szCs w:val="13"/>
                <w:b w:val="1"/>
                <w:bCs w:val="1"/>
                <w:color w:val="auto"/>
              </w:rPr>
              <w:t>Art. 46  Avis et Publications</w:t>
            </w:r>
          </w:p>
        </w:tc>
        <w:tc>
          <w:tcPr>
            <w:tcW w:w="0" w:type="dxa"/>
            <w:vAlign w:val="bottom"/>
          </w:tcPr>
          <w:p>
            <w:pPr>
              <w:spacing w:after="0"/>
              <w:rPr>
                <w:sz w:val="1"/>
                <w:szCs w:val="1"/>
                <w:color w:val="auto"/>
              </w:rPr>
            </w:pPr>
          </w:p>
        </w:tc>
      </w:tr>
      <w:tr>
        <w:trPr>
          <w:trHeight w:val="282"/>
        </w:trPr>
        <w:tc>
          <w:tcPr>
            <w:tcW w:w="5540" w:type="dxa"/>
            <w:vAlign w:val="bottom"/>
            <w:tcBorders>
              <w:left w:val="single" w:sz="8" w:color="auto"/>
              <w:right w:val="single" w:sz="8" w:color="auto"/>
            </w:tcBorders>
            <w:gridSpan w:val="2"/>
          </w:tcPr>
          <w:p>
            <w:pPr>
              <w:ind w:left="40"/>
              <w:spacing w:after="0"/>
              <w:rPr>
                <w:sz w:val="20"/>
                <w:szCs w:val="20"/>
                <w:color w:val="auto"/>
              </w:rPr>
            </w:pPr>
            <w:r>
              <w:rPr>
                <w:rFonts w:ascii="Arial" w:cs="Arial" w:eastAsia="Arial" w:hAnsi="Arial"/>
                <w:sz w:val="13"/>
                <w:szCs w:val="13"/>
                <w:color w:val="auto"/>
              </w:rPr>
              <w:t>The Swiss Official Gazette of Commerce is the official publication medium.</w:t>
            </w:r>
          </w:p>
        </w:tc>
        <w:tc>
          <w:tcPr>
            <w:tcW w:w="240" w:type="dxa"/>
            <w:vAlign w:val="bottom"/>
            <w:tcBorders>
              <w:right w:val="single" w:sz="8" w:color="auto"/>
            </w:tcBorders>
          </w:tcPr>
          <w:p>
            <w:pPr>
              <w:spacing w:after="0"/>
              <w:rPr>
                <w:sz w:val="24"/>
                <w:szCs w:val="24"/>
                <w:color w:val="auto"/>
              </w:rPr>
            </w:pPr>
          </w:p>
        </w:tc>
        <w:tc>
          <w:tcPr>
            <w:tcW w:w="5520" w:type="dxa"/>
            <w:vAlign w:val="bottom"/>
            <w:tcBorders>
              <w:right w:val="single" w:sz="8" w:color="auto"/>
            </w:tcBorders>
            <w:gridSpan w:val="2"/>
          </w:tcPr>
          <w:p>
            <w:pPr>
              <w:ind w:left="20"/>
              <w:spacing w:after="0"/>
              <w:rPr>
                <w:sz w:val="20"/>
                <w:szCs w:val="20"/>
                <w:color w:val="auto"/>
              </w:rPr>
            </w:pPr>
            <w:r>
              <w:rPr>
                <w:rFonts w:ascii="Arial" w:cs="Arial" w:eastAsia="Arial" w:hAnsi="Arial"/>
                <w:sz w:val="13"/>
                <w:szCs w:val="13"/>
                <w:color w:val="auto"/>
              </w:rPr>
              <w:t>L'organe de publication légal est la Feuille officielle suisse du commerce.</w:t>
            </w:r>
          </w:p>
        </w:tc>
        <w:tc>
          <w:tcPr>
            <w:tcW w:w="0" w:type="dxa"/>
            <w:vAlign w:val="bottom"/>
          </w:tcPr>
          <w:p>
            <w:pPr>
              <w:spacing w:after="0"/>
              <w:rPr>
                <w:sz w:val="1"/>
                <w:szCs w:val="1"/>
                <w:color w:val="auto"/>
              </w:rPr>
            </w:pPr>
          </w:p>
        </w:tc>
      </w:tr>
      <w:tr>
        <w:trPr>
          <w:trHeight w:val="153"/>
        </w:trPr>
        <w:tc>
          <w:tcPr>
            <w:tcW w:w="5540" w:type="dxa"/>
            <w:vAlign w:val="bottom"/>
            <w:tcBorders>
              <w:left w:val="single" w:sz="8" w:color="auto"/>
              <w:bottom w:val="single" w:sz="8" w:color="auto"/>
              <w:right w:val="single" w:sz="8" w:color="auto"/>
            </w:tcBorders>
            <w:gridSpan w:val="2"/>
          </w:tcPr>
          <w:p>
            <w:pPr>
              <w:spacing w:after="0"/>
              <w:rPr>
                <w:sz w:val="13"/>
                <w:szCs w:val="13"/>
                <w:color w:val="auto"/>
              </w:rPr>
            </w:pPr>
          </w:p>
        </w:tc>
        <w:tc>
          <w:tcPr>
            <w:tcW w:w="240" w:type="dxa"/>
            <w:vAlign w:val="bottom"/>
            <w:tcBorders>
              <w:bottom w:val="single" w:sz="8" w:color="auto"/>
              <w:right w:val="single" w:sz="8" w:color="auto"/>
            </w:tcBorders>
          </w:tcPr>
          <w:p>
            <w:pPr>
              <w:spacing w:after="0"/>
              <w:rPr>
                <w:sz w:val="13"/>
                <w:szCs w:val="13"/>
                <w:color w:val="auto"/>
              </w:rPr>
            </w:pPr>
          </w:p>
        </w:tc>
        <w:tc>
          <w:tcPr>
            <w:tcW w:w="5520" w:type="dxa"/>
            <w:vAlign w:val="bottom"/>
            <w:tcBorders>
              <w:bottom w:val="single" w:sz="8" w:color="auto"/>
              <w:right w:val="single" w:sz="8" w:color="auto"/>
            </w:tcBorders>
            <w:gridSpan w:val="2"/>
          </w:tcPr>
          <w:p>
            <w:pPr>
              <w:spacing w:after="0"/>
              <w:rPr>
                <w:sz w:val="13"/>
                <w:szCs w:val="13"/>
                <w:color w:val="auto"/>
              </w:rPr>
            </w:pPr>
          </w:p>
        </w:tc>
        <w:tc>
          <w:tcPr>
            <w:tcW w:w="0" w:type="dxa"/>
            <w:vAlign w:val="bottom"/>
          </w:tcPr>
          <w:p>
            <w:pPr>
              <w:spacing w:after="0"/>
              <w:rPr>
                <w:sz w:val="1"/>
                <w:szCs w:val="1"/>
                <w:color w:val="auto"/>
              </w:rPr>
            </w:pPr>
          </w:p>
        </w:tc>
      </w:tr>
      <w:tr>
        <w:trPr>
          <w:trHeight w:val="141"/>
        </w:trPr>
        <w:tc>
          <w:tcPr>
            <w:tcW w:w="5540" w:type="dxa"/>
            <w:vAlign w:val="bottom"/>
            <w:tcBorders>
              <w:left w:val="single" w:sz="8" w:color="auto"/>
              <w:right w:val="single" w:sz="8" w:color="auto"/>
            </w:tcBorders>
            <w:gridSpan w:val="2"/>
          </w:tcPr>
          <w:p>
            <w:pPr>
              <w:ind w:left="40"/>
              <w:spacing w:after="0" w:line="141" w:lineRule="exact"/>
              <w:rPr>
                <w:sz w:val="20"/>
                <w:szCs w:val="20"/>
                <w:color w:val="auto"/>
              </w:rPr>
            </w:pPr>
            <w:r>
              <w:rPr>
                <w:rFonts w:ascii="Arial" w:cs="Arial" w:eastAsia="Arial" w:hAnsi="Arial"/>
                <w:sz w:val="13"/>
                <w:szCs w:val="13"/>
                <w:color w:val="auto"/>
              </w:rPr>
              <w:t>Shareholder communications and notices to the shareholders shall be made by publication in</w:t>
            </w:r>
          </w:p>
        </w:tc>
        <w:tc>
          <w:tcPr>
            <w:tcW w:w="240" w:type="dxa"/>
            <w:vAlign w:val="bottom"/>
            <w:tcBorders>
              <w:right w:val="single" w:sz="8" w:color="auto"/>
            </w:tcBorders>
          </w:tcPr>
          <w:p>
            <w:pPr>
              <w:spacing w:after="0"/>
              <w:rPr>
                <w:sz w:val="12"/>
                <w:szCs w:val="12"/>
                <w:color w:val="auto"/>
              </w:rPr>
            </w:pPr>
          </w:p>
        </w:tc>
        <w:tc>
          <w:tcPr>
            <w:tcW w:w="5520" w:type="dxa"/>
            <w:vAlign w:val="bottom"/>
            <w:tcBorders>
              <w:right w:val="single" w:sz="8" w:color="auto"/>
            </w:tcBorders>
            <w:gridSpan w:val="2"/>
          </w:tcPr>
          <w:p>
            <w:pPr>
              <w:ind w:left="20"/>
              <w:spacing w:after="0" w:line="141" w:lineRule="exact"/>
              <w:rPr>
                <w:sz w:val="20"/>
                <w:szCs w:val="20"/>
                <w:color w:val="auto"/>
              </w:rPr>
            </w:pPr>
            <w:r>
              <w:rPr>
                <w:rFonts w:ascii="Arial" w:cs="Arial" w:eastAsia="Arial" w:hAnsi="Arial"/>
                <w:sz w:val="13"/>
                <w:szCs w:val="13"/>
                <w:color w:val="auto"/>
              </w:rPr>
              <w:t>Les communications et avis aux actionnaires sont effectués par publication dans la Feuille</w:t>
            </w:r>
          </w:p>
        </w:tc>
        <w:tc>
          <w:tcPr>
            <w:tcW w:w="0" w:type="dxa"/>
            <w:vAlign w:val="bottom"/>
          </w:tcPr>
          <w:p>
            <w:pPr>
              <w:spacing w:after="0"/>
              <w:rPr>
                <w:sz w:val="1"/>
                <w:szCs w:val="1"/>
                <w:color w:val="auto"/>
              </w:rPr>
            </w:pPr>
          </w:p>
        </w:tc>
      </w:tr>
      <w:tr>
        <w:trPr>
          <w:trHeight w:val="145"/>
        </w:trPr>
        <w:tc>
          <w:tcPr>
            <w:tcW w:w="5540" w:type="dxa"/>
            <w:vAlign w:val="bottom"/>
            <w:tcBorders>
              <w:left w:val="single" w:sz="8" w:color="auto"/>
              <w:right w:val="single" w:sz="8" w:color="auto"/>
            </w:tcBorders>
            <w:gridSpan w:val="2"/>
          </w:tcPr>
          <w:p>
            <w:pPr>
              <w:ind w:left="40"/>
              <w:spacing w:after="0" w:line="145" w:lineRule="exact"/>
              <w:rPr>
                <w:sz w:val="20"/>
                <w:szCs w:val="20"/>
                <w:color w:val="auto"/>
              </w:rPr>
            </w:pPr>
            <w:r>
              <w:rPr>
                <w:rFonts w:ascii="Arial" w:cs="Arial" w:eastAsia="Arial" w:hAnsi="Arial"/>
                <w:sz w:val="13"/>
                <w:szCs w:val="13"/>
                <w:color w:val="auto"/>
                <w:w w:val="99"/>
              </w:rPr>
              <w:t>the Swiss Official Gazette of Commerce or sent by mail or e-mail to the addresses registered in</w:t>
            </w:r>
          </w:p>
        </w:tc>
        <w:tc>
          <w:tcPr>
            <w:tcW w:w="240" w:type="dxa"/>
            <w:vAlign w:val="bottom"/>
            <w:tcBorders>
              <w:right w:val="single" w:sz="8" w:color="auto"/>
            </w:tcBorders>
          </w:tcPr>
          <w:p>
            <w:pPr>
              <w:spacing w:after="0"/>
              <w:rPr>
                <w:sz w:val="12"/>
                <w:szCs w:val="12"/>
                <w:color w:val="auto"/>
              </w:rPr>
            </w:pPr>
          </w:p>
        </w:tc>
        <w:tc>
          <w:tcPr>
            <w:tcW w:w="5520" w:type="dxa"/>
            <w:vAlign w:val="bottom"/>
            <w:tcBorders>
              <w:right w:val="single" w:sz="8" w:color="auto"/>
            </w:tcBorders>
            <w:gridSpan w:val="2"/>
          </w:tcPr>
          <w:p>
            <w:pPr>
              <w:ind w:left="20"/>
              <w:spacing w:after="0" w:line="145" w:lineRule="exact"/>
              <w:rPr>
                <w:sz w:val="20"/>
                <w:szCs w:val="20"/>
                <w:color w:val="auto"/>
              </w:rPr>
            </w:pPr>
            <w:r>
              <w:rPr>
                <w:rFonts w:ascii="Arial" w:cs="Arial" w:eastAsia="Arial" w:hAnsi="Arial"/>
                <w:sz w:val="13"/>
                <w:szCs w:val="13"/>
                <w:color w:val="auto"/>
              </w:rPr>
              <w:t>officielle suisse du commerce ou envoyés par courrier ou e-mail aux adresses enregistrées</w:t>
            </w:r>
          </w:p>
        </w:tc>
        <w:tc>
          <w:tcPr>
            <w:tcW w:w="0" w:type="dxa"/>
            <w:vAlign w:val="bottom"/>
          </w:tcPr>
          <w:p>
            <w:pPr>
              <w:spacing w:after="0"/>
              <w:rPr>
                <w:sz w:val="1"/>
                <w:szCs w:val="1"/>
                <w:color w:val="auto"/>
              </w:rPr>
            </w:pPr>
          </w:p>
        </w:tc>
      </w:tr>
      <w:tr>
        <w:trPr>
          <w:trHeight w:val="173"/>
        </w:trPr>
        <w:tc>
          <w:tcPr>
            <w:tcW w:w="5540" w:type="dxa"/>
            <w:vAlign w:val="bottom"/>
            <w:tcBorders>
              <w:left w:val="single" w:sz="8" w:color="auto"/>
              <w:bottom w:val="single" w:sz="8" w:color="auto"/>
              <w:right w:val="single" w:sz="8" w:color="auto"/>
            </w:tcBorders>
            <w:gridSpan w:val="2"/>
          </w:tcPr>
          <w:p>
            <w:pPr>
              <w:ind w:left="40"/>
              <w:spacing w:after="0"/>
              <w:rPr>
                <w:sz w:val="20"/>
                <w:szCs w:val="20"/>
                <w:color w:val="auto"/>
              </w:rPr>
            </w:pPr>
            <w:r>
              <w:rPr>
                <w:rFonts w:ascii="Arial" w:cs="Arial" w:eastAsia="Arial" w:hAnsi="Arial"/>
                <w:sz w:val="13"/>
                <w:szCs w:val="13"/>
                <w:color w:val="auto"/>
              </w:rPr>
              <w:t>the share register.</w:t>
            </w:r>
          </w:p>
        </w:tc>
        <w:tc>
          <w:tcPr>
            <w:tcW w:w="240" w:type="dxa"/>
            <w:vAlign w:val="bottom"/>
            <w:tcBorders>
              <w:bottom w:val="single" w:sz="8" w:color="auto"/>
              <w:right w:val="single" w:sz="8" w:color="auto"/>
            </w:tcBorders>
          </w:tcPr>
          <w:p>
            <w:pPr>
              <w:spacing w:after="0"/>
              <w:rPr>
                <w:sz w:val="15"/>
                <w:szCs w:val="15"/>
                <w:color w:val="auto"/>
              </w:rPr>
            </w:pPr>
          </w:p>
        </w:tc>
        <w:tc>
          <w:tcPr>
            <w:tcW w:w="5520" w:type="dxa"/>
            <w:vAlign w:val="bottom"/>
            <w:tcBorders>
              <w:bottom w:val="single" w:sz="8" w:color="auto"/>
              <w:right w:val="single" w:sz="8" w:color="auto"/>
            </w:tcBorders>
            <w:gridSpan w:val="2"/>
          </w:tcPr>
          <w:p>
            <w:pPr>
              <w:ind w:left="20"/>
              <w:spacing w:after="0"/>
              <w:rPr>
                <w:sz w:val="20"/>
                <w:szCs w:val="20"/>
                <w:color w:val="auto"/>
              </w:rPr>
            </w:pPr>
            <w:r>
              <w:rPr>
                <w:rFonts w:ascii="Arial" w:cs="Arial" w:eastAsia="Arial" w:hAnsi="Arial"/>
                <w:sz w:val="13"/>
                <w:szCs w:val="13"/>
                <w:color w:val="auto"/>
              </w:rPr>
              <w:t>dans le registre des actions.</w:t>
            </w:r>
          </w:p>
        </w:tc>
        <w:tc>
          <w:tcPr>
            <w:tcW w:w="0" w:type="dxa"/>
            <w:vAlign w:val="bottom"/>
          </w:tcPr>
          <w:p>
            <w:pPr>
              <w:spacing w:after="0"/>
              <w:rPr>
                <w:sz w:val="1"/>
                <w:szCs w:val="1"/>
                <w:color w:val="auto"/>
              </w:rPr>
            </w:pPr>
          </w:p>
        </w:tc>
      </w:tr>
      <w:tr>
        <w:trPr>
          <w:trHeight w:val="145"/>
        </w:trPr>
        <w:tc>
          <w:tcPr>
            <w:tcW w:w="5540" w:type="dxa"/>
            <w:vAlign w:val="bottom"/>
            <w:tcBorders>
              <w:left w:val="single" w:sz="8" w:color="auto"/>
              <w:right w:val="single" w:sz="8" w:color="auto"/>
            </w:tcBorders>
            <w:gridSpan w:val="2"/>
          </w:tcPr>
          <w:p>
            <w:pPr>
              <w:ind w:left="40"/>
              <w:spacing w:after="0" w:line="146" w:lineRule="exact"/>
              <w:rPr>
                <w:sz w:val="20"/>
                <w:szCs w:val="20"/>
                <w:color w:val="auto"/>
              </w:rPr>
            </w:pPr>
            <w:r>
              <w:rPr>
                <w:rFonts w:ascii="Arial" w:cs="Arial" w:eastAsia="Arial" w:hAnsi="Arial"/>
                <w:sz w:val="13"/>
                <w:szCs w:val="13"/>
                <w:color w:val="auto"/>
                <w:w w:val="98"/>
              </w:rPr>
              <w:t>Unless the law provides otherwise, notices shall be given to creditors by publication in the Swiss</w:t>
            </w:r>
          </w:p>
        </w:tc>
        <w:tc>
          <w:tcPr>
            <w:tcW w:w="240" w:type="dxa"/>
            <w:vAlign w:val="bottom"/>
            <w:tcBorders>
              <w:right w:val="single" w:sz="8" w:color="auto"/>
            </w:tcBorders>
          </w:tcPr>
          <w:p>
            <w:pPr>
              <w:spacing w:after="0"/>
              <w:rPr>
                <w:sz w:val="12"/>
                <w:szCs w:val="12"/>
                <w:color w:val="auto"/>
              </w:rPr>
            </w:pPr>
          </w:p>
        </w:tc>
        <w:tc>
          <w:tcPr>
            <w:tcW w:w="5520" w:type="dxa"/>
            <w:vAlign w:val="bottom"/>
            <w:tcBorders>
              <w:right w:val="single" w:sz="8" w:color="auto"/>
            </w:tcBorders>
            <w:gridSpan w:val="2"/>
          </w:tcPr>
          <w:p>
            <w:pPr>
              <w:ind w:left="20"/>
              <w:spacing w:after="0" w:line="146" w:lineRule="exact"/>
              <w:rPr>
                <w:sz w:val="20"/>
                <w:szCs w:val="20"/>
                <w:color w:val="auto"/>
              </w:rPr>
            </w:pPr>
            <w:r>
              <w:rPr>
                <w:rFonts w:ascii="Arial" w:cs="Arial" w:eastAsia="Arial" w:hAnsi="Arial"/>
                <w:sz w:val="13"/>
                <w:szCs w:val="13"/>
                <w:color w:val="auto"/>
                <w:w w:val="99"/>
              </w:rPr>
              <w:t>Sauf si la loi en dispose autrement, les avis seront envoyés aux créanciers par publication dans</w:t>
            </w:r>
          </w:p>
        </w:tc>
        <w:tc>
          <w:tcPr>
            <w:tcW w:w="0" w:type="dxa"/>
            <w:vAlign w:val="bottom"/>
          </w:tcPr>
          <w:p>
            <w:pPr>
              <w:spacing w:after="0"/>
              <w:rPr>
                <w:sz w:val="1"/>
                <w:szCs w:val="1"/>
                <w:color w:val="auto"/>
              </w:rPr>
            </w:pPr>
          </w:p>
        </w:tc>
      </w:tr>
      <w:tr>
        <w:trPr>
          <w:trHeight w:val="145"/>
        </w:trPr>
        <w:tc>
          <w:tcPr>
            <w:tcW w:w="5540" w:type="dxa"/>
            <w:vAlign w:val="bottom"/>
            <w:tcBorders>
              <w:left w:val="single" w:sz="8" w:color="auto"/>
              <w:right w:val="single" w:sz="8" w:color="auto"/>
            </w:tcBorders>
            <w:gridSpan w:val="2"/>
          </w:tcPr>
          <w:p>
            <w:pPr>
              <w:ind w:left="40"/>
              <w:spacing w:after="0" w:line="145" w:lineRule="exact"/>
              <w:rPr>
                <w:sz w:val="20"/>
                <w:szCs w:val="20"/>
                <w:color w:val="auto"/>
              </w:rPr>
            </w:pPr>
            <w:r>
              <w:rPr>
                <w:rFonts w:ascii="Arial" w:cs="Arial" w:eastAsia="Arial" w:hAnsi="Arial"/>
                <w:sz w:val="13"/>
                <w:szCs w:val="13"/>
                <w:color w:val="auto"/>
              </w:rPr>
              <w:t>Official  Gazette  of  Commerce.  The  Board  of  Directors  may  assign  further  means  of</w:t>
            </w:r>
          </w:p>
        </w:tc>
        <w:tc>
          <w:tcPr>
            <w:tcW w:w="240" w:type="dxa"/>
            <w:vAlign w:val="bottom"/>
            <w:tcBorders>
              <w:right w:val="single" w:sz="8" w:color="auto"/>
            </w:tcBorders>
          </w:tcPr>
          <w:p>
            <w:pPr>
              <w:spacing w:after="0"/>
              <w:rPr>
                <w:sz w:val="12"/>
                <w:szCs w:val="12"/>
                <w:color w:val="auto"/>
              </w:rPr>
            </w:pPr>
          </w:p>
        </w:tc>
        <w:tc>
          <w:tcPr>
            <w:tcW w:w="5520" w:type="dxa"/>
            <w:vAlign w:val="bottom"/>
            <w:tcBorders>
              <w:right w:val="single" w:sz="8" w:color="auto"/>
            </w:tcBorders>
            <w:gridSpan w:val="2"/>
          </w:tcPr>
          <w:p>
            <w:pPr>
              <w:ind w:left="20"/>
              <w:spacing w:after="0" w:line="145" w:lineRule="exact"/>
              <w:rPr>
                <w:sz w:val="20"/>
                <w:szCs w:val="20"/>
                <w:color w:val="auto"/>
              </w:rPr>
            </w:pPr>
            <w:r>
              <w:rPr>
                <w:rFonts w:ascii="Arial" w:cs="Arial" w:eastAsia="Arial" w:hAnsi="Arial"/>
                <w:sz w:val="13"/>
                <w:szCs w:val="13"/>
                <w:color w:val="auto"/>
              </w:rPr>
              <w:t>la Feuille officielle suisse du commerce. Le conseil d'administration peut prévoir d'autres</w:t>
            </w:r>
          </w:p>
        </w:tc>
        <w:tc>
          <w:tcPr>
            <w:tcW w:w="0" w:type="dxa"/>
            <w:vAlign w:val="bottom"/>
          </w:tcPr>
          <w:p>
            <w:pPr>
              <w:spacing w:after="0"/>
              <w:rPr>
                <w:sz w:val="1"/>
                <w:szCs w:val="1"/>
                <w:color w:val="auto"/>
              </w:rPr>
            </w:pPr>
          </w:p>
        </w:tc>
      </w:tr>
      <w:tr>
        <w:trPr>
          <w:trHeight w:val="173"/>
        </w:trPr>
        <w:tc>
          <w:tcPr>
            <w:tcW w:w="5540" w:type="dxa"/>
            <w:vAlign w:val="bottom"/>
            <w:tcBorders>
              <w:left w:val="single" w:sz="8" w:color="auto"/>
              <w:bottom w:val="single" w:sz="8" w:color="auto"/>
              <w:right w:val="single" w:sz="8" w:color="auto"/>
            </w:tcBorders>
            <w:gridSpan w:val="2"/>
          </w:tcPr>
          <w:p>
            <w:pPr>
              <w:ind w:left="40"/>
              <w:spacing w:after="0"/>
              <w:rPr>
                <w:sz w:val="20"/>
                <w:szCs w:val="20"/>
                <w:color w:val="auto"/>
              </w:rPr>
            </w:pPr>
            <w:r>
              <w:rPr>
                <w:rFonts w:ascii="Arial" w:cs="Arial" w:eastAsia="Arial" w:hAnsi="Arial"/>
                <w:sz w:val="13"/>
                <w:szCs w:val="13"/>
                <w:color w:val="auto"/>
              </w:rPr>
              <w:t>communication.</w:t>
            </w:r>
          </w:p>
        </w:tc>
        <w:tc>
          <w:tcPr>
            <w:tcW w:w="240" w:type="dxa"/>
            <w:vAlign w:val="bottom"/>
            <w:tcBorders>
              <w:bottom w:val="single" w:sz="8" w:color="auto"/>
              <w:right w:val="single" w:sz="8" w:color="auto"/>
            </w:tcBorders>
          </w:tcPr>
          <w:p>
            <w:pPr>
              <w:spacing w:after="0"/>
              <w:rPr>
                <w:sz w:val="15"/>
                <w:szCs w:val="15"/>
                <w:color w:val="auto"/>
              </w:rPr>
            </w:pPr>
          </w:p>
        </w:tc>
        <w:tc>
          <w:tcPr>
            <w:tcW w:w="5520" w:type="dxa"/>
            <w:vAlign w:val="bottom"/>
            <w:tcBorders>
              <w:bottom w:val="single" w:sz="8" w:color="auto"/>
              <w:right w:val="single" w:sz="8" w:color="auto"/>
            </w:tcBorders>
            <w:gridSpan w:val="2"/>
          </w:tcPr>
          <w:p>
            <w:pPr>
              <w:ind w:left="20"/>
              <w:spacing w:after="0"/>
              <w:rPr>
                <w:sz w:val="20"/>
                <w:szCs w:val="20"/>
                <w:color w:val="auto"/>
              </w:rPr>
            </w:pPr>
            <w:r>
              <w:rPr>
                <w:rFonts w:ascii="Arial" w:cs="Arial" w:eastAsia="Arial" w:hAnsi="Arial"/>
                <w:sz w:val="13"/>
                <w:szCs w:val="13"/>
                <w:color w:val="auto"/>
              </w:rPr>
              <w:t>moyens de communication.</w:t>
            </w:r>
          </w:p>
        </w:tc>
        <w:tc>
          <w:tcPr>
            <w:tcW w:w="0" w:type="dxa"/>
            <w:vAlign w:val="bottom"/>
          </w:tcPr>
          <w:p>
            <w:pPr>
              <w:spacing w:after="0"/>
              <w:rPr>
                <w:sz w:val="1"/>
                <w:szCs w:val="1"/>
                <w:color w:val="auto"/>
              </w:rPr>
            </w:pPr>
          </w:p>
        </w:tc>
      </w:tr>
      <w:tr>
        <w:trPr>
          <w:trHeight w:val="177"/>
        </w:trPr>
        <w:tc>
          <w:tcPr>
            <w:tcW w:w="240" w:type="dxa"/>
            <w:vAlign w:val="bottom"/>
            <w:tcBorders>
              <w:left w:val="single" w:sz="8" w:color="auto"/>
              <w:bottom w:val="single" w:sz="8" w:color="auto"/>
            </w:tcBorders>
          </w:tcPr>
          <w:p>
            <w:pPr>
              <w:ind w:left="40"/>
              <w:spacing w:after="0"/>
              <w:rPr>
                <w:sz w:val="20"/>
                <w:szCs w:val="20"/>
                <w:color w:val="auto"/>
              </w:rPr>
            </w:pPr>
            <w:r>
              <w:rPr>
                <w:rFonts w:ascii="Arial" w:cs="Arial" w:eastAsia="Arial" w:hAnsi="Arial"/>
                <w:sz w:val="13"/>
                <w:szCs w:val="13"/>
                <w:b w:val="1"/>
                <w:bCs w:val="1"/>
                <w:color w:val="auto"/>
              </w:rPr>
              <w:t>XI.</w:t>
            </w:r>
          </w:p>
        </w:tc>
        <w:tc>
          <w:tcPr>
            <w:tcW w:w="530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3"/>
                <w:szCs w:val="13"/>
                <w:b w:val="1"/>
                <w:bCs w:val="1"/>
                <w:color w:val="auto"/>
              </w:rPr>
              <w:t>TRANSITIONAL PROVISIONS</w:t>
            </w:r>
          </w:p>
        </w:tc>
        <w:tc>
          <w:tcPr>
            <w:tcW w:w="240" w:type="dxa"/>
            <w:vAlign w:val="bottom"/>
            <w:tcBorders>
              <w:bottom w:val="single" w:sz="8" w:color="auto"/>
              <w:right w:val="single" w:sz="8" w:color="auto"/>
            </w:tcBorders>
          </w:tcPr>
          <w:p>
            <w:pPr>
              <w:spacing w:after="0"/>
              <w:rPr>
                <w:sz w:val="15"/>
                <w:szCs w:val="15"/>
                <w:color w:val="auto"/>
              </w:rPr>
            </w:pPr>
          </w:p>
        </w:tc>
        <w:tc>
          <w:tcPr>
            <w:tcW w:w="220" w:type="dxa"/>
            <w:vAlign w:val="bottom"/>
            <w:tcBorders>
              <w:bottom w:val="single" w:sz="8" w:color="auto"/>
            </w:tcBorders>
          </w:tcPr>
          <w:p>
            <w:pPr>
              <w:ind w:left="20"/>
              <w:spacing w:after="0"/>
              <w:rPr>
                <w:sz w:val="20"/>
                <w:szCs w:val="20"/>
                <w:color w:val="auto"/>
              </w:rPr>
            </w:pPr>
            <w:r>
              <w:rPr>
                <w:rFonts w:ascii="Arial" w:cs="Arial" w:eastAsia="Arial" w:hAnsi="Arial"/>
                <w:sz w:val="13"/>
                <w:szCs w:val="13"/>
                <w:b w:val="1"/>
                <w:bCs w:val="1"/>
                <w:color w:val="auto"/>
              </w:rPr>
              <w:t>XI.</w:t>
            </w:r>
          </w:p>
        </w:tc>
        <w:tc>
          <w:tcPr>
            <w:tcW w:w="530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3"/>
                <w:szCs w:val="13"/>
                <w:b w:val="1"/>
                <w:bCs w:val="1"/>
                <w:color w:val="auto"/>
              </w:rPr>
              <w:t>DISPOSITIONS TRANSITOIRES</w:t>
            </w:r>
          </w:p>
        </w:tc>
        <w:tc>
          <w:tcPr>
            <w:tcW w:w="0" w:type="dxa"/>
            <w:vAlign w:val="bottom"/>
          </w:tcPr>
          <w:p>
            <w:pPr>
              <w:spacing w:after="0"/>
              <w:rPr>
                <w:sz w:val="1"/>
                <w:szCs w:val="1"/>
                <w:color w:val="auto"/>
              </w:rPr>
            </w:pPr>
          </w:p>
        </w:tc>
      </w:tr>
      <w:tr>
        <w:trPr>
          <w:trHeight w:val="141"/>
        </w:trPr>
        <w:tc>
          <w:tcPr>
            <w:tcW w:w="5540" w:type="dxa"/>
            <w:vAlign w:val="bottom"/>
            <w:tcBorders>
              <w:left w:val="single" w:sz="8" w:color="auto"/>
              <w:right w:val="single" w:sz="8" w:color="auto"/>
            </w:tcBorders>
            <w:gridSpan w:val="2"/>
          </w:tcPr>
          <w:p>
            <w:pPr>
              <w:ind w:left="40"/>
              <w:spacing w:after="0" w:line="141" w:lineRule="exact"/>
              <w:rPr>
                <w:sz w:val="20"/>
                <w:szCs w:val="20"/>
                <w:color w:val="auto"/>
              </w:rPr>
            </w:pPr>
            <w:r>
              <w:rPr>
                <w:rFonts w:ascii="Arial" w:cs="Arial" w:eastAsia="Arial" w:hAnsi="Arial"/>
                <w:sz w:val="13"/>
                <w:szCs w:val="13"/>
                <w:b w:val="1"/>
                <w:bCs w:val="1"/>
                <w:color w:val="auto"/>
              </w:rPr>
              <w:t>Art. 47  Transitional Provisions concerning the Compensation of the Executive</w:t>
            </w:r>
          </w:p>
        </w:tc>
        <w:tc>
          <w:tcPr>
            <w:tcW w:w="240" w:type="dxa"/>
            <w:vAlign w:val="bottom"/>
            <w:tcBorders>
              <w:right w:val="single" w:sz="8" w:color="auto"/>
            </w:tcBorders>
          </w:tcPr>
          <w:p>
            <w:pPr>
              <w:spacing w:after="0"/>
              <w:rPr>
                <w:sz w:val="12"/>
                <w:szCs w:val="12"/>
                <w:color w:val="auto"/>
              </w:rPr>
            </w:pPr>
          </w:p>
        </w:tc>
        <w:tc>
          <w:tcPr>
            <w:tcW w:w="5520" w:type="dxa"/>
            <w:vAlign w:val="bottom"/>
            <w:tcBorders>
              <w:right w:val="single" w:sz="8" w:color="auto"/>
            </w:tcBorders>
            <w:gridSpan w:val="2"/>
          </w:tcPr>
          <w:p>
            <w:pPr>
              <w:ind w:left="20"/>
              <w:spacing w:after="0" w:line="141" w:lineRule="exact"/>
              <w:rPr>
                <w:sz w:val="20"/>
                <w:szCs w:val="20"/>
                <w:color w:val="auto"/>
              </w:rPr>
            </w:pPr>
            <w:r>
              <w:rPr>
                <w:rFonts w:ascii="Arial" w:cs="Arial" w:eastAsia="Arial" w:hAnsi="Arial"/>
                <w:sz w:val="13"/>
                <w:szCs w:val="13"/>
                <w:b w:val="1"/>
                <w:bCs w:val="1"/>
                <w:color w:val="auto"/>
              </w:rPr>
              <w:t>Art. 47  Dispositions transitoires concernant la rémunération du comité exécutif</w:t>
            </w:r>
          </w:p>
        </w:tc>
        <w:tc>
          <w:tcPr>
            <w:tcW w:w="0" w:type="dxa"/>
            <w:vAlign w:val="bottom"/>
          </w:tcPr>
          <w:p>
            <w:pPr>
              <w:spacing w:after="0"/>
              <w:rPr>
                <w:sz w:val="1"/>
                <w:szCs w:val="1"/>
                <w:color w:val="auto"/>
              </w:rPr>
            </w:pPr>
          </w:p>
        </w:tc>
      </w:tr>
      <w:tr>
        <w:trPr>
          <w:trHeight w:val="176"/>
        </w:trPr>
        <w:tc>
          <w:tcPr>
            <w:tcW w:w="5540" w:type="dxa"/>
            <w:vAlign w:val="bottom"/>
            <w:tcBorders>
              <w:left w:val="single" w:sz="8" w:color="auto"/>
              <w:right w:val="single" w:sz="8" w:color="auto"/>
            </w:tcBorders>
            <w:gridSpan w:val="2"/>
          </w:tcPr>
          <w:p>
            <w:pPr>
              <w:ind w:left="40"/>
              <w:spacing w:after="0"/>
              <w:rPr>
                <w:sz w:val="20"/>
                <w:szCs w:val="20"/>
                <w:color w:val="auto"/>
              </w:rPr>
            </w:pPr>
            <w:r>
              <w:rPr>
                <w:rFonts w:ascii="Arial" w:cs="Arial" w:eastAsia="Arial" w:hAnsi="Arial"/>
                <w:sz w:val="13"/>
                <w:szCs w:val="13"/>
                <w:b w:val="1"/>
                <w:bCs w:val="1"/>
                <w:color w:val="auto"/>
              </w:rPr>
              <w:t>Committee</w:t>
            </w:r>
          </w:p>
        </w:tc>
        <w:tc>
          <w:tcPr>
            <w:tcW w:w="240" w:type="dxa"/>
            <w:vAlign w:val="bottom"/>
            <w:tcBorders>
              <w:right w:val="single" w:sz="8" w:color="auto"/>
            </w:tcBorders>
          </w:tcPr>
          <w:p>
            <w:pPr>
              <w:spacing w:after="0"/>
              <w:rPr>
                <w:sz w:val="15"/>
                <w:szCs w:val="15"/>
                <w:color w:val="auto"/>
              </w:rPr>
            </w:pPr>
          </w:p>
        </w:tc>
        <w:tc>
          <w:tcPr>
            <w:tcW w:w="5520" w:type="dxa"/>
            <w:vAlign w:val="bottom"/>
            <w:tcBorders>
              <w:right w:val="single" w:sz="8" w:color="auto"/>
            </w:tcBorders>
            <w:gridSpan w:val="2"/>
            <w:vMerge w:val="restart"/>
          </w:tcPr>
          <w:p>
            <w:pPr>
              <w:ind w:left="20"/>
              <w:spacing w:after="0"/>
              <w:rPr>
                <w:sz w:val="20"/>
                <w:szCs w:val="20"/>
                <w:color w:val="auto"/>
              </w:rPr>
            </w:pPr>
            <w:r>
              <w:rPr>
                <w:rFonts w:ascii="Arial" w:cs="Arial" w:eastAsia="Arial" w:hAnsi="Arial"/>
                <w:sz w:val="13"/>
                <w:szCs w:val="13"/>
                <w:color w:val="auto"/>
              </w:rPr>
              <w:t>Dans l’hypothèse où aucun vote n’a eu lieu avant l'assemblée générale ordinaire 2022 sur les</w:t>
            </w:r>
          </w:p>
        </w:tc>
        <w:tc>
          <w:tcPr>
            <w:tcW w:w="0" w:type="dxa"/>
            <w:vAlign w:val="bottom"/>
          </w:tcPr>
          <w:p>
            <w:pPr>
              <w:spacing w:after="0"/>
              <w:rPr>
                <w:sz w:val="1"/>
                <w:szCs w:val="1"/>
                <w:color w:val="auto"/>
              </w:rPr>
            </w:pPr>
          </w:p>
        </w:tc>
      </w:tr>
      <w:tr>
        <w:trPr>
          <w:trHeight w:val="113"/>
        </w:trPr>
        <w:tc>
          <w:tcPr>
            <w:tcW w:w="240" w:type="dxa"/>
            <w:vAlign w:val="bottom"/>
            <w:tcBorders>
              <w:left w:val="single" w:sz="8" w:color="auto"/>
            </w:tcBorders>
          </w:tcPr>
          <w:p>
            <w:pPr>
              <w:spacing w:after="0"/>
              <w:rPr>
                <w:sz w:val="9"/>
                <w:szCs w:val="9"/>
                <w:color w:val="auto"/>
              </w:rPr>
            </w:pPr>
          </w:p>
        </w:tc>
        <w:tc>
          <w:tcPr>
            <w:tcW w:w="5300" w:type="dxa"/>
            <w:vAlign w:val="bottom"/>
            <w:tcBorders>
              <w:right w:val="single" w:sz="8" w:color="auto"/>
            </w:tcBorders>
          </w:tcPr>
          <w:p>
            <w:pPr>
              <w:spacing w:after="0"/>
              <w:rPr>
                <w:sz w:val="9"/>
                <w:szCs w:val="9"/>
                <w:color w:val="auto"/>
              </w:rPr>
            </w:pPr>
          </w:p>
        </w:tc>
        <w:tc>
          <w:tcPr>
            <w:tcW w:w="240" w:type="dxa"/>
            <w:vAlign w:val="bottom"/>
            <w:tcBorders>
              <w:right w:val="single" w:sz="8" w:color="auto"/>
            </w:tcBorders>
          </w:tcPr>
          <w:p>
            <w:pPr>
              <w:spacing w:after="0"/>
              <w:rPr>
                <w:sz w:val="9"/>
                <w:szCs w:val="9"/>
                <w:color w:val="auto"/>
              </w:rPr>
            </w:pPr>
          </w:p>
        </w:tc>
        <w:tc>
          <w:tcPr>
            <w:tcW w:w="5520" w:type="dxa"/>
            <w:vAlign w:val="bottom"/>
            <w:tcBorders>
              <w:right w:val="single" w:sz="8" w:color="auto"/>
            </w:tcBorders>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45"/>
        </w:trPr>
        <w:tc>
          <w:tcPr>
            <w:tcW w:w="5540" w:type="dxa"/>
            <w:vAlign w:val="bottom"/>
            <w:tcBorders>
              <w:left w:val="single" w:sz="8" w:color="auto"/>
              <w:right w:val="single" w:sz="8" w:color="auto"/>
            </w:tcBorders>
            <w:gridSpan w:val="2"/>
          </w:tcPr>
          <w:p>
            <w:pPr>
              <w:ind w:left="40"/>
              <w:spacing w:after="0" w:line="145" w:lineRule="exact"/>
              <w:rPr>
                <w:sz w:val="20"/>
                <w:szCs w:val="20"/>
                <w:color w:val="auto"/>
              </w:rPr>
            </w:pPr>
            <w:r>
              <w:rPr>
                <w:rFonts w:ascii="Arial" w:cs="Arial" w:eastAsia="Arial" w:hAnsi="Arial"/>
                <w:sz w:val="13"/>
                <w:szCs w:val="13"/>
                <w:color w:val="auto"/>
                <w:w w:val="99"/>
              </w:rPr>
              <w:t>In the event that no vote was taken prior to the Ordinary General Meeting 2022 with respect to i)</w:t>
            </w:r>
          </w:p>
        </w:tc>
        <w:tc>
          <w:tcPr>
            <w:tcW w:w="240" w:type="dxa"/>
            <w:vAlign w:val="bottom"/>
            <w:tcBorders>
              <w:right w:val="single" w:sz="8" w:color="auto"/>
            </w:tcBorders>
          </w:tcPr>
          <w:p>
            <w:pPr>
              <w:spacing w:after="0"/>
              <w:rPr>
                <w:sz w:val="12"/>
                <w:szCs w:val="12"/>
                <w:color w:val="auto"/>
              </w:rPr>
            </w:pPr>
          </w:p>
        </w:tc>
        <w:tc>
          <w:tcPr>
            <w:tcW w:w="5520" w:type="dxa"/>
            <w:vAlign w:val="bottom"/>
            <w:tcBorders>
              <w:right w:val="single" w:sz="8" w:color="auto"/>
            </w:tcBorders>
            <w:gridSpan w:val="2"/>
          </w:tcPr>
          <w:p>
            <w:pPr>
              <w:ind w:left="20"/>
              <w:spacing w:after="0" w:line="145" w:lineRule="exact"/>
              <w:rPr>
                <w:sz w:val="20"/>
                <w:szCs w:val="20"/>
                <w:color w:val="auto"/>
              </w:rPr>
            </w:pPr>
            <w:r>
              <w:rPr>
                <w:rFonts w:ascii="Arial" w:cs="Arial" w:eastAsia="Arial" w:hAnsi="Arial"/>
                <w:sz w:val="13"/>
                <w:szCs w:val="13"/>
                <w:color w:val="auto"/>
              </w:rPr>
              <w:t>objets (i) et (ii) ci-dessous, les actionnaires voteront lors de l'assemblée générale ordinaire</w:t>
            </w:r>
          </w:p>
        </w:tc>
        <w:tc>
          <w:tcPr>
            <w:tcW w:w="0" w:type="dxa"/>
            <w:vAlign w:val="bottom"/>
          </w:tcPr>
          <w:p>
            <w:pPr>
              <w:spacing w:after="0"/>
              <w:rPr>
                <w:sz w:val="1"/>
                <w:szCs w:val="1"/>
                <w:color w:val="auto"/>
              </w:rPr>
            </w:pPr>
          </w:p>
        </w:tc>
      </w:tr>
      <w:tr>
        <w:trPr>
          <w:trHeight w:val="145"/>
        </w:trPr>
        <w:tc>
          <w:tcPr>
            <w:tcW w:w="5540" w:type="dxa"/>
            <w:vAlign w:val="bottom"/>
            <w:tcBorders>
              <w:left w:val="single" w:sz="8" w:color="auto"/>
              <w:right w:val="single" w:sz="8" w:color="auto"/>
            </w:tcBorders>
            <w:gridSpan w:val="2"/>
          </w:tcPr>
          <w:p>
            <w:pPr>
              <w:ind w:left="40"/>
              <w:spacing w:after="0" w:line="145" w:lineRule="exact"/>
              <w:rPr>
                <w:sz w:val="20"/>
                <w:szCs w:val="20"/>
                <w:color w:val="auto"/>
              </w:rPr>
            </w:pPr>
            <w:r>
              <w:rPr>
                <w:rFonts w:ascii="Arial" w:cs="Arial" w:eastAsia="Arial" w:hAnsi="Arial"/>
                <w:sz w:val="13"/>
                <w:szCs w:val="13"/>
                <w:color w:val="auto"/>
              </w:rPr>
              <w:t>and ii) below, the shareholders shall vote, at the Ordinary General Meeting 2022, among other</w:t>
            </w:r>
          </w:p>
        </w:tc>
        <w:tc>
          <w:tcPr>
            <w:tcW w:w="240" w:type="dxa"/>
            <w:vAlign w:val="bottom"/>
            <w:tcBorders>
              <w:right w:val="single" w:sz="8" w:color="auto"/>
            </w:tcBorders>
          </w:tcPr>
          <w:p>
            <w:pPr>
              <w:spacing w:after="0"/>
              <w:rPr>
                <w:sz w:val="12"/>
                <w:szCs w:val="12"/>
                <w:color w:val="auto"/>
              </w:rPr>
            </w:pPr>
          </w:p>
        </w:tc>
        <w:tc>
          <w:tcPr>
            <w:tcW w:w="5520" w:type="dxa"/>
            <w:vAlign w:val="bottom"/>
            <w:tcBorders>
              <w:right w:val="single" w:sz="8" w:color="auto"/>
            </w:tcBorders>
            <w:gridSpan w:val="2"/>
          </w:tcPr>
          <w:p>
            <w:pPr>
              <w:ind w:left="20"/>
              <w:spacing w:after="0" w:line="145" w:lineRule="exact"/>
              <w:rPr>
                <w:sz w:val="20"/>
                <w:szCs w:val="20"/>
                <w:color w:val="auto"/>
              </w:rPr>
            </w:pPr>
            <w:r>
              <w:rPr>
                <w:rFonts w:ascii="Arial" w:cs="Arial" w:eastAsia="Arial" w:hAnsi="Arial"/>
                <w:sz w:val="13"/>
                <w:szCs w:val="13"/>
                <w:color w:val="auto"/>
              </w:rPr>
              <w:t>2022, entre autres, séparément sur l'approbation des propositions du conseil d'administration</w:t>
            </w:r>
          </w:p>
        </w:tc>
        <w:tc>
          <w:tcPr>
            <w:tcW w:w="0" w:type="dxa"/>
            <w:vAlign w:val="bottom"/>
          </w:tcPr>
          <w:p>
            <w:pPr>
              <w:spacing w:after="0"/>
              <w:rPr>
                <w:sz w:val="1"/>
                <w:szCs w:val="1"/>
                <w:color w:val="auto"/>
              </w:rPr>
            </w:pPr>
          </w:p>
        </w:tc>
      </w:tr>
      <w:tr>
        <w:trPr>
          <w:trHeight w:val="145"/>
        </w:trPr>
        <w:tc>
          <w:tcPr>
            <w:tcW w:w="5540" w:type="dxa"/>
            <w:vAlign w:val="bottom"/>
            <w:tcBorders>
              <w:left w:val="single" w:sz="8" w:color="auto"/>
              <w:right w:val="single" w:sz="8" w:color="auto"/>
            </w:tcBorders>
            <w:gridSpan w:val="2"/>
          </w:tcPr>
          <w:p>
            <w:pPr>
              <w:ind w:left="40"/>
              <w:spacing w:after="0" w:line="145" w:lineRule="exact"/>
              <w:rPr>
                <w:sz w:val="20"/>
                <w:szCs w:val="20"/>
                <w:color w:val="auto"/>
              </w:rPr>
            </w:pPr>
            <w:r>
              <w:rPr>
                <w:rFonts w:ascii="Arial" w:cs="Arial" w:eastAsia="Arial" w:hAnsi="Arial"/>
                <w:sz w:val="13"/>
                <w:szCs w:val="13"/>
                <w:color w:val="auto"/>
                <w:w w:val="99"/>
              </w:rPr>
              <w:t>things, separately on the approval of the proposals of the Board of Directors in relation to (i) the</w:t>
            </w:r>
          </w:p>
        </w:tc>
        <w:tc>
          <w:tcPr>
            <w:tcW w:w="240" w:type="dxa"/>
            <w:vAlign w:val="bottom"/>
            <w:tcBorders>
              <w:right w:val="single" w:sz="8" w:color="auto"/>
            </w:tcBorders>
          </w:tcPr>
          <w:p>
            <w:pPr>
              <w:spacing w:after="0"/>
              <w:rPr>
                <w:sz w:val="12"/>
                <w:szCs w:val="12"/>
                <w:color w:val="auto"/>
              </w:rPr>
            </w:pPr>
          </w:p>
        </w:tc>
        <w:tc>
          <w:tcPr>
            <w:tcW w:w="5520" w:type="dxa"/>
            <w:vAlign w:val="bottom"/>
            <w:tcBorders>
              <w:right w:val="single" w:sz="8" w:color="auto"/>
            </w:tcBorders>
            <w:gridSpan w:val="2"/>
          </w:tcPr>
          <w:p>
            <w:pPr>
              <w:ind w:left="20"/>
              <w:spacing w:after="0" w:line="145" w:lineRule="exact"/>
              <w:rPr>
                <w:sz w:val="20"/>
                <w:szCs w:val="20"/>
                <w:color w:val="auto"/>
              </w:rPr>
            </w:pPr>
            <w:r>
              <w:rPr>
                <w:rFonts w:ascii="Arial" w:cs="Arial" w:eastAsia="Arial" w:hAnsi="Arial"/>
                <w:sz w:val="13"/>
                <w:szCs w:val="13"/>
                <w:color w:val="auto"/>
              </w:rPr>
              <w:t>concernant (i) le montant global maximum de</w:t>
            </w:r>
          </w:p>
        </w:tc>
        <w:tc>
          <w:tcPr>
            <w:tcW w:w="0" w:type="dxa"/>
            <w:vAlign w:val="bottom"/>
          </w:tcPr>
          <w:p>
            <w:pPr>
              <w:spacing w:after="0"/>
              <w:rPr>
                <w:sz w:val="1"/>
                <w:szCs w:val="1"/>
                <w:color w:val="auto"/>
              </w:rPr>
            </w:pPr>
          </w:p>
        </w:tc>
      </w:tr>
      <w:tr>
        <w:trPr>
          <w:trHeight w:val="168"/>
        </w:trPr>
        <w:tc>
          <w:tcPr>
            <w:tcW w:w="5540" w:type="dxa"/>
            <w:vAlign w:val="bottom"/>
            <w:tcBorders>
              <w:left w:val="single" w:sz="8" w:color="auto"/>
              <w:right w:val="single" w:sz="8" w:color="auto"/>
            </w:tcBorders>
            <w:gridSpan w:val="2"/>
          </w:tcPr>
          <w:p>
            <w:pPr>
              <w:ind w:left="40"/>
              <w:spacing w:after="0"/>
              <w:rPr>
                <w:sz w:val="20"/>
                <w:szCs w:val="20"/>
                <w:color w:val="auto"/>
              </w:rPr>
            </w:pPr>
            <w:r>
              <w:rPr>
                <w:rFonts w:ascii="Arial" w:cs="Arial" w:eastAsia="Arial" w:hAnsi="Arial"/>
                <w:sz w:val="13"/>
                <w:szCs w:val="13"/>
                <w:color w:val="auto"/>
              </w:rPr>
              <w:t>maximum aggregate amount of compensation of the</w:t>
            </w:r>
          </w:p>
        </w:tc>
        <w:tc>
          <w:tcPr>
            <w:tcW w:w="240" w:type="dxa"/>
            <w:vAlign w:val="bottom"/>
            <w:tcBorders>
              <w:right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530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53"/>
        </w:trPr>
        <w:tc>
          <w:tcPr>
            <w:tcW w:w="240" w:type="dxa"/>
            <w:vAlign w:val="bottom"/>
            <w:tcBorders>
              <w:left w:val="single" w:sz="8" w:color="auto"/>
              <w:bottom w:val="single" w:sz="8" w:color="auto"/>
            </w:tcBorders>
          </w:tcPr>
          <w:p>
            <w:pPr>
              <w:spacing w:after="0"/>
              <w:rPr>
                <w:sz w:val="13"/>
                <w:szCs w:val="13"/>
                <w:color w:val="auto"/>
              </w:rPr>
            </w:pPr>
          </w:p>
        </w:tc>
        <w:tc>
          <w:tcPr>
            <w:tcW w:w="5300" w:type="dxa"/>
            <w:vAlign w:val="bottom"/>
            <w:tcBorders>
              <w:bottom w:val="single" w:sz="8" w:color="auto"/>
              <w:right w:val="single" w:sz="8" w:color="auto"/>
            </w:tcBorders>
          </w:tcPr>
          <w:p>
            <w:pPr>
              <w:spacing w:after="0"/>
              <w:rPr>
                <w:sz w:val="13"/>
                <w:szCs w:val="13"/>
                <w:color w:val="auto"/>
              </w:rPr>
            </w:pPr>
          </w:p>
        </w:tc>
        <w:tc>
          <w:tcPr>
            <w:tcW w:w="240" w:type="dxa"/>
            <w:vAlign w:val="bottom"/>
            <w:tcBorders>
              <w:bottom w:val="single" w:sz="8" w:color="auto"/>
              <w:right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5300" w:type="dxa"/>
            <w:vAlign w:val="bottom"/>
            <w:tcBorders>
              <w:bottom w:val="single" w:sz="8" w:color="auto"/>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bl>
    <w:p>
      <w:pPr>
        <w:spacing w:after="0" w:line="59"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5"/>
          <w:szCs w:val="15"/>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12700</wp:posOffset>
            </wp:positionV>
            <wp:extent cx="7171690" cy="635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71690" cy="6350"/>
                    </a:xfrm>
                    <a:prstGeom prst="rect">
                      <a:avLst/>
                    </a:prstGeom>
                    <a:noFill/>
                  </pic:spPr>
                </pic:pic>
              </a:graphicData>
            </a:graphic>
          </wp:anchor>
        </w:drawing>
      </w:r>
    </w:p>
    <w:p>
      <w:pPr>
        <w:sectPr>
          <w:pgSz w:w="11900" w:h="16838" w:orient="portrait"/>
          <w:cols w:equalWidth="0" w:num="1">
            <w:col w:w="11300"/>
          </w:cols>
          <w:pgMar w:left="300" w:top="448" w:right="299" w:bottom="1440" w:gutter="0" w:footer="0" w:header="0"/>
        </w:sectPr>
      </w:pPr>
    </w:p>
    <w:bookmarkStart w:id="91" w:name="page92"/>
    <w:bookmarkEnd w:id="91"/>
    <w:p>
      <w:pPr>
        <w:jc w:val="both"/>
        <w:ind w:left="40"/>
        <w:spacing w:after="0" w:line="242" w:lineRule="auto"/>
        <w:rPr>
          <w:sz w:val="20"/>
          <w:szCs w:val="20"/>
          <w:color w:val="auto"/>
        </w:rPr>
      </w:pPr>
      <w:r>
        <w:rPr>
          <w:rFonts w:ascii="Arial" w:cs="Arial" w:eastAsia="Arial" w:hAnsi="Arial"/>
          <w:sz w:val="13"/>
          <w:szCs w:val="13"/>
          <w:color w:val="auto"/>
        </w:rPr>
        <w:drawing>
          <wp:anchor simplePos="0" relativeHeight="251657728" behindDoc="1" locked="0" layoutInCell="0" allowOverlap="1">
            <wp:simplePos x="0" y="0"/>
            <wp:positionH relativeFrom="page">
              <wp:posOffset>188595</wp:posOffset>
            </wp:positionH>
            <wp:positionV relativeFrom="page">
              <wp:posOffset>297180</wp:posOffset>
            </wp:positionV>
            <wp:extent cx="7171690" cy="150812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71690" cy="1508125"/>
                    </a:xfrm>
                    <a:prstGeom prst="rect">
                      <a:avLst/>
                    </a:prstGeom>
                    <a:noFill/>
                  </pic:spPr>
                </pic:pic>
              </a:graphicData>
            </a:graphic>
          </wp:anchor>
        </w:drawing>
        <w:t>Executive Committee for the following financial year 2023 in accordance with the amended Articles 8 para. 1 lit. e) and 18 of the Articles of Association approved by the Ordinary General Meeting held on 25 June 2021 and the Articles 33 and 35 of the Articles of Association, and (ii) the total maximum amount of compensation of the Executive Committee for</w:t>
      </w:r>
    </w:p>
    <w:p>
      <w:pPr>
        <w:spacing w:after="0" w:line="121" w:lineRule="exact"/>
        <w:rPr>
          <w:sz w:val="20"/>
          <w:szCs w:val="20"/>
          <w:color w:val="auto"/>
        </w:rPr>
      </w:pPr>
    </w:p>
    <w:p>
      <w:pPr>
        <w:ind w:left="260" w:hanging="227"/>
        <w:spacing w:after="0" w:line="262" w:lineRule="auto"/>
        <w:tabs>
          <w:tab w:leader="none" w:pos="355" w:val="left"/>
        </w:tabs>
        <w:numPr>
          <w:ilvl w:val="0"/>
          <w:numId w:val="11"/>
        </w:numPr>
        <w:rPr>
          <w:rFonts w:ascii="Arial" w:cs="Arial" w:eastAsia="Arial" w:hAnsi="Arial"/>
          <w:sz w:val="13"/>
          <w:szCs w:val="13"/>
          <w:color w:val="auto"/>
        </w:rPr>
      </w:pPr>
      <w:r>
        <w:rPr>
          <w:rFonts w:ascii="Arial" w:cs="Arial" w:eastAsia="Arial" w:hAnsi="Arial"/>
          <w:sz w:val="13"/>
          <w:szCs w:val="13"/>
          <w:color w:val="auto"/>
        </w:rPr>
        <w:t>the non-performance-related compensation of the Executive Committee for the 6-month period starting on 1 July 2022 to 31 December 2022;</w:t>
      </w:r>
    </w:p>
    <w:p>
      <w:pPr>
        <w:spacing w:after="0" w:line="107" w:lineRule="exact"/>
        <w:rPr>
          <w:rFonts w:ascii="Arial" w:cs="Arial" w:eastAsia="Arial" w:hAnsi="Arial"/>
          <w:sz w:val="13"/>
          <w:szCs w:val="13"/>
          <w:color w:val="auto"/>
        </w:rPr>
      </w:pPr>
    </w:p>
    <w:p>
      <w:pPr>
        <w:ind w:left="260" w:hanging="227"/>
        <w:spacing w:after="0" w:line="262" w:lineRule="auto"/>
        <w:tabs>
          <w:tab w:leader="none" w:pos="293" w:val="left"/>
        </w:tabs>
        <w:numPr>
          <w:ilvl w:val="0"/>
          <w:numId w:val="11"/>
        </w:numPr>
        <w:rPr>
          <w:rFonts w:ascii="Arial" w:cs="Arial" w:eastAsia="Arial" w:hAnsi="Arial"/>
          <w:sz w:val="13"/>
          <w:szCs w:val="13"/>
          <w:color w:val="auto"/>
        </w:rPr>
      </w:pPr>
      <w:r>
        <w:rPr>
          <w:rFonts w:ascii="Arial" w:cs="Arial" w:eastAsia="Arial" w:hAnsi="Arial"/>
          <w:sz w:val="13"/>
          <w:szCs w:val="13"/>
          <w:color w:val="auto"/>
        </w:rPr>
        <w:t>the variable compensation for the Executive Committee for the 12-month period starting on 1 January 2022 to 31 December 2022; and</w:t>
      </w:r>
    </w:p>
    <w:p>
      <w:pPr>
        <w:spacing w:after="0" w:line="107" w:lineRule="exact"/>
        <w:rPr>
          <w:rFonts w:ascii="Arial" w:cs="Arial" w:eastAsia="Arial" w:hAnsi="Arial"/>
          <w:sz w:val="13"/>
          <w:szCs w:val="13"/>
          <w:color w:val="auto"/>
        </w:rPr>
      </w:pPr>
    </w:p>
    <w:p>
      <w:pPr>
        <w:ind w:left="260" w:hanging="227"/>
        <w:spacing w:after="0" w:line="262" w:lineRule="auto"/>
        <w:tabs>
          <w:tab w:leader="none" w:pos="348" w:val="left"/>
        </w:tabs>
        <w:numPr>
          <w:ilvl w:val="0"/>
          <w:numId w:val="11"/>
        </w:numPr>
        <w:rPr>
          <w:rFonts w:ascii="Arial" w:cs="Arial" w:eastAsia="Arial" w:hAnsi="Arial"/>
          <w:sz w:val="13"/>
          <w:szCs w:val="13"/>
          <w:color w:val="auto"/>
        </w:rPr>
      </w:pPr>
      <w:r>
        <w:rPr>
          <w:rFonts w:ascii="Arial" w:cs="Arial" w:eastAsia="Arial" w:hAnsi="Arial"/>
          <w:sz w:val="13"/>
          <w:szCs w:val="13"/>
          <w:color w:val="auto"/>
        </w:rPr>
        <w:t>the grant of Equity in the Company to the Executive Committee for the 6-month period starting on 1 July 2022 to 31 December 2022,</w:t>
      </w:r>
    </w:p>
    <w:p>
      <w:pPr>
        <w:spacing w:after="0" w:line="108" w:lineRule="exact"/>
        <w:rPr>
          <w:sz w:val="20"/>
          <w:szCs w:val="20"/>
          <w:color w:val="auto"/>
        </w:rPr>
      </w:pPr>
    </w:p>
    <w:p>
      <w:pPr>
        <w:ind w:left="40"/>
        <w:spacing w:after="0"/>
        <w:rPr>
          <w:sz w:val="20"/>
          <w:szCs w:val="20"/>
          <w:color w:val="auto"/>
        </w:rPr>
      </w:pPr>
      <w:r>
        <w:rPr>
          <w:rFonts w:ascii="Arial" w:cs="Arial" w:eastAsia="Arial" w:hAnsi="Arial"/>
          <w:sz w:val="13"/>
          <w:szCs w:val="13"/>
          <w:color w:val="auto"/>
        </w:rPr>
        <w:t>in accordance with Articles 18 para. 2 and 3, 33 as well as 35 of the Articles of Association.</w:t>
      </w:r>
    </w:p>
    <w:p>
      <w:pPr>
        <w:spacing w:after="0" w:line="20" w:lineRule="exact"/>
        <w:rPr>
          <w:sz w:val="20"/>
          <w:szCs w:val="20"/>
          <w:color w:val="auto"/>
        </w:rPr>
      </w:pPr>
      <w:r>
        <w:rPr>
          <w:sz w:val="20"/>
          <w:szCs w:val="20"/>
          <w:color w:val="auto"/>
        </w:rPr>
        <w:br w:type="column"/>
      </w:r>
    </w:p>
    <w:p>
      <w:pPr>
        <w:jc w:val="both"/>
        <w:ind w:left="5" w:right="20"/>
        <w:spacing w:after="0" w:line="242" w:lineRule="auto"/>
        <w:rPr>
          <w:sz w:val="20"/>
          <w:szCs w:val="20"/>
          <w:color w:val="auto"/>
        </w:rPr>
      </w:pPr>
      <w:r>
        <w:rPr>
          <w:rFonts w:ascii="Arial" w:cs="Arial" w:eastAsia="Arial" w:hAnsi="Arial"/>
          <w:sz w:val="13"/>
          <w:szCs w:val="13"/>
          <w:color w:val="auto"/>
        </w:rPr>
        <w:t>la rémunération du comité exécutif pour l'exercice suivant 2023 conformément aux articles 8, al. 1 let. e) et 18 des statuts approuvés par l'assemblée générale ordinaire du 25 juin 2021 et les articles 33 et 35 des statuts, et (ii) le montant total maximum de la rémunération du comité exécutif pour</w:t>
      </w:r>
    </w:p>
    <w:p>
      <w:pPr>
        <w:spacing w:after="0" w:line="121" w:lineRule="exact"/>
        <w:rPr>
          <w:sz w:val="20"/>
          <w:szCs w:val="20"/>
          <w:color w:val="auto"/>
        </w:rPr>
      </w:pPr>
    </w:p>
    <w:p>
      <w:pPr>
        <w:ind w:left="225" w:hanging="225"/>
        <w:spacing w:after="0" w:line="262" w:lineRule="auto"/>
        <w:tabs>
          <w:tab w:leader="none" w:pos="266" w:val="left"/>
        </w:tabs>
        <w:numPr>
          <w:ilvl w:val="0"/>
          <w:numId w:val="12"/>
        </w:numPr>
        <w:rPr>
          <w:rFonts w:ascii="Arial" w:cs="Arial" w:eastAsia="Arial" w:hAnsi="Arial"/>
          <w:sz w:val="13"/>
          <w:szCs w:val="13"/>
          <w:color w:val="auto"/>
        </w:rPr>
      </w:pPr>
      <w:r>
        <w:rPr>
          <w:rFonts w:ascii="Arial" w:cs="Arial" w:eastAsia="Arial" w:hAnsi="Arial"/>
          <w:sz w:val="13"/>
          <w:szCs w:val="13"/>
          <w:color w:val="auto"/>
        </w:rPr>
        <w:t>la rémunération non liée à la performance du comité exécutif pour la période de 6 mois du 1er juillet 2022 au 31 décembre 2022;</w:t>
      </w:r>
    </w:p>
    <w:p>
      <w:pPr>
        <w:spacing w:after="0" w:line="107" w:lineRule="exact"/>
        <w:rPr>
          <w:rFonts w:ascii="Arial" w:cs="Arial" w:eastAsia="Arial" w:hAnsi="Arial"/>
          <w:sz w:val="13"/>
          <w:szCs w:val="13"/>
          <w:color w:val="auto"/>
        </w:rPr>
      </w:pPr>
    </w:p>
    <w:p>
      <w:pPr>
        <w:ind w:left="225" w:hanging="225"/>
        <w:spacing w:after="0" w:line="262" w:lineRule="auto"/>
        <w:tabs>
          <w:tab w:leader="none" w:pos="274" w:val="left"/>
        </w:tabs>
        <w:numPr>
          <w:ilvl w:val="0"/>
          <w:numId w:val="12"/>
        </w:numPr>
        <w:rPr>
          <w:rFonts w:ascii="Arial" w:cs="Arial" w:eastAsia="Arial" w:hAnsi="Arial"/>
          <w:sz w:val="13"/>
          <w:szCs w:val="13"/>
          <w:color w:val="auto"/>
        </w:rPr>
      </w:pPr>
      <w:r>
        <w:rPr>
          <w:rFonts w:ascii="Arial" w:cs="Arial" w:eastAsia="Arial" w:hAnsi="Arial"/>
          <w:sz w:val="13"/>
          <w:szCs w:val="13"/>
          <w:color w:val="auto"/>
        </w:rPr>
        <w:t>la rémunération variable pour le comité exécutif pour la période de 12 mois du 1er janvier 2022 au 31 décembre 2022;</w:t>
      </w:r>
    </w:p>
    <w:p>
      <w:pPr>
        <w:spacing w:after="0" w:line="107" w:lineRule="exact"/>
        <w:rPr>
          <w:rFonts w:ascii="Arial" w:cs="Arial" w:eastAsia="Arial" w:hAnsi="Arial"/>
          <w:sz w:val="13"/>
          <w:szCs w:val="13"/>
          <w:color w:val="auto"/>
        </w:rPr>
      </w:pPr>
    </w:p>
    <w:p>
      <w:pPr>
        <w:ind w:left="225" w:right="20" w:hanging="225"/>
        <w:spacing w:after="0" w:line="262" w:lineRule="auto"/>
        <w:tabs>
          <w:tab w:leader="none" w:pos="243" w:val="left"/>
        </w:tabs>
        <w:numPr>
          <w:ilvl w:val="0"/>
          <w:numId w:val="12"/>
        </w:numPr>
        <w:rPr>
          <w:rFonts w:ascii="Arial" w:cs="Arial" w:eastAsia="Arial" w:hAnsi="Arial"/>
          <w:sz w:val="13"/>
          <w:szCs w:val="13"/>
          <w:color w:val="auto"/>
        </w:rPr>
      </w:pPr>
      <w:r>
        <w:rPr>
          <w:rFonts w:ascii="Arial" w:cs="Arial" w:eastAsia="Arial" w:hAnsi="Arial"/>
          <w:sz w:val="13"/>
          <w:szCs w:val="13"/>
          <w:color w:val="auto"/>
        </w:rPr>
        <w:t>l'octroi de participations dans la société au comité exécutif pour la période de 6 mois du 1er juillet 2022 au 31 décembre 2022,</w:t>
      </w:r>
    </w:p>
    <w:p>
      <w:pPr>
        <w:spacing w:after="0" w:line="108" w:lineRule="exact"/>
        <w:rPr>
          <w:sz w:val="20"/>
          <w:szCs w:val="20"/>
          <w:color w:val="auto"/>
        </w:rPr>
      </w:pPr>
    </w:p>
    <w:p>
      <w:pPr>
        <w:ind w:left="5"/>
        <w:spacing w:after="0"/>
        <w:rPr>
          <w:sz w:val="20"/>
          <w:szCs w:val="20"/>
          <w:color w:val="auto"/>
        </w:rPr>
      </w:pPr>
      <w:r>
        <w:rPr>
          <w:rFonts w:ascii="Arial" w:cs="Arial" w:eastAsia="Arial" w:hAnsi="Arial"/>
          <w:sz w:val="13"/>
          <w:szCs w:val="13"/>
          <w:color w:val="auto"/>
        </w:rPr>
        <w:t>conformément à l'article 18 al. 2 et 3, ainsi que 33 et 35 des statuts.</w:t>
      </w:r>
    </w:p>
    <w:p>
      <w:pPr>
        <w:spacing w:after="0" w:line="200" w:lineRule="exact"/>
        <w:rPr>
          <w:sz w:val="20"/>
          <w:szCs w:val="20"/>
          <w:color w:val="auto"/>
        </w:rPr>
      </w:pPr>
    </w:p>
    <w:p>
      <w:pPr>
        <w:sectPr>
          <w:pgSz w:w="11900" w:h="16838" w:orient="portrait"/>
          <w:cols w:equalWidth="0" w:num="2">
            <w:col w:w="5500" w:space="295"/>
            <w:col w:w="5465"/>
          </w:cols>
          <w:pgMar w:left="300" w:top="484" w:right="339" w:bottom="1440" w:gutter="0" w:footer="0" w:header="0"/>
        </w:sectPr>
      </w:pPr>
    </w:p>
    <w:p>
      <w:pPr>
        <w:spacing w:after="0" w:line="114" w:lineRule="exact"/>
        <w:rPr>
          <w:sz w:val="20"/>
          <w:szCs w:val="20"/>
          <w:color w:val="auto"/>
        </w:rPr>
      </w:pPr>
    </w:p>
    <w:p>
      <w:pPr>
        <w:spacing w:after="0"/>
        <w:rPr>
          <w:sz w:val="20"/>
          <w:szCs w:val="20"/>
          <w:color w:val="auto"/>
        </w:rPr>
      </w:pPr>
      <w:r>
        <w:rPr>
          <w:rFonts w:ascii="Arial" w:cs="Arial" w:eastAsia="Arial" w:hAnsi="Arial"/>
          <w:sz w:val="12"/>
          <w:szCs w:val="12"/>
          <w:color w:val="auto"/>
        </w:rPr>
        <w:t>Statuts modifiés lors de l’Assemblée générérale ordinaire du 24 juin 2022.</w:t>
      </w:r>
    </w:p>
    <w:p>
      <w:pPr>
        <w:spacing w:after="0" w:line="152" w:lineRule="exact"/>
        <w:rPr>
          <w:sz w:val="20"/>
          <w:szCs w:val="20"/>
          <w:color w:val="auto"/>
        </w:rPr>
      </w:pPr>
    </w:p>
    <w:p>
      <w:pPr>
        <w:spacing w:after="0"/>
        <w:rPr>
          <w:sz w:val="20"/>
          <w:szCs w:val="20"/>
          <w:color w:val="auto"/>
        </w:rPr>
      </w:pPr>
      <w:r>
        <w:rPr>
          <w:rFonts w:ascii="Arial" w:cs="Arial" w:eastAsia="Arial" w:hAnsi="Arial"/>
          <w:sz w:val="13"/>
          <w:szCs w:val="13"/>
          <w:color w:val="auto"/>
        </w:rPr>
        <w:t>L'atteste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305435</wp:posOffset>
            </wp:positionV>
            <wp:extent cx="7171690" cy="635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71690" cy="6350"/>
                    </a:xfrm>
                    <a:prstGeom prst="rect">
                      <a:avLst/>
                    </a:prstGeom>
                    <a:noFill/>
                  </pic:spPr>
                </pic:pic>
              </a:graphicData>
            </a:graphic>
          </wp:anchor>
        </w:drawing>
      </w:r>
    </w:p>
    <w:sectPr>
      <w:pgSz w:w="11900" w:h="16838" w:orient="portrait"/>
      <w:cols w:equalWidth="0" w:num="1">
        <w:col w:w="11260"/>
      </w:cols>
      <w:pgMar w:left="300" w:top="484"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EB141F2"/>
    <w:multiLevelType w:val="hybridMultilevel"/>
    <w:lvl w:ilvl="0">
      <w:lvlJc w:val="left"/>
      <w:lvlText w:val="§"/>
      <w:numFmt w:val="bullet"/>
      <w:start w:val="1"/>
    </w:lvl>
  </w:abstractNum>
  <w:abstractNum w:abstractNumId="1">
    <w:nsid w:val="41B71EFB"/>
    <w:multiLevelType w:val="hybridMultilevel"/>
    <w:lvl w:ilvl="0">
      <w:lvlJc w:val="left"/>
      <w:lvlText w:val="(%1)"/>
      <w:numFmt w:val="lowerLetter"/>
      <w:start w:val="1"/>
    </w:lvl>
    <w:lvl w:ilvl="1">
      <w:lvlJc w:val="left"/>
      <w:lvlText w:val="(%2)"/>
      <w:numFmt w:val="decimal"/>
    </w:lvl>
    <w:lvl w:ilvl="2">
      <w:lvlJc w:val="left"/>
      <w:lvlText w:val="(%3)"/>
      <w:numFmt w:val="lowerRoman"/>
      <w:start w:val="1"/>
    </w:lvl>
  </w:abstractNum>
  <w:abstractNum w:abstractNumId="2">
    <w:nsid w:val="79E2A9E3"/>
    <w:multiLevelType w:val="hybridMultilevel"/>
    <w:lvl w:ilvl="0">
      <w:lvlJc w:val="left"/>
      <w:lvlText w:val="%1"/>
      <w:numFmt w:val="lowerLetter"/>
      <w:start w:val="1"/>
    </w:lvl>
    <w:lvl w:ilvl="1">
      <w:lvlJc w:val="left"/>
      <w:lvlText w:val="%2"/>
      <w:numFmt w:val="decimal"/>
      <w:start w:val="1"/>
    </w:lvl>
    <w:lvl w:ilvl="2">
      <w:lvlJc w:val="left"/>
      <w:lvlText w:val="(%3)"/>
      <w:numFmt w:val="lowerRoman"/>
      <w:start w:val="2"/>
    </w:lvl>
  </w:abstractNum>
  <w:abstractNum w:abstractNumId="3">
    <w:nsid w:val="7545E146"/>
    <w:multiLevelType w:val="hybridMultilevel"/>
    <w:lvl w:ilvl="0">
      <w:lvlJc w:val="left"/>
      <w:lvlText w:val="(%1)"/>
      <w:numFmt w:val="lowerLetter"/>
      <w:start w:val="1"/>
    </w:lvl>
    <w:lvl w:ilvl="1">
      <w:lvlJc w:val="left"/>
      <w:lvlText w:val="(%2)"/>
      <w:numFmt w:val="decimal"/>
    </w:lvl>
    <w:lvl w:ilvl="2">
      <w:lvlJc w:val="left"/>
      <w:lvlText w:val="(%3)"/>
      <w:numFmt w:val="lowerRoman"/>
      <w:start w:val="1"/>
    </w:lvl>
  </w:abstractNum>
  <w:abstractNum w:abstractNumId="4">
    <w:nsid w:val="515F007C"/>
    <w:multiLevelType w:val="hybridMultilevel"/>
    <w:lvl w:ilvl="0">
      <w:lvlJc w:val="left"/>
      <w:lvlText w:val="%1"/>
      <w:numFmt w:val="lowerLetter"/>
      <w:start w:val="1"/>
    </w:lvl>
    <w:lvl w:ilvl="1">
      <w:lvlJc w:val="left"/>
      <w:lvlText w:val="%2"/>
      <w:numFmt w:val="decimal"/>
      <w:start w:val="1"/>
    </w:lvl>
    <w:lvl w:ilvl="2">
      <w:lvlJc w:val="left"/>
      <w:lvlText w:val="(%3)"/>
      <w:numFmt w:val="lowerRoman"/>
      <w:start w:val="2"/>
    </w:lvl>
  </w:abstractNum>
  <w:abstractNum w:abstractNumId="5">
    <w:nsid w:val="5BD062C2"/>
    <w:multiLevelType w:val="hybridMultilevel"/>
    <w:lvl w:ilvl="0">
      <w:lvlJc w:val="left"/>
      <w:lvlText w:val="(%1)"/>
      <w:numFmt w:val="lowerRoman"/>
      <w:start w:val="3"/>
    </w:lvl>
  </w:abstractNum>
  <w:abstractNum w:abstractNumId="6">
    <w:nsid w:val="12200854"/>
    <w:multiLevelType w:val="hybridMultilevel"/>
    <w:lvl w:ilvl="0">
      <w:lvlJc w:val="left"/>
      <w:lvlText w:val="(%1)"/>
      <w:numFmt w:val="lowerRoman"/>
      <w:start w:val="3"/>
    </w:lvl>
  </w:abstractNum>
  <w:abstractNum w:abstractNumId="7">
    <w:nsid w:val="4DB127F8"/>
    <w:multiLevelType w:val="hybridMultilevel"/>
    <w:lvl w:ilvl="0">
      <w:lvlJc w:val="left"/>
      <w:lvlText w:val="%1)"/>
      <w:numFmt w:val="lowerLetter"/>
      <w:start w:val="6"/>
    </w:lvl>
  </w:abstractNum>
  <w:abstractNum w:abstractNumId="8">
    <w:nsid w:val="216231B"/>
    <w:multiLevelType w:val="hybridMultilevel"/>
    <w:lvl w:ilvl="0">
      <w:lvlJc w:val="left"/>
      <w:lvlText w:val="%1)"/>
      <w:numFmt w:val="lowerLetter"/>
      <w:start w:val="1"/>
    </w:lvl>
  </w:abstractNum>
  <w:abstractNum w:abstractNumId="9">
    <w:nsid w:val="1F16E9E8"/>
    <w:multiLevelType w:val="hybridMultilevel"/>
    <w:lvl w:ilvl="0">
      <w:lvlJc w:val="left"/>
      <w:lvlText w:val="%1)"/>
      <w:numFmt w:val="lowerLetter"/>
      <w:start w:val="1"/>
    </w:lvl>
  </w:abstractNum>
  <w:abstractNum w:abstractNumId="10">
    <w:nsid w:val="1190CDE7"/>
    <w:multiLevelType w:val="hybridMultilevel"/>
    <w:lvl w:ilvl="0">
      <w:lvlJc w:val="left"/>
      <w:lvlText w:val="%1)"/>
      <w:numFmt w:val="lowerLetter"/>
      <w:start w:val="1"/>
    </w:lvl>
  </w:abstractNum>
  <w:abstractNum w:abstractNumId="11">
    <w:nsid w:val="66EF438D"/>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jpe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2022-06-24T16:35:57Z</dcterms:created>
  <dcterms:modified xsi:type="dcterms:W3CDTF">2022-06-24T16:35:57Z</dcterms:modified>
</cp:coreProperties>
</file>