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p>
    <w:p>
      <w:pPr>
        <w:jc w:val="center"/>
        <w:ind w:left="240" w:right="259"/>
        <w:spacing w:after="0" w:line="246"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AC IMMUNE SA</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 w:lineRule="exact"/>
        <w:rPr>
          <w:sz w:val="24"/>
          <w:szCs w:val="24"/>
          <w:color w:val="auto"/>
        </w:rPr>
      </w:pPr>
    </w:p>
    <w:p>
      <w:pPr>
        <w:jc w:val="center"/>
        <w:ind w:left="240" w:right="25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960120</wp:posOffset>
            </wp:positionV>
            <wp:extent cx="54006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9"/>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4"/>
        </w:trPr>
        <w:tc>
          <w:tcPr>
            <w:tcW w:w="700" w:type="dxa"/>
            <w:vAlign w:val="bottom"/>
          </w:tcPr>
          <w:p>
            <w:pPr>
              <w:jc w:val="right"/>
              <w:ind w:right="214"/>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78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March 13, 2026</w:t>
            </w:r>
          </w:p>
        </w:tc>
      </w:tr>
      <w:tr>
        <w:trPr>
          <w:trHeight w:val="182"/>
        </w:trPr>
        <w:tc>
          <w:tcPr>
            <w:tcW w:w="700" w:type="dxa"/>
            <w:vAlign w:val="bottom"/>
          </w:tcPr>
          <w:p>
            <w:pPr>
              <w:jc w:val="right"/>
              <w:ind w:right="214"/>
              <w:spacing w:after="0" w:line="182" w:lineRule="exact"/>
              <w:rPr>
                <w:sz w:val="20"/>
                <w:szCs w:val="20"/>
                <w:color w:val="auto"/>
              </w:rPr>
            </w:pPr>
            <w:r>
              <w:rPr>
                <w:rFonts w:ascii="Times New Roman" w:cs="Times New Roman" w:eastAsia="Times New Roman" w:hAnsi="Times New Roman"/>
                <w:sz w:val="18"/>
                <w:szCs w:val="18"/>
                <w:color w:val="auto"/>
              </w:rPr>
              <w:t>99.2</w:t>
            </w:r>
          </w:p>
        </w:tc>
        <w:tc>
          <w:tcPr>
            <w:tcW w:w="38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9"/>
              </w:rPr>
              <w:t>2025</w:t>
            </w:r>
          </w:p>
        </w:tc>
        <w:tc>
          <w:tcPr>
            <w:tcW w:w="2220" w:type="dxa"/>
            <w:vAlign w:val="bottom"/>
            <w:tcBorders>
              <w:top w:val="single" w:sz="8" w:color="0000EE"/>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EE"/>
              </w:rPr>
              <w:t>IFRS Consolidated Financial</w:t>
            </w:r>
          </w:p>
        </w:tc>
        <w:tc>
          <w:tcPr>
            <w:tcW w:w="52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EE"/>
              </w:rPr>
              <w:t>Statements</w:t>
            </w:r>
          </w:p>
        </w:tc>
      </w:tr>
      <w:tr>
        <w:trPr>
          <w:trHeight w:val="183"/>
        </w:trPr>
        <w:tc>
          <w:tcPr>
            <w:tcW w:w="700" w:type="dxa"/>
            <w:vAlign w:val="bottom"/>
          </w:tcPr>
          <w:p>
            <w:pPr>
              <w:jc w:val="right"/>
              <w:ind w:right="214"/>
              <w:spacing w:after="0" w:line="182" w:lineRule="exact"/>
              <w:rPr>
                <w:sz w:val="20"/>
                <w:szCs w:val="20"/>
                <w:color w:val="auto"/>
              </w:rPr>
            </w:pPr>
            <w:r>
              <w:rPr>
                <w:rFonts w:ascii="Times New Roman" w:cs="Times New Roman" w:eastAsia="Times New Roman" w:hAnsi="Times New Roman"/>
                <w:sz w:val="18"/>
                <w:szCs w:val="18"/>
                <w:color w:val="auto"/>
              </w:rPr>
              <w:t>99.3</w:t>
            </w:r>
          </w:p>
        </w:tc>
        <w:tc>
          <w:tcPr>
            <w:tcW w:w="38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9"/>
              </w:rPr>
              <w:t>2025</w:t>
            </w:r>
          </w:p>
        </w:tc>
        <w:tc>
          <w:tcPr>
            <w:tcW w:w="2940" w:type="dxa"/>
            <w:vAlign w:val="bottom"/>
            <w:tcBorders>
              <w:top w:val="single" w:sz="8" w:color="0000EE"/>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EE"/>
              </w:rPr>
              <w:t>Statutory Annual Report</w:t>
            </w:r>
          </w:p>
        </w:tc>
        <w:tc>
          <w:tcPr>
            <w:tcW w:w="4480" w:type="dxa"/>
            <w:vAlign w:val="bottom"/>
          </w:tcPr>
          <w:p>
            <w:pPr>
              <w:spacing w:after="0"/>
              <w:rPr>
                <w:sz w:val="15"/>
                <w:szCs w:val="15"/>
                <w:color w:val="auto"/>
              </w:rPr>
            </w:pPr>
          </w:p>
        </w:tc>
      </w:tr>
      <w:tr>
        <w:trPr>
          <w:trHeight w:val="183"/>
        </w:trPr>
        <w:tc>
          <w:tcPr>
            <w:tcW w:w="700" w:type="dxa"/>
            <w:vAlign w:val="bottom"/>
          </w:tcPr>
          <w:p>
            <w:pPr>
              <w:jc w:val="right"/>
              <w:ind w:right="214"/>
              <w:spacing w:after="0" w:line="182" w:lineRule="exact"/>
              <w:rPr>
                <w:sz w:val="20"/>
                <w:szCs w:val="20"/>
                <w:color w:val="auto"/>
              </w:rPr>
            </w:pPr>
            <w:r>
              <w:rPr>
                <w:rFonts w:ascii="Times New Roman" w:cs="Times New Roman" w:eastAsia="Times New Roman" w:hAnsi="Times New Roman"/>
                <w:sz w:val="18"/>
                <w:szCs w:val="18"/>
                <w:color w:val="auto"/>
              </w:rPr>
              <w:t>99.4</w:t>
            </w:r>
          </w:p>
        </w:tc>
        <w:tc>
          <w:tcPr>
            <w:tcW w:w="38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9"/>
              </w:rPr>
              <w:t>2025</w:t>
            </w:r>
          </w:p>
        </w:tc>
        <w:tc>
          <w:tcPr>
            <w:tcW w:w="1780" w:type="dxa"/>
            <w:vAlign w:val="bottom"/>
            <w:tcBorders>
              <w:top w:val="single" w:sz="8" w:color="0000EE"/>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EE"/>
              </w:rPr>
              <w:t>Compensation Report</w:t>
            </w:r>
          </w:p>
        </w:tc>
        <w:tc>
          <w:tcPr>
            <w:tcW w:w="5640" w:type="dxa"/>
            <w:vAlign w:val="bottom"/>
            <w:gridSpan w:val="3"/>
          </w:tcPr>
          <w:p>
            <w:pPr>
              <w:spacing w:after="0"/>
              <w:rPr>
                <w:sz w:val="15"/>
                <w:szCs w:val="15"/>
                <w:color w:val="auto"/>
              </w:rPr>
            </w:pPr>
          </w:p>
        </w:tc>
      </w:tr>
      <w:tr>
        <w:trPr>
          <w:trHeight w:val="136"/>
        </w:trPr>
        <w:tc>
          <w:tcPr>
            <w:tcW w:w="700" w:type="dxa"/>
            <w:vAlign w:val="bottom"/>
            <w:tcBorders>
              <w:bottom w:val="single" w:sz="8" w:color="auto"/>
            </w:tcBorders>
          </w:tcPr>
          <w:p>
            <w:pPr>
              <w:spacing w:after="0"/>
              <w:rPr>
                <w:sz w:val="11"/>
                <w:szCs w:val="11"/>
                <w:color w:val="auto"/>
              </w:rPr>
            </w:pPr>
          </w:p>
        </w:tc>
        <w:tc>
          <w:tcPr>
            <w:tcW w:w="380" w:type="dxa"/>
            <w:vAlign w:val="bottom"/>
            <w:tcBorders>
              <w:top w:val="single" w:sz="8" w:color="0000EE"/>
              <w:bottom w:val="single" w:sz="8" w:color="auto"/>
            </w:tcBorders>
          </w:tcPr>
          <w:p>
            <w:pPr>
              <w:spacing w:after="0"/>
              <w:rPr>
                <w:sz w:val="11"/>
                <w:szCs w:val="11"/>
                <w:color w:val="auto"/>
              </w:rPr>
            </w:pPr>
          </w:p>
        </w:tc>
        <w:tc>
          <w:tcPr>
            <w:tcW w:w="1580" w:type="dxa"/>
            <w:vAlign w:val="bottom"/>
            <w:tcBorders>
              <w:top w:val="single" w:sz="8" w:color="0000EE"/>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574040</wp:posOffset>
            </wp:positionV>
            <wp:extent cx="54006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left="24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8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Andrea Pfeifer</w:t>
      </w:r>
    </w:p>
    <w:p>
      <w:pPr>
        <w:spacing w:after="0" w:line="5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-127635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4"/>
          <w:szCs w:val="24"/>
          <w:color w:val="auto"/>
        </w:rPr>
      </w:pPr>
    </w:p>
    <w:p>
      <w:pPr>
        <w:ind w:left="480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4"/>
          <w:szCs w:val="24"/>
          <w:color w:val="auto"/>
        </w:rPr>
      </w:pPr>
    </w:p>
    <w:p>
      <w:pPr>
        <w:spacing w:after="0" w:line="31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Christopher Roberts</w:t>
      </w:r>
    </w:p>
    <w:p>
      <w:pPr>
        <w:spacing w:after="0" w:line="5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-127635</wp:posOffset>
            </wp:positionV>
            <wp:extent cx="2511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4"/>
          <w:szCs w:val="24"/>
          <w:color w:val="auto"/>
        </w:rPr>
      </w:pPr>
    </w:p>
    <w:p>
      <w:pPr>
        <w:ind w:left="480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74" w:lineRule="exact"/>
        <w:rPr>
          <w:sz w:val="24"/>
          <w:szCs w:val="24"/>
          <w:color w:val="auto"/>
        </w:rPr>
      </w:pPr>
    </w:p>
    <w:p>
      <w:pPr>
        <w:ind w:left="560"/>
        <w:spacing w:after="0"/>
        <w:tabs>
          <w:tab w:leader="none" w:pos="1160" w:val="left"/>
        </w:tabs>
        <w:rPr>
          <w:sz w:val="20"/>
          <w:szCs w:val="20"/>
          <w:color w:val="auto"/>
        </w:rPr>
      </w:pPr>
      <w:r>
        <w:rPr>
          <w:rFonts w:ascii="Times New Roman" w:cs="Times New Roman" w:eastAsia="Times New Roman" w:hAnsi="Times New Roman"/>
          <w:sz w:val="18"/>
          <w:szCs w:val="18"/>
          <w:color w:val="auto"/>
        </w:rPr>
        <w:t>Date:</w:t>
        <w:tab/>
        <w:t>March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565785</wp:posOffset>
            </wp:positionV>
            <wp:extent cx="540067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AC Immune Reports Full Year 2025 Financial Results and Provides a Corporate Update</w:t>
      </w:r>
    </w:p>
    <w:p>
      <w:pPr>
        <w:spacing w:after="0" w:line="200" w:lineRule="exact"/>
        <w:rPr>
          <w:sz w:val="20"/>
          <w:szCs w:val="20"/>
          <w:color w:val="auto"/>
        </w:rPr>
      </w:pPr>
    </w:p>
    <w:p>
      <w:pPr>
        <w:spacing w:after="0" w:line="268" w:lineRule="exact"/>
        <w:rPr>
          <w:sz w:val="20"/>
          <w:szCs w:val="20"/>
          <w:color w:val="auto"/>
        </w:rPr>
      </w:pPr>
    </w:p>
    <w:p>
      <w:pPr>
        <w:ind w:left="660" w:right="100" w:hanging="329"/>
        <w:spacing w:after="0" w:line="374" w:lineRule="auto"/>
        <w:tabs>
          <w:tab w:leader="none" w:pos="660" w:val="left"/>
        </w:tabs>
        <w:numPr>
          <w:ilvl w:val="1"/>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Phase 2 interim results suggest treatment with active immunotherapy ACI-7104 may slow the progression of Parkinson’s disease</w:t>
      </w:r>
    </w:p>
    <w:p>
      <w:pPr>
        <w:spacing w:after="0" w:line="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NLRP3 inhibitor ACI-19764 Phase 1 trial initiated with first participants dosed</w:t>
      </w:r>
    </w:p>
    <w:p>
      <w:pPr>
        <w:spacing w:after="0" w:line="116" w:lineRule="exact"/>
        <w:rPr>
          <w:rFonts w:ascii="Times New Roman" w:cs="Times New Roman" w:eastAsia="Times New Roman" w:hAnsi="Times New Roman"/>
          <w:sz w:val="18"/>
          <w:szCs w:val="18"/>
          <w:color w:val="auto"/>
        </w:rPr>
      </w:pPr>
    </w:p>
    <w:p>
      <w:pPr>
        <w:ind w:left="620" w:hanging="303"/>
        <w:spacing w:after="0" w:line="375" w:lineRule="auto"/>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Approaching multiple value-inflection points, including interim results of the AD3 cohort in the Phase 2 ABATE trial of ACI-24 in Alzheimer’s disease in H1 2026, and full 24-month data from Part 1 of the Phase 2 VacSYn trial of ACI-7104 in Q3 2026</w:t>
      </w:r>
    </w:p>
    <w:p>
      <w:pPr>
        <w:ind w:left="620" w:right="500" w:hanging="303"/>
        <w:spacing w:after="0" w:line="411" w:lineRule="auto"/>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Cash resources of CHF 91.4 million as of December 31, 2025, provide funding to the end of Q3 2027 before any potential milestone payments</w:t>
      </w:r>
    </w:p>
    <w:p>
      <w:pPr>
        <w:spacing w:after="0" w:line="302" w:lineRule="exact"/>
        <w:rPr>
          <w:sz w:val="20"/>
          <w:szCs w:val="20"/>
          <w:color w:val="auto"/>
        </w:rPr>
      </w:pPr>
    </w:p>
    <w:p>
      <w:pPr>
        <w:jc w:val="both"/>
        <w:ind w:right="80"/>
        <w:spacing w:after="0" w:line="394" w:lineRule="auto"/>
        <w:rPr>
          <w:sz w:val="20"/>
          <w:szCs w:val="20"/>
          <w:color w:val="auto"/>
        </w:rPr>
      </w:pPr>
      <w:r>
        <w:rPr>
          <w:rFonts w:ascii="Arial" w:cs="Arial" w:eastAsia="Arial" w:hAnsi="Arial"/>
          <w:sz w:val="18"/>
          <w:szCs w:val="18"/>
          <w:b w:val="1"/>
          <w:bCs w:val="1"/>
          <w:color w:val="auto"/>
        </w:rPr>
        <w:t xml:space="preserve">Lausanne, Switzerland, March 13, 2026 -- </w:t>
      </w:r>
      <w:r>
        <w:rPr>
          <w:rFonts w:ascii="Arial" w:cs="Arial" w:eastAsia="Arial" w:hAnsi="Arial"/>
          <w:sz w:val="18"/>
          <w:szCs w:val="18"/>
          <w:color w:val="auto"/>
        </w:rPr>
        <w:t>AC Immune SA (NASDAQ: ACIU),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pioneering precision therapeutics for neurodegenerative diseases, today reported results for the full year ended December 31, 2025, and provided a corporate update.</w:t>
      </w:r>
    </w:p>
    <w:p>
      <w:pPr>
        <w:spacing w:after="0" w:line="47" w:lineRule="exact"/>
        <w:rPr>
          <w:sz w:val="20"/>
          <w:szCs w:val="20"/>
          <w:color w:val="auto"/>
        </w:rPr>
      </w:pPr>
    </w:p>
    <w:p>
      <w:pPr>
        <w:ind w:right="140"/>
        <w:spacing w:after="0" w:line="411" w:lineRule="auto"/>
        <w:rPr>
          <w:sz w:val="20"/>
          <w:szCs w:val="20"/>
          <w:color w:val="auto"/>
        </w:rPr>
      </w:pPr>
      <w:r>
        <w:rPr>
          <w:rFonts w:ascii="Arial" w:cs="Arial" w:eastAsia="Arial" w:hAnsi="Arial"/>
          <w:sz w:val="17"/>
          <w:szCs w:val="17"/>
          <w:b w:val="1"/>
          <w:bCs w:val="1"/>
          <w:color w:val="auto"/>
        </w:rPr>
        <w:t xml:space="preserve">Dr. Andrea Pfeifer, CEO of AC Immune SA, commented: </w:t>
      </w:r>
      <w:r>
        <w:rPr>
          <w:rFonts w:ascii="Arial" w:cs="Arial" w:eastAsia="Arial" w:hAnsi="Arial"/>
          <w:sz w:val="17"/>
          <w:szCs w:val="17"/>
          <w:color w:val="auto"/>
        </w:rPr>
        <w:t>“We made significant progress towards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precision prevention of neurodegenerative diseases in 2025, exemplified by the exceptional interim data from the VacSYn trial of ACI-7104, our wholly-owned active immunotherapy targeting α-synuclein. Evidence that ACI-7104 appears to slow the rate of progression in early Parkinson’s disease (PD) further demonstrates the potential for active immunotherapies as disease-modifying treatments with the potential to slow or prevent neuronal damage.”</w:t>
      </w:r>
    </w:p>
    <w:p>
      <w:pPr>
        <w:spacing w:after="0" w:line="54" w:lineRule="exact"/>
        <w:rPr>
          <w:sz w:val="20"/>
          <w:szCs w:val="20"/>
          <w:color w:val="auto"/>
        </w:rPr>
      </w:pPr>
    </w:p>
    <w:p>
      <w:pPr>
        <w:ind w:right="60"/>
        <w:spacing w:after="0" w:line="386" w:lineRule="auto"/>
        <w:rPr>
          <w:sz w:val="20"/>
          <w:szCs w:val="20"/>
          <w:color w:val="auto"/>
        </w:rPr>
      </w:pPr>
      <w:r>
        <w:rPr>
          <w:rFonts w:ascii="Arial" w:cs="Arial" w:eastAsia="Arial" w:hAnsi="Arial"/>
          <w:sz w:val="18"/>
          <w:szCs w:val="18"/>
          <w:color w:val="auto"/>
        </w:rPr>
        <w:t>“Our novel Morphomer® small-molecule therapeutics complement these programs by targeting intracellular mechanisms, enabling intervention at the earliest stages of disease. ACI-19764, a brain-penetrant NLRP3 inhibitor with potential to treat numerous diseases both within and beyond neurodegeneration, is now in a Phase 1 trial.”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2025 and Subsequent Highlights: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ACI-7104 anti-α-synuclein active immunotherapy</w:t>
      </w:r>
    </w:p>
    <w:p>
      <w:pPr>
        <w:spacing w:after="0" w:line="223" w:lineRule="exact"/>
        <w:rPr>
          <w:sz w:val="20"/>
          <w:szCs w:val="20"/>
          <w:color w:val="auto"/>
        </w:rPr>
      </w:pPr>
    </w:p>
    <w:p>
      <w:pPr>
        <w:ind w:left="500" w:right="240" w:hanging="318"/>
        <w:spacing w:after="0" w:line="374" w:lineRule="auto"/>
        <w:tabs>
          <w:tab w:leader="none" w:pos="5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Reported positive interim safety and efficacy results from Part 1 of the Phase 2 VacSYn trial of our wholly-owned anti-α-synuclein active immunotherapy ACI-7104 in early PD.</w:t>
      </w:r>
    </w:p>
    <w:p>
      <w:pPr>
        <w:spacing w:after="0" w:line="1" w:lineRule="exact"/>
        <w:rPr>
          <w:rFonts w:ascii="Times New Roman" w:cs="Times New Roman" w:eastAsia="Times New Roman" w:hAnsi="Times New Roman"/>
          <w:sz w:val="18"/>
          <w:szCs w:val="18"/>
          <w:color w:val="auto"/>
        </w:rPr>
      </w:pPr>
    </w:p>
    <w:p>
      <w:pPr>
        <w:ind w:left="500" w:right="1060" w:hanging="318"/>
        <w:spacing w:after="0" w:line="374" w:lineRule="auto"/>
        <w:tabs>
          <w:tab w:leader="none" w:pos="5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Results suggest, for the first time, that targeting underlying α-synuclein pathology with an active immunotherapy may slow the rate of progression of Parkinson’s disease.</w:t>
      </w:r>
    </w:p>
    <w:p>
      <w:pPr>
        <w:spacing w:after="0" w:line="1" w:lineRule="exact"/>
        <w:rPr>
          <w:rFonts w:ascii="Times New Roman" w:cs="Times New Roman" w:eastAsia="Times New Roman" w:hAnsi="Times New Roman"/>
          <w:sz w:val="18"/>
          <w:szCs w:val="18"/>
          <w:color w:val="auto"/>
        </w:rPr>
      </w:pPr>
    </w:p>
    <w:p>
      <w:pPr>
        <w:ind w:left="500" w:hanging="318"/>
        <w:spacing w:after="0"/>
        <w:tabs>
          <w:tab w:leader="none" w:pos="5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These results could translate into a shift from treating symptoms toward true disease modification in PD</w:t>
      </w:r>
    </w:p>
    <w:p>
      <w:pPr>
        <w:spacing w:after="0" w:line="116" w:lineRule="exact"/>
        <w:rPr>
          <w:rFonts w:ascii="Times New Roman" w:cs="Times New Roman" w:eastAsia="Times New Roman" w:hAnsi="Times New Roman"/>
          <w:sz w:val="18"/>
          <w:szCs w:val="18"/>
          <w:color w:val="auto"/>
        </w:rPr>
      </w:pPr>
    </w:p>
    <w:p>
      <w:pPr>
        <w:ind w:left="500" w:hanging="318"/>
        <w:spacing w:after="0"/>
        <w:tabs>
          <w:tab w:leader="none" w:pos="5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Clear safety profile with no clinically relevant safety issues reported to date</w:t>
      </w:r>
    </w:p>
    <w:p>
      <w:pPr>
        <w:spacing w:after="0" w:line="116" w:lineRule="exact"/>
        <w:rPr>
          <w:rFonts w:ascii="Times New Roman" w:cs="Times New Roman" w:eastAsia="Times New Roman" w:hAnsi="Times New Roman"/>
          <w:sz w:val="18"/>
          <w:szCs w:val="18"/>
          <w:color w:val="auto"/>
        </w:rPr>
      </w:pPr>
    </w:p>
    <w:p>
      <w:pPr>
        <w:ind w:left="500" w:right="280" w:hanging="318"/>
        <w:spacing w:after="0" w:line="374" w:lineRule="auto"/>
        <w:tabs>
          <w:tab w:leader="none" w:pos="5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Targets met for immunogenicity (100% responder rate), pharmacodynamic effect, target engagement and clinical assessments</w:t>
      </w:r>
    </w:p>
    <w:p>
      <w:pPr>
        <w:spacing w:after="0" w:line="1" w:lineRule="exact"/>
        <w:rPr>
          <w:rFonts w:ascii="Times New Roman" w:cs="Times New Roman" w:eastAsia="Times New Roman" w:hAnsi="Times New Roman"/>
          <w:sz w:val="18"/>
          <w:szCs w:val="18"/>
          <w:color w:val="auto"/>
        </w:rPr>
      </w:pPr>
    </w:p>
    <w:p>
      <w:pPr>
        <w:ind w:left="500" w:hanging="304"/>
        <w:spacing w:after="0"/>
        <w:tabs>
          <w:tab w:leader="none" w:pos="50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Final data from Part 1 of the study expected in mid-2026.</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Morphomer-Tau small molecule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393700</wp:posOffset>
            </wp:positionV>
            <wp:extent cx="584644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6445" cy="25400"/>
                    </a:xfrm>
                    <a:prstGeom prst="rect">
                      <a:avLst/>
                    </a:prstGeom>
                    <a:noFill/>
                  </pic:spPr>
                </pic:pic>
              </a:graphicData>
            </a:graphic>
          </wp:anchor>
        </w:drawing>
      </w:r>
    </w:p>
    <w:p>
      <w:pPr>
        <w:sectPr>
          <w:pgSz w:w="11900" w:h="16838" w:orient="portrait"/>
          <w:cols w:equalWidth="0" w:num="1">
            <w:col w:w="9160"/>
          </w:cols>
          <w:pgMar w:left="1340" w:top="134" w:right="1399" w:bottom="1440" w:gutter="0" w:footer="0" w:header="0"/>
        </w:sectPr>
      </w:pPr>
    </w:p>
    <w:bookmarkStart w:id="2" w:name="page3"/>
    <w:bookmarkEnd w:id="2"/>
    <w:p>
      <w:pPr>
        <w:ind w:left="500" w:right="840" w:hanging="318"/>
        <w:spacing w:after="0" w:line="374" w:lineRule="auto"/>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Progressed the Morphomer small molecule Tau aggregation inhibitors for the potential treatment of Alzheimer’s disease (AD) and other neurodegenerative diseases.</w:t>
      </w:r>
    </w:p>
    <w:p>
      <w:pPr>
        <w:spacing w:after="0" w:line="1" w:lineRule="exact"/>
        <w:rPr>
          <w:rFonts w:ascii="Times New Roman" w:cs="Times New Roman" w:eastAsia="Times New Roman" w:hAnsi="Times New Roman"/>
          <w:sz w:val="18"/>
          <w:szCs w:val="18"/>
          <w:color w:val="auto"/>
        </w:rPr>
      </w:pPr>
    </w:p>
    <w:p>
      <w:pPr>
        <w:ind w:left="500" w:hanging="318"/>
        <w:spacing w:after="0"/>
        <w:tabs>
          <w:tab w:leader="none" w:pos="5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Investigational New Drug (IND)-enabling studies are expected to begin in H1 2026.</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NLRP3 inhibitor, ACI-19764, small molecule program</w:t>
      </w:r>
    </w:p>
    <w:p>
      <w:pPr>
        <w:spacing w:after="0" w:line="223" w:lineRule="exact"/>
        <w:rPr>
          <w:sz w:val="20"/>
          <w:szCs w:val="20"/>
          <w:color w:val="auto"/>
        </w:rPr>
      </w:pPr>
    </w:p>
    <w:p>
      <w:pPr>
        <w:ind w:left="500" w:hanging="318"/>
        <w:spacing w:after="0" w:line="374" w:lineRule="auto"/>
        <w:tabs>
          <w:tab w:leader="none" w:pos="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Dosed the first participants in a Phase 1 clinical trial of ACI-19764, a brain-penetrant small molecule targeting the NLRP3 inflammasome (NCT07463196).</w:t>
      </w:r>
    </w:p>
    <w:p>
      <w:pPr>
        <w:spacing w:after="0" w:line="1" w:lineRule="exact"/>
        <w:rPr>
          <w:rFonts w:ascii="Times New Roman" w:cs="Times New Roman" w:eastAsia="Times New Roman" w:hAnsi="Times New Roman"/>
          <w:sz w:val="18"/>
          <w:szCs w:val="18"/>
          <w:color w:val="auto"/>
        </w:rPr>
      </w:pPr>
    </w:p>
    <w:p>
      <w:pPr>
        <w:ind w:left="500" w:right="500" w:hanging="318"/>
        <w:spacing w:after="0" w:line="397" w:lineRule="auto"/>
        <w:tabs>
          <w:tab w:leader="none" w:pos="50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NLRP3 inhibitors have potential to intervene at the earliest stages of disease in neurodegenerative conditions, including AD, PD, amyotrophic lateral sclerosis (ALS) and frontotemporal dementia.</w:t>
      </w:r>
    </w:p>
    <w:p>
      <w:pPr>
        <w:ind w:left="500" w:right="200" w:hanging="318"/>
        <w:spacing w:after="0" w:line="371" w:lineRule="auto"/>
        <w:tabs>
          <w:tab w:leader="none" w:pos="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indications include inflammatory disorders (e.g., multiple sclerosis, inflammatory bowel disease, gout), cancer, cardiovascular disease, metabolic disorders (e.g., Type 2 diabetes, obesity), skin inflammatory diseases (e.g. hidradenitis suppurativa) and rare genetic syndromes of autoimmunity such as Cryopyrin-associated periodic syndromes (CAPS).</w:t>
      </w:r>
    </w:p>
    <w:p>
      <w:pPr>
        <w:spacing w:after="0" w:line="1" w:lineRule="exact"/>
        <w:rPr>
          <w:rFonts w:ascii="Times New Roman" w:cs="Times New Roman" w:eastAsia="Times New Roman" w:hAnsi="Times New Roman"/>
          <w:sz w:val="18"/>
          <w:szCs w:val="18"/>
          <w:color w:val="auto"/>
        </w:rPr>
      </w:pPr>
    </w:p>
    <w:p>
      <w:pPr>
        <w:ind w:left="500" w:right="120" w:hanging="318"/>
        <w:spacing w:after="0" w:line="411" w:lineRule="auto"/>
        <w:tabs>
          <w:tab w:leader="none" w:pos="5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ACI-19764, an orally available, brain-penetrant NLRP3 inhibitor is a major addition to AC Immune’s growing intracellular targeting pipeline.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Sharpened Pipeline Focus with Operational Efficiencies Extending Cash Runway</w:t>
      </w:r>
    </w:p>
    <w:p>
      <w:pPr>
        <w:spacing w:after="0" w:line="223" w:lineRule="exact"/>
        <w:rPr>
          <w:sz w:val="20"/>
          <w:szCs w:val="20"/>
          <w:color w:val="auto"/>
        </w:rPr>
      </w:pPr>
    </w:p>
    <w:p>
      <w:pPr>
        <w:ind w:left="500" w:hanging="318"/>
        <w:spacing w:after="0"/>
        <w:tabs>
          <w:tab w:leader="none" w:pos="5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a strategic review by executive management, sharpened investment on our most important assets.</w:t>
      </w:r>
    </w:p>
    <w:p>
      <w:pPr>
        <w:spacing w:after="0" w:line="116" w:lineRule="exact"/>
        <w:rPr>
          <w:rFonts w:ascii="Times New Roman" w:cs="Times New Roman" w:eastAsia="Times New Roman" w:hAnsi="Times New Roman"/>
          <w:sz w:val="18"/>
          <w:szCs w:val="18"/>
          <w:color w:val="auto"/>
        </w:rPr>
      </w:pPr>
    </w:p>
    <w:p>
      <w:pPr>
        <w:ind w:left="500" w:right="200" w:hanging="318"/>
        <w:spacing w:after="0" w:line="375" w:lineRule="auto"/>
        <w:tabs>
          <w:tab w:leader="none" w:pos="5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These include the three clinical-stage active immunotherapy programs ACI-7104, ACI-24 and ACI-35, the latter two of which are in ongoing pharma collaborations, and promising small molecule programs targeting NLRP3, Tau and α-synuclein.</w:t>
      </w:r>
    </w:p>
    <w:p>
      <w:pPr>
        <w:ind w:left="500" w:right="240" w:hanging="304"/>
        <w:spacing w:after="0" w:line="411" w:lineRule="auto"/>
        <w:tabs>
          <w:tab w:leader="none" w:pos="50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reduced its workforce by around 30% and extended its cash for operations to the end of Q3 2027.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 Immune research results published in peer-reviewed journals and presented at conferences:</w:t>
      </w:r>
    </w:p>
    <w:p>
      <w:pPr>
        <w:spacing w:after="0" w:line="223" w:lineRule="exact"/>
        <w:rPr>
          <w:sz w:val="20"/>
          <w:szCs w:val="20"/>
          <w:color w:val="auto"/>
        </w:rPr>
      </w:pPr>
    </w:p>
    <w:p>
      <w:pPr>
        <w:ind w:left="500" w:right="140" w:hanging="318"/>
        <w:spacing w:after="0" w:line="374" w:lineRule="auto"/>
        <w:tabs>
          <w:tab w:leader="none" w:pos="5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results from the completed Phase 1b/2a trial of active immunotherapy ACI-35 (JNJ-2056) partnered with Janssen Pharmaceuticals, Inc., a Johnson &amp; Johnson company, in eBioMedicine.</w:t>
      </w:r>
    </w:p>
    <w:p>
      <w:pPr>
        <w:spacing w:after="0" w:line="1" w:lineRule="exact"/>
        <w:rPr>
          <w:rFonts w:ascii="Times New Roman" w:cs="Times New Roman" w:eastAsia="Times New Roman" w:hAnsi="Times New Roman"/>
          <w:sz w:val="18"/>
          <w:szCs w:val="18"/>
          <w:color w:val="auto"/>
        </w:rPr>
      </w:pPr>
    </w:p>
    <w:p>
      <w:pPr>
        <w:ind w:left="520" w:right="80" w:hanging="327"/>
        <w:spacing w:after="0" w:line="367" w:lineRule="auto"/>
        <w:tabs>
          <w:tab w:leader="none" w:pos="334"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Preclinical research demonstrating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of a vectorized (AAV9) anti-TDP-43 monoclonal antibody in a model of ALS/FTD, in </w:t>
      </w:r>
      <w:r>
        <w:rPr>
          <w:rFonts w:ascii="Arial" w:cs="Arial" w:eastAsia="Arial" w:hAnsi="Arial"/>
          <w:sz w:val="18"/>
          <w:szCs w:val="18"/>
          <w:color w:val="0000FF"/>
        </w:rPr>
        <w:t>Molecular Therapy</w:t>
      </w:r>
      <w:r>
        <w:rPr>
          <w:rFonts w:ascii="Arial" w:cs="Arial" w:eastAsia="Arial" w:hAnsi="Arial"/>
          <w:sz w:val="18"/>
          <w:szCs w:val="18"/>
          <w:color w:val="auto"/>
        </w:rPr>
        <w:t>.</w:t>
      </w:r>
    </w:p>
    <w:p>
      <w:pPr>
        <w:ind w:left="520" w:right="60" w:hanging="327"/>
        <w:spacing w:after="0" w:line="393" w:lineRule="auto"/>
        <w:tabs>
          <w:tab w:leader="none" w:pos="334"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First-in-class positron emission tomography (PET) tracers for imaging TDP-43 pathology in the brain, including ACI-19626, that could enable a precision medicine approach to neurodegenerative diseases which are currently difficult to diagnose, in </w:t>
      </w:r>
      <w:r>
        <w:rPr>
          <w:rFonts w:ascii="Arial" w:cs="Arial" w:eastAsia="Arial" w:hAnsi="Arial"/>
          <w:sz w:val="18"/>
          <w:szCs w:val="18"/>
          <w:color w:val="0000FF"/>
        </w:rPr>
        <w:t>Nature Communications</w:t>
      </w:r>
      <w:r>
        <w:rPr>
          <w:rFonts w:ascii="Arial" w:cs="Arial" w:eastAsia="Arial" w:hAnsi="Arial"/>
          <w:sz w:val="18"/>
          <w:szCs w:val="18"/>
          <w:color w:val="auto"/>
        </w:rPr>
        <w:t>.</w:t>
      </w:r>
    </w:p>
    <w:p>
      <w:pPr>
        <w:spacing w:after="0" w:line="61" w:lineRule="exact"/>
        <w:rPr>
          <w:rFonts w:ascii="Times New Roman" w:cs="Times New Roman" w:eastAsia="Times New Roman" w:hAnsi="Times New Roman"/>
          <w:sz w:val="18"/>
          <w:szCs w:val="18"/>
          <w:color w:val="auto"/>
        </w:rPr>
      </w:pPr>
    </w:p>
    <w:p>
      <w:pPr>
        <w:ind w:left="520" w:right="20" w:hanging="327"/>
        <w:spacing w:after="0" w:line="385" w:lineRule="auto"/>
        <w:tabs>
          <w:tab w:leader="none" w:pos="334"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Featured the company’s therapeutic and diagnostic programs in </w:t>
      </w:r>
      <w:r>
        <w:rPr>
          <w:rFonts w:ascii="Arial" w:cs="Arial" w:eastAsia="Arial" w:hAnsi="Arial"/>
          <w:sz w:val="18"/>
          <w:szCs w:val="18"/>
          <w:color w:val="0000FF"/>
        </w:rPr>
        <w:t>presentations at AD/PD™ 2025</w:t>
      </w:r>
      <w:r>
        <w:rPr>
          <w:rFonts w:ascii="Arial" w:cs="Arial" w:eastAsia="Arial" w:hAnsi="Arial"/>
          <w:sz w:val="18"/>
          <w:szCs w:val="18"/>
          <w:color w:val="auto"/>
        </w:rPr>
        <w:t xml:space="preserve"> where we also hosted an </w:t>
      </w:r>
      <w:r>
        <w:rPr>
          <w:rFonts w:ascii="Arial" w:cs="Arial" w:eastAsia="Arial" w:hAnsi="Arial"/>
          <w:sz w:val="18"/>
          <w:szCs w:val="18"/>
          <w:color w:val="0000FF"/>
        </w:rPr>
        <w:t>industry symposium</w:t>
      </w:r>
      <w:r>
        <w:rPr>
          <w:rFonts w:ascii="Arial" w:cs="Arial" w:eastAsia="Arial" w:hAnsi="Arial"/>
          <w:sz w:val="18"/>
          <w:szCs w:val="18"/>
          <w:color w:val="auto"/>
        </w:rPr>
        <w:t xml:space="preserve"> highlighting the company’s leading pipeline of active immunotherapies for precision prevention of neurodegenerative diseases.</w:t>
      </w:r>
    </w:p>
    <w:p>
      <w:pPr>
        <w:spacing w:after="0" w:line="218" w:lineRule="exact"/>
        <w:rPr>
          <w:sz w:val="20"/>
          <w:szCs w:val="20"/>
          <w:color w:val="auto"/>
        </w:rPr>
      </w:pPr>
    </w:p>
    <w:p>
      <w:pPr>
        <w:ind w:right="160"/>
        <w:spacing w:after="0" w:line="412" w:lineRule="auto"/>
        <w:rPr>
          <w:sz w:val="20"/>
          <w:szCs w:val="20"/>
          <w:color w:val="auto"/>
        </w:rPr>
      </w:pPr>
      <w:r>
        <w:rPr>
          <w:rFonts w:ascii="Arial" w:cs="Arial" w:eastAsia="Arial" w:hAnsi="Arial"/>
          <w:sz w:val="18"/>
          <w:szCs w:val="18"/>
          <w:color w:val="auto"/>
        </w:rPr>
        <w:t xml:space="preserve">Appointed </w:t>
      </w:r>
      <w:r>
        <w:rPr>
          <w:rFonts w:ascii="Arial" w:cs="Arial" w:eastAsia="Arial" w:hAnsi="Arial"/>
          <w:sz w:val="18"/>
          <w:szCs w:val="18"/>
          <w:color w:val="0000FF"/>
        </w:rPr>
        <w:t>Prof. Catherine Mummery</w:t>
      </w:r>
      <w:r>
        <w:rPr>
          <w:rFonts w:ascii="Arial" w:cs="Arial" w:eastAsia="Arial" w:hAnsi="Arial"/>
          <w:sz w:val="18"/>
          <w:szCs w:val="18"/>
          <w:color w:val="auto"/>
        </w:rPr>
        <w:t>, a renowned neurologist and expert in dementia clinical trials, as Chair of Ac Immune’s Clinical Advisory Board (CAB).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503555</wp:posOffset>
            </wp:positionV>
            <wp:extent cx="584644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26035"/>
                    </a:xfrm>
                    <a:prstGeom prst="rect">
                      <a:avLst/>
                    </a:prstGeom>
                    <a:noFill/>
                  </pic:spPr>
                </pic:pic>
              </a:graphicData>
            </a:graphic>
          </wp:anchor>
        </w:drawing>
      </w:r>
    </w:p>
    <w:p>
      <w:pPr>
        <w:sectPr>
          <w:pgSz w:w="11900" w:h="16838" w:orient="portrait"/>
          <w:cols w:equalWidth="0" w:num="1">
            <w:col w:w="9180"/>
          </w:cols>
          <w:pgMar w:left="1340" w:top="175" w:right="1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Anticipated 2026 Milestones</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2620" w:type="dxa"/>
            <w:vAlign w:val="bottom"/>
            <w:tcBorders>
              <w:top w:val="single" w:sz="8" w:color="CCCCCC"/>
              <w:left w:val="single" w:sz="8" w:color="CCCCCC"/>
              <w:right w:val="single" w:sz="8" w:color="CCCCCC"/>
            </w:tcBorders>
          </w:tcPr>
          <w:p>
            <w:pPr>
              <w:ind w:left="80"/>
              <w:spacing w:after="0"/>
              <w:rPr>
                <w:sz w:val="20"/>
                <w:szCs w:val="20"/>
                <w:color w:val="auto"/>
              </w:rPr>
            </w:pPr>
            <w:r>
              <w:rPr>
                <w:rFonts w:ascii="Arial" w:cs="Arial" w:eastAsia="Arial" w:hAnsi="Arial"/>
                <w:sz w:val="18"/>
                <w:szCs w:val="18"/>
                <w:b w:val="1"/>
                <w:bCs w:val="1"/>
                <w:color w:val="auto"/>
              </w:rPr>
              <w:t>Program</w:t>
            </w:r>
          </w:p>
        </w:tc>
        <w:tc>
          <w:tcPr>
            <w:tcW w:w="4700" w:type="dxa"/>
            <w:vAlign w:val="bottom"/>
            <w:tcBorders>
              <w:top w:val="single" w:sz="8" w:color="CCCCCC"/>
              <w:right w:val="single" w:sz="8" w:color="CCCCCC"/>
            </w:tcBorders>
          </w:tcPr>
          <w:p>
            <w:pPr>
              <w:ind w:left="60"/>
              <w:spacing w:after="0"/>
              <w:rPr>
                <w:sz w:val="20"/>
                <w:szCs w:val="20"/>
                <w:color w:val="auto"/>
              </w:rPr>
            </w:pPr>
            <w:r>
              <w:rPr>
                <w:rFonts w:ascii="Arial" w:cs="Arial" w:eastAsia="Arial" w:hAnsi="Arial"/>
                <w:sz w:val="18"/>
                <w:szCs w:val="18"/>
                <w:b w:val="1"/>
                <w:bCs w:val="1"/>
                <w:color w:val="auto"/>
              </w:rPr>
              <w:t>Milestone</w:t>
            </w:r>
          </w:p>
        </w:tc>
        <w:tc>
          <w:tcPr>
            <w:tcW w:w="1200" w:type="dxa"/>
            <w:vAlign w:val="bottom"/>
            <w:tcBorders>
              <w:top w:val="single" w:sz="8" w:color="CCCCCC"/>
              <w:right w:val="single" w:sz="8" w:color="CCCCCC"/>
            </w:tcBorders>
          </w:tcPr>
          <w:p>
            <w:pPr>
              <w:ind w:left="60"/>
              <w:spacing w:after="0"/>
              <w:rPr>
                <w:sz w:val="20"/>
                <w:szCs w:val="20"/>
                <w:color w:val="auto"/>
              </w:rPr>
            </w:pPr>
            <w:r>
              <w:rPr>
                <w:rFonts w:ascii="Arial" w:cs="Arial" w:eastAsia="Arial" w:hAnsi="Arial"/>
                <w:sz w:val="18"/>
                <w:szCs w:val="18"/>
                <w:b w:val="1"/>
                <w:bCs w:val="1"/>
                <w:color w:val="auto"/>
              </w:rPr>
              <w:t>Expected in</w:t>
            </w:r>
          </w:p>
        </w:tc>
      </w:tr>
      <w:tr>
        <w:trPr>
          <w:trHeight w:val="177"/>
        </w:trPr>
        <w:tc>
          <w:tcPr>
            <w:tcW w:w="2620" w:type="dxa"/>
            <w:vAlign w:val="bottom"/>
            <w:tcBorders>
              <w:left w:val="single" w:sz="8" w:color="CCCCCC"/>
              <w:bottom w:val="single" w:sz="8" w:color="CCCCCC"/>
              <w:right w:val="single" w:sz="8" w:color="CCCCCC"/>
            </w:tcBorders>
          </w:tcPr>
          <w:p>
            <w:pPr>
              <w:spacing w:after="0"/>
              <w:rPr>
                <w:sz w:val="15"/>
                <w:szCs w:val="15"/>
                <w:color w:val="auto"/>
              </w:rPr>
            </w:pPr>
          </w:p>
        </w:tc>
        <w:tc>
          <w:tcPr>
            <w:tcW w:w="4700" w:type="dxa"/>
            <w:vAlign w:val="bottom"/>
            <w:tcBorders>
              <w:bottom w:val="single" w:sz="8" w:color="CCCCCC"/>
              <w:right w:val="single" w:sz="8" w:color="CCCCCC"/>
            </w:tcBorders>
          </w:tcPr>
          <w:p>
            <w:pPr>
              <w:spacing w:after="0"/>
              <w:rPr>
                <w:sz w:val="15"/>
                <w:szCs w:val="15"/>
                <w:color w:val="auto"/>
              </w:rPr>
            </w:pPr>
          </w:p>
        </w:tc>
        <w:tc>
          <w:tcPr>
            <w:tcW w:w="1200" w:type="dxa"/>
            <w:vAlign w:val="bottom"/>
            <w:tcBorders>
              <w:bottom w:val="single" w:sz="8" w:color="CCCCCC"/>
              <w:right w:val="single" w:sz="8" w:color="CCCCCC"/>
            </w:tcBorders>
          </w:tcPr>
          <w:p>
            <w:pPr>
              <w:spacing w:after="0"/>
              <w:rPr>
                <w:sz w:val="15"/>
                <w:szCs w:val="15"/>
                <w:color w:val="auto"/>
              </w:rPr>
            </w:pPr>
          </w:p>
        </w:tc>
      </w:tr>
      <w:tr>
        <w:trPr>
          <w:trHeight w:val="308"/>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ACI-7104</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Final data from Part 1 of the Phase 2 VacSYn trial in PD</w:t>
            </w:r>
          </w:p>
        </w:tc>
        <w:tc>
          <w:tcPr>
            <w:tcW w:w="12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H2 2026</w:t>
            </w: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anti-α-synuclein active</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expected in mid-2026</w:t>
            </w:r>
          </w:p>
        </w:tc>
        <w:tc>
          <w:tcPr>
            <w:tcW w:w="1200" w:type="dxa"/>
            <w:vAlign w:val="bottom"/>
            <w:tcBorders>
              <w:right w:val="single" w:sz="8" w:color="CCCCCC"/>
            </w:tcBorders>
          </w:tcPr>
          <w:p>
            <w:pPr>
              <w:spacing w:after="0"/>
              <w:rPr>
                <w:sz w:val="22"/>
                <w:szCs w:val="22"/>
                <w:color w:val="auto"/>
              </w:rPr>
            </w:pP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immunotherapy</w:t>
            </w:r>
          </w:p>
        </w:tc>
        <w:tc>
          <w:tcPr>
            <w:tcW w:w="4700" w:type="dxa"/>
            <w:vAlign w:val="bottom"/>
            <w:tcBorders>
              <w:right w:val="single" w:sz="8" w:color="CCCCCC"/>
            </w:tcBorders>
          </w:tcPr>
          <w:p>
            <w:pPr>
              <w:spacing w:after="0"/>
              <w:rPr>
                <w:sz w:val="22"/>
                <w:szCs w:val="22"/>
                <w:color w:val="auto"/>
              </w:rPr>
            </w:pPr>
          </w:p>
        </w:tc>
        <w:tc>
          <w:tcPr>
            <w:tcW w:w="1200" w:type="dxa"/>
            <w:vAlign w:val="bottom"/>
            <w:tcBorders>
              <w:right w:val="single" w:sz="8" w:color="CCCCCC"/>
            </w:tcBorders>
          </w:tcPr>
          <w:p>
            <w:pPr>
              <w:spacing w:after="0"/>
              <w:rPr>
                <w:sz w:val="22"/>
                <w:szCs w:val="22"/>
                <w:color w:val="auto"/>
              </w:rPr>
            </w:pPr>
          </w:p>
        </w:tc>
      </w:tr>
      <w:tr>
        <w:trPr>
          <w:trHeight w:val="77"/>
        </w:trPr>
        <w:tc>
          <w:tcPr>
            <w:tcW w:w="2620" w:type="dxa"/>
            <w:vAlign w:val="bottom"/>
            <w:tcBorders>
              <w:left w:val="single" w:sz="8" w:color="CCCCCC"/>
              <w:bottom w:val="single" w:sz="8" w:color="CCCCCC"/>
              <w:right w:val="single" w:sz="8" w:color="CCCCCC"/>
            </w:tcBorders>
          </w:tcPr>
          <w:p>
            <w:pPr>
              <w:spacing w:after="0"/>
              <w:rPr>
                <w:sz w:val="6"/>
                <w:szCs w:val="6"/>
                <w:color w:val="auto"/>
              </w:rPr>
            </w:pPr>
          </w:p>
        </w:tc>
        <w:tc>
          <w:tcPr>
            <w:tcW w:w="4700" w:type="dxa"/>
            <w:vAlign w:val="bottom"/>
            <w:tcBorders>
              <w:bottom w:val="single" w:sz="8" w:color="CCCCCC"/>
              <w:right w:val="single" w:sz="8" w:color="CCCCCC"/>
            </w:tcBorders>
          </w:tcPr>
          <w:p>
            <w:pPr>
              <w:spacing w:after="0"/>
              <w:rPr>
                <w:sz w:val="6"/>
                <w:szCs w:val="6"/>
                <w:color w:val="auto"/>
              </w:rPr>
            </w:pPr>
          </w:p>
        </w:tc>
        <w:tc>
          <w:tcPr>
            <w:tcW w:w="1200" w:type="dxa"/>
            <w:vAlign w:val="bottom"/>
            <w:tcBorders>
              <w:bottom w:val="single" w:sz="8" w:color="CCCCCC"/>
              <w:right w:val="single" w:sz="8" w:color="CCCCCC"/>
            </w:tcBorders>
          </w:tcPr>
          <w:p>
            <w:pPr>
              <w:spacing w:after="0"/>
              <w:rPr>
                <w:sz w:val="6"/>
                <w:szCs w:val="6"/>
                <w:color w:val="auto"/>
              </w:rPr>
            </w:pPr>
          </w:p>
        </w:tc>
      </w:tr>
      <w:tr>
        <w:trPr>
          <w:trHeight w:val="308"/>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ACI-24</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Interim results from ABATE Phase 2 trial after reaching</w:t>
            </w:r>
          </w:p>
        </w:tc>
        <w:tc>
          <w:tcPr>
            <w:tcW w:w="12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H1 2026</w:t>
            </w: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anti-Abeta active</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12-month treatment timepoint in the AD3 cohort</w:t>
            </w:r>
          </w:p>
        </w:tc>
        <w:tc>
          <w:tcPr>
            <w:tcW w:w="1200" w:type="dxa"/>
            <w:vAlign w:val="bottom"/>
            <w:tcBorders>
              <w:right w:val="single" w:sz="8" w:color="CCCCCC"/>
            </w:tcBorders>
          </w:tcPr>
          <w:p>
            <w:pPr>
              <w:spacing w:after="0"/>
              <w:rPr>
                <w:sz w:val="22"/>
                <w:szCs w:val="22"/>
                <w:color w:val="auto"/>
              </w:rPr>
            </w:pP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immunotherapy</w:t>
            </w:r>
          </w:p>
        </w:tc>
        <w:tc>
          <w:tcPr>
            <w:tcW w:w="4700" w:type="dxa"/>
            <w:vAlign w:val="bottom"/>
            <w:tcBorders>
              <w:right w:val="single" w:sz="8" w:color="CCCCCC"/>
            </w:tcBorders>
          </w:tcPr>
          <w:p>
            <w:pPr>
              <w:spacing w:after="0"/>
              <w:rPr>
                <w:sz w:val="22"/>
                <w:szCs w:val="22"/>
                <w:color w:val="auto"/>
              </w:rPr>
            </w:pPr>
          </w:p>
        </w:tc>
        <w:tc>
          <w:tcPr>
            <w:tcW w:w="1200" w:type="dxa"/>
            <w:vAlign w:val="bottom"/>
            <w:tcBorders>
              <w:right w:val="single" w:sz="8" w:color="CCCCCC"/>
            </w:tcBorders>
          </w:tcPr>
          <w:p>
            <w:pPr>
              <w:spacing w:after="0"/>
              <w:rPr>
                <w:sz w:val="22"/>
                <w:szCs w:val="22"/>
                <w:color w:val="auto"/>
              </w:rPr>
            </w:pPr>
          </w:p>
        </w:tc>
      </w:tr>
      <w:tr>
        <w:trPr>
          <w:trHeight w:val="77"/>
        </w:trPr>
        <w:tc>
          <w:tcPr>
            <w:tcW w:w="2620" w:type="dxa"/>
            <w:vAlign w:val="bottom"/>
            <w:tcBorders>
              <w:left w:val="single" w:sz="8" w:color="CCCCCC"/>
              <w:bottom w:val="single" w:sz="8" w:color="CCCCCC"/>
              <w:right w:val="single" w:sz="8" w:color="CCCCCC"/>
            </w:tcBorders>
          </w:tcPr>
          <w:p>
            <w:pPr>
              <w:spacing w:after="0"/>
              <w:rPr>
                <w:sz w:val="6"/>
                <w:szCs w:val="6"/>
                <w:color w:val="auto"/>
              </w:rPr>
            </w:pPr>
          </w:p>
        </w:tc>
        <w:tc>
          <w:tcPr>
            <w:tcW w:w="4700" w:type="dxa"/>
            <w:vAlign w:val="bottom"/>
            <w:tcBorders>
              <w:bottom w:val="single" w:sz="8" w:color="CCCCCC"/>
              <w:right w:val="single" w:sz="8" w:color="CCCCCC"/>
            </w:tcBorders>
          </w:tcPr>
          <w:p>
            <w:pPr>
              <w:spacing w:after="0"/>
              <w:rPr>
                <w:sz w:val="6"/>
                <w:szCs w:val="6"/>
                <w:color w:val="auto"/>
              </w:rPr>
            </w:pPr>
          </w:p>
        </w:tc>
        <w:tc>
          <w:tcPr>
            <w:tcW w:w="1200" w:type="dxa"/>
            <w:vAlign w:val="bottom"/>
            <w:tcBorders>
              <w:bottom w:val="single" w:sz="8" w:color="CCCCCC"/>
              <w:right w:val="single" w:sz="8" w:color="CCCCCC"/>
            </w:tcBorders>
          </w:tcPr>
          <w:p>
            <w:pPr>
              <w:spacing w:after="0"/>
              <w:rPr>
                <w:sz w:val="6"/>
                <w:szCs w:val="6"/>
                <w:color w:val="auto"/>
              </w:rPr>
            </w:pPr>
          </w:p>
        </w:tc>
      </w:tr>
      <w:tr>
        <w:trPr>
          <w:trHeight w:val="308"/>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ACI-19764</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Results from Phase 1 trial in healthy volunteers</w:t>
            </w:r>
          </w:p>
        </w:tc>
        <w:tc>
          <w:tcPr>
            <w:tcW w:w="12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H2 2026</w:t>
            </w: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NLRP3 inhibitor</w:t>
            </w:r>
          </w:p>
        </w:tc>
        <w:tc>
          <w:tcPr>
            <w:tcW w:w="4700" w:type="dxa"/>
            <w:vAlign w:val="bottom"/>
            <w:tcBorders>
              <w:right w:val="single" w:sz="8" w:color="CCCCCC"/>
            </w:tcBorders>
          </w:tcPr>
          <w:p>
            <w:pPr>
              <w:spacing w:after="0"/>
              <w:rPr>
                <w:sz w:val="22"/>
                <w:szCs w:val="22"/>
                <w:color w:val="auto"/>
              </w:rPr>
            </w:pPr>
          </w:p>
        </w:tc>
        <w:tc>
          <w:tcPr>
            <w:tcW w:w="1200" w:type="dxa"/>
            <w:vAlign w:val="bottom"/>
            <w:tcBorders>
              <w:right w:val="single" w:sz="8" w:color="CCCCCC"/>
            </w:tcBorders>
          </w:tcPr>
          <w:p>
            <w:pPr>
              <w:spacing w:after="0"/>
              <w:rPr>
                <w:sz w:val="22"/>
                <w:szCs w:val="22"/>
                <w:color w:val="auto"/>
              </w:rPr>
            </w:pPr>
          </w:p>
        </w:tc>
      </w:tr>
      <w:tr>
        <w:trPr>
          <w:trHeight w:val="77"/>
        </w:trPr>
        <w:tc>
          <w:tcPr>
            <w:tcW w:w="2620" w:type="dxa"/>
            <w:vAlign w:val="bottom"/>
            <w:tcBorders>
              <w:left w:val="single" w:sz="8" w:color="CCCCCC"/>
              <w:bottom w:val="single" w:sz="8" w:color="CCCCCC"/>
              <w:right w:val="single" w:sz="8" w:color="CCCCCC"/>
            </w:tcBorders>
          </w:tcPr>
          <w:p>
            <w:pPr>
              <w:spacing w:after="0"/>
              <w:rPr>
                <w:sz w:val="6"/>
                <w:szCs w:val="6"/>
                <w:color w:val="auto"/>
              </w:rPr>
            </w:pPr>
          </w:p>
        </w:tc>
        <w:tc>
          <w:tcPr>
            <w:tcW w:w="4700" w:type="dxa"/>
            <w:vAlign w:val="bottom"/>
            <w:tcBorders>
              <w:bottom w:val="single" w:sz="8" w:color="CCCCCC"/>
              <w:right w:val="single" w:sz="8" w:color="CCCCCC"/>
            </w:tcBorders>
          </w:tcPr>
          <w:p>
            <w:pPr>
              <w:spacing w:after="0"/>
              <w:rPr>
                <w:sz w:val="6"/>
                <w:szCs w:val="6"/>
                <w:color w:val="auto"/>
              </w:rPr>
            </w:pPr>
          </w:p>
        </w:tc>
        <w:tc>
          <w:tcPr>
            <w:tcW w:w="1200" w:type="dxa"/>
            <w:vAlign w:val="bottom"/>
            <w:tcBorders>
              <w:bottom w:val="single" w:sz="8" w:color="CCCCCC"/>
              <w:right w:val="single" w:sz="8" w:color="CCCCCC"/>
            </w:tcBorders>
          </w:tcPr>
          <w:p>
            <w:pPr>
              <w:spacing w:after="0"/>
              <w:rPr>
                <w:sz w:val="6"/>
                <w:szCs w:val="6"/>
                <w:color w:val="auto"/>
              </w:rPr>
            </w:pPr>
          </w:p>
        </w:tc>
      </w:tr>
      <w:tr>
        <w:trPr>
          <w:trHeight w:val="308"/>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Morphomer-Tau aggregation</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Lead declaration and initiation of IND-enabling studies</w:t>
            </w:r>
          </w:p>
        </w:tc>
        <w:tc>
          <w:tcPr>
            <w:tcW w:w="12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H1 2026</w:t>
            </w: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inhibitors</w:t>
            </w:r>
          </w:p>
        </w:tc>
        <w:tc>
          <w:tcPr>
            <w:tcW w:w="4700" w:type="dxa"/>
            <w:vAlign w:val="bottom"/>
            <w:tcBorders>
              <w:right w:val="single" w:sz="8" w:color="CCCCCC"/>
            </w:tcBorders>
          </w:tcPr>
          <w:p>
            <w:pPr>
              <w:spacing w:after="0"/>
              <w:rPr>
                <w:sz w:val="22"/>
                <w:szCs w:val="22"/>
                <w:color w:val="auto"/>
              </w:rPr>
            </w:pPr>
          </w:p>
        </w:tc>
        <w:tc>
          <w:tcPr>
            <w:tcW w:w="1200" w:type="dxa"/>
            <w:vAlign w:val="bottom"/>
            <w:tcBorders>
              <w:right w:val="single" w:sz="8" w:color="CCCCCC"/>
            </w:tcBorders>
          </w:tcPr>
          <w:p>
            <w:pPr>
              <w:spacing w:after="0"/>
              <w:rPr>
                <w:sz w:val="22"/>
                <w:szCs w:val="22"/>
                <w:color w:val="auto"/>
              </w:rPr>
            </w:pPr>
          </w:p>
        </w:tc>
      </w:tr>
      <w:tr>
        <w:trPr>
          <w:trHeight w:val="77"/>
        </w:trPr>
        <w:tc>
          <w:tcPr>
            <w:tcW w:w="2620" w:type="dxa"/>
            <w:vAlign w:val="bottom"/>
            <w:tcBorders>
              <w:left w:val="single" w:sz="8" w:color="CCCCCC"/>
              <w:bottom w:val="single" w:sz="8" w:color="CCCCCC"/>
              <w:right w:val="single" w:sz="8" w:color="CCCCCC"/>
            </w:tcBorders>
          </w:tcPr>
          <w:p>
            <w:pPr>
              <w:spacing w:after="0"/>
              <w:rPr>
                <w:sz w:val="6"/>
                <w:szCs w:val="6"/>
                <w:color w:val="auto"/>
              </w:rPr>
            </w:pPr>
          </w:p>
        </w:tc>
        <w:tc>
          <w:tcPr>
            <w:tcW w:w="4700" w:type="dxa"/>
            <w:vAlign w:val="bottom"/>
            <w:tcBorders>
              <w:bottom w:val="single" w:sz="8" w:color="CCCCCC"/>
              <w:right w:val="single" w:sz="8" w:color="CCCCCC"/>
            </w:tcBorders>
          </w:tcPr>
          <w:p>
            <w:pPr>
              <w:spacing w:after="0"/>
              <w:rPr>
                <w:sz w:val="6"/>
                <w:szCs w:val="6"/>
                <w:color w:val="auto"/>
              </w:rPr>
            </w:pPr>
          </w:p>
        </w:tc>
        <w:tc>
          <w:tcPr>
            <w:tcW w:w="1200" w:type="dxa"/>
            <w:vAlign w:val="bottom"/>
            <w:tcBorders>
              <w:bottom w:val="single" w:sz="8" w:color="CCCCCC"/>
              <w:right w:val="single" w:sz="8" w:color="CCCCCC"/>
            </w:tcBorders>
          </w:tcPr>
          <w:p>
            <w:pPr>
              <w:spacing w:after="0"/>
              <w:rPr>
                <w:sz w:val="6"/>
                <w:szCs w:val="6"/>
                <w:color w:val="auto"/>
              </w:rPr>
            </w:pPr>
          </w:p>
        </w:tc>
      </w:tr>
      <w:tr>
        <w:trPr>
          <w:trHeight w:val="308"/>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Morphomer α-synuclein</w:t>
            </w:r>
          </w:p>
        </w:tc>
        <w:tc>
          <w:tcPr>
            <w:tcW w:w="47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Lead declaration</w:t>
            </w:r>
          </w:p>
        </w:tc>
        <w:tc>
          <w:tcPr>
            <w:tcW w:w="12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H1 2026</w:t>
            </w:r>
          </w:p>
        </w:tc>
      </w:tr>
      <w:tr>
        <w:trPr>
          <w:trHeight w:val="257"/>
        </w:trPr>
        <w:tc>
          <w:tcPr>
            <w:tcW w:w="26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aggregation inhibitor</w:t>
            </w:r>
          </w:p>
        </w:tc>
        <w:tc>
          <w:tcPr>
            <w:tcW w:w="4700" w:type="dxa"/>
            <w:vAlign w:val="bottom"/>
            <w:tcBorders>
              <w:right w:val="single" w:sz="8" w:color="CCCCCC"/>
            </w:tcBorders>
          </w:tcPr>
          <w:p>
            <w:pPr>
              <w:spacing w:after="0"/>
              <w:rPr>
                <w:sz w:val="22"/>
                <w:szCs w:val="22"/>
                <w:color w:val="auto"/>
              </w:rPr>
            </w:pPr>
          </w:p>
        </w:tc>
        <w:tc>
          <w:tcPr>
            <w:tcW w:w="1200" w:type="dxa"/>
            <w:vAlign w:val="bottom"/>
            <w:tcBorders>
              <w:right w:val="single" w:sz="8" w:color="CCCCCC"/>
            </w:tcBorders>
          </w:tcPr>
          <w:p>
            <w:pPr>
              <w:spacing w:after="0"/>
              <w:rPr>
                <w:sz w:val="22"/>
                <w:szCs w:val="22"/>
                <w:color w:val="auto"/>
              </w:rPr>
            </w:pPr>
          </w:p>
        </w:tc>
      </w:tr>
      <w:tr>
        <w:trPr>
          <w:trHeight w:val="77"/>
        </w:trPr>
        <w:tc>
          <w:tcPr>
            <w:tcW w:w="2620" w:type="dxa"/>
            <w:vAlign w:val="bottom"/>
            <w:tcBorders>
              <w:left w:val="single" w:sz="8" w:color="CCCCCC"/>
              <w:bottom w:val="single" w:sz="8" w:color="CCCCCC"/>
              <w:right w:val="single" w:sz="8" w:color="CCCCCC"/>
            </w:tcBorders>
          </w:tcPr>
          <w:p>
            <w:pPr>
              <w:spacing w:after="0"/>
              <w:rPr>
                <w:sz w:val="6"/>
                <w:szCs w:val="6"/>
                <w:color w:val="auto"/>
              </w:rPr>
            </w:pPr>
          </w:p>
        </w:tc>
        <w:tc>
          <w:tcPr>
            <w:tcW w:w="4700" w:type="dxa"/>
            <w:vAlign w:val="bottom"/>
            <w:tcBorders>
              <w:bottom w:val="single" w:sz="8" w:color="CCCCCC"/>
              <w:right w:val="single" w:sz="8" w:color="CCCCCC"/>
            </w:tcBorders>
          </w:tcPr>
          <w:p>
            <w:pPr>
              <w:spacing w:after="0"/>
              <w:rPr>
                <w:sz w:val="6"/>
                <w:szCs w:val="6"/>
                <w:color w:val="auto"/>
              </w:rPr>
            </w:pPr>
          </w:p>
        </w:tc>
        <w:tc>
          <w:tcPr>
            <w:tcW w:w="1200" w:type="dxa"/>
            <w:vAlign w:val="bottom"/>
            <w:tcBorders>
              <w:bottom w:val="single" w:sz="8" w:color="CCCCCC"/>
              <w:right w:val="single" w:sz="8" w:color="CCCCCC"/>
            </w:tcBorders>
          </w:tcPr>
          <w:p>
            <w:pPr>
              <w:spacing w:after="0"/>
              <w:rPr>
                <w:sz w:val="6"/>
                <w:szCs w:val="6"/>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Full Year Ended December 31, 2025</w:t>
      </w:r>
    </w:p>
    <w:p>
      <w:pPr>
        <w:spacing w:after="0" w:line="225" w:lineRule="exact"/>
        <w:rPr>
          <w:sz w:val="20"/>
          <w:szCs w:val="20"/>
          <w:color w:val="auto"/>
        </w:rPr>
      </w:pPr>
    </w:p>
    <w:p>
      <w:pPr>
        <w:jc w:val="both"/>
        <w:ind w:left="320" w:right="200" w:hanging="313"/>
        <w:spacing w:after="0" w:line="375"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The Company had total cash resources of CHF 91.4 million as of December 31, 2025, compared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resources of CHF 165.5 million as of December 31, 2024. The Company’s cash balance provides sufficient capital resources into Q3 2027, assuming no other milestones.</w:t>
      </w:r>
    </w:p>
    <w:p>
      <w:pPr>
        <w:spacing w:after="0" w:line="1" w:lineRule="exact"/>
        <w:rPr>
          <w:rFonts w:ascii="Times New Roman" w:cs="Times New Roman" w:eastAsia="Times New Roman" w:hAnsi="Times New Roman"/>
          <w:sz w:val="18"/>
          <w:szCs w:val="18"/>
          <w:color w:val="auto"/>
        </w:rPr>
      </w:pPr>
    </w:p>
    <w:p>
      <w:pPr>
        <w:ind w:left="320" w:hanging="313"/>
        <w:spacing w:after="0" w:line="372"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 Revenues</w:t>
      </w:r>
      <w:r>
        <w:rPr>
          <w:rFonts w:ascii="Times New Roman" w:cs="Times New Roman" w:eastAsia="Times New Roman" w:hAnsi="Times New Roman"/>
          <w:sz w:val="18"/>
          <w:szCs w:val="18"/>
          <w:color w:val="auto"/>
        </w:rPr>
        <w:t>: The Company recorded CHF 3.6 million in contract revenues for the year ended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CHF 27.3 million in the prior year. For the year ended December 31, 2025, our contract revenues of CHF 3.6 million were related to the efforts made under the agreement with Takeda for development, CMC, and regulatory activities. The decrease compared to the prior year relates to the recognition of the second ReTain-related milestone payment of CHF 24.6 million under the agreement with Janssen in 2024.</w:t>
      </w:r>
    </w:p>
    <w:p>
      <w:pPr>
        <w:spacing w:after="0" w:line="2" w:lineRule="exact"/>
        <w:rPr>
          <w:rFonts w:ascii="Times New Roman" w:cs="Times New Roman" w:eastAsia="Times New Roman" w:hAnsi="Times New Roman"/>
          <w:sz w:val="18"/>
          <w:szCs w:val="18"/>
          <w:color w:val="auto"/>
        </w:rPr>
      </w:pPr>
    </w:p>
    <w:p>
      <w:pPr>
        <w:ind w:left="320" w:right="300" w:hanging="313"/>
        <w:spacing w:after="0" w:line="369"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R&amp;D Expenditures</w:t>
      </w:r>
      <w:r>
        <w:rPr>
          <w:rFonts w:ascii="Times New Roman" w:cs="Times New Roman" w:eastAsia="Times New Roman" w:hAnsi="Times New Roman"/>
          <w:sz w:val="18"/>
          <w:szCs w:val="18"/>
          <w:color w:val="auto"/>
        </w:rPr>
        <w:t>: R&amp;D expense decreased by CHF 6.1 million for the year ended December 31, 2025 to CHF 56.4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predominantly due to:</w:t>
      </w:r>
    </w:p>
    <w:p>
      <w:pPr>
        <w:ind w:left="960" w:right="260" w:hanging="311"/>
        <w:spacing w:after="0" w:line="350"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b w:val="1"/>
          <w:bCs w:val="1"/>
          <w:color w:val="auto"/>
        </w:rPr>
        <w:t>Discovery and preclinical expenses</w:t>
      </w:r>
      <w:r>
        <w:rPr>
          <w:rFonts w:ascii="Times New Roman" w:cs="Times New Roman" w:eastAsia="Times New Roman" w:hAnsi="Times New Roman"/>
          <w:sz w:val="18"/>
          <w:szCs w:val="18"/>
          <w:color w:val="auto"/>
        </w:rPr>
        <w:t>: Decrease of CHF 1.6 million, primarily due to the completion of certain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pre-clinical studies and our strategic focus on advancing clinical-stage programs.</w:t>
      </w:r>
    </w:p>
    <w:p>
      <w:pPr>
        <w:ind w:left="960" w:right="40" w:hanging="311"/>
        <w:spacing w:after="0" w:line="35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b w:val="1"/>
          <w:bCs w:val="1"/>
          <w:color w:val="auto"/>
        </w:rPr>
        <w:t>Clinical expenses</w:t>
      </w:r>
      <w:r>
        <w:rPr>
          <w:rFonts w:ascii="Times New Roman" w:cs="Times New Roman" w:eastAsia="Times New Roman" w:hAnsi="Times New Roman"/>
          <w:sz w:val="18"/>
          <w:szCs w:val="18"/>
          <w:color w:val="auto"/>
        </w:rPr>
        <w:t>: Decrease of CHF 4.4 million, primarily due to lower costs related to manufacturing activities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for our Phase 2 VacSYn study evaluating ACI-7104 in early PD and certain non-recurring manufacturing costs in 2024. These changes were offset by increased costs associated with our NLRP3 inhibitor program, which entered clinical development in 2026, and higher costs associated with our PET Tracer programs.</w:t>
      </w:r>
    </w:p>
    <w:p>
      <w:pPr>
        <w:spacing w:after="0" w:line="2" w:lineRule="exact"/>
        <w:rPr>
          <w:rFonts w:ascii="Times New Roman" w:cs="Times New Roman" w:eastAsia="Times New Roman" w:hAnsi="Times New Roman"/>
          <w:sz w:val="18"/>
          <w:szCs w:val="18"/>
          <w:color w:val="auto"/>
        </w:rPr>
      </w:pPr>
    </w:p>
    <w:p>
      <w:pPr>
        <w:ind w:left="960" w:right="640" w:hanging="311"/>
        <w:spacing w:after="0" w:line="3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b w:val="1"/>
          <w:bCs w:val="1"/>
          <w:color w:val="auto"/>
        </w:rPr>
        <w:t>Salary- and benefit-related costs</w:t>
      </w:r>
      <w:r>
        <w:rPr>
          <w:rFonts w:ascii="Times New Roman" w:cs="Times New Roman" w:eastAsia="Times New Roman" w:hAnsi="Times New Roman"/>
          <w:sz w:val="18"/>
          <w:szCs w:val="18"/>
          <w:color w:val="auto"/>
        </w:rPr>
        <w:t>: Decrease of CHF 0.7 million, primarily due to decreased share-based</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compensation in the current year.</w:t>
      </w:r>
    </w:p>
    <w:p>
      <w:pPr>
        <w:ind w:left="320" w:right="160" w:hanging="313"/>
        <w:spacing w:after="0" w:line="375"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G&amp;A Expenditures</w:t>
      </w:r>
      <w:r>
        <w:rPr>
          <w:rFonts w:ascii="Times New Roman" w:cs="Times New Roman" w:eastAsia="Times New Roman" w:hAnsi="Times New Roman"/>
          <w:sz w:val="18"/>
          <w:szCs w:val="18"/>
          <w:color w:val="auto"/>
        </w:rPr>
        <w:t>: G&amp;A expenses decreased by CHF 1.1 million for the year ended December 31, 2025, to CHF 16.1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This decrease is primarily due to legal fees in 2024 which did not recur.</w:t>
      </w:r>
    </w:p>
    <w:p>
      <w:pPr>
        <w:spacing w:after="0" w:line="1" w:lineRule="exact"/>
        <w:rPr>
          <w:rFonts w:ascii="Times New Roman" w:cs="Times New Roman" w:eastAsia="Times New Roman" w:hAnsi="Times New Roman"/>
          <w:sz w:val="18"/>
          <w:szCs w:val="18"/>
          <w:color w:val="auto"/>
        </w:rPr>
      </w:pPr>
    </w:p>
    <w:p>
      <w:pPr>
        <w:ind w:left="320" w:right="100" w:hanging="313"/>
        <w:spacing w:after="0" w:line="412"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Restructuring Expenditures</w:t>
      </w:r>
      <w:r>
        <w:rPr>
          <w:rFonts w:ascii="Times New Roman" w:cs="Times New Roman" w:eastAsia="Times New Roman" w:hAnsi="Times New Roman"/>
          <w:sz w:val="18"/>
          <w:szCs w:val="18"/>
          <w:color w:val="auto"/>
        </w:rPr>
        <w:t>: Expenses recognized as a result of the restructuring were CHF 0.5 million compared to nil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year ended 2024. These expenses include CHF 2.1 million of termination benefits, offset by a CHF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5846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ectPr>
          <w:pgSz w:w="11900" w:h="16838" w:orient="portrait"/>
          <w:cols w:equalWidth="0" w:num="1">
            <w:col w:w="9160"/>
          </w:cols>
          <w:pgMar w:left="1340" w:top="175" w:right="1399" w:bottom="1440" w:gutter="0" w:footer="0" w:header="0"/>
        </w:sectPr>
      </w:pPr>
    </w:p>
    <w:bookmarkStart w:id="4" w:name="page5"/>
    <w:bookmarkEnd w:id="4"/>
    <w:p>
      <w:pPr>
        <w:ind w:left="320" w:right="480"/>
        <w:spacing w:after="0" w:line="373" w:lineRule="auto"/>
        <w:rPr>
          <w:sz w:val="20"/>
          <w:szCs w:val="20"/>
          <w:color w:val="auto"/>
        </w:rPr>
      </w:pPr>
      <w:r>
        <w:rPr>
          <w:rFonts w:ascii="Times New Roman" w:cs="Times New Roman" w:eastAsia="Times New Roman" w:hAnsi="Times New Roman"/>
          <w:sz w:val="18"/>
          <w:szCs w:val="18"/>
          <w:color w:val="auto"/>
        </w:rPr>
        <w:t>million gain on curtailment in the defined benefit pension liability. The remaining balance pertains to other non-cash activities within share-based compensation.</w:t>
      </w:r>
    </w:p>
    <w:p>
      <w:pPr>
        <w:spacing w:after="0" w:line="1" w:lineRule="exact"/>
        <w:rPr>
          <w:sz w:val="20"/>
          <w:szCs w:val="20"/>
          <w:color w:val="auto"/>
        </w:rPr>
      </w:pPr>
    </w:p>
    <w:p>
      <w:pPr>
        <w:ind w:left="320" w:hanging="313"/>
        <w:spacing w:after="0" w:line="375"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Result</w:t>
      </w:r>
      <w:r>
        <w:rPr>
          <w:rFonts w:ascii="Times New Roman" w:cs="Times New Roman" w:eastAsia="Times New Roman" w:hAnsi="Times New Roman"/>
          <w:sz w:val="18"/>
          <w:szCs w:val="18"/>
          <w:color w:val="auto"/>
        </w:rPr>
        <w:t>: Net finance result was a CHF 1.1 million loss for the year ended December 31, 2025, compared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CHF 1.5 million gain in 2024. This was due to lower interest received on net investments in short-term financial assets and foreign exchange differences caused by foreign currencies depreciating against CHF, predominantly the U.S. Dollar.</w:t>
      </w:r>
    </w:p>
    <w:p>
      <w:pPr>
        <w:spacing w:after="0" w:line="1" w:lineRule="exact"/>
        <w:rPr>
          <w:rFonts w:ascii="Times New Roman" w:cs="Times New Roman" w:eastAsia="Times New Roman" w:hAnsi="Times New Roman"/>
          <w:sz w:val="18"/>
          <w:szCs w:val="18"/>
          <w:color w:val="auto"/>
        </w:rPr>
      </w:pPr>
    </w:p>
    <w:p>
      <w:pPr>
        <w:ind w:left="320" w:right="20" w:hanging="313"/>
        <w:spacing w:after="0" w:line="41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IFRS Loss for the Period</w:t>
      </w:r>
      <w:r>
        <w:rPr>
          <w:rFonts w:ascii="Times New Roman" w:cs="Times New Roman" w:eastAsia="Times New Roman" w:hAnsi="Times New Roman"/>
          <w:sz w:val="18"/>
          <w:szCs w:val="18"/>
          <w:color w:val="auto"/>
        </w:rPr>
        <w:t>: The Company reported a net loss after taxes of CHF 70.5 million for the year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2025, compared with a net loss of CHF 50.9 million for the prior year.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229" w:lineRule="exact"/>
        <w:rPr>
          <w:sz w:val="20"/>
          <w:szCs w:val="20"/>
          <w:color w:val="auto"/>
        </w:rPr>
      </w:pPr>
    </w:p>
    <w:p>
      <w:pPr>
        <w:ind w:left="340" w:right="340" w:hanging="333"/>
        <w:spacing w:after="0" w:line="39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2026, the Company expects its total cash expenditure to be in the range of CHF 55-65 million. The Company defines total cash expenditure as operating expenditure adjusted to include capital expenditure and offset by significant non-cash items (including share-based compensation and depreciation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11" w:lineRule="exact"/>
        <w:rPr>
          <w:sz w:val="20"/>
          <w:szCs w:val="20"/>
          <w:color w:val="auto"/>
        </w:rPr>
      </w:pPr>
    </w:p>
    <w:p>
      <w:pPr>
        <w:jc w:val="both"/>
        <w:ind w:right="180"/>
        <w:spacing w:after="0" w:line="308"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SG and USA. Morphomer® is a registered trademark of AC Immune SA in CA, CN, CH, EU, GB, JP, KR, NO, RU and SG.</w:t>
      </w:r>
    </w:p>
    <w:p>
      <w:pPr>
        <w:spacing w:after="0" w:line="94" w:lineRule="exact"/>
        <w:rPr>
          <w:sz w:val="20"/>
          <w:szCs w:val="20"/>
          <w:color w:val="auto"/>
        </w:rPr>
      </w:pPr>
    </w:p>
    <w:p>
      <w:pPr>
        <w:ind w:right="760"/>
        <w:spacing w:after="0" w:line="318"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SVP, Investor Relations &amp; Corporate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Gary Waanders, Ph.D., MBA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 Immune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Phone: +41 21 345 91 91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Email: gary.waanders@acimmune.com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Media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Cohesion Bureau</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Phone: +41 79 367 6254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Email: chris.maggos@cohesionbureau.com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875030</wp:posOffset>
            </wp:positionV>
            <wp:extent cx="58464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6445" cy="17145"/>
                    </a:xfrm>
                    <a:prstGeom prst="rect">
                      <a:avLst/>
                    </a:prstGeom>
                    <a:noFill/>
                  </pic:spPr>
                </pic:pic>
              </a:graphicData>
            </a:graphic>
          </wp:anchor>
        </w:drawing>
      </w:r>
    </w:p>
    <w:p>
      <w:pPr>
        <w:sectPr>
          <w:pgSz w:w="11900" w:h="16838" w:orient="portrait"/>
          <w:cols w:equalWidth="0" w:num="1">
            <w:col w:w="9180"/>
          </w:cols>
          <w:pgMar w:left="1340" w:top="175" w:right="1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827405</wp:posOffset>
            </wp:positionV>
            <wp:extent cx="58464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6445" cy="26035"/>
                    </a:xfrm>
                    <a:prstGeom prst="rect">
                      <a:avLst/>
                    </a:prstGeom>
                    <a:noFill/>
                  </pic:spPr>
                </pic:pic>
              </a:graphicData>
            </a:graphic>
          </wp:anchor>
        </w:drawing>
      </w:r>
    </w:p>
    <w:p>
      <w:pPr>
        <w:sectPr>
          <w:pgSz w:w="11900" w:h="16838" w:orient="portrait"/>
          <w:cols w:equalWidth="0" w:num="1">
            <w:col w:w="9180"/>
          </w:cols>
          <w:pgMar w:left="1340" w:top="522" w:right="1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5"/>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6340" w:type="dxa"/>
            <w:vAlign w:val="bottom"/>
          </w:tcPr>
          <w:p>
            <w:pPr>
              <w:ind w:left="6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154,251</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230,913</w:t>
            </w: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78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44,884</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8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8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109,367</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118,643</w:t>
            </w: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4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154,251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230,913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6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40" w:top="117" w:right="1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8"/>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tcPr>
          <w:p>
            <w:pPr>
              <w:spacing w:after="0"/>
              <w:rPr>
                <w:sz w:val="20"/>
                <w:szCs w:val="20"/>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10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(69,318)</w:t>
            </w:r>
          </w:p>
        </w:tc>
        <w:tc>
          <w:tcPr>
            <w:tcW w:w="200" w:type="dxa"/>
            <w:vAlign w:val="bottom"/>
            <w:vMerge w:val="continue"/>
          </w:tcPr>
          <w:p>
            <w:pPr>
              <w:spacing w:after="0"/>
              <w:rPr>
                <w:sz w:val="17"/>
                <w:szCs w:val="17"/>
                <w:color w:val="auto"/>
              </w:rPr>
            </w:pPr>
          </w:p>
        </w:tc>
        <w:tc>
          <w:tcPr>
            <w:tcW w:w="7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(52,378)</w:t>
            </w:r>
          </w:p>
        </w:tc>
        <w:tc>
          <w:tcPr>
            <w:tcW w:w="180" w:type="dxa"/>
            <w:vAlign w:val="bottom"/>
            <w:vMerge w:val="continue"/>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(53,624)</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 (unaudited)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2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Items that may be reclassified to income or loss in subsequent periods (net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defined-benefit plans (net of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(71,788)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340" w:top="117" w:right="1319" w:bottom="1440" w:gutter="0" w:footer="0" w:header="0"/>
        </w:sectPr>
      </w:pPr>
    </w:p>
    <w:bookmarkStart w:id="8" w:name="page9"/>
    <w:bookmarkEnd w:id="8"/>
    <w:p>
      <w:pPr>
        <w:ind w:left="2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 AC IMMUNE SA</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the statutory auditor</w:t>
            </w:r>
          </w:p>
        </w:tc>
        <w:tc>
          <w:tcPr>
            <w:tcW w:w="6200" w:type="dxa"/>
            <w:vAlign w:val="bottom"/>
            <w:tcBorders>
              <w:bottom w:val="single" w:sz="8" w:color="CCEEFF"/>
            </w:tcBorders>
            <w:gridSpan w:val="7"/>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20" w:type="dxa"/>
            <w:vAlign w:val="bottom"/>
          </w:tcPr>
          <w:p>
            <w:pPr>
              <w:spacing w:after="0"/>
              <w:rPr>
                <w:sz w:val="15"/>
                <w:szCs w:val="15"/>
                <w:color w:val="auto"/>
              </w:rPr>
            </w:pPr>
          </w:p>
        </w:tc>
        <w:tc>
          <w:tcPr>
            <w:tcW w:w="8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Income/(Loss) and Consolidated Statements of Comprehensive Income/(Loss) for the</w:t>
            </w:r>
          </w:p>
        </w:tc>
        <w:tc>
          <w:tcPr>
            <w:tcW w:w="50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90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fiscal years ended December 31, 2025, 2024 and 2023</w:t>
            </w:r>
          </w:p>
        </w:tc>
        <w:tc>
          <w:tcPr>
            <w:tcW w:w="428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20" w:type="dxa"/>
            <w:vAlign w:val="bottom"/>
          </w:tcPr>
          <w:p>
            <w:pPr>
              <w:spacing w:after="0"/>
              <w:rPr>
                <w:sz w:val="15"/>
                <w:szCs w:val="15"/>
                <w:color w:val="auto"/>
              </w:rPr>
            </w:pPr>
          </w:p>
        </w:tc>
        <w:tc>
          <w:tcPr>
            <w:tcW w:w="8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fiscal years ended December 31, 2025, 2024 and 2023</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2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December 31, 2025, 2024 and 2023</w:t>
            </w:r>
          </w:p>
        </w:tc>
        <w:tc>
          <w:tcPr>
            <w:tcW w:w="1040" w:type="dxa"/>
            <w:vAlign w:val="bottom"/>
            <w:tcBorders>
              <w:bottom w:val="single" w:sz="8" w:color="CCEEFF"/>
            </w:tcBorders>
            <w:gridSpan w:val="3"/>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20" w:type="dxa"/>
            <w:vAlign w:val="bottom"/>
          </w:tcPr>
          <w:p>
            <w:pPr>
              <w:spacing w:after="0"/>
              <w:rPr>
                <w:sz w:val="15"/>
                <w:szCs w:val="15"/>
                <w:color w:val="auto"/>
              </w:rPr>
            </w:pPr>
          </w:p>
        </w:tc>
        <w:tc>
          <w:tcPr>
            <w:tcW w:w="8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482725" cy="951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51230"/>
                    </a:xfrm>
                    <a:prstGeom prst="rect">
                      <a:avLst/>
                    </a:prstGeom>
                    <a:noFill/>
                  </pic:spPr>
                </pic:pic>
              </a:graphicData>
            </a:graphic>
          </wp:anchor>
        </w:drawing>
      </w:r>
    </w:p>
    <w:p>
      <w:pPr>
        <w:ind w:left="60" w:right="779"/>
        <w:spacing w:after="0" w:line="288" w:lineRule="auto"/>
        <w:rPr>
          <w:sz w:val="20"/>
          <w:szCs w:val="20"/>
          <w:color w:val="auto"/>
        </w:rPr>
      </w:pPr>
      <w:r>
        <w:rPr>
          <w:rFonts w:ascii="Arial" w:cs="Arial" w:eastAsia="Arial" w:hAnsi="Arial"/>
          <w:sz w:val="29"/>
          <w:szCs w:val="29"/>
          <w:b w:val="1"/>
          <w:bCs w:val="1"/>
          <w:color w:val="auto"/>
        </w:rPr>
        <w:t>Report of the statutory auditor to the General Meeting of AC Immune SA, Ecublens</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Report on the audit of the consolidated financial statements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w:t>
      </w:r>
    </w:p>
    <w:p>
      <w:pPr>
        <w:spacing w:after="0" w:line="254" w:lineRule="exact"/>
        <w:rPr>
          <w:sz w:val="20"/>
          <w:szCs w:val="20"/>
          <w:color w:val="auto"/>
        </w:rPr>
      </w:pPr>
    </w:p>
    <w:p>
      <w:pPr>
        <w:ind w:left="60" w:right="179"/>
        <w:spacing w:after="0" w:line="300" w:lineRule="auto"/>
        <w:rPr>
          <w:sz w:val="20"/>
          <w:szCs w:val="20"/>
          <w:color w:val="auto"/>
        </w:rPr>
      </w:pPr>
      <w:r>
        <w:rPr>
          <w:rFonts w:ascii="Georgia" w:cs="Georgia" w:eastAsia="Georgia" w:hAnsi="Georgia"/>
          <w:sz w:val="18"/>
          <w:szCs w:val="18"/>
          <w:color w:val="auto"/>
        </w:rPr>
        <w:t>We have audited the consolidated financial statements of AC Immune SA and its subsidiary (the Group), which comprise the consolidated balance sheet as at December 31, 2025, and the consolidated statement of income/(loss), the consolidated statement of comprehensive income/(loss), the consolidated statement of changes in equity and the consolidated statement of cash flows for the year then ended, and notes to the consolidated financial statements, including material accounting policy information.</w:t>
      </w:r>
    </w:p>
    <w:p>
      <w:pPr>
        <w:spacing w:after="0" w:line="180" w:lineRule="exact"/>
        <w:rPr>
          <w:sz w:val="20"/>
          <w:szCs w:val="20"/>
          <w:color w:val="auto"/>
        </w:rPr>
      </w:pPr>
    </w:p>
    <w:p>
      <w:pPr>
        <w:ind w:left="60" w:right="59"/>
        <w:spacing w:after="0" w:line="300" w:lineRule="auto"/>
        <w:rPr>
          <w:sz w:val="20"/>
          <w:szCs w:val="20"/>
          <w:color w:val="auto"/>
        </w:rPr>
      </w:pPr>
      <w:r>
        <w:rPr>
          <w:rFonts w:ascii="Georgia" w:cs="Georgia" w:eastAsia="Georgia" w:hAnsi="Georgia"/>
          <w:sz w:val="18"/>
          <w:szCs w:val="18"/>
          <w:color w:val="auto"/>
        </w:rPr>
        <w:t>In our opinion, the accompanying consolidated financial statements give a true and fair view of the consolidated financial position of the Group as at December 31, 2025 and of its consolidated financial performance and its consolidated cash flows for the year then ended in accordance with IFRS Accounting Standards and comply with Swiss law.</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41" w:lineRule="exact"/>
        <w:rPr>
          <w:sz w:val="20"/>
          <w:szCs w:val="20"/>
          <w:color w:val="auto"/>
        </w:rPr>
      </w:pPr>
    </w:p>
    <w:p>
      <w:pPr>
        <w:ind w:left="60" w:right="79"/>
        <w:spacing w:after="0" w:line="302" w:lineRule="auto"/>
        <w:rPr>
          <w:sz w:val="20"/>
          <w:szCs w:val="20"/>
          <w:color w:val="auto"/>
        </w:rPr>
      </w:pPr>
      <w:r>
        <w:rPr>
          <w:rFonts w:ascii="Georgia" w:cs="Georgia" w:eastAsia="Georgia" w:hAnsi="Georgia"/>
          <w:sz w:val="18"/>
          <w:szCs w:val="18"/>
          <w:color w:val="auto"/>
        </w:rPr>
        <w:t>We conducted our audit in accordance with Swiss law, International Standards on Auditing (ISA) and Swiss Standards on Auditing (SA-CH). Our responsibilities under those provisions and standards are further described in the 'Auditor’s responsibilities for the audit of the consolidated financial statements' section of our report. We are independent of the Group in accordance with the provisions of Swiss law and the requirements of the Swiss audit profession that are relevant to audits of the financial statements of public interest entities, as well as the International Code of Ethics for Professional Accountants (including International Independence Standards) issued by the International Ethics Standards Board for Accountants (IESBA Code), as applicable to audits of financial statements of public interest entities. We have also fulfilled our other ethical responsibilities in accordance with these requirements.</w:t>
      </w:r>
    </w:p>
    <w:p>
      <w:pPr>
        <w:spacing w:after="0" w:line="181" w:lineRule="exact"/>
        <w:rPr>
          <w:sz w:val="20"/>
          <w:szCs w:val="20"/>
          <w:color w:val="auto"/>
        </w:rPr>
      </w:pPr>
    </w:p>
    <w:p>
      <w:pPr>
        <w:ind w:left="60" w:right="539"/>
        <w:spacing w:after="0" w:line="299" w:lineRule="auto"/>
        <w:rPr>
          <w:sz w:val="20"/>
          <w:szCs w:val="20"/>
          <w:color w:val="auto"/>
        </w:rPr>
      </w:pPr>
      <w:r>
        <w:rPr>
          <w:rFonts w:ascii="Georgia" w:cs="Georgia" w:eastAsia="Georgia" w:hAnsi="Georgia"/>
          <w:sz w:val="18"/>
          <w:szCs w:val="18"/>
          <w:color w:val="auto"/>
        </w:rPr>
        <w:t>We believe that the audit evidence we have obtained is sufficient and appropriate to provide a basis for our opinion.</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86360</wp:posOffset>
            </wp:positionV>
            <wp:extent cx="5768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1183005" cy="2099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3005" cy="2099945"/>
                    </a:xfrm>
                    <a:prstGeom prst="rect">
                      <a:avLst/>
                    </a:prstGeom>
                    <a:noFill/>
                  </pic:spPr>
                </pic:pic>
              </a:graphicData>
            </a:graphic>
          </wp:anchor>
        </w:drawing>
      </w:r>
    </w:p>
    <w:p>
      <w:pPr>
        <w:spacing w:after="0" w:line="111" w:lineRule="exact"/>
        <w:rPr>
          <w:sz w:val="20"/>
          <w:szCs w:val="20"/>
          <w:color w:val="auto"/>
        </w:rPr>
      </w:pPr>
    </w:p>
    <w:p>
      <w:pPr>
        <w:ind w:left="2140"/>
        <w:spacing w:after="0"/>
        <w:rPr>
          <w:sz w:val="20"/>
          <w:szCs w:val="20"/>
          <w:color w:val="auto"/>
        </w:rPr>
      </w:pPr>
      <w:r>
        <w:rPr>
          <w:rFonts w:ascii="Georgia" w:cs="Georgia" w:eastAsia="Georgia" w:hAnsi="Georgia"/>
          <w:sz w:val="18"/>
          <w:szCs w:val="18"/>
          <w:color w:val="auto"/>
        </w:rPr>
        <w:t>Overall group materiality: CHF 2,900 thousand</w:t>
      </w:r>
    </w:p>
    <w:p>
      <w:pPr>
        <w:spacing w:after="0" w:line="121" w:lineRule="exact"/>
        <w:rPr>
          <w:sz w:val="20"/>
          <w:szCs w:val="20"/>
          <w:color w:val="auto"/>
        </w:rPr>
      </w:pPr>
    </w:p>
    <w:p>
      <w:pPr>
        <w:ind w:left="2140" w:right="219"/>
        <w:spacing w:after="0" w:line="299" w:lineRule="auto"/>
        <w:rPr>
          <w:sz w:val="20"/>
          <w:szCs w:val="20"/>
          <w:color w:val="auto"/>
        </w:rPr>
      </w:pPr>
      <w:r>
        <w:rPr>
          <w:rFonts w:ascii="Georgia" w:cs="Georgia" w:eastAsia="Georgia" w:hAnsi="Georgia"/>
          <w:sz w:val="18"/>
          <w:szCs w:val="18"/>
          <w:color w:val="auto"/>
        </w:rPr>
        <w:t>The entities addressed by our full scope audit work contribute to 99% of the Group’s total assets.</w:t>
      </w:r>
    </w:p>
    <w:p>
      <w:pPr>
        <w:spacing w:after="0" w:line="83" w:lineRule="exact"/>
        <w:rPr>
          <w:sz w:val="20"/>
          <w:szCs w:val="20"/>
          <w:color w:val="auto"/>
        </w:rPr>
      </w:pPr>
    </w:p>
    <w:p>
      <w:pPr>
        <w:ind w:left="2140"/>
        <w:spacing w:after="0"/>
        <w:rPr>
          <w:sz w:val="20"/>
          <w:szCs w:val="20"/>
          <w:color w:val="auto"/>
        </w:rPr>
      </w:pPr>
      <w:r>
        <w:rPr>
          <w:rFonts w:ascii="Georgia" w:cs="Georgia" w:eastAsia="Georgia" w:hAnsi="Georgia"/>
          <w:sz w:val="18"/>
          <w:szCs w:val="18"/>
          <w:color w:val="auto"/>
        </w:rPr>
        <w:t>As key audit matter the following area of focus has been identified:</w:t>
      </w:r>
    </w:p>
    <w:p>
      <w:pPr>
        <w:spacing w:after="0" w:line="119" w:lineRule="exact"/>
        <w:rPr>
          <w:sz w:val="20"/>
          <w:szCs w:val="20"/>
          <w:color w:val="auto"/>
        </w:rPr>
      </w:pPr>
    </w:p>
    <w:p>
      <w:pPr>
        <w:ind w:left="2140"/>
        <w:spacing w:after="0"/>
        <w:rPr>
          <w:sz w:val="20"/>
          <w:szCs w:val="20"/>
          <w:color w:val="auto"/>
        </w:rPr>
      </w:pPr>
      <w:r>
        <w:rPr>
          <w:rFonts w:ascii="Georgia" w:cs="Georgia" w:eastAsia="Georgia" w:hAnsi="Georgia"/>
          <w:sz w:val="18"/>
          <w:szCs w:val="18"/>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978535</wp:posOffset>
            </wp:positionV>
            <wp:extent cx="57689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Materiality</w:t>
      </w:r>
    </w:p>
    <w:p>
      <w:pPr>
        <w:spacing w:after="0" w:line="241" w:lineRule="exact"/>
        <w:rPr>
          <w:sz w:val="20"/>
          <w:szCs w:val="20"/>
          <w:color w:val="auto"/>
        </w:rPr>
      </w:pPr>
    </w:p>
    <w:p>
      <w:pPr>
        <w:ind w:left="60" w:right="59"/>
        <w:spacing w:after="0" w:line="300" w:lineRule="auto"/>
        <w:rPr>
          <w:sz w:val="20"/>
          <w:szCs w:val="20"/>
          <w:color w:val="auto"/>
        </w:rPr>
      </w:pPr>
      <w:r>
        <w:rPr>
          <w:rFonts w:ascii="Georgia" w:cs="Georgia" w:eastAsia="Georgia" w:hAnsi="Georgia"/>
          <w:sz w:val="18"/>
          <w:szCs w:val="18"/>
          <w:color w:val="auto"/>
        </w:rPr>
        <w:t>The scope of our audit was influenced by our application of materiality. Our audit opinion aims to provide reasonable assurance that the consolidated financial statements are free from material misstatement. Misstatements may arise due to fraud or error. They are considered material if, individually or in aggregate, they could reasonably be expected to influence the economic decisions of users taken on the basis of the consolidated financial statements.</w:t>
      </w:r>
    </w:p>
    <w:p>
      <w:pPr>
        <w:sectPr>
          <w:pgSz w:w="11900" w:h="16843" w:orient="portrait"/>
          <w:cols w:equalWidth="0" w:num="1">
            <w:col w:w="9019"/>
          </w:cols>
          <w:pgMar w:left="1440" w:top="1440" w:right="1440" w:bottom="0" w:gutter="0" w:footer="0" w:header="0"/>
        </w:sectPr>
      </w:pPr>
    </w:p>
    <w:bookmarkStart w:id="10" w:name="page11"/>
    <w:bookmarkEnd w:id="10"/>
    <w:p>
      <w:pPr>
        <w:jc w:val="both"/>
        <w:ind w:left="60" w:right="340"/>
        <w:spacing w:after="0" w:line="300" w:lineRule="auto"/>
        <w:rPr>
          <w:sz w:val="20"/>
          <w:szCs w:val="20"/>
          <w:color w:val="auto"/>
        </w:rPr>
      </w:pPr>
      <w:r>
        <w:rPr>
          <w:rFonts w:ascii="Georgia" w:cs="Georgia" w:eastAsia="Georgia" w:hAnsi="Georgia"/>
          <w:sz w:val="18"/>
          <w:szCs w:val="18"/>
          <w:color w:val="auto"/>
        </w:rPr>
        <w:t>Based on our professional judgement, we determined certain quantitative thresholds for materiality, including the overall Group materiality for the consolidated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consolidated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219075</wp:posOffset>
            </wp:positionV>
            <wp:extent cx="57689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3680" w:type="dxa"/>
            <w:vAlign w:val="bottom"/>
          </w:tcPr>
          <w:p>
            <w:pPr>
              <w:spacing w:after="0"/>
              <w:rPr>
                <w:sz w:val="20"/>
                <w:szCs w:val="20"/>
                <w:color w:val="auto"/>
              </w:rPr>
            </w:pPr>
            <w:r>
              <w:rPr>
                <w:rFonts w:ascii="Arial" w:cs="Arial" w:eastAsia="Arial" w:hAnsi="Arial"/>
                <w:sz w:val="18"/>
                <w:szCs w:val="18"/>
                <w:b w:val="1"/>
                <w:bCs w:val="1"/>
                <w:color w:val="auto"/>
              </w:rPr>
              <w:t>Overall group materiality</w:t>
            </w:r>
          </w:p>
        </w:tc>
        <w:tc>
          <w:tcPr>
            <w:tcW w:w="5420" w:type="dxa"/>
            <w:vAlign w:val="bottom"/>
          </w:tcPr>
          <w:p>
            <w:pPr>
              <w:ind w:left="280"/>
              <w:spacing w:after="0"/>
              <w:rPr>
                <w:sz w:val="20"/>
                <w:szCs w:val="20"/>
                <w:color w:val="auto"/>
              </w:rPr>
            </w:pPr>
            <w:r>
              <w:rPr>
                <w:rFonts w:ascii="Georgia" w:cs="Georgia" w:eastAsia="Georgia" w:hAnsi="Georgia"/>
                <w:sz w:val="18"/>
                <w:szCs w:val="18"/>
                <w:color w:val="auto"/>
              </w:rPr>
              <w:t>CHF 2,900 thousand</w:t>
            </w:r>
          </w:p>
        </w:tc>
      </w:tr>
      <w:tr>
        <w:trPr>
          <w:trHeight w:val="418"/>
        </w:trPr>
        <w:tc>
          <w:tcPr>
            <w:tcW w:w="3680" w:type="dxa"/>
            <w:vAlign w:val="bottom"/>
          </w:tcPr>
          <w:p>
            <w:pPr>
              <w:spacing w:after="0"/>
              <w:rPr>
                <w:sz w:val="20"/>
                <w:szCs w:val="20"/>
                <w:color w:val="auto"/>
              </w:rPr>
            </w:pPr>
            <w:r>
              <w:rPr>
                <w:rFonts w:ascii="Arial" w:cs="Arial" w:eastAsia="Arial" w:hAnsi="Arial"/>
                <w:sz w:val="18"/>
                <w:szCs w:val="18"/>
                <w:b w:val="1"/>
                <w:bCs w:val="1"/>
                <w:color w:val="auto"/>
              </w:rPr>
              <w:t>Benchmark applied</w:t>
            </w:r>
          </w:p>
        </w:tc>
        <w:tc>
          <w:tcPr>
            <w:tcW w:w="5420" w:type="dxa"/>
            <w:vAlign w:val="bottom"/>
          </w:tcPr>
          <w:p>
            <w:pPr>
              <w:ind w:left="280"/>
              <w:spacing w:after="0"/>
              <w:rPr>
                <w:sz w:val="20"/>
                <w:szCs w:val="20"/>
                <w:color w:val="auto"/>
              </w:rPr>
            </w:pPr>
            <w:r>
              <w:rPr>
                <w:rFonts w:ascii="Georgia" w:cs="Georgia" w:eastAsia="Georgia" w:hAnsi="Georgia"/>
                <w:sz w:val="18"/>
                <w:szCs w:val="18"/>
                <w:color w:val="auto"/>
              </w:rPr>
              <w:t>3 years average loss before tax</w:t>
            </w:r>
          </w:p>
        </w:tc>
      </w:tr>
      <w:tr>
        <w:trPr>
          <w:trHeight w:val="418"/>
        </w:trPr>
        <w:tc>
          <w:tcPr>
            <w:tcW w:w="3680" w:type="dxa"/>
            <w:vAlign w:val="bottom"/>
          </w:tcPr>
          <w:p>
            <w:pPr>
              <w:spacing w:after="0"/>
              <w:rPr>
                <w:sz w:val="20"/>
                <w:szCs w:val="20"/>
                <w:color w:val="auto"/>
              </w:rPr>
            </w:pPr>
            <w:r>
              <w:rPr>
                <w:rFonts w:ascii="Arial" w:cs="Arial" w:eastAsia="Arial" w:hAnsi="Arial"/>
                <w:sz w:val="18"/>
                <w:szCs w:val="18"/>
                <w:b w:val="1"/>
                <w:bCs w:val="1"/>
                <w:color w:val="auto"/>
              </w:rPr>
              <w:t>Rationale for the materiality benchmark</w:t>
            </w:r>
          </w:p>
        </w:tc>
        <w:tc>
          <w:tcPr>
            <w:tcW w:w="5420" w:type="dxa"/>
            <w:vAlign w:val="bottom"/>
          </w:tcPr>
          <w:p>
            <w:pPr>
              <w:ind w:left="280"/>
              <w:spacing w:after="0"/>
              <w:rPr>
                <w:sz w:val="20"/>
                <w:szCs w:val="20"/>
                <w:color w:val="auto"/>
              </w:rPr>
            </w:pPr>
            <w:r>
              <w:rPr>
                <w:rFonts w:ascii="Georgia" w:cs="Georgia" w:eastAsia="Georgia" w:hAnsi="Georgia"/>
                <w:sz w:val="18"/>
                <w:szCs w:val="18"/>
                <w:color w:val="auto"/>
              </w:rPr>
              <w:t>Based on our analysis and professional judgement we</w:t>
            </w:r>
          </w:p>
        </w:tc>
      </w:tr>
      <w:tr>
        <w:trPr>
          <w:trHeight w:val="257"/>
        </w:trPr>
        <w:tc>
          <w:tcPr>
            <w:tcW w:w="3680" w:type="dxa"/>
            <w:vAlign w:val="bottom"/>
          </w:tcPr>
          <w:p>
            <w:pPr>
              <w:spacing w:after="0"/>
              <w:rPr>
                <w:sz w:val="20"/>
                <w:szCs w:val="20"/>
                <w:color w:val="auto"/>
              </w:rPr>
            </w:pPr>
            <w:r>
              <w:rPr>
                <w:rFonts w:ascii="Arial" w:cs="Arial" w:eastAsia="Arial" w:hAnsi="Arial"/>
                <w:sz w:val="18"/>
                <w:szCs w:val="18"/>
                <w:b w:val="1"/>
                <w:bCs w:val="1"/>
                <w:color w:val="auto"/>
              </w:rPr>
              <w:t>applied</w:t>
            </w:r>
          </w:p>
        </w:tc>
        <w:tc>
          <w:tcPr>
            <w:tcW w:w="5420" w:type="dxa"/>
            <w:vAlign w:val="bottom"/>
          </w:tcPr>
          <w:p>
            <w:pPr>
              <w:ind w:left="280"/>
              <w:spacing w:after="0"/>
              <w:rPr>
                <w:sz w:val="20"/>
                <w:szCs w:val="20"/>
                <w:color w:val="auto"/>
              </w:rPr>
            </w:pPr>
            <w:r>
              <w:rPr>
                <w:rFonts w:ascii="Georgia" w:cs="Georgia" w:eastAsia="Georgia" w:hAnsi="Georgia"/>
                <w:sz w:val="18"/>
                <w:szCs w:val="18"/>
                <w:color w:val="auto"/>
                <w:w w:val="99"/>
              </w:rPr>
              <w:t>determined that the average of 3 years loss before tax is the most</w:t>
            </w:r>
          </w:p>
        </w:tc>
      </w:tr>
      <w:tr>
        <w:trPr>
          <w:trHeight w:val="228"/>
        </w:trPr>
        <w:tc>
          <w:tcPr>
            <w:tcW w:w="3680" w:type="dxa"/>
            <w:vAlign w:val="bottom"/>
          </w:tcPr>
          <w:p>
            <w:pPr>
              <w:spacing w:after="0"/>
              <w:rPr>
                <w:sz w:val="19"/>
                <w:szCs w:val="19"/>
                <w:color w:val="auto"/>
              </w:rPr>
            </w:pPr>
          </w:p>
        </w:tc>
        <w:tc>
          <w:tcPr>
            <w:tcW w:w="5420" w:type="dxa"/>
            <w:vAlign w:val="bottom"/>
          </w:tcPr>
          <w:p>
            <w:pPr>
              <w:ind w:left="280"/>
              <w:spacing w:after="0"/>
              <w:rPr>
                <w:sz w:val="20"/>
                <w:szCs w:val="20"/>
                <w:color w:val="auto"/>
              </w:rPr>
            </w:pPr>
            <w:r>
              <w:rPr>
                <w:rFonts w:ascii="Georgia" w:cs="Georgia" w:eastAsia="Georgia" w:hAnsi="Georgia"/>
                <w:sz w:val="18"/>
                <w:szCs w:val="18"/>
                <w:color w:val="auto"/>
              </w:rPr>
              <w:t>appropriate benchmark. We chose the average of 3 years of loss</w:t>
            </w:r>
          </w:p>
        </w:tc>
      </w:tr>
      <w:tr>
        <w:trPr>
          <w:trHeight w:val="257"/>
        </w:trPr>
        <w:tc>
          <w:tcPr>
            <w:tcW w:w="3680" w:type="dxa"/>
            <w:vAlign w:val="bottom"/>
          </w:tcPr>
          <w:p>
            <w:pPr>
              <w:spacing w:after="0"/>
              <w:rPr>
                <w:sz w:val="22"/>
                <w:szCs w:val="22"/>
                <w:color w:val="auto"/>
              </w:rPr>
            </w:pPr>
          </w:p>
        </w:tc>
        <w:tc>
          <w:tcPr>
            <w:tcW w:w="5420" w:type="dxa"/>
            <w:vAlign w:val="bottom"/>
          </w:tcPr>
          <w:p>
            <w:pPr>
              <w:ind w:left="280"/>
              <w:spacing w:after="0"/>
              <w:rPr>
                <w:sz w:val="20"/>
                <w:szCs w:val="20"/>
                <w:color w:val="auto"/>
              </w:rPr>
            </w:pPr>
            <w:r>
              <w:rPr>
                <w:rFonts w:ascii="Georgia" w:cs="Georgia" w:eastAsia="Georgia" w:hAnsi="Georgia"/>
                <w:sz w:val="18"/>
                <w:szCs w:val="18"/>
                <w:color w:val="auto"/>
              </w:rPr>
              <w:t>before tax because it is the benchmark against which the</w:t>
            </w:r>
          </w:p>
        </w:tc>
      </w:tr>
      <w:tr>
        <w:trPr>
          <w:trHeight w:val="257"/>
        </w:trPr>
        <w:tc>
          <w:tcPr>
            <w:tcW w:w="3680" w:type="dxa"/>
            <w:vAlign w:val="bottom"/>
          </w:tcPr>
          <w:p>
            <w:pPr>
              <w:spacing w:after="0"/>
              <w:rPr>
                <w:sz w:val="22"/>
                <w:szCs w:val="22"/>
                <w:color w:val="auto"/>
              </w:rPr>
            </w:pPr>
          </w:p>
        </w:tc>
        <w:tc>
          <w:tcPr>
            <w:tcW w:w="5420" w:type="dxa"/>
            <w:vAlign w:val="bottom"/>
          </w:tcPr>
          <w:p>
            <w:pPr>
              <w:ind w:left="280"/>
              <w:spacing w:after="0"/>
              <w:rPr>
                <w:sz w:val="20"/>
                <w:szCs w:val="20"/>
                <w:color w:val="auto"/>
              </w:rPr>
            </w:pPr>
            <w:r>
              <w:rPr>
                <w:rFonts w:ascii="Georgia" w:cs="Georgia" w:eastAsia="Georgia" w:hAnsi="Georgia"/>
                <w:sz w:val="18"/>
                <w:szCs w:val="18"/>
                <w:color w:val="auto"/>
              </w:rPr>
              <w:t>performance of the Group is most commonly measured, and it is</w:t>
            </w:r>
          </w:p>
        </w:tc>
      </w:tr>
      <w:tr>
        <w:trPr>
          <w:trHeight w:val="257"/>
        </w:trPr>
        <w:tc>
          <w:tcPr>
            <w:tcW w:w="3680" w:type="dxa"/>
            <w:vAlign w:val="bottom"/>
          </w:tcPr>
          <w:p>
            <w:pPr>
              <w:spacing w:after="0"/>
              <w:rPr>
                <w:sz w:val="22"/>
                <w:szCs w:val="22"/>
                <w:color w:val="auto"/>
              </w:rPr>
            </w:pPr>
          </w:p>
        </w:tc>
        <w:tc>
          <w:tcPr>
            <w:tcW w:w="5420" w:type="dxa"/>
            <w:vAlign w:val="bottom"/>
          </w:tcPr>
          <w:p>
            <w:pPr>
              <w:ind w:left="280"/>
              <w:spacing w:after="0"/>
              <w:rPr>
                <w:sz w:val="20"/>
                <w:szCs w:val="20"/>
                <w:color w:val="auto"/>
              </w:rPr>
            </w:pPr>
            <w:r>
              <w:rPr>
                <w:rFonts w:ascii="Georgia" w:cs="Georgia" w:eastAsia="Georgia" w:hAnsi="Georgia"/>
                <w:sz w:val="18"/>
                <w:szCs w:val="18"/>
                <w:color w:val="auto"/>
              </w:rPr>
              <w:t>a generally accepted benchmark. In addition, in our view, the</w:t>
            </w:r>
          </w:p>
        </w:tc>
      </w:tr>
      <w:tr>
        <w:trPr>
          <w:trHeight w:val="257"/>
        </w:trPr>
        <w:tc>
          <w:tcPr>
            <w:tcW w:w="3680" w:type="dxa"/>
            <w:vAlign w:val="bottom"/>
          </w:tcPr>
          <w:p>
            <w:pPr>
              <w:spacing w:after="0"/>
              <w:rPr>
                <w:sz w:val="22"/>
                <w:szCs w:val="22"/>
                <w:color w:val="auto"/>
              </w:rPr>
            </w:pPr>
          </w:p>
        </w:tc>
        <w:tc>
          <w:tcPr>
            <w:tcW w:w="5420" w:type="dxa"/>
            <w:vAlign w:val="bottom"/>
          </w:tcPr>
          <w:p>
            <w:pPr>
              <w:ind w:left="280"/>
              <w:spacing w:after="0"/>
              <w:rPr>
                <w:sz w:val="20"/>
                <w:szCs w:val="20"/>
                <w:color w:val="auto"/>
              </w:rPr>
            </w:pPr>
            <w:r>
              <w:rPr>
                <w:rFonts w:ascii="Georgia" w:cs="Georgia" w:eastAsia="Georgia" w:hAnsi="Georgia"/>
                <w:sz w:val="18"/>
                <w:szCs w:val="18"/>
                <w:color w:val="auto"/>
              </w:rPr>
              <w:t>selected materiality threshold is aligned with investors and</w:t>
            </w:r>
          </w:p>
        </w:tc>
      </w:tr>
      <w:tr>
        <w:trPr>
          <w:trHeight w:val="256"/>
        </w:trPr>
        <w:tc>
          <w:tcPr>
            <w:tcW w:w="3680" w:type="dxa"/>
            <w:vAlign w:val="bottom"/>
          </w:tcPr>
          <w:p>
            <w:pPr>
              <w:spacing w:after="0"/>
              <w:rPr>
                <w:sz w:val="22"/>
                <w:szCs w:val="22"/>
                <w:color w:val="auto"/>
              </w:rPr>
            </w:pPr>
          </w:p>
        </w:tc>
        <w:tc>
          <w:tcPr>
            <w:tcW w:w="5420" w:type="dxa"/>
            <w:vAlign w:val="bottom"/>
          </w:tcPr>
          <w:p>
            <w:pPr>
              <w:ind w:left="280"/>
              <w:spacing w:after="0"/>
              <w:rPr>
                <w:sz w:val="20"/>
                <w:szCs w:val="20"/>
                <w:color w:val="auto"/>
              </w:rPr>
            </w:pPr>
            <w:r>
              <w:rPr>
                <w:rFonts w:ascii="Georgia" w:cs="Georgia" w:eastAsia="Georgia" w:hAnsi="Georgia"/>
                <w:sz w:val="18"/>
                <w:szCs w:val="18"/>
                <w:color w:val="auto"/>
              </w:rPr>
              <w:t>Audit &amp; Finance Committee expectations.</w:t>
            </w:r>
          </w:p>
        </w:tc>
      </w:tr>
      <w:tr>
        <w:trPr>
          <w:trHeight w:val="97"/>
        </w:trPr>
        <w:tc>
          <w:tcPr>
            <w:tcW w:w="368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-1679575</wp:posOffset>
            </wp:positionV>
            <wp:extent cx="8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-1679575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-1679575</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-1679575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-1679575</wp:posOffset>
            </wp:positionV>
            <wp:extent cx="8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-1679575</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-1679575</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-1679575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-1679575</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-1679575</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-1679575</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-1679575</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-1679575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-1679575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-1679575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-1679575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-1679575</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-1679575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-1679575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-1679575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-1679575</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-1679575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-1679575</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-1679575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-1679575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-1679575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-1679575</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-1679575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-1679575</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-1679575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-1679575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-1679575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-1679575</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-1679575</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-1679575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-1679575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-1679575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-1679575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-1679575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-1679575</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-1679575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-1679575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-1679575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-1679575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-1679575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-1679575</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-1679575</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-1679575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-1679575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-1679575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-1679575</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-1679575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-1679575</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-1679575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-1679575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-1679575</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-1679575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-1679575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-1679575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-1679575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-1679575</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-1679575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-1679575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-1679575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-1679575</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-1679575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-1679575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-1679575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-1679575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-1679575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-1679575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-1679575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-1679575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-1679575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-1679575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-1679575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-1679575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-1679575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-1679575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-1679575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-1679575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-1679575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-1679575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-1679575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-1679575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-1679575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-1679575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-1679575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-1679575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-1679575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-1679575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-1679575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-1679575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-1679575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-1679575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-1679575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-1679575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-1679575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-1679575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-1679575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-1679575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-1679575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-1679575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-1679575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-1679575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-1679575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-1679575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-1679575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-1679575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-1679575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-1679575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-1679575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-1679575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-1679575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-1679575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-1679575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-1679575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-1679575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-1679575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-1679575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-1679575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-1679575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-1679575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-1679575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-1679575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-1679575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-1679575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-1679575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-1679575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-1679575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-1679575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-1679575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-1679575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-1679575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-1679575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-1679575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-1679575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-1679575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-1679575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-1679575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-1679575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-1679575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-1679575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-1679575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-1679575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-1679575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-1679575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-1679575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-1679575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-1679575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-1679575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-1679575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-1679575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-1679575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-1679575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-1679575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-1679575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-1679575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-1679575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-1679575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-1679575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-1679575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-1679575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-1679575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-1679575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-1679575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-1679575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-1679575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-1679575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-1679575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-1679575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-1679575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-1679575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-1679575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-1679575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-1679575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-1679575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-1679575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-1679575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-1679575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-1679575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-1679575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-1679575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-1679575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-1679575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-1679575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-1679575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-1679575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-1679575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-1679575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-1679575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-1679575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-1679575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-1679575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-1679575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-1679575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-1679575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-1679575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-1679575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-1679575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-1679575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-1679575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-1679575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-1679575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-1679575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-1679575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-1679575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-1679575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-1679575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-1679575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-1679575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-1679575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-1679575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-1679575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-1679575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-1679575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-1679575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-1679575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-1679575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-1679575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-1679575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-1679575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-1679575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-1679575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-1679575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-1679575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-1679575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-1679575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-1679575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-1679575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-1679575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-1679575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-1679575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-1679575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-1679575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-1679575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-1679575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-1679575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-1679575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-1679575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-1679575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-1679575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-1679575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-1679575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-1679575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-1679575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-1679575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-1679575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-1679575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-1679575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-1679575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-1679575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-1679575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-1679575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-1679575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-1679575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-1679575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-1679575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-1679575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-1679575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-1679575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-1679575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-1679575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-1679575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-1679575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-1679575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-1679575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-1679575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-1679575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-1679575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-1679575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-1679575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-1679575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-1679575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-1679575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-1679575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-1679575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-1679575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-1679575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-1679575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-1679575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-1679575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-1679575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-1679575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-1679575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-1679575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-1679575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-1679575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-1679575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-1679575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-1679575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-1679575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-1679575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-1679575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-1679575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-1679575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-1679575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-1679575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-1679575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-1679575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-1679575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-1679575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-1679575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-1679575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-1679575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-1679575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-1679575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-1679575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-1679575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-1679575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-1679575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-1679575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-1679575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-1679575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-1679575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-1679575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-1679575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-1679575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-1679575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-1679575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-1679575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-1679575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-1679575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-1679575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-1679575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-1679575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-1679575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-1679575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-1679575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-1679575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-1679575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-1679575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-1679575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-1679575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-1679575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-1679575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-1679575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-1414145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-1414145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-1414145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-1414145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-1414145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-1414145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-1414145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-1414145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-1414145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-1414145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-1414145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-1414145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-1414145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-1414145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-1414145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-1414145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-1414145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-1414145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-1414145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-1414145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-1414145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-1414145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-1414145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-1414145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-1414145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-1414145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-1414145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-1414145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-1414145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-1414145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-1414145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-1414145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-1414145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-1414145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-1414145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-1414145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-1414145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-1414145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-1414145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-1414145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-1414145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-1414145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-1414145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-1414145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-1414145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-1414145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-1414145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-1414145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-1414145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-1414145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-1414145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-1414145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-1414145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-1414145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-1414145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-1414145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-1414145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-1414145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-1414145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-1414145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-1414145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-1414145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-1414145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-1414145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-1414145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-1414145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-1414145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-1414145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-1414145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-1414145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-1414145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-1414145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-1414145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-1414145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-1414145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-1414145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-1414145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-1414145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-1414145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-1414145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-1414145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-1414145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-1414145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-1414145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-1414145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-1414145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-1414145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-1414145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-1414145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-1414145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-1414145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-1414145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-1414145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-1414145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-1414145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-1414145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-1414145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-1414145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-1414145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-1414145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-1414145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-1414145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-1414145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-1414145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-1414145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-1414145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-1414145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-1414145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-1414145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-1414145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-1414145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-1414145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-1414145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-1414145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-1414145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-1414145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-1414145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-1414145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-1414145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-1414145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-1414145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-1414145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-1414145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-1414145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-1414145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-1414145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-1414145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-1414145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-1414145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-1414145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-1414145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-1414145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-1414145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-1414145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-1414145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-1414145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-1414145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-1414145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-1414145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-1414145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-1414145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-1414145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-1414145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-1414145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-1414145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-1414145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-1414145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-1414145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-1414145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-1414145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-1414145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-1414145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-1414145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-1414145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-1414145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-1414145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-1414145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-1414145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-1414145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-1414145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-1414145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-1414145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-1414145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-1414145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-1414145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-1414145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-1414145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-1414145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-1414145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-1414145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-1414145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-1414145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-1414145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-1414145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-1414145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-1414145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-1414145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-1414145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-1414145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-1414145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-1414145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-1414145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-1414145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-1414145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-1414145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-1414145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-1414145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-1414145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-1414145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-1414145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-1414145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-1414145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-1414145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-1414145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-1414145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-1414145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-1414145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-1414145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-1414145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-1414145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-1414145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-1414145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-1414145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-1414145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-1414145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-1414145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-1414145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-1414145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-1414145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-1414145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-1414145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-1414145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-1414145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-1414145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-1414145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-1414145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-1414145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-1414145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-1414145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-1414145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-1414145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-1414145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-1414145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-1414145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-1414145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-1414145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-1414145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-1414145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-1414145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-1414145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-1414145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-1414145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-1414145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-1414145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-1414145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-1414145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-1414145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-1414145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-1414145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-1414145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-1414145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-1414145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-1414145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-1414145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-1414145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-1414145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-1414145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-1414145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-1414145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-1414145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-1414145</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-1414145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-1414145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-1414145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-1414145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-1414145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-1414145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-1414145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-1414145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-1414145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-1414145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-1414145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-1414145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-1414145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-1414145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-1414145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-1414145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-1414145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-1414145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-1414145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-1414145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-1414145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-1414145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-1414145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-1414145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-1414145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-1414145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-1414145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-1414145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-1414145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-1414145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-1414145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-1414145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-1414145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-1414145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-1414145</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-1414145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-1414145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-1414145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-1414145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-1414145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-1414145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-1414145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-1414145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-1414145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-1414145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-1414145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-1414145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-1414145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-1414145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-1414145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-1414145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-1414145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-1414145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-1414145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-1414145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-1414145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-1414145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-1414145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-1414145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-1414145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-1414145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-1414145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-1414145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-1414145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-1414145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-1414145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-1414145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-1414145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-1414145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-1414145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-1414145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-1414145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-1414145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-1414145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-1414145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-1414145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-1414145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-1414145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-1414145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-1414145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-1414145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-1414145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-1414145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-1414145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-1414145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-1414145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40"/>
          </w:cols>
          <w:pgMar w:left="1440" w:top="163" w:right="1319" w:bottom="1440" w:gutter="0" w:footer="0" w:header="0"/>
        </w:sectPr>
      </w:pPr>
    </w:p>
    <w:bookmarkStart w:id="11" w:name="page12"/>
    <w:bookmarkEnd w:id="11"/>
    <w:p>
      <w:pPr>
        <w:ind w:left="60" w:right="440"/>
        <w:spacing w:after="0" w:line="300" w:lineRule="auto"/>
        <w:rPr>
          <w:sz w:val="20"/>
          <w:szCs w:val="20"/>
          <w:color w:val="auto"/>
        </w:rPr>
      </w:pPr>
      <w:r>
        <w:rPr>
          <w:rFonts w:ascii="Georgia" w:cs="Georgia" w:eastAsia="Georgia" w:hAnsi="Georgia"/>
          <w:sz w:val="18"/>
          <w:szCs w:val="18"/>
          <w:color w:val="auto"/>
        </w:rPr>
        <w:t>We agreed with the Audit &amp; Finance Committee that we would report to them misstatements above CHF 290 thousand identified during our audit as well as any misstatements below that amount which, in our view, warranted reporting for qualitative reasons.</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scope</w:t>
      </w:r>
    </w:p>
    <w:p>
      <w:pPr>
        <w:spacing w:after="0" w:line="241" w:lineRule="exact"/>
        <w:rPr>
          <w:sz w:val="20"/>
          <w:szCs w:val="20"/>
          <w:color w:val="auto"/>
        </w:rPr>
      </w:pPr>
    </w:p>
    <w:p>
      <w:pPr>
        <w:ind w:left="60" w:right="480"/>
        <w:spacing w:after="0" w:line="300" w:lineRule="auto"/>
        <w:rPr>
          <w:sz w:val="20"/>
          <w:szCs w:val="20"/>
          <w:color w:val="auto"/>
        </w:rPr>
      </w:pPr>
      <w:r>
        <w:rPr>
          <w:rFonts w:ascii="Georgia" w:cs="Georgia" w:eastAsia="Georgia" w:hAnsi="Georgia"/>
          <w:sz w:val="18"/>
          <w:szCs w:val="18"/>
          <w:color w:val="auto"/>
        </w:rPr>
        <w:t>We designed our audit by determining materiality and assessing the risks of material misstatement in the consolidated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194" w:lineRule="exact"/>
        <w:rPr>
          <w:sz w:val="20"/>
          <w:szCs w:val="20"/>
          <w:color w:val="auto"/>
        </w:rPr>
      </w:pPr>
    </w:p>
    <w:p>
      <w:pPr>
        <w:ind w:left="60" w:right="300"/>
        <w:spacing w:after="0" w:line="300" w:lineRule="auto"/>
        <w:rPr>
          <w:sz w:val="20"/>
          <w:szCs w:val="20"/>
          <w:color w:val="auto"/>
        </w:rPr>
      </w:pPr>
      <w:r>
        <w:rPr>
          <w:rFonts w:ascii="Georgia" w:cs="Georgia" w:eastAsia="Georgia" w:hAnsi="Georgia"/>
          <w:sz w:val="18"/>
          <w:szCs w:val="18"/>
          <w:color w:val="auto"/>
        </w:rPr>
        <w:t>We tailored the scope of our audit in order to perform sufficient work to enable us to provide an opinion on the consolidated financial statements as a whole, taking into account the structure of the Group, the accounting processes and controls, and the industry in which the Group operates.</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audit matters</w:t>
      </w:r>
    </w:p>
    <w:p>
      <w:pPr>
        <w:spacing w:after="0" w:line="241" w:lineRule="exact"/>
        <w:rPr>
          <w:sz w:val="20"/>
          <w:szCs w:val="20"/>
          <w:color w:val="auto"/>
        </w:rPr>
      </w:pPr>
    </w:p>
    <w:p>
      <w:pPr>
        <w:ind w:left="60" w:right="320"/>
        <w:spacing w:after="0" w:line="300" w:lineRule="auto"/>
        <w:rPr>
          <w:sz w:val="20"/>
          <w:szCs w:val="20"/>
          <w:color w:val="auto"/>
        </w:rPr>
      </w:pPr>
      <w:r>
        <w:rPr>
          <w:rFonts w:ascii="Georgia" w:cs="Georgia" w:eastAsia="Georgia" w:hAnsi="Georgia"/>
          <w:sz w:val="18"/>
          <w:szCs w:val="18"/>
          <w:color w:val="auto"/>
        </w:rPr>
        <w:t>Key audit matters are those matters that, in our professional judgement,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576897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5"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b w:val="1"/>
          <w:bCs w:val="1"/>
          <w:color w:val="auto"/>
        </w:rPr>
        <w:t>Key audit matter</w:t>
      </w:r>
      <w:r>
        <w:rPr>
          <w:sz w:val="20"/>
          <w:szCs w:val="20"/>
          <w:color w:val="auto"/>
        </w:rPr>
        <w:tab/>
      </w:r>
      <w:r>
        <w:rPr>
          <w:rFonts w:ascii="Arial" w:cs="Arial" w:eastAsia="Arial" w:hAnsi="Arial"/>
          <w:sz w:val="17"/>
          <w:szCs w:val="17"/>
          <w:b w:val="1"/>
          <w:b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576897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ectPr>
          <w:pgSz w:w="11900" w:h="16838" w:orient="portrait"/>
          <w:cols w:equalWidth="0" w:num="1">
            <w:col w:w="9120"/>
          </w:cols>
          <w:pgMar w:left="1440" w:top="163" w:right="1339" w:bottom="1440" w:gutter="0" w:footer="0" w:header="0"/>
        </w:sectPr>
      </w:pPr>
    </w:p>
    <w:p>
      <w:pPr>
        <w:spacing w:after="0" w:line="214" w:lineRule="exact"/>
        <w:rPr>
          <w:sz w:val="20"/>
          <w:szCs w:val="20"/>
          <w:color w:val="auto"/>
        </w:rPr>
      </w:pPr>
    </w:p>
    <w:p>
      <w:pPr>
        <w:ind w:left="40"/>
        <w:spacing w:after="0" w:line="301" w:lineRule="auto"/>
        <w:rPr>
          <w:sz w:val="20"/>
          <w:szCs w:val="20"/>
          <w:color w:val="auto"/>
        </w:rPr>
      </w:pPr>
      <w:r>
        <w:rPr>
          <w:rFonts w:ascii="Georgia" w:cs="Georgia" w:eastAsia="Georgia" w:hAnsi="Georgia"/>
          <w:sz w:val="18"/>
          <w:szCs w:val="18"/>
          <w:color w:val="auto"/>
        </w:rPr>
        <w:t>As described in Note 6 to the consolidated financial statements, the Company has CHF 50.4 million of an in-process research and development (IPR&amp;D) intangible asset as of December 31, 2025. The asset is not yet ready for use until the asset obtains market approval. Therefore, in accordance with IAS 36 ‘Impairment of asset’, the IPR&amp;D asset is reviewed at least annually for impairment by assessing the fair value less costs to sell (recoverable amount) and comparing this to the carrying value of the asset.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300"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w:t>
      </w:r>
    </w:p>
    <w:p>
      <w:pPr>
        <w:spacing w:after="0" w:line="84" w:lineRule="exact"/>
        <w:rPr>
          <w:sz w:val="20"/>
          <w:szCs w:val="20"/>
          <w:color w:val="auto"/>
        </w:rPr>
      </w:pPr>
    </w:p>
    <w:p>
      <w:pPr>
        <w:spacing w:after="0" w:line="300" w:lineRule="auto"/>
        <w:rPr>
          <w:sz w:val="20"/>
          <w:szCs w:val="20"/>
          <w:color w:val="auto"/>
        </w:rPr>
      </w:pPr>
      <w:r>
        <w:rPr>
          <w:rFonts w:ascii="Georgia" w:cs="Georgia" w:eastAsia="Georgia" w:hAnsi="Georgia"/>
          <w:sz w:val="18"/>
          <w:szCs w:val="18"/>
          <w:color w:val="auto"/>
        </w:rPr>
        <w:t>These procedures included testing the effectiveness of controls relating to management’s valuation of the intangible asset. These procedures also included, among others, (i) testing management’s process for developing the fair value estimate; (ii) evaluating the appropriateness of the discounted cash flow model; (iii) testing the completeness and accuracy of underlying data used in the model; and (iv) evaluating the reasonableness of the significant assumptions used by management related anticipated research and development costs, anticipated costs of goods and sales and marketing expenditures, probability of achieving clinical and regulatory development milestones in accordance with certain industry benchmarks, target</w:t>
      </w:r>
    </w:p>
    <w:p>
      <w:pPr>
        <w:spacing w:after="0" w:line="200" w:lineRule="exact"/>
        <w:rPr>
          <w:sz w:val="20"/>
          <w:szCs w:val="20"/>
          <w:color w:val="auto"/>
        </w:rPr>
      </w:pPr>
    </w:p>
    <w:p>
      <w:pPr>
        <w:sectPr>
          <w:pgSz w:w="11900" w:h="16838" w:orient="portrait"/>
          <w:cols w:equalWidth="0" w:num="2">
            <w:col w:w="4500" w:space="100"/>
            <w:col w:w="4520"/>
          </w:cols>
          <w:pgMar w:left="1440" w:top="163" w:right="1339" w:bottom="1440" w:gutter="0" w:footer="0" w:header="0"/>
          <w:type w:val="continuous"/>
        </w:sectPr>
      </w:pP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163" w:right="1339" w:bottom="1440" w:gutter="0" w:footer="0" w:header="0"/>
          <w:type w:val="continuous"/>
        </w:sectPr>
      </w:pPr>
    </w:p>
    <w:bookmarkStart w:id="12" w:name="page13"/>
    <w:bookmarkEnd w:id="12"/>
    <w:p>
      <w:pPr>
        <w:ind w:left="40" w:right="20"/>
        <w:spacing w:after="0" w:line="300" w:lineRule="auto"/>
        <w:rPr>
          <w:sz w:val="20"/>
          <w:szCs w:val="20"/>
          <w:color w:val="auto"/>
        </w:rPr>
      </w:pPr>
      <w:r>
        <w:rPr>
          <w:rFonts w:ascii="Georgia" w:cs="Georgia" w:eastAsia="Georgia" w:hAnsi="Georgia"/>
          <w:sz w:val="18"/>
          <w:szCs w:val="18"/>
          <w:color w:val="auto"/>
        </w:rPr>
        <w:t>anticipated pricing and uptake, expected patent life and market exclusivity periods, and the discount rate used to discount future cash flows. The Company’s valuation model calculates the risk-adjusted, net cash flows through the period of market exclusivity across target sales regions.</w:t>
      </w:r>
    </w:p>
    <w:p>
      <w:pPr>
        <w:spacing w:after="0" w:line="86" w:lineRule="exact"/>
        <w:rPr>
          <w:sz w:val="20"/>
          <w:szCs w:val="20"/>
          <w:color w:val="auto"/>
        </w:rPr>
      </w:pPr>
    </w:p>
    <w:p>
      <w:pPr>
        <w:ind w:left="40"/>
        <w:spacing w:after="0" w:line="301"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intangible asset – valuation is a key audit matter are (i) the significant judgment by management when determining the value of the intangible asset; (ii)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and (iii) the audit effort involved the use of professionals with specialized skill and knowledge.</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Georgia" w:cs="Georgia" w:eastAsia="Georgia" w:hAnsi="Georgia"/>
          <w:sz w:val="18"/>
          <w:szCs w:val="18"/>
          <w:color w:val="auto"/>
        </w:rPr>
        <w:t>indication prevalence and incidence rates, anticipated market share, general commercialization expectations such as anticipated pricing and uptake, expected patent life and market exclusivity periods, and the discount rate. Evaluating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involved evaluating whether the assumptions used by management were reasonable considering (i) the consistency with market and industry data; and (ii)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884555</wp:posOffset>
            </wp:positionV>
            <wp:extent cx="57689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563" w:lineRule="exact"/>
        <w:rPr>
          <w:sz w:val="20"/>
          <w:szCs w:val="20"/>
          <w:color w:val="auto"/>
        </w:rPr>
      </w:pPr>
    </w:p>
    <w:p>
      <w:pPr>
        <w:sectPr>
          <w:pgSz w:w="11900" w:h="16838" w:orient="portrait"/>
          <w:cols w:equalWidth="0" w:num="2">
            <w:col w:w="4480" w:space="120"/>
            <w:col w:w="4520"/>
          </w:cols>
          <w:pgMar w:left="1440" w:top="16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54" w:lineRule="exact"/>
        <w:rPr>
          <w:sz w:val="20"/>
          <w:szCs w:val="20"/>
          <w:color w:val="auto"/>
        </w:rPr>
      </w:pPr>
    </w:p>
    <w:p>
      <w:pPr>
        <w:ind w:left="60" w:right="700"/>
        <w:spacing w:after="0" w:line="300" w:lineRule="auto"/>
        <w:rPr>
          <w:sz w:val="20"/>
          <w:szCs w:val="20"/>
          <w:color w:val="auto"/>
        </w:rPr>
      </w:pPr>
      <w:r>
        <w:rPr>
          <w:rFonts w:ascii="Georgia" w:cs="Georgia" w:eastAsia="Georgia" w:hAnsi="Georgia"/>
          <w:sz w:val="18"/>
          <w:szCs w:val="18"/>
          <w:color w:val="auto"/>
        </w:rPr>
        <w:t>The Board of Directors is responsible for the other information. The other information comprises the information included in the annual report, but does not include the financial statements, the consolidated financial statements, the compensation report and our auditor’s reports thereon.</w:t>
      </w:r>
    </w:p>
    <w:p>
      <w:pPr>
        <w:spacing w:after="0" w:line="178" w:lineRule="exact"/>
        <w:rPr>
          <w:sz w:val="20"/>
          <w:szCs w:val="20"/>
          <w:color w:val="auto"/>
        </w:rPr>
      </w:pPr>
    </w:p>
    <w:p>
      <w:pPr>
        <w:ind w:left="60" w:right="740"/>
        <w:spacing w:after="0" w:line="299" w:lineRule="auto"/>
        <w:rPr>
          <w:sz w:val="20"/>
          <w:szCs w:val="20"/>
          <w:color w:val="auto"/>
        </w:rPr>
      </w:pPr>
      <w:r>
        <w:rPr>
          <w:rFonts w:ascii="Georgia" w:cs="Georgia" w:eastAsia="Georgia" w:hAnsi="Georgia"/>
          <w:sz w:val="18"/>
          <w:szCs w:val="18"/>
          <w:color w:val="auto"/>
        </w:rPr>
        <w:t>Our opinion on the consolidated financial statements does not cover the other information and we do not express any form of assurance conclusion thereon.</w:t>
      </w:r>
    </w:p>
    <w:p>
      <w:pPr>
        <w:spacing w:after="0" w:line="192" w:lineRule="exact"/>
        <w:rPr>
          <w:sz w:val="20"/>
          <w:szCs w:val="20"/>
          <w:color w:val="auto"/>
        </w:rPr>
      </w:pPr>
    </w:p>
    <w:p>
      <w:pPr>
        <w:ind w:left="60" w:right="300"/>
        <w:spacing w:after="0" w:line="300" w:lineRule="auto"/>
        <w:rPr>
          <w:sz w:val="20"/>
          <w:szCs w:val="20"/>
          <w:color w:val="auto"/>
        </w:rPr>
      </w:pPr>
      <w:r>
        <w:rPr>
          <w:rFonts w:ascii="Georgia" w:cs="Georgia" w:eastAsia="Georgia" w:hAnsi="Georgia"/>
          <w:sz w:val="18"/>
          <w:szCs w:val="18"/>
          <w:color w:val="auto"/>
        </w:rPr>
        <w:t>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w:t>
      </w:r>
    </w:p>
    <w:p>
      <w:pPr>
        <w:spacing w:after="0" w:line="3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163" w:right="1339" w:bottom="1440" w:gutter="0" w:footer="0" w:header="0"/>
          <w:type w:val="continuous"/>
        </w:sectPr>
      </w:pPr>
    </w:p>
    <w:bookmarkStart w:id="13" w:name="page14"/>
    <w:bookmarkEnd w:id="13"/>
    <w:p>
      <w:pPr>
        <w:ind w:left="60" w:right="699"/>
        <w:spacing w:after="0" w:line="299" w:lineRule="auto"/>
        <w:rPr>
          <w:sz w:val="20"/>
          <w:szCs w:val="20"/>
          <w:color w:val="auto"/>
        </w:rPr>
      </w:pPr>
      <w:r>
        <w:rPr>
          <w:rFonts w:ascii="Georgia" w:cs="Georgia" w:eastAsia="Georgia" w:hAnsi="Georgia"/>
          <w:sz w:val="18"/>
          <w:szCs w:val="18"/>
          <w:color w:val="auto"/>
        </w:rPr>
        <w:t>If, based on the work we have performed, we conclude that there is a material misstatement of this other information, we are required to report that fact. We have nothing to report in this regard.</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responsibilities for the consolidated financial statements</w:t>
      </w:r>
    </w:p>
    <w:p>
      <w:pPr>
        <w:spacing w:after="0" w:line="241" w:lineRule="exact"/>
        <w:rPr>
          <w:sz w:val="20"/>
          <w:szCs w:val="20"/>
          <w:color w:val="auto"/>
        </w:rPr>
      </w:pPr>
    </w:p>
    <w:p>
      <w:pPr>
        <w:ind w:left="60" w:right="299"/>
        <w:spacing w:after="0" w:line="300" w:lineRule="auto"/>
        <w:rPr>
          <w:sz w:val="20"/>
          <w:szCs w:val="20"/>
          <w:color w:val="auto"/>
        </w:rPr>
      </w:pPr>
      <w:r>
        <w:rPr>
          <w:rFonts w:ascii="Georgia" w:cs="Georgia" w:eastAsia="Georgia" w:hAnsi="Georgia"/>
          <w:sz w:val="18"/>
          <w:szCs w:val="18"/>
          <w:color w:val="auto"/>
        </w:rPr>
        <w:t>The Board of Directors is responsible for the preparation of consolidated financial statements, that give a true and fair view in accordance with IFRS Accounting Standards and the provisions of Swiss law, and for such internal control as the Board of Directors determines is necessary to enable the preparation of consolidated financial statements that are free from material misstatement, whether due to fraud or error.</w:t>
      </w:r>
    </w:p>
    <w:p>
      <w:pPr>
        <w:spacing w:after="0" w:line="192" w:lineRule="exact"/>
        <w:rPr>
          <w:sz w:val="20"/>
          <w:szCs w:val="20"/>
          <w:color w:val="auto"/>
        </w:rPr>
      </w:pPr>
    </w:p>
    <w:p>
      <w:pPr>
        <w:ind w:left="60" w:right="219"/>
        <w:spacing w:after="0" w:line="300" w:lineRule="auto"/>
        <w:rPr>
          <w:sz w:val="20"/>
          <w:szCs w:val="20"/>
          <w:color w:val="auto"/>
        </w:rPr>
      </w:pPr>
      <w:r>
        <w:rPr>
          <w:rFonts w:ascii="Georgia" w:cs="Georgia" w:eastAsia="Georgia" w:hAnsi="Georgia"/>
          <w:sz w:val="18"/>
          <w:szCs w:val="18"/>
          <w:color w:val="auto"/>
        </w:rPr>
        <w:t>In preparing the consolidated financial statements, the Board of Directors is responsible for assessing the Group’s ability to continue as a going concern, disclosing, as applicable, matters related to going concern and using the going concern basis of accounting unless the Board of Directors either intends to liquidate the Group or to cease operations, or has no realistic alternative but to do so.</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Auditor’s responsibilities for the audit of the consolidated financial statements</w:t>
      </w:r>
    </w:p>
    <w:p>
      <w:pPr>
        <w:spacing w:after="0" w:line="254" w:lineRule="exact"/>
        <w:rPr>
          <w:sz w:val="20"/>
          <w:szCs w:val="20"/>
          <w:color w:val="auto"/>
        </w:rPr>
      </w:pPr>
    </w:p>
    <w:p>
      <w:pPr>
        <w:ind w:left="60" w:right="199"/>
        <w:spacing w:after="0" w:line="300" w:lineRule="auto"/>
        <w:rPr>
          <w:sz w:val="20"/>
          <w:szCs w:val="20"/>
          <w:color w:val="auto"/>
        </w:rPr>
      </w:pPr>
      <w:r>
        <w:rPr>
          <w:rFonts w:ascii="Georgia" w:cs="Georgia" w:eastAsia="Georgia" w:hAnsi="Georgia"/>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ISA and SA-CH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95" w:lineRule="exact"/>
        <w:rPr>
          <w:sz w:val="20"/>
          <w:szCs w:val="20"/>
          <w:color w:val="auto"/>
        </w:rPr>
      </w:pPr>
    </w:p>
    <w:p>
      <w:pPr>
        <w:ind w:left="60" w:right="599"/>
        <w:spacing w:after="0" w:line="299" w:lineRule="auto"/>
        <w:rPr>
          <w:sz w:val="20"/>
          <w:szCs w:val="20"/>
          <w:color w:val="auto"/>
        </w:rPr>
      </w:pPr>
      <w:r>
        <w:rPr>
          <w:rFonts w:ascii="Georgia" w:cs="Georgia" w:eastAsia="Georgia" w:hAnsi="Georgia"/>
          <w:sz w:val="18"/>
          <w:szCs w:val="18"/>
          <w:color w:val="auto"/>
        </w:rPr>
        <w:t>As part of an audit in accordance with Swiss law, ISA and SA-CH, we exercise professional judgement and maintain professional scepticism throughout the audit. We also:</w:t>
      </w:r>
    </w:p>
    <w:p>
      <w:pPr>
        <w:spacing w:after="0" w:line="179" w:lineRule="exact"/>
        <w:rPr>
          <w:sz w:val="20"/>
          <w:szCs w:val="20"/>
          <w:color w:val="auto"/>
        </w:rPr>
      </w:pPr>
    </w:p>
    <w:p>
      <w:pPr>
        <w:ind w:left="260" w:right="119" w:hanging="210"/>
        <w:spacing w:after="0" w:line="299" w:lineRule="auto"/>
        <w:tabs>
          <w:tab w:leader="none" w:pos="260" w:val="left"/>
        </w:tabs>
        <w:numPr>
          <w:ilvl w:val="0"/>
          <w:numId w:val="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12" w:lineRule="exact"/>
        <w:rPr>
          <w:rFonts w:ascii="Times New Roman" w:cs="Times New Roman" w:eastAsia="Times New Roman" w:hAnsi="Times New Roman"/>
          <w:sz w:val="18"/>
          <w:szCs w:val="18"/>
          <w:color w:val="auto"/>
        </w:rPr>
      </w:pPr>
    </w:p>
    <w:p>
      <w:pPr>
        <w:jc w:val="both"/>
        <w:ind w:left="260" w:right="139" w:hanging="210"/>
        <w:spacing w:after="0" w:line="297" w:lineRule="auto"/>
        <w:tabs>
          <w:tab w:leader="none" w:pos="260" w:val="left"/>
        </w:tabs>
        <w:numPr>
          <w:ilvl w:val="0"/>
          <w:numId w:val="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Obtain an understanding of internal control relevant to the audit in order to design audit procedures that are appropriate in the circumstances, but not for the purpose of expressing an opinion on the effectiveness of the Group’s internal control.</w:t>
      </w:r>
    </w:p>
    <w:p>
      <w:pPr>
        <w:spacing w:after="0" w:line="114" w:lineRule="exact"/>
        <w:rPr>
          <w:rFonts w:ascii="Times New Roman" w:cs="Times New Roman" w:eastAsia="Times New Roman" w:hAnsi="Times New Roman"/>
          <w:sz w:val="18"/>
          <w:szCs w:val="18"/>
          <w:color w:val="auto"/>
        </w:rPr>
      </w:pPr>
    </w:p>
    <w:p>
      <w:pPr>
        <w:ind w:left="260" w:right="119" w:hanging="210"/>
        <w:spacing w:after="0" w:line="295" w:lineRule="auto"/>
        <w:tabs>
          <w:tab w:leader="none" w:pos="260" w:val="left"/>
        </w:tabs>
        <w:numPr>
          <w:ilvl w:val="0"/>
          <w:numId w:val="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Evaluate the appropriateness of accounting policies used and the reasonableness of accounting estimates and related disclosures made.</w:t>
      </w:r>
    </w:p>
    <w:p>
      <w:pPr>
        <w:spacing w:after="0" w:line="114" w:lineRule="exact"/>
        <w:rPr>
          <w:rFonts w:ascii="Times New Roman" w:cs="Times New Roman" w:eastAsia="Times New Roman" w:hAnsi="Times New Roman"/>
          <w:sz w:val="18"/>
          <w:szCs w:val="18"/>
          <w:color w:val="auto"/>
        </w:rPr>
      </w:pPr>
    </w:p>
    <w:p>
      <w:pPr>
        <w:ind w:left="260" w:right="79" w:hanging="210"/>
        <w:spacing w:after="0" w:line="299" w:lineRule="auto"/>
        <w:tabs>
          <w:tab w:leader="none" w:pos="260" w:val="left"/>
        </w:tabs>
        <w:numPr>
          <w:ilvl w:val="0"/>
          <w:numId w:val="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Conclude on the appropriateness of the Board of Directors’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63" w:right="1440" w:bottom="1440" w:gutter="0" w:footer="0" w:header="0"/>
        </w:sectPr>
      </w:pPr>
    </w:p>
    <w:bookmarkStart w:id="14" w:name="page15"/>
    <w:bookmarkEnd w:id="14"/>
    <w:p>
      <w:pPr>
        <w:ind w:left="260"/>
        <w:spacing w:after="0"/>
        <w:rPr>
          <w:sz w:val="20"/>
          <w:szCs w:val="20"/>
          <w:color w:val="auto"/>
        </w:rPr>
      </w:pPr>
      <w:r>
        <w:rPr>
          <w:rFonts w:ascii="Georgia" w:cs="Georgia" w:eastAsia="Georgia" w:hAnsi="Georgia"/>
          <w:sz w:val="18"/>
          <w:szCs w:val="18"/>
          <w:color w:val="auto"/>
        </w:rPr>
        <w:t>our opinion. Our conclusions are based on the audit evidence obtained up to the date of our auditor’s report.</w:t>
      </w:r>
    </w:p>
    <w:p>
      <w:pPr>
        <w:spacing w:after="0" w:line="52" w:lineRule="exact"/>
        <w:rPr>
          <w:sz w:val="20"/>
          <w:szCs w:val="20"/>
          <w:color w:val="auto"/>
        </w:rPr>
      </w:pPr>
    </w:p>
    <w:p>
      <w:pPr>
        <w:ind w:left="260"/>
        <w:spacing w:after="0"/>
        <w:rPr>
          <w:sz w:val="20"/>
          <w:szCs w:val="20"/>
          <w:color w:val="auto"/>
        </w:rPr>
      </w:pPr>
      <w:r>
        <w:rPr>
          <w:rFonts w:ascii="Georgia" w:cs="Georgia" w:eastAsia="Georgia" w:hAnsi="Georgia"/>
          <w:sz w:val="18"/>
          <w:szCs w:val="18"/>
          <w:color w:val="auto"/>
        </w:rPr>
        <w:t>However, future events or conditions may cause the Group to cease to continue as a going concern.</w:t>
      </w:r>
    </w:p>
    <w:p>
      <w:pPr>
        <w:spacing w:after="0" w:line="161" w:lineRule="exact"/>
        <w:rPr>
          <w:sz w:val="20"/>
          <w:szCs w:val="20"/>
          <w:color w:val="auto"/>
        </w:rPr>
      </w:pPr>
    </w:p>
    <w:p>
      <w:pPr>
        <w:ind w:left="260" w:right="119" w:hanging="210"/>
        <w:spacing w:after="0" w:line="297" w:lineRule="auto"/>
        <w:tabs>
          <w:tab w:leader="none" w:pos="260" w:val="left"/>
        </w:tabs>
        <w:numPr>
          <w:ilvl w:val="0"/>
          <w:numId w:val="11"/>
        </w:numPr>
        <w:rPr>
          <w:rFonts w:ascii="Times New Roman" w:cs="Times New Roman" w:eastAsia="Times New Roman" w:hAnsi="Times New Roman"/>
          <w:sz w:val="18"/>
          <w:szCs w:val="18"/>
          <w:color w:val="auto"/>
        </w:rPr>
      </w:pPr>
      <w:r>
        <w:rPr>
          <w:rFonts w:ascii="Georgia" w:cs="Georgia" w:eastAsia="Georgia" w:hAnsi="Georgia"/>
          <w:sz w:val="18"/>
          <w:szCs w:val="18"/>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114" w:lineRule="exact"/>
        <w:rPr>
          <w:rFonts w:ascii="Times New Roman" w:cs="Times New Roman" w:eastAsia="Times New Roman" w:hAnsi="Times New Roman"/>
          <w:sz w:val="18"/>
          <w:szCs w:val="18"/>
          <w:color w:val="auto"/>
        </w:rPr>
      </w:pPr>
    </w:p>
    <w:p>
      <w:pPr>
        <w:ind w:left="260" w:right="299" w:hanging="210"/>
        <w:spacing w:after="0" w:line="298" w:lineRule="auto"/>
        <w:tabs>
          <w:tab w:leader="none" w:pos="260" w:val="left"/>
        </w:tabs>
        <w:numPr>
          <w:ilvl w:val="0"/>
          <w:numId w:val="11"/>
        </w:numPr>
        <w:rPr>
          <w:rFonts w:ascii="Times New Roman" w:cs="Times New Roman" w:eastAsia="Times New Roman" w:hAnsi="Times New Roman"/>
          <w:sz w:val="18"/>
          <w:szCs w:val="18"/>
          <w:color w:val="auto"/>
        </w:rPr>
      </w:pPr>
      <w:r>
        <w:rPr>
          <w:rFonts w:ascii="Georgia" w:cs="Georgia" w:eastAsia="Georgia" w:hAnsi="Georgia"/>
          <w:sz w:val="18"/>
          <w:szCs w:val="18"/>
          <w:color w:val="auto"/>
        </w:rPr>
        <w:t>Plan and perform the group audit to obtain sufficient appropriate audit evidence regarding the financial information of the entities or business units within the Group as a basis for forming an opinion on the consolidated financial statements. We are responsible for the direction, supervision and review of the audit work performed for purposes of the group audit. We remain solely responsible for our audit opinion.</w:t>
      </w:r>
    </w:p>
    <w:p>
      <w:pPr>
        <w:spacing w:after="0" w:line="222" w:lineRule="exact"/>
        <w:rPr>
          <w:sz w:val="20"/>
          <w:szCs w:val="20"/>
          <w:color w:val="auto"/>
        </w:rPr>
      </w:pPr>
    </w:p>
    <w:p>
      <w:pPr>
        <w:jc w:val="both"/>
        <w:ind w:left="60" w:right="379"/>
        <w:spacing w:after="0" w:line="300" w:lineRule="auto"/>
        <w:rPr>
          <w:sz w:val="20"/>
          <w:szCs w:val="20"/>
          <w:color w:val="auto"/>
        </w:rPr>
      </w:pPr>
      <w:r>
        <w:rPr>
          <w:rFonts w:ascii="Georgia" w:cs="Georgia" w:eastAsia="Georgia" w:hAnsi="Georgia"/>
          <w:sz w:val="18"/>
          <w:szCs w:val="18"/>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178" w:lineRule="exact"/>
        <w:rPr>
          <w:sz w:val="20"/>
          <w:szCs w:val="20"/>
          <w:color w:val="auto"/>
        </w:rPr>
      </w:pPr>
    </w:p>
    <w:p>
      <w:pPr>
        <w:ind w:left="60" w:right="159"/>
        <w:spacing w:after="0" w:line="305" w:lineRule="auto"/>
        <w:rPr>
          <w:sz w:val="20"/>
          <w:szCs w:val="20"/>
          <w:color w:val="auto"/>
        </w:rPr>
      </w:pPr>
      <w:r>
        <w:rPr>
          <w:rFonts w:ascii="Georgia" w:cs="Georgia" w:eastAsia="Georgia" w:hAnsi="Georgia"/>
          <w:sz w:val="18"/>
          <w:szCs w:val="18"/>
          <w:color w:val="auto"/>
        </w:rPr>
        <w:t>We also provide the Board of Directors or its relevant committee with a statement that we have complied with relevant ethical requirements regarding independence, and communicate with them regarding all relationships and other matters that may reasonably be thought to bear on our independence, and where applicable, actions taken to eliminate threats or safeguards applied.</w:t>
      </w:r>
    </w:p>
    <w:p>
      <w:pPr>
        <w:spacing w:after="0" w:line="175" w:lineRule="exact"/>
        <w:rPr>
          <w:sz w:val="20"/>
          <w:szCs w:val="20"/>
          <w:color w:val="auto"/>
        </w:rPr>
      </w:pPr>
    </w:p>
    <w:p>
      <w:pPr>
        <w:ind w:left="60" w:right="99"/>
        <w:spacing w:after="0" w:line="300" w:lineRule="auto"/>
        <w:rPr>
          <w:sz w:val="20"/>
          <w:szCs w:val="20"/>
          <w:color w:val="auto"/>
        </w:rPr>
      </w:pPr>
      <w:r>
        <w:rPr>
          <w:rFonts w:ascii="Georgia" w:cs="Georgia" w:eastAsia="Georgia" w:hAnsi="Georgia"/>
          <w:sz w:val="18"/>
          <w:szCs w:val="18"/>
          <w:color w:val="auto"/>
        </w:rPr>
        <w:t>From the matters communicated with the Board of Directors or its relevant committee,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3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Report on other legal and regulatory requirements</w:t>
      </w:r>
    </w:p>
    <w:p>
      <w:pPr>
        <w:spacing w:after="0" w:line="258" w:lineRule="exact"/>
        <w:rPr>
          <w:sz w:val="20"/>
          <w:szCs w:val="20"/>
          <w:color w:val="auto"/>
        </w:rPr>
      </w:pPr>
    </w:p>
    <w:p>
      <w:pPr>
        <w:ind w:left="60" w:right="619"/>
        <w:spacing w:after="0" w:line="300" w:lineRule="auto"/>
        <w:rPr>
          <w:sz w:val="20"/>
          <w:szCs w:val="20"/>
          <w:color w:val="auto"/>
        </w:rPr>
      </w:pPr>
      <w:r>
        <w:rPr>
          <w:rFonts w:ascii="Georgia" w:cs="Georgia" w:eastAsia="Georgia" w:hAnsi="Georgia"/>
          <w:sz w:val="18"/>
          <w:szCs w:val="18"/>
          <w:color w:val="auto"/>
        </w:rPr>
        <w:t>In accordance with article 728a para. 1 item 3 CO and PS-CH 890, we confirm the existence of an internal control system that has been designed, pursuant to the instructions of the Board of Directors, for the preparation of the consolidated financial statements.</w:t>
      </w:r>
    </w:p>
    <w:p>
      <w:pPr>
        <w:spacing w:after="0" w:line="19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recommend that the consolidated financial statements submitted to you be approved.</w:t>
      </w:r>
    </w:p>
    <w:p>
      <w:pPr>
        <w:spacing w:after="0" w:line="227"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PricewaterhouseCoopers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240" w:type="dxa"/>
            <w:vAlign w:val="bottom"/>
          </w:tcPr>
          <w:p>
            <w:pPr>
              <w:spacing w:after="0"/>
              <w:rPr>
                <w:sz w:val="20"/>
                <w:szCs w:val="20"/>
                <w:color w:val="auto"/>
              </w:rPr>
            </w:pPr>
            <w:r>
              <w:rPr>
                <w:rFonts w:ascii="Georgia" w:cs="Georgia" w:eastAsia="Georgia" w:hAnsi="Georgia"/>
                <w:sz w:val="18"/>
                <w:szCs w:val="18"/>
                <w:color w:val="auto"/>
              </w:rPr>
              <w:t>/s/ Alex Fuhrer</w:t>
            </w:r>
          </w:p>
        </w:tc>
        <w:tc>
          <w:tcPr>
            <w:tcW w:w="5680" w:type="dxa"/>
            <w:vAlign w:val="bottom"/>
          </w:tcPr>
          <w:p>
            <w:pPr>
              <w:ind w:left="1120"/>
              <w:spacing w:after="0"/>
              <w:rPr>
                <w:sz w:val="20"/>
                <w:szCs w:val="20"/>
                <w:color w:val="auto"/>
              </w:rPr>
            </w:pPr>
            <w:r>
              <w:rPr>
                <w:rFonts w:ascii="Georgia" w:cs="Georgia" w:eastAsia="Georgia" w:hAnsi="Georgia"/>
                <w:sz w:val="18"/>
                <w:szCs w:val="18"/>
                <w:color w:val="auto"/>
              </w:rPr>
              <w:t>/s/ Thomas Kohler</w:t>
            </w:r>
          </w:p>
        </w:tc>
      </w:tr>
      <w:tr>
        <w:trPr>
          <w:trHeight w:val="257"/>
        </w:trPr>
        <w:tc>
          <w:tcPr>
            <w:tcW w:w="3240" w:type="dxa"/>
            <w:vAlign w:val="bottom"/>
          </w:tcPr>
          <w:p>
            <w:pPr>
              <w:spacing w:after="0"/>
              <w:rPr>
                <w:sz w:val="20"/>
                <w:szCs w:val="20"/>
                <w:color w:val="auto"/>
              </w:rPr>
            </w:pPr>
            <w:r>
              <w:rPr>
                <w:rFonts w:ascii="Georgia" w:cs="Georgia" w:eastAsia="Georgia" w:hAnsi="Georgia"/>
                <w:sz w:val="18"/>
                <w:szCs w:val="18"/>
                <w:color w:val="auto"/>
              </w:rPr>
              <w:t>Licensed audit expert</w:t>
            </w:r>
          </w:p>
        </w:tc>
        <w:tc>
          <w:tcPr>
            <w:tcW w:w="5680" w:type="dxa"/>
            <w:vAlign w:val="bottom"/>
          </w:tcPr>
          <w:p>
            <w:pPr>
              <w:ind w:left="1120"/>
              <w:spacing w:after="0"/>
              <w:rPr>
                <w:sz w:val="20"/>
                <w:szCs w:val="20"/>
                <w:color w:val="auto"/>
              </w:rPr>
            </w:pPr>
            <w:r>
              <w:rPr>
                <w:rFonts w:ascii="Georgia" w:cs="Georgia" w:eastAsia="Georgia" w:hAnsi="Georgia"/>
                <w:sz w:val="18"/>
                <w:szCs w:val="18"/>
                <w:color w:val="auto"/>
              </w:rPr>
              <w:t>Licensed audit expert</w:t>
            </w:r>
          </w:p>
        </w:tc>
      </w:tr>
      <w:tr>
        <w:trPr>
          <w:trHeight w:val="256"/>
        </w:trPr>
        <w:tc>
          <w:tcPr>
            <w:tcW w:w="3240" w:type="dxa"/>
            <w:vAlign w:val="bottom"/>
          </w:tcPr>
          <w:p>
            <w:pPr>
              <w:spacing w:after="0"/>
              <w:rPr>
                <w:sz w:val="20"/>
                <w:szCs w:val="20"/>
                <w:color w:val="auto"/>
              </w:rPr>
            </w:pPr>
            <w:r>
              <w:rPr>
                <w:rFonts w:ascii="Georgia" w:cs="Georgia" w:eastAsia="Georgia" w:hAnsi="Georgia"/>
                <w:sz w:val="18"/>
                <w:szCs w:val="18"/>
                <w:color w:val="auto"/>
              </w:rPr>
              <w:t>Auditor in charge</w:t>
            </w:r>
          </w:p>
        </w:tc>
        <w:tc>
          <w:tcPr>
            <w:tcW w:w="5680" w:type="dxa"/>
            <w:vAlign w:val="bottom"/>
          </w:tcPr>
          <w:p>
            <w:pPr>
              <w:spacing w:after="0"/>
              <w:rPr>
                <w:sz w:val="22"/>
                <w:szCs w:val="22"/>
                <w:color w:val="auto"/>
              </w:rPr>
            </w:pPr>
          </w:p>
        </w:tc>
      </w:tr>
      <w:tr>
        <w:trPr>
          <w:trHeight w:val="702"/>
        </w:trPr>
        <w:tc>
          <w:tcPr>
            <w:tcW w:w="3240" w:type="dxa"/>
            <w:vAlign w:val="bottom"/>
          </w:tcPr>
          <w:p>
            <w:pPr>
              <w:ind w:left="20"/>
              <w:spacing w:after="0"/>
              <w:rPr>
                <w:sz w:val="20"/>
                <w:szCs w:val="20"/>
                <w:color w:val="auto"/>
              </w:rPr>
            </w:pPr>
            <w:r>
              <w:rPr>
                <w:rFonts w:ascii="Georgia" w:cs="Georgia" w:eastAsia="Georgia" w:hAnsi="Georgia"/>
                <w:sz w:val="18"/>
                <w:szCs w:val="18"/>
                <w:color w:val="auto"/>
              </w:rPr>
              <w:t>Lausanne, March 13, 2026</w:t>
            </w:r>
          </w:p>
        </w:tc>
        <w:tc>
          <w:tcPr>
            <w:tcW w:w="5680" w:type="dxa"/>
            <w:vAlign w:val="bottom"/>
          </w:tcPr>
          <w:p>
            <w:pPr>
              <w:spacing w:after="0"/>
              <w:rPr>
                <w:sz w:val="24"/>
                <w:szCs w:val="24"/>
                <w:color w:val="auto"/>
              </w:rPr>
            </w:pPr>
          </w:p>
        </w:tc>
      </w:tr>
      <w:tr>
        <w:trPr>
          <w:trHeight w:val="678"/>
        </w:trPr>
        <w:tc>
          <w:tcPr>
            <w:tcW w:w="3240" w:type="dxa"/>
            <w:vAlign w:val="bottom"/>
          </w:tcPr>
          <w:p>
            <w:pPr>
              <w:spacing w:after="0"/>
              <w:rPr>
                <w:sz w:val="24"/>
                <w:szCs w:val="24"/>
                <w:color w:val="auto"/>
              </w:rPr>
            </w:pPr>
          </w:p>
        </w:tc>
        <w:tc>
          <w:tcPr>
            <w:tcW w:w="5680" w:type="dxa"/>
            <w:vAlign w:val="bottom"/>
          </w:tcPr>
          <w:p>
            <w:pPr>
              <w:jc w:val="right"/>
              <w:ind w:right="4330"/>
              <w:spacing w:after="0"/>
              <w:rPr>
                <w:sz w:val="20"/>
                <w:szCs w:val="20"/>
                <w:color w:val="auto"/>
              </w:rPr>
            </w:pPr>
            <w:r>
              <w:rPr>
                <w:rFonts w:ascii="Times New Roman" w:cs="Times New Roman" w:eastAsia="Times New Roman" w:hAnsi="Times New Roman"/>
                <w:sz w:val="18"/>
                <w:szCs w:val="18"/>
                <w:color w:val="auto"/>
              </w:rPr>
              <w:t>7</w:t>
            </w:r>
          </w:p>
        </w:tc>
      </w:tr>
      <w:tr>
        <w:trPr>
          <w:trHeight w:val="547"/>
        </w:trPr>
        <w:tc>
          <w:tcPr>
            <w:tcW w:w="32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b w:val="1"/>
          <w:bCs w:val="1"/>
          <w:color w:val="auto"/>
        </w:rPr>
        <w:t>Consolidated Financial Statements (IFRS Accounting Standards)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5"/>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160" w:type="dxa"/>
            <w:vAlign w:val="bottom"/>
          </w:tcPr>
          <w:p>
            <w:pPr>
              <w:ind w:left="60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5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580" w:type="dxa"/>
            <w:vAlign w:val="bottom"/>
            <w:tcBorders>
              <w:bottom w:val="single" w:sz="8" w:color="CCEEFF"/>
            </w:tcBorders>
          </w:tcPr>
          <w:p>
            <w:pPr>
              <w:jc w:val="center"/>
              <w:ind w:right="11"/>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w:t>
            </w:r>
          </w:p>
        </w:tc>
        <w:tc>
          <w:tcPr>
            <w:tcW w:w="5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8/13</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5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Borders>
              <w:bottom w:val="single" w:sz="8" w:color="CCEEFF"/>
            </w:tcBorders>
          </w:tcPr>
          <w:p>
            <w:pPr>
              <w:jc w:val="center"/>
              <w:ind w:right="11"/>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vMerge w:val="continue"/>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premium</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losses</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(439,021)</w:t>
            </w:r>
          </w:p>
        </w:tc>
        <w:tc>
          <w:tcPr>
            <w:tcW w:w="2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9/12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580" w:type="dxa"/>
            <w:vAlign w:val="bottom"/>
            <w:tcBorders>
              <w:bottom w:val="single" w:sz="8" w:color="CCEEFF"/>
            </w:tcBorders>
          </w:tcPr>
          <w:p>
            <w:pPr>
              <w:jc w:val="center"/>
              <w:ind w:right="11"/>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vMerge w:val="continue"/>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109,367</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11"/>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9"/>
                <w:szCs w:val="19"/>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9"/>
                <w:szCs w:val="19"/>
                <w:color w:val="auto"/>
              </w:rPr>
            </w:pPr>
          </w:p>
        </w:tc>
        <w:tc>
          <w:tcPr>
            <w:tcW w:w="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9"/>
                <w:szCs w:val="19"/>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900" w:type="dxa"/>
            <w:vAlign w:val="bottom"/>
            <w:gridSpan w:val="3"/>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900" w:type="dxa"/>
            <w:vAlign w:val="bottom"/>
            <w:gridSpan w:val="3"/>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90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900" w:type="dxa"/>
            <w:vAlign w:val="bottom"/>
            <w:gridSpan w:val="3"/>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5"/>
              </w:rPr>
              <w:t>13.2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90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90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900" w:type="dxa"/>
            <w:vAlign w:val="bottom"/>
            <w:gridSpan w:val="3"/>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90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90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11"/>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2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reclassified to income or loss in subsequent periods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defined-benefit plans (net of tax)</w:t>
            </w:r>
          </w:p>
        </w:tc>
        <w:tc>
          <w:tcPr>
            <w:tcW w:w="9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580" w:type="dxa"/>
            <w:vAlign w:val="bottom"/>
          </w:tcPr>
          <w:p>
            <w:pPr>
              <w:spacing w:after="0"/>
              <w:rPr>
                <w:sz w:val="14"/>
                <w:szCs w:val="14"/>
                <w:color w:val="auto"/>
              </w:rPr>
            </w:pPr>
          </w:p>
        </w:tc>
      </w:tr>
      <w:tr>
        <w:trPr>
          <w:trHeight w:val="176"/>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5"/>
                <w:szCs w:val="15"/>
                <w:color w:val="auto"/>
              </w:rPr>
            </w:pPr>
          </w:p>
        </w:tc>
        <w:tc>
          <w:tcPr>
            <w:tcW w:w="900" w:type="dxa"/>
            <w:vAlign w:val="bottom"/>
            <w:gridSpan w:val="3"/>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580" w:type="dxa"/>
            <w:vAlign w:val="bottom"/>
          </w:tcPr>
          <w:p>
            <w:pPr>
              <w:spacing w:after="0"/>
              <w:rPr>
                <w:sz w:val="15"/>
                <w:szCs w:val="15"/>
                <w:color w:val="auto"/>
              </w:rPr>
            </w:pPr>
          </w:p>
        </w:tc>
      </w:tr>
      <w:tr>
        <w:trPr>
          <w:trHeight w:val="185"/>
        </w:trPr>
        <w:tc>
          <w:tcPr>
            <w:tcW w:w="3400" w:type="dxa"/>
            <w:vAlign w:val="bottom"/>
            <w:gridSpan w:val="2"/>
          </w:tcPr>
          <w:p>
            <w:pPr>
              <w:ind w:left="32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 premium</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differences  ​​​</w:t>
            </w: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431,323</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(264,015)</w:t>
            </w: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168,991</w:t>
            </w:r>
          </w:p>
        </w:tc>
      </w:tr>
      <w:tr>
        <w:trPr>
          <w:trHeight w:val="16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(54,233)</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(54,233)</w:t>
            </w:r>
          </w:p>
        </w:tc>
      </w:tr>
      <w:tr>
        <w:trPr>
          <w:trHeight w:val="187"/>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(1,669)</w:t>
            </w:r>
          </w:p>
        </w:tc>
        <w:tc>
          <w:tcPr>
            <w:tcW w:w="8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r>
      <w:tr>
        <w:trPr>
          <w:trHeight w:val="196"/>
        </w:trPr>
        <w:tc>
          <w:tcPr>
            <w:tcW w:w="3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4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(55,902)</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(55,963)</w:t>
            </w:r>
          </w:p>
        </w:tc>
      </w:tr>
      <w:tr>
        <w:trPr>
          <w:trHeight w:val="156"/>
        </w:trPr>
        <w:tc>
          <w:tcPr>
            <w:tcW w:w="3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16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r>
      <w:tr>
        <w:trPr>
          <w:trHeight w:val="14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public offerings, net of underwriting fees,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8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 and stamp duty</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40,249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40,535</w:t>
            </w:r>
          </w:p>
        </w:tc>
      </w:tr>
      <w:tr>
        <w:trPr>
          <w:trHeight w:val="144"/>
        </w:trPr>
        <w:tc>
          <w:tcPr>
            <w:tcW w:w="34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r>
      <w:tr>
        <w:trPr>
          <w:trHeight w:val="18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7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5"/>
                <w:szCs w:val="15"/>
                <w:color w:val="auto"/>
              </w:rPr>
            </w:pPr>
          </w:p>
        </w:tc>
      </w:tr>
      <w:tr>
        <w:trPr>
          <w:trHeight w:val="170"/>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(645)</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1"/>
        </w:trPr>
        <w:tc>
          <w:tcPr>
            <w:tcW w:w="3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474,907</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(316,197)</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160,643</w:t>
            </w: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560" w:type="dxa"/>
            <w:vAlign w:val="bottom"/>
          </w:tcPr>
          <w:p>
            <w:pPr>
              <w:spacing w:after="0"/>
              <w:rPr>
                <w:sz w:val="14"/>
                <w:szCs w:val="14"/>
                <w:color w:val="auto"/>
              </w:rPr>
            </w:pPr>
          </w:p>
        </w:tc>
      </w:tr>
      <w:tr>
        <w:trPr>
          <w:trHeight w:val="175"/>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68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5"/>
                <w:szCs w:val="15"/>
                <w:color w:val="auto"/>
              </w:rPr>
            </w:pPr>
          </w:p>
        </w:tc>
        <w:tc>
          <w:tcPr>
            <w:tcW w:w="88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560" w:type="dxa"/>
            <w:vAlign w:val="bottom"/>
          </w:tcPr>
          <w:p>
            <w:pPr>
              <w:spacing w:after="0"/>
              <w:rPr>
                <w:sz w:val="15"/>
                <w:szCs w:val="15"/>
                <w:color w:val="auto"/>
              </w:rPr>
            </w:pPr>
          </w:p>
        </w:tc>
      </w:tr>
      <w:tr>
        <w:trPr>
          <w:trHeight w:val="185"/>
        </w:trPr>
        <w:tc>
          <w:tcPr>
            <w:tcW w:w="3420" w:type="dxa"/>
            <w:vAlign w:val="bottom"/>
            <w:gridSpan w:val="2"/>
          </w:tcPr>
          <w:p>
            <w:pPr>
              <w:ind w:left="32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capital</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68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differences  ​​​</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474,907</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(316,197)</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160,643</w:t>
            </w:r>
          </w:p>
        </w:tc>
      </w:tr>
      <w:tr>
        <w:trPr>
          <w:trHeight w:val="16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(50,916)</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(50,916)</w:t>
            </w:r>
          </w:p>
        </w:tc>
      </w:tr>
      <w:tr>
        <w:trPr>
          <w:trHeight w:val="187"/>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(3,084)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w:t>
            </w:r>
          </w:p>
        </w:tc>
      </w:tr>
      <w:tr>
        <w:trPr>
          <w:trHeight w:val="155"/>
        </w:trPr>
        <w:tc>
          <w:tcPr>
            <w:tcW w:w="342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(54,000)</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(53,954)</w:t>
            </w:r>
          </w:p>
        </w:tc>
      </w:tr>
      <w:tr>
        <w:trPr>
          <w:trHeight w:val="169"/>
        </w:trPr>
        <w:tc>
          <w:tcPr>
            <w:tcW w:w="3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w:t>
            </w:r>
          </w:p>
        </w:tc>
        <w:tc>
          <w:tcPr>
            <w:tcW w:w="16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w:t>
            </w:r>
          </w:p>
        </w:tc>
      </w:tr>
      <w:tr>
        <w:trPr>
          <w:trHeight w:val="144"/>
        </w:trPr>
        <w:tc>
          <w:tcPr>
            <w:tcW w:w="342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public offerings, net of underwriting fees,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costs and stamp duty</w:t>
            </w:r>
          </w:p>
        </w:tc>
        <w:tc>
          <w:tcPr>
            <w:tcW w:w="44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44"/>
        </w:trPr>
        <w:tc>
          <w:tcPr>
            <w:tcW w:w="34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Proceeds from sale of treasury shares in public offerings, net</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of underwriting fees and transaction costs</w:t>
            </w:r>
          </w:p>
        </w:tc>
        <w:tc>
          <w:tcPr>
            <w:tcW w:w="4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5"/>
                <w:szCs w:val="15"/>
                <w:color w:val="auto"/>
              </w:rPr>
            </w:pPr>
          </w:p>
        </w:tc>
      </w:tr>
      <w:tr>
        <w:trPr>
          <w:trHeight w:val="162"/>
        </w:trPr>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(3,512)</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478,506</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(368,239)</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112,270</w:t>
            </w: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3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Pr>
          <w:p>
            <w:pPr>
              <w:spacing w:after="0"/>
              <w:rPr>
                <w:sz w:val="15"/>
                <w:szCs w:val="15"/>
                <w:color w:val="auto"/>
              </w:rPr>
            </w:pPr>
          </w:p>
        </w:tc>
        <w:tc>
          <w:tcPr>
            <w:tcW w:w="820" w:type="dxa"/>
            <w:vAlign w:val="bottom"/>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820" w:type="dxa"/>
            <w:vAlign w:val="bottom"/>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88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3340" w:type="dxa"/>
            <w:vAlign w:val="bottom"/>
          </w:tcPr>
          <w:p>
            <w:pPr>
              <w:ind w:left="32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6"/>
                <w:szCs w:val="16"/>
                <w:color w:val="auto"/>
              </w:rPr>
            </w:pPr>
          </w:p>
        </w:tc>
        <w:tc>
          <w:tcPr>
            <w:tcW w:w="820" w:type="dxa"/>
            <w:vAlign w:val="bottom"/>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20" w:type="dxa"/>
            <w:vAlign w:val="bottom"/>
            <w:gridSpan w:val="2"/>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160" w:type="dxa"/>
            <w:vAlign w:val="bottom"/>
          </w:tcPr>
          <w:p>
            <w:pPr>
              <w:spacing w:after="0"/>
              <w:rPr>
                <w:sz w:val="16"/>
                <w:szCs w:val="16"/>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2025</w:t>
            </w: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478,506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(368,239)</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112,270</w:t>
            </w:r>
          </w:p>
        </w:tc>
      </w:tr>
      <w:tr>
        <w:trPr>
          <w:trHeight w:val="16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(70,447)</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(70,447)</w:t>
            </w:r>
          </w:p>
        </w:tc>
      </w:tr>
      <w:tr>
        <w:trPr>
          <w:trHeight w:val="18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(1,353)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r>
      <w:tr>
        <w:trPr>
          <w:trHeight w:val="155"/>
        </w:trPr>
        <w:tc>
          <w:tcPr>
            <w:tcW w:w="3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(71,800)</w:t>
            </w:r>
          </w:p>
        </w:tc>
        <w:tc>
          <w:tcPr>
            <w:tcW w:w="1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(71,788)</w:t>
            </w:r>
          </w:p>
        </w:tc>
      </w:tr>
      <w:tr>
        <w:trPr>
          <w:trHeight w:val="169"/>
        </w:trPr>
        <w:tc>
          <w:tcPr>
            <w:tcW w:w="3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4,396</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4,396</w:t>
            </w:r>
          </w:p>
        </w:tc>
      </w:tr>
      <w:tr>
        <w:trPr>
          <w:trHeight w:val="18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shares, net of transaction costs:</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0"/>
        </w:trPr>
        <w:tc>
          <w:tcPr>
            <w:tcW w:w="33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share awards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w:t>
            </w:r>
          </w:p>
        </w:tc>
        <w:tc>
          <w:tcPr>
            <w:tcW w:w="160" w:type="dxa"/>
            <w:vAlign w:val="bottom"/>
          </w:tcPr>
          <w:p>
            <w:pPr>
              <w:spacing w:after="0"/>
              <w:rPr>
                <w:sz w:val="14"/>
                <w:szCs w:val="14"/>
                <w:color w:val="auto"/>
              </w:rPr>
            </w:pP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(3,378)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options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5"/>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481,863</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(439,021)</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44,884</w:t>
            </w:r>
          </w:p>
        </w:tc>
      </w:tr>
      <w:tr>
        <w:trPr>
          <w:trHeight w:val="20"/>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3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24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Borders>
              <w:top w:val="single" w:sz="8" w:color="auto"/>
            </w:tcBorders>
          </w:tcPr>
          <w:p>
            <w:pPr>
              <w:spacing w:after="0"/>
              <w:rPr>
                <w:sz w:val="13"/>
                <w:szCs w:val="13"/>
                <w:color w:val="auto"/>
              </w:rPr>
            </w:pPr>
          </w:p>
        </w:tc>
        <w:tc>
          <w:tcPr>
            <w:tcW w:w="180" w:type="dxa"/>
            <w:vAlign w:val="bottom"/>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 ​​​</w:t>
            </w: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for the period</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(70,447)</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(50,916)</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loss for the period to net cash flows: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(income)/expense, net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4,396</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net employee defined benefit liability</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5/14</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(Gain)/loss on lease modifications</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(Gain)/loss on sale of fixed assets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(Increase)/decrease in prepaid expenses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accrued income</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(Increase)/decrease in accounts receivable</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(Increase)/decrease in other current receivables</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accrued expenses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(3,861)</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contract revenue, short-term</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85,056</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income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(Decrease)/increase in trade and other payables</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(Decrease)/increase in deferred contract revenue, long-term</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4,560</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provided by/(used in) operating activities</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(70,970)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64,408</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received</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paid</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Finance expenses paid</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provided by/(used in) operating activities</w:t>
            </w:r>
          </w:p>
        </w:tc>
        <w:tc>
          <w:tcPr>
            <w:tcW w:w="2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(69,262)</w:t>
            </w: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65,842</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jc w:val="right"/>
              <w:ind w:right="140"/>
              <w:spacing w:after="0"/>
              <w:rPr>
                <w:sz w:val="20"/>
                <w:szCs w:val="20"/>
                <w:color w:val="auto"/>
              </w:rPr>
            </w:pPr>
            <w:r>
              <w:rPr>
                <w:rFonts w:ascii="Times New Roman" w:cs="Times New Roman" w:eastAsia="Times New Roman" w:hAnsi="Times New Roman"/>
                <w:sz w:val="1"/>
                <w:szCs w:val="1"/>
                <w:color w:val="auto"/>
                <w:w w:val="4294942296"/>
              </w:rPr>
              <w:t>​</w:t>
            </w: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Short-term financial assets, net</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64,597</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(104,660)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Purchases of property, plant and equipment</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Rental deposits</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2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flows provided by/(used in) investing activities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63,542</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(105,290)</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
                <w:szCs w:val="1"/>
                <w:color w:val="auto"/>
                <w:w w:val="4294942296"/>
              </w:rPr>
              <w:t>​</w:t>
            </w: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public offerings of common shares, net of underwriting fees and transaction costs</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Proceeds from sale of treasury shares in public offerings, net of underwriting fees and transaction costs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issuance of common shares – equity plan, net of transaction costs</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and stamp duty associated with the public offerings of common shares previously</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recorded in Accrued expenses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80" w:type="dxa"/>
            <w:vAlign w:val="bottom"/>
          </w:tcPr>
          <w:p>
            <w:pPr>
              <w:spacing w:after="0"/>
              <w:rPr>
                <w:sz w:val="14"/>
                <w:szCs w:val="14"/>
                <w:color w:val="auto"/>
              </w:rPr>
            </w:pPr>
          </w:p>
        </w:tc>
        <w:tc>
          <w:tcPr>
            <w:tcW w:w="82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previously recorded in</w:t>
            </w: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Principal payments of lease obligations</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flows (used in)/provided by financing activities</w:t>
            </w:r>
          </w:p>
        </w:tc>
        <w:tc>
          <w:tcPr>
            <w:tcW w:w="2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jc w:val="right"/>
              <w:ind w:right="140"/>
              <w:spacing w:after="0"/>
              <w:rPr>
                <w:sz w:val="20"/>
                <w:szCs w:val="20"/>
                <w:color w:val="auto"/>
              </w:rPr>
            </w:pPr>
            <w:r>
              <w:rPr>
                <w:rFonts w:ascii="Times New Roman" w:cs="Times New Roman" w:eastAsia="Times New Roman" w:hAnsi="Times New Roman"/>
                <w:sz w:val="1"/>
                <w:szCs w:val="1"/>
                <w:color w:val="auto"/>
                <w:w w:val="4294942296"/>
              </w:rPr>
              <w:t>​</w:t>
            </w: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(6,740)</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(40,568)</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January 1</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36,275</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gain/(loss) on cash and cash equivalents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at December 31</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26,795</w:t>
            </w:r>
          </w:p>
        </w:tc>
        <w:tc>
          <w:tcPr>
            <w:tcW w:w="2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36,275</w:t>
            </w:r>
          </w:p>
        </w:tc>
        <w:tc>
          <w:tcPr>
            <w:tcW w:w="1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increase/(decrease) in cash and cash equivalents</w:t>
            </w: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(6,740)</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(40,568)</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non-cash activity</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Capital expenditures in Trade and other payables or Accrued expenses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and stamp duty associated with the public offerings of common shares recorded in</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Transaction costs associated with the sale of treasury shares in public offering recorded in Accrued</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expenses</w:t>
            </w:r>
          </w:p>
        </w:tc>
        <w:tc>
          <w:tcPr>
            <w:tcW w:w="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w:t>
      </w:r>
    </w:p>
    <w:p>
      <w:pPr>
        <w:spacing w:after="0" w:line="230"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goal is to continue leveraging our proprietary discovery platforms, SupraAntigen and Morphomer, to shift the treatment paradigm for neurodegenerative disease towards Precision Medicine. Our corporate strategy is focused on two core value drivers: (i) Active Immunotherapies being developed for the treatment and prevention of Alzheimer’s disease (AD) and Parkinson’s disease (PD); and (ii) Intracellular targeting with brain penetrant small molecule programs targeting intracellular pathologies.</w:t>
      </w:r>
    </w:p>
    <w:p>
      <w:pPr>
        <w:spacing w:after="0" w:line="190"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172"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20-F, after considering the Company’s cash position of CHF 26.8 million and short-term financial assets of CHF 64.6 million as of December 31, 2025. Hence, these consolidated financial statements have been prepared on a going-concern basis.</w:t>
      </w:r>
    </w:p>
    <w:p>
      <w:pPr>
        <w:spacing w:after="0" w:line="180"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360" w:hanging="310"/>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w:t>
      </w:r>
    </w:p>
    <w:p>
      <w:pPr>
        <w:spacing w:after="0" w:line="9"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capital to support its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IFRS Accounting Standards (IFRS) as issued by the International Accounting Standards Board (IASB). These consolidated financial statements were approved for issue by the Board of Directors on March 11,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under the historical cost convention except for items that are required to be accounted for at fair value.</w:t>
      </w:r>
    </w:p>
    <w:p>
      <w:pPr>
        <w:spacing w:after="0" w:line="158" w:lineRule="exact"/>
        <w:rPr>
          <w:sz w:val="20"/>
          <w:szCs w:val="20"/>
          <w:color w:val="auto"/>
        </w:rPr>
      </w:pPr>
    </w:p>
    <w:p>
      <w:pPr>
        <w:ind w:left="700" w:hanging="650"/>
        <w:spacing w:after="0"/>
        <w:tabs>
          <w:tab w:leader="none" w:pos="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accounting policies</w:t>
      </w:r>
    </w:p>
    <w:p>
      <w:pPr>
        <w:spacing w:after="0" w:line="21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consolidated financial statements are set out below. These policies have been consistently applied to all the years presented, unless otherwise stated.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exchange rates have been used for the translation of the financial statements of AC Immune USA:</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88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223"/>
        </w:trPr>
        <w:tc>
          <w:tcPr>
            <w:tcW w:w="6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CHF/USD</w:t>
            </w: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rate, USD 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0.851</w:t>
            </w:r>
          </w:p>
        </w:tc>
        <w:tc>
          <w:tcPr>
            <w:tcW w:w="60" w:type="dxa"/>
            <w:vAlign w:val="bottom"/>
          </w:tcPr>
          <w:p>
            <w:pPr>
              <w:spacing w:after="0"/>
              <w:rPr>
                <w:sz w:val="19"/>
                <w:szCs w:val="19"/>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0.908</w:t>
            </w:r>
          </w:p>
        </w:tc>
        <w:tc>
          <w:tcPr>
            <w:tcW w:w="60" w:type="dxa"/>
            <w:vAlign w:val="bottom"/>
          </w:tcPr>
          <w:p>
            <w:pPr>
              <w:spacing w:after="0"/>
              <w:rPr>
                <w:sz w:val="20"/>
                <w:szCs w:val="20"/>
                <w:color w:val="auto"/>
              </w:rPr>
            </w:pPr>
          </w:p>
        </w:tc>
      </w:tr>
    </w:tbl>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and financial position of AC Immune USA are translated into the presentation currency as follows:</w:t>
      </w:r>
    </w:p>
    <w:p>
      <w:pPr>
        <w:spacing w:after="0" w:line="225" w:lineRule="exact"/>
        <w:rPr>
          <w:sz w:val="20"/>
          <w:szCs w:val="20"/>
          <w:color w:val="auto"/>
        </w:rPr>
      </w:pPr>
    </w:p>
    <w:p>
      <w:pPr>
        <w:ind w:left="700" w:right="29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balance sheet presented are translated at the closing rate at the date of that balance sheet;</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statement of income/(loss) are translated at average exchange rates; and</w:t>
      </w:r>
    </w:p>
    <w:p>
      <w:pPr>
        <w:spacing w:after="0" w:line="225" w:lineRule="exact"/>
        <w:rPr>
          <w:rFonts w:ascii="Times New Roman" w:cs="Times New Roman" w:eastAsia="Times New Roman" w:hAnsi="Times New Roman"/>
          <w:sz w:val="18"/>
          <w:szCs w:val="18"/>
          <w:color w:val="auto"/>
        </w:rPr>
      </w:pPr>
    </w:p>
    <w:p>
      <w:pPr>
        <w:ind w:left="700" w:right="65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exchange differences are recognized in other comprehensive income/(loss), within cumulative translation differences.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annual closing date of the individual financial statements is December 31. The Company fully-owns its Subsidiary and fully consolidates its financial statements into these consolidated financial statements. All intercompany transactions have been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vs. non-current classification</w:t>
      </w:r>
    </w:p>
    <w:p>
      <w:pPr>
        <w:spacing w:after="0" w:line="216" w:lineRule="exact"/>
        <w:rPr>
          <w:sz w:val="20"/>
          <w:szCs w:val="20"/>
          <w:color w:val="auto"/>
        </w:rPr>
      </w:pPr>
    </w:p>
    <w:p>
      <w:pPr>
        <w:jc w:val="center"/>
        <w:ind w:left="40" w:right="439"/>
        <w:spacing w:after="0" w:line="312" w:lineRule="auto"/>
        <w:rPr>
          <w:sz w:val="20"/>
          <w:szCs w:val="20"/>
          <w:color w:val="auto"/>
        </w:rPr>
      </w:pPr>
      <w:r>
        <w:rPr>
          <w:rFonts w:ascii="Times New Roman" w:cs="Times New Roman" w:eastAsia="Times New Roman" w:hAnsi="Times New Roman"/>
          <w:sz w:val="17"/>
          <w:szCs w:val="17"/>
          <w:color w:val="auto"/>
        </w:rPr>
        <w:t>The Company presents assets and liabilities in the consolidated balance sheets based on a current/non-current classification. The Company classifies as current all amounts (assets) that are to be realized within 12 months after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 w:name="page22"/>
    <w:bookmarkEnd w:id="21"/>
    <w:p>
      <w:pPr>
        <w:ind w:left="60" w:right="339"/>
        <w:spacing w:after="0" w:line="261" w:lineRule="auto"/>
        <w:rPr>
          <w:sz w:val="20"/>
          <w:szCs w:val="20"/>
          <w:color w:val="auto"/>
        </w:rPr>
      </w:pPr>
      <w:r>
        <w:rPr>
          <w:rFonts w:ascii="Times New Roman" w:cs="Times New Roman" w:eastAsia="Times New Roman" w:hAnsi="Times New Roman"/>
          <w:sz w:val="18"/>
          <w:szCs w:val="18"/>
          <w:color w:val="auto"/>
        </w:rPr>
        <w:t>reporting period and classifies as non-current all other amounts (assets). For liabilities, in accordance with IAS 1, any amounts expected to be settled within 12 months after the reporting period are classified as current if the Company does not have the right to defer settlement for at least 12 months after the reporting period - all other amounts (liabilities) are classified as non-current.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60" w:right="139" w:firstLine="324"/>
        <w:spacing w:after="0" w:line="250" w:lineRule="auto"/>
        <w:rPr>
          <w:sz w:val="20"/>
          <w:szCs w:val="20"/>
          <w:color w:val="auto"/>
        </w:rPr>
      </w:pPr>
      <w:r>
        <w:rPr>
          <w:rFonts w:ascii="Times New Roman" w:cs="Times New Roman" w:eastAsia="Times New Roman" w:hAnsi="Times New Roman"/>
          <w:sz w:val="18"/>
          <w:szCs w:val="18"/>
          <w:color w:val="auto"/>
        </w:rPr>
        <w:t xml:space="preserve">The Company applies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applies to all contracts with customers, except for contracts that are within the scope of other standards, such as leases, insurance, certain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enters into OLCAs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Licenses of intellectual property</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cumulative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Sublicense revenues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accounts receivable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complete discussion of accounting for contract revenue, see “Note 13. Contract revenues.”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Given the stage of development of the Company’s products, all research and development expenditure is expensed as incurred as it does not meet the capitalization criteria outlined in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Company has not capitalized any R&amp;D expenses to date. Research and development expenditures include:</w:t>
      </w:r>
    </w:p>
    <w:p>
      <w:pPr>
        <w:spacing w:after="0" w:line="176" w:lineRule="exact"/>
        <w:rPr>
          <w:sz w:val="20"/>
          <w:szCs w:val="20"/>
          <w:color w:val="auto"/>
        </w:rPr>
      </w:pPr>
    </w:p>
    <w:p>
      <w:pPr>
        <w:ind w:left="700" w:right="119" w:hanging="3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61" w:lineRule="exact"/>
        <w:rPr>
          <w:rFonts w:ascii="Times New Roman" w:cs="Times New Roman" w:eastAsia="Times New Roman" w:hAnsi="Times New Roman"/>
          <w:sz w:val="18"/>
          <w:szCs w:val="18"/>
          <w:color w:val="auto"/>
        </w:rPr>
      </w:pPr>
    </w:p>
    <w:p>
      <w:pPr>
        <w:ind w:left="700" w:right="339" w:hanging="326"/>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costs related to regulatory filings and activities;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w:t>
      </w:r>
    </w:p>
    <w:p>
      <w:pPr>
        <w:spacing w:after="0" w:line="225" w:lineRule="exact"/>
        <w:rPr>
          <w:rFonts w:ascii="Times New Roman" w:cs="Times New Roman" w:eastAsia="Times New Roman" w:hAnsi="Times New Roman"/>
          <w:sz w:val="18"/>
          <w:szCs w:val="18"/>
          <w:color w:val="auto"/>
        </w:rPr>
      </w:pPr>
    </w:p>
    <w:p>
      <w:pPr>
        <w:ind w:left="700" w:right="699" w:hanging="3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benefits, travel and share-based compensation expenses; and</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allocated expenses such as facilities and information technology (IT) costs.</w:t>
      </w:r>
    </w:p>
    <w:p>
      <w:pPr>
        <w:spacing w:after="0" w:line="225" w:lineRule="exact"/>
        <w:rPr>
          <w:sz w:val="20"/>
          <w:szCs w:val="20"/>
          <w:color w:val="auto"/>
        </w:rPr>
      </w:pPr>
    </w:p>
    <w:p>
      <w:pPr>
        <w:jc w:val="both"/>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ind w:left="60" w:right="179"/>
        <w:spacing w:after="0" w:line="282" w:lineRule="auto"/>
        <w:rPr>
          <w:sz w:val="20"/>
          <w:szCs w:val="20"/>
          <w:color w:val="auto"/>
        </w:rPr>
      </w:pPr>
      <w:r>
        <w:rPr>
          <w:rFonts w:ascii="Times New Roman" w:cs="Times New Roman" w:eastAsia="Times New Roman" w:hAnsi="Times New Roman"/>
          <w:sz w:val="18"/>
          <w:szCs w:val="18"/>
          <w:color w:val="auto"/>
        </w:rPr>
        <w:t>with our CRO or CMO vendors to gauge the reasonableness of our estimates and accrued expenses as of the balance sheet date in the consolidated financial statements based on facts and circumstances known at the time.</w:t>
      </w:r>
    </w:p>
    <w:p>
      <w:pPr>
        <w:spacing w:after="0" w:line="162"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expenses</w:t>
      </w:r>
    </w:p>
    <w:p>
      <w:pPr>
        <w:spacing w:after="0" w:line="216"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During September 2025, the Company incurred restructuring costs associated with planned initiatives to reduce its costs. The most significant restructuring costs are termination benefits provided to employees. In connection with developing a detailed formal plan for the restructuring, the Company established a provision for restructuring costs and, through execution of the plan and announcement of its main features to those affected by it, a valid expectation has been raised in those affected that the plan would be implemented.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Grant income</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net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4" w:lineRule="exact"/>
        <w:rPr>
          <w:sz w:val="20"/>
          <w:szCs w:val="20"/>
          <w:color w:val="auto"/>
        </w:rPr>
      </w:pPr>
    </w:p>
    <w:p>
      <w:pPr>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provides the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In accordance with IFRS 16, the Company (i) does not recognize right-of-use assets and lease liabilities for leases of low value (i.e. approximate fair value of USD 5,000). For a complete discussion of accounting, see “Note 5. Right-of-use assets, long-term financial assets and lease liabilities.”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and lease liabilities</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87"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60" w:right="279"/>
        <w:spacing w:after="0" w:line="282" w:lineRule="auto"/>
        <w:rPr>
          <w:sz w:val="20"/>
          <w:szCs w:val="20"/>
          <w:color w:val="auto"/>
        </w:rPr>
      </w:pPr>
      <w:r>
        <w:rPr>
          <w:rFonts w:ascii="Times New Roman" w:cs="Times New Roman" w:eastAsia="Times New Roman" w:hAnsi="Times New Roman"/>
          <w:sz w:val="18"/>
          <w:szCs w:val="18"/>
          <w:color w:val="auto"/>
        </w:rPr>
        <w:t>expected to be payable under a residual value guarantee or a change in assessment of whether it will exercise a purchase, extension or termination option.</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re-measured, a corresponding adjustment is made to the carrying amount of the right-of-use asset or is recorded in profit or loss if the carrying amount of the right-of-use asset has been reduced to zero.</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4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18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3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Both the right-of-use-assets and lease liabilities are recognized in the consolidated balance sheets.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0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256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improvements/furniture</w:t>
            </w:r>
          </w:p>
        </w:tc>
        <w:tc>
          <w:tcPr>
            <w:tcW w:w="25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r>
    </w:tbl>
    <w:p>
      <w:pPr>
        <w:spacing w:after="0" w:line="225"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6"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the disposal proceeds with the carrying amount and are included in the consolidated statements of income/(loss).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183"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uses a discounted cash flow method to determine the fair value less costs to sell (recoverable amount) of our IPR&amp;D intangible asset. The Company starts with a forecast of all the expected net cash flows, which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jc w:val="both"/>
        <w:ind w:left="60" w:right="159"/>
        <w:spacing w:after="0" w:line="282" w:lineRule="auto"/>
        <w:rPr>
          <w:sz w:val="20"/>
          <w:szCs w:val="20"/>
          <w:color w:val="auto"/>
        </w:rPr>
      </w:pPr>
      <w:r>
        <w:rPr>
          <w:rFonts w:ascii="Times New Roman" w:cs="Times New Roman" w:eastAsia="Times New Roman" w:hAnsi="Times New Roman"/>
          <w:sz w:val="18"/>
          <w:szCs w:val="18"/>
          <w:color w:val="auto"/>
        </w:rPr>
        <w:t>incorporates the consideration of a terminal value and then the Company applies a discount rate to arrive at a risk-adjusted net present value amount.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impairment losses are recognized immediately in the consolidated statements of income/(loss).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16"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Short-term financial assets</w:t>
      </w:r>
    </w:p>
    <w:p>
      <w:pPr>
        <w:spacing w:after="0" w:line="229"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Short-term financial assets are held with external financial institutions and comprise fixed-term deposits with maturities ranging from more than 3 through 12 months in duration.</w:t>
      </w:r>
    </w:p>
    <w:p>
      <w:pPr>
        <w:spacing w:after="0" w:line="162"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Company assesses whether there is objective evidence that financial assets are impaired annually or whenever potential impairment triggers may occur.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payables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Trade payables are amounts due to third parties in the ordinary course of business.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capital and public offerings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in the consolidated statements of income/(loss). See “Note 11. Share capital.”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11. Share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Post-employment benefits</w:t>
      </w:r>
    </w:p>
    <w:p>
      <w:pPr>
        <w:spacing w:after="0" w:line="22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7"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8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62"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allocated to the appropriate operating results category, including research and development, general and administrative expenses, or restructuring expenses as applicable.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9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Stock options granted under the Company’s stock option plans C1 and the 2016 Stock Option and Incentive Plan are valued using the Black-Scholes option-pricing model (see “Note 18. Share-based compensation”). This valuation model as well as parameters used such as expected volatility and expected term of the stock options are partially based on management’s estimates.</w:t>
      </w:r>
    </w:p>
    <w:p>
      <w:pPr>
        <w:spacing w:after="0" w:line="180"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proceeds received net of any directly attributable transaction costs are credited to share capital (nominal value) and share premium when the options are exercised.</w:t>
      </w:r>
    </w:p>
    <w:p>
      <w:pPr>
        <w:spacing w:after="0" w:line="176" w:lineRule="exact"/>
        <w:rPr>
          <w:sz w:val="20"/>
          <w:szCs w:val="20"/>
          <w:color w:val="auto"/>
        </w:rPr>
      </w:pPr>
    </w:p>
    <w:p>
      <w:pPr>
        <w:ind w:left="60" w:right="379" w:firstLine="324"/>
        <w:spacing w:after="0" w:line="289" w:lineRule="auto"/>
        <w:rPr>
          <w:sz w:val="20"/>
          <w:szCs w:val="20"/>
          <w:color w:val="auto"/>
        </w:rPr>
      </w:pPr>
      <w:r>
        <w:rPr>
          <w:rFonts w:ascii="Times New Roman" w:cs="Times New Roman" w:eastAsia="Times New Roman" w:hAnsi="Times New Roman"/>
          <w:sz w:val="17"/>
          <w:szCs w:val="17"/>
          <w:color w:val="auto"/>
        </w:rPr>
        <w:t>We estimate the fair value of restricted share units using the market value of the common shares on the date of the award. We classify our share-based payments as equity-classified awards as they are settled in common shares. We measure equity-classified awards at their grant date fair value and do not subsequently re-measure them. Compensation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60" w:right="379"/>
        <w:spacing w:after="0" w:line="266" w:lineRule="auto"/>
        <w:rPr>
          <w:sz w:val="20"/>
          <w:szCs w:val="20"/>
          <w:color w:val="auto"/>
        </w:rPr>
      </w:pPr>
      <w:r>
        <w:rPr>
          <w:rFonts w:ascii="Times New Roman" w:cs="Times New Roman" w:eastAsia="Times New Roman" w:hAnsi="Times New Roman"/>
          <w:sz w:val="18"/>
          <w:szCs w:val="18"/>
          <w:color w:val="auto"/>
        </w:rPr>
        <w:t>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1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8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because it’s more likely than not that it will not be recovered.</w:t>
      </w:r>
    </w:p>
    <w:p>
      <w:pPr>
        <w:spacing w:after="0" w:line="18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disclosed in “Note 16.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the dilutive earnings per share calculation.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Accounting Standards requires management to make judgments, estimates and assumptions that affect the application of accounting policies and the reported amounts of assets, liabilities, income and expenses.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60" w:right="199" w:firstLine="324"/>
        <w:spacing w:after="0" w:line="276" w:lineRule="auto"/>
        <w:rPr>
          <w:sz w:val="20"/>
          <w:szCs w:val="20"/>
          <w:color w:val="auto"/>
        </w:rPr>
      </w:pPr>
      <w:r>
        <w:rPr>
          <w:rFonts w:ascii="Times New Roman" w:cs="Times New Roman" w:eastAsia="Times New Roman" w:hAnsi="Times New Roman"/>
          <w:sz w:val="17"/>
          <w:szCs w:val="17"/>
          <w:color w:val="auto"/>
        </w:rPr>
        <w:t>The areas where AC Immune has had to make judgments, estimates and assumptions relate to (i) revenue recognition on OLCAs (Note 13), (ii) clinical development accruals (Note 12), (iii) net employee defined benefit liability (Note 17),</w:t>
      </w:r>
    </w:p>
    <w:p>
      <w:pPr>
        <w:spacing w:after="0" w:line="1" w:lineRule="exact"/>
        <w:rPr>
          <w:sz w:val="20"/>
          <w:szCs w:val="20"/>
          <w:color w:val="auto"/>
        </w:rPr>
      </w:pPr>
    </w:p>
    <w:p>
      <w:pPr>
        <w:ind w:left="60" w:right="59" w:hanging="10"/>
        <w:spacing w:after="0" w:line="248"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(Note 18), (v) right-of-use assets and lease liabilities (Note 5) and (vi) our IPR&amp;D asset (Note 6).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segment. The Company currently focuses most of its resources on discovering and developing therapeutic and diagnostic products targeting misfolded proteins.</w:t>
      </w:r>
    </w:p>
    <w:p>
      <w:pPr>
        <w:spacing w:after="0" w:line="162"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The Company is managed and operated as one business. The chief operating decision maker comprehensively manages the entire business as one segment. Accordingly, the Company views its business and manages its operations as one operating segment. Non-current assets are located in, and revenue is allocated and recorded within, the Company’s country of domicile, Switzerland.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standards, interpretations and amendments adopted by the Company</w:t>
      </w:r>
    </w:p>
    <w:p>
      <w:pPr>
        <w:spacing w:after="0" w:line="243" w:lineRule="exact"/>
        <w:rPr>
          <w:sz w:val="20"/>
          <w:szCs w:val="20"/>
          <w:color w:val="auto"/>
        </w:rPr>
      </w:pPr>
    </w:p>
    <w:p>
      <w:pPr>
        <w:ind w:left="60" w:right="139" w:firstLine="324"/>
        <w:spacing w:after="0" w:line="276" w:lineRule="auto"/>
        <w:rPr>
          <w:sz w:val="20"/>
          <w:szCs w:val="20"/>
          <w:color w:val="auto"/>
        </w:rPr>
      </w:pPr>
      <w:r>
        <w:rPr>
          <w:rFonts w:ascii="Times New Roman" w:cs="Times New Roman" w:eastAsia="Times New Roman" w:hAnsi="Times New Roman"/>
          <w:sz w:val="18"/>
          <w:szCs w:val="18"/>
          <w:color w:val="212529"/>
        </w:rPr>
        <w:t>There are no new IFRS standards, amendments or interpretations that are mandatory as of January 1, 2025 that are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standards that are not yet effective</w:t>
      </w:r>
    </w:p>
    <w:p>
      <w:pPr>
        <w:spacing w:after="0" w:line="214"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April 2024, the IASB issued 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It also establishes a new starting point and revised requirements for interest and dividends in the statement of cash flows. This new standard will be effective for annual and interim reporting periods beginning on January 1, 2027 and will require retrospective application. The Company is currently evaluating the new standard to determine how it will impact the presentation and disclosure in its financial statements.</w:t>
      </w:r>
    </w:p>
    <w:p>
      <w:pPr>
        <w:spacing w:after="0" w:line="25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and December 2024, the IASB issued narrow scope amendments to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IFRS 7 </w:t>
      </w:r>
      <w:r>
        <w:rPr>
          <w:rFonts w:ascii="Times New Roman" w:cs="Times New Roman" w:eastAsia="Times New Roman" w:hAnsi="Times New Roman"/>
          <w:sz w:val="18"/>
          <w:szCs w:val="18"/>
          <w:i w:val="1"/>
          <w:iCs w:val="1"/>
          <w:color w:val="auto"/>
        </w:rPr>
        <w:t>Financial Instruments: Disclosures</w:t>
      </w:r>
      <w:r>
        <w:rPr>
          <w:rFonts w:ascii="Times New Roman" w:cs="Times New Roman" w:eastAsia="Times New Roman" w:hAnsi="Times New Roman"/>
          <w:sz w:val="18"/>
          <w:szCs w:val="18"/>
          <w:color w:val="auto"/>
        </w:rPr>
        <w:t>. These amendments clarify the requirements for determining contractual cash 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assets, financial liabilities and lease liabilities, as well as guidance on contracts referencing nature-dependent electricity. These amendments are effective January 1, 2026. The Company is currently evaluating the new standard to determine how it will impact the presentation and disclosure in its financial statements, at this time the amendments are not expected to have a material impact on </w:t>
      </w:r>
      <w:r>
        <w:rPr>
          <w:rFonts w:ascii="Times New Roman" w:cs="Times New Roman" w:eastAsia="Times New Roman" w:hAnsi="Times New Roman"/>
          <w:sz w:val="19"/>
          <w:szCs w:val="19"/>
          <w:color w:val="auto"/>
        </w:rPr>
        <w:t>the presentation and disclosure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700" w:hanging="650"/>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property, plant and equipment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2024, respectively:</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76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w:t>
            </w:r>
          </w:p>
        </w:tc>
        <w:tc>
          <w:tcPr>
            <w:tcW w:w="8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0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00" w:type="dxa"/>
            <w:vAlign w:val="bottom"/>
          </w:tcPr>
          <w:p>
            <w:pPr>
              <w:spacing w:after="0"/>
              <w:rPr>
                <w:sz w:val="24"/>
                <w:szCs w:val="24"/>
                <w:color w:val="auto"/>
              </w:rPr>
            </w:pPr>
          </w:p>
        </w:tc>
        <w:tc>
          <w:tcPr>
            <w:tcW w:w="76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IT</w:t>
            </w:r>
          </w:p>
        </w:tc>
        <w:tc>
          <w:tcPr>
            <w:tcW w:w="8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​​​Laboratory</w:t>
            </w:r>
          </w:p>
        </w:tc>
        <w:tc>
          <w:tcPr>
            <w:tcW w:w="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0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incurred CHF 1.4 million, CHF 1.5 million and CHF 1.7 million in depreciation expenses, respectively.</w:t>
      </w:r>
    </w:p>
    <w:p>
      <w:pPr>
        <w:spacing w:after="0" w:line="212" w:lineRule="exact"/>
        <w:rPr>
          <w:sz w:val="20"/>
          <w:szCs w:val="20"/>
          <w:color w:val="auto"/>
        </w:rPr>
      </w:pPr>
    </w:p>
    <w:p>
      <w:pPr>
        <w:ind w:left="700" w:hanging="650"/>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additions and reassessment of right-of-use of leased assets for buildings or for office equipment totaling CHF 0.2 million and CHF 2.6 million for the years ended December 31, 2025 and 2024, respectively. In 2025, the change pertained to a reduction of lease space, offset by the reassessment of the lease term of a separate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60" w:right="479"/>
        <w:spacing w:after="0" w:line="282" w:lineRule="auto"/>
        <w:rPr>
          <w:sz w:val="20"/>
          <w:szCs w:val="20"/>
          <w:color w:val="auto"/>
        </w:rPr>
      </w:pPr>
      <w:r>
        <w:rPr>
          <w:rFonts w:ascii="Times New Roman" w:cs="Times New Roman" w:eastAsia="Times New Roman" w:hAnsi="Times New Roman"/>
          <w:sz w:val="18"/>
          <w:szCs w:val="18"/>
          <w:color w:val="auto"/>
        </w:rPr>
        <w:t>lease space. In 2024, the increase was predominantly associated with a new lease and the reassessment of our existing leased office space.</w:t>
      </w:r>
    </w:p>
    <w:p>
      <w:pPr>
        <w:spacing w:after="0" w:line="16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as of December 31, 2025 are 5.5% (3.5% for 2024) for buildings, 3.3% (3.3% for 2024) for office equipment and 7.2% (7.2% for 2024) for IT equipment.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movements in the net book values of right-of-use of leased assets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2024, respectively:</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82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7"/>
        </w:trPr>
        <w:tc>
          <w:tcPr>
            <w:tcW w:w="5700" w:type="dxa"/>
            <w:vAlign w:val="bottom"/>
            <w:gridSpan w:val="5"/>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5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equipment</w:t>
            </w:r>
          </w:p>
        </w:tc>
        <w:tc>
          <w:tcPr>
            <w:tcW w:w="120" w:type="dxa"/>
            <w:vAlign w:val="bottom"/>
          </w:tcPr>
          <w:p>
            <w:pPr>
              <w:spacing w:after="0"/>
              <w:rPr>
                <w:sz w:val="18"/>
                <w:szCs w:val="18"/>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229"/>
        </w:trPr>
        <w:tc>
          <w:tcPr>
            <w:tcW w:w="5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Lease modification and reassessment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8"/>
        </w:trPr>
        <w:tc>
          <w:tcPr>
            <w:tcW w:w="5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458"/>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82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700" w:type="dxa"/>
            <w:vAlign w:val="bottom"/>
            <w:gridSpan w:val="5"/>
          </w:tcPr>
          <w:p>
            <w:pPr>
              <w:ind w:left="22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8"/>
                <w:szCs w:val="18"/>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gridSpan w:val="2"/>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29"/>
        </w:trPr>
        <w:tc>
          <w:tcPr>
            <w:tcW w:w="5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Additions and reassessment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30"/>
        </w:trPr>
        <w:tc>
          <w:tcPr>
            <w:tcW w:w="5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8"/>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0" w:type="dxa"/>
            <w:vAlign w:val="bottom"/>
            <w:tcBorders>
              <w:top w:val="single" w:sz="8" w:color="auto"/>
            </w:tcBorders>
            <w:gridSpan w:val="2"/>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r>
    </w:tbl>
    <w:p>
      <w:pPr>
        <w:spacing w:after="0" w:line="220"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impact on the Company’s consolidated statements of income/(loss) and consolidated statements of cash flows is detailed in the table below.</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206"/>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5"/>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2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223"/>
        </w:trPr>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Pr>
          <w:p>
            <w:pPr>
              <w:spacing w:after="0"/>
              <w:rPr>
                <w:sz w:val="21"/>
                <w:szCs w:val="21"/>
                <w:color w:val="auto"/>
              </w:rPr>
            </w:pPr>
          </w:p>
        </w:tc>
      </w:tr>
      <w:tr>
        <w:trPr>
          <w:trHeight w:val="24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21"/>
                <w:szCs w:val="21"/>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60" w:type="dxa"/>
            <w:vAlign w:val="bottom"/>
          </w:tcPr>
          <w:p>
            <w:pPr>
              <w:spacing w:after="0"/>
              <w:rPr>
                <w:sz w:val="21"/>
                <w:szCs w:val="21"/>
                <w:color w:val="auto"/>
              </w:rPr>
            </w:pPr>
          </w:p>
        </w:tc>
      </w:tr>
      <w:tr>
        <w:trPr>
          <w:trHeight w:val="26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60" w:type="dxa"/>
            <w:vAlign w:val="bottom"/>
          </w:tcPr>
          <w:p>
            <w:pPr>
              <w:spacing w:after="0"/>
              <w:rPr>
                <w:sz w:val="22"/>
                <w:szCs w:val="22"/>
                <w:color w:val="auto"/>
              </w:rPr>
            </w:pPr>
          </w:p>
        </w:tc>
      </w:tr>
      <w:tr>
        <w:trPr>
          <w:trHeight w:val="224"/>
        </w:trPr>
        <w:tc>
          <w:tcPr>
            <w:tcW w:w="6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liabilities as of December 31, 2025 and 2024:</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6"/>
                <w:szCs w:val="16"/>
                <w:color w:val="auto"/>
              </w:rPr>
            </w:pPr>
          </w:p>
        </w:tc>
        <w:tc>
          <w:tcPr>
            <w:tcW w:w="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23"/>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2175"/>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6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1" w:name="page32"/>
    <w:bookmarkEnd w:id="31"/>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Company also has two deposits in escrow accounts totaling CHF 0.6 million and CHF 0.4 million for the lease of the Company’s premises as of December 31, 2025 and 2024, respectively.</w:t>
      </w:r>
    </w:p>
    <w:p>
      <w:pPr>
        <w:spacing w:after="0" w:line="158" w:lineRule="exact"/>
        <w:rPr>
          <w:sz w:val="20"/>
          <w:szCs w:val="20"/>
          <w:color w:val="auto"/>
        </w:rPr>
      </w:pPr>
    </w:p>
    <w:p>
      <w:pPr>
        <w:ind w:left="700" w:hanging="650"/>
        <w:spacing w:after="0"/>
        <w:tabs>
          <w:tab w:leader="none" w:pos="7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immunotherapy candidate for the treatment of Parkinson’s disease. The asset is not yet ready for use until the asset obtains market approval. The carrying amount and net book value are detailed below:</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0"/>
        </w:trPr>
        <w:tc>
          <w:tcPr>
            <w:tcW w:w="39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r>
      <w:tr>
        <w:trPr>
          <w:trHeight w:val="191"/>
        </w:trPr>
        <w:tc>
          <w:tcPr>
            <w:tcW w:w="3920" w:type="dxa"/>
            <w:vAlign w:val="bottom"/>
          </w:tcPr>
          <w:p>
            <w:pPr>
              <w:spacing w:after="0"/>
              <w:rPr>
                <w:sz w:val="16"/>
                <w:szCs w:val="16"/>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Gross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1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r>
      <w:tr>
        <w:trPr>
          <w:trHeight w:val="208"/>
        </w:trPr>
        <w:tc>
          <w:tcPr>
            <w:tcW w:w="41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580" w:type="dxa"/>
            <w:vAlign w:val="bottom"/>
          </w:tcPr>
          <w:p>
            <w:pPr>
              <w:jc w:val="center"/>
              <w:ind w:right="2"/>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4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was not impaired as of December 31, 2025 and 2024, respectively.</w:t>
      </w:r>
    </w:p>
    <w:p>
      <w:pPr>
        <w:spacing w:after="0" w:line="18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key assumptions used in the valuation model in accordance with an income approach to determine the recoverable amount include observable and unobservable key inputs as follows:</w:t>
      </w:r>
    </w:p>
    <w:p>
      <w:pPr>
        <w:spacing w:after="0" w:line="162" w:lineRule="exact"/>
        <w:rPr>
          <w:sz w:val="20"/>
          <w:szCs w:val="20"/>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costs;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goods and sales and marketing expenditures;</w:t>
      </w:r>
    </w:p>
    <w:p>
      <w:pPr>
        <w:spacing w:after="0" w:line="225" w:lineRule="exact"/>
        <w:rPr>
          <w:rFonts w:ascii="Times New Roman" w:cs="Times New Roman" w:eastAsia="Times New Roman" w:hAnsi="Times New Roman"/>
          <w:sz w:val="18"/>
          <w:szCs w:val="18"/>
          <w:color w:val="auto"/>
        </w:rPr>
      </w:pPr>
    </w:p>
    <w:p>
      <w:pPr>
        <w:ind w:left="700" w:right="559" w:hanging="326"/>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achieving clinical and regulatory development milestones in accordance with certain industry benchmarks;</w:t>
      </w:r>
    </w:p>
    <w:p>
      <w:pPr>
        <w:spacing w:after="0" w:line="18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indication prevalence and incidence rates;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market share;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commercialization expectations such as anticipated pricing and uptake;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patent life and market exclusivity periods;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metrics such as the tax rate.</w:t>
      </w:r>
    </w:p>
    <w:p>
      <w:pPr>
        <w:spacing w:after="0" w:line="225" w:lineRule="exact"/>
        <w:rPr>
          <w:sz w:val="20"/>
          <w:szCs w:val="20"/>
          <w:color w:val="auto"/>
        </w:rPr>
      </w:pPr>
    </w:p>
    <w:p>
      <w:pPr>
        <w:jc w:val="both"/>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The Company’s valuation model calculates the risk-adjusted, net cash flows through the projected period of market exclusivity across target sales regions. The Company uses a discount rate of 16% (17% for 2024), based on the assumed cost of capital for the Company over the forecast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700" w:hanging="650"/>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short-term financial assets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maintained in the following respective currencies as of December 31, 2025 and 2024:</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6"/>
                <w:szCs w:val="16"/>
                <w:color w:val="auto"/>
              </w:rPr>
            </w:pPr>
          </w:p>
        </w:tc>
        <w:tc>
          <w:tcPr>
            <w:tcW w:w="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00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r>
      <w:tr>
        <w:trPr>
          <w:trHeight w:val="22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40" w:type="dxa"/>
            <w:vAlign w:val="bottom"/>
          </w:tcPr>
          <w:p>
            <w:pPr>
              <w:spacing w:after="0"/>
              <w:rPr>
                <w:sz w:val="19"/>
                <w:szCs w:val="19"/>
                <w:color w:val="auto"/>
              </w:rPr>
            </w:pPr>
          </w:p>
        </w:tc>
      </w:tr>
      <w:tr>
        <w:trPr>
          <w:trHeight w:val="263"/>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40" w:type="dxa"/>
            <w:vAlign w:val="bottom"/>
          </w:tcPr>
          <w:p>
            <w:pPr>
              <w:spacing w:after="0"/>
              <w:rPr>
                <w:sz w:val="22"/>
                <w:szCs w:val="22"/>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4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40" w:type="dxa"/>
            <w:vAlign w:val="bottom"/>
          </w:tcPr>
          <w:p>
            <w:pPr>
              <w:spacing w:after="0"/>
              <w:rPr>
                <w:sz w:val="19"/>
                <w:szCs w:val="19"/>
                <w:color w:val="auto"/>
              </w:rPr>
            </w:pPr>
          </w:p>
        </w:tc>
      </w:tr>
      <w:tr>
        <w:trPr>
          <w:trHeight w:val="230"/>
        </w:trPr>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40" w:type="dxa"/>
            <w:vAlign w:val="bottom"/>
          </w:tcPr>
          <w:p>
            <w:pPr>
              <w:spacing w:after="0"/>
              <w:rPr>
                <w:sz w:val="19"/>
                <w:szCs w:val="19"/>
                <w:color w:val="auto"/>
              </w:rPr>
            </w:pPr>
          </w:p>
        </w:tc>
      </w:tr>
      <w:tr>
        <w:trPr>
          <w:trHeight w:val="243"/>
        </w:trPr>
        <w:tc>
          <w:tcPr>
            <w:tcW w:w="7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23"/>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funds were predominantly held in CHF, EUR and USD currencies. Funds held in EUR and USD were translated into CHF at a rate of 0.940 and 0.800 and 0.949 and 0.912, respectively, for each currency and year.</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short-term financial assets as of December 31, 2025 and 2024:</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60" w:type="dxa"/>
            <w:vAlign w:val="bottom"/>
            <w:gridSpan w:val="3"/>
          </w:tcPr>
          <w:p>
            <w:pPr>
              <w:ind w:left="22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CHF</w:t>
            </w:r>
          </w:p>
        </w:tc>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w:t>
            </w:r>
          </w:p>
        </w:tc>
        <w:tc>
          <w:tcPr>
            <w:tcW w:w="6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USD</w:t>
            </w:r>
          </w:p>
        </w:tc>
        <w:tc>
          <w:tcPr>
            <w:tcW w:w="6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w:t>
            </w:r>
          </w:p>
        </w:tc>
        <w:tc>
          <w:tcPr>
            <w:tcW w:w="6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Prepaid expenses and accrued income</w:t>
            </w: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60" w:type="dxa"/>
            <w:vAlign w:val="bottom"/>
            <w:gridSpan w:val="2"/>
            <w:vMerge w:val="continue"/>
          </w:tcPr>
          <w:p>
            <w:pPr>
              <w:spacing w:after="0"/>
              <w:rPr>
                <w:sz w:val="24"/>
                <w:szCs w:val="24"/>
                <w:color w:val="auto"/>
              </w:rPr>
            </w:pPr>
          </w:p>
        </w:tc>
        <w:tc>
          <w:tcPr>
            <w:tcW w:w="64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60" w:type="dxa"/>
            <w:vAlign w:val="bottom"/>
            <w:gridSpan w:val="3"/>
          </w:tcPr>
          <w:p>
            <w:pPr>
              <w:ind w:left="23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accrued income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Company’s prepaid expenses relate mainly to research contracts with down-payments at contract signature with the related activities to start or continue into the next year, prepaid expenses recorded as part of our cost sharing arrangement with Janssen, as well as prepaid payroll-related expenses. The decrease in prepaid expenses is mainly due to the reduction in cost-sharing prepaid expenses, which decreased as our clinical development costs for ACI-35.030 decreased following the completion of Phase 1b/2a and the advancement into Phase 2b, where the costs are borne by Janssen.</w:t>
      </w:r>
    </w:p>
    <w:p>
      <w:pPr>
        <w:spacing w:after="0" w:line="189"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recorded CHF 0.4 million in accrued income from interest on cash term deposits, compared to CHF 1.1 million as of December 31, 2024</w:t>
      </w:r>
      <w:r>
        <w:rPr>
          <w:rFonts w:ascii="Times New Roman" w:cs="Times New Roman" w:eastAsia="Times New Roman" w:hAnsi="Times New Roman"/>
          <w:sz w:val="18"/>
          <w:szCs w:val="18"/>
          <w:b w:val="1"/>
          <w:bCs w:val="1"/>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700" w:hanging="650"/>
        <w:spacing w:after="0"/>
        <w:tabs>
          <w:tab w:leader="none" w:pos="7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70" w:lineRule="exact"/>
        <w:rPr>
          <w:sz w:val="20"/>
          <w:szCs w:val="20"/>
          <w:color w:val="auto"/>
        </w:rPr>
      </w:pPr>
    </w:p>
    <w:p>
      <w:pPr>
        <w:ind w:left="60" w:right="179" w:firstLine="324"/>
        <w:spacing w:after="0" w:line="275" w:lineRule="auto"/>
        <w:rPr>
          <w:sz w:val="20"/>
          <w:szCs w:val="20"/>
          <w:color w:val="auto"/>
        </w:rPr>
      </w:pPr>
      <w:r>
        <w:rPr>
          <w:rFonts w:ascii="Times New Roman" w:cs="Times New Roman" w:eastAsia="Times New Roman" w:hAnsi="Times New Roman"/>
          <w:sz w:val="18"/>
          <w:szCs w:val="18"/>
          <w:color w:val="auto"/>
        </w:rPr>
        <w:t>On September 4, 2025, the Company announced that following a strategic review, the Company would sharpen its focused investment on its most important assets and implementing cost reduction measures accordingly. As a result of the initiatives announced in September 2025, the Company recorded CHF 0.5 million of net restructuring expenses in 2025, comprising CHF 2.1 million of termination benefits to be paid to the employees impacted by the restructuring, a CHF 1.8 million gain on curtailment related to the defined benefit liability, and less than CHF 0.1 million of expenses related to the acceleration of share-based compensation expenses.</w:t>
      </w:r>
    </w:p>
    <w:p>
      <w:pPr>
        <w:spacing w:after="0" w:line="102"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8"/>
          <w:szCs w:val="18"/>
          <w:color w:val="auto"/>
        </w:rPr>
        <w:t>As of December 31, 2025, the Company had a provision of CHF 0.3 million for termination benefits recorded under accrued expenses, compared to a provision of nil at the beginning of the year. The costs remaining in the provision are expected to be paid during the first quarter of 2026.</w:t>
      </w:r>
    </w:p>
    <w:p>
      <w:pPr>
        <w:spacing w:after="0" w:line="89" w:lineRule="exact"/>
        <w:rPr>
          <w:sz w:val="20"/>
          <w:szCs w:val="20"/>
          <w:color w:val="auto"/>
        </w:rPr>
      </w:pPr>
    </w:p>
    <w:p>
      <w:pPr>
        <w:ind w:left="60" w:right="259" w:firstLine="324"/>
        <w:spacing w:after="0" w:line="274" w:lineRule="auto"/>
        <w:rPr>
          <w:sz w:val="20"/>
          <w:szCs w:val="20"/>
          <w:color w:val="auto"/>
        </w:rPr>
      </w:pPr>
      <w:r>
        <w:rPr>
          <w:rFonts w:ascii="Times New Roman" w:cs="Times New Roman" w:eastAsia="Times New Roman" w:hAnsi="Times New Roman"/>
          <w:sz w:val="18"/>
          <w:szCs w:val="18"/>
          <w:color w:val="auto"/>
        </w:rPr>
        <w:t>The curtailment event required a remeasurement of the defined benefit liability using updated actuarial assumptions and current fair value of plan assets, in accordance with IAS 19. The impact of the curtailment is to be recognized in the same period as the restructuring. As a result of the curtailment, the Company recognized a CHF 1.8 million gain in 2025, compared to nil in the corresponding years 2024 and 2023. The curtailment gain is non-cash and arises due to the acceleration or elimination of future benefit accruals under the defined benefit plan.</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receivables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6"/>
        </w:trPr>
        <w:tc>
          <w:tcPr>
            <w:tcW w:w="4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7"/>
                <w:szCs w:val="17"/>
                <w:color w:val="auto"/>
              </w:rPr>
            </w:pPr>
          </w:p>
        </w:tc>
        <w:tc>
          <w:tcPr>
            <w:tcW w:w="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80" w:type="dxa"/>
            <w:vAlign w:val="bottom"/>
          </w:tcPr>
          <w:p>
            <w:pPr>
              <w:spacing w:after="0"/>
              <w:rPr>
                <w:sz w:val="17"/>
                <w:szCs w:val="17"/>
                <w:color w:val="auto"/>
              </w:rPr>
            </w:pPr>
          </w:p>
        </w:tc>
      </w:tr>
      <w:tr>
        <w:trPr>
          <w:trHeight w:val="206"/>
        </w:trPr>
        <w:tc>
          <w:tcPr>
            <w:tcW w:w="4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420" w:type="dxa"/>
            <w:vAlign w:val="bottom"/>
          </w:tcPr>
          <w:p>
            <w:pPr>
              <w:spacing w:after="0"/>
              <w:rPr>
                <w:sz w:val="16"/>
                <w:szCs w:val="16"/>
                <w:color w:val="auto"/>
              </w:rPr>
            </w:pPr>
          </w:p>
        </w:tc>
        <w:tc>
          <w:tcPr>
            <w:tcW w:w="6580" w:type="dxa"/>
            <w:vAlign w:val="bottom"/>
            <w:gridSpan w:val="2"/>
          </w:tcPr>
          <w:p>
            <w:pPr>
              <w:ind w:left="24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6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w:t>
            </w: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Swiss VAT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9"/>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0"/>
        </w:trPr>
        <w:tc>
          <w:tcPr>
            <w:tcW w:w="4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maturity of these assets is less than 3 months. The Company considers the counterparty risk as low and the carrying amount of these receivables is considered to approximate their fair value.</w:t>
      </w:r>
    </w:p>
    <w:p>
      <w:pPr>
        <w:spacing w:after="0" w:line="158"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issued share capital amounted to CHF 2,252,840 and CHF 2,226,203, respectively, and is composed of outstanding common shares of 101,742,231 and 100,410,377, respectively, and treasury shares of 10,899,773 and 10,899,773,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87" w:right="1440" w:bottom="1440" w:gutter="0" w:footer="0" w:header="0"/>
        </w:sectPr>
      </w:pPr>
    </w:p>
    <w:bookmarkStart w:id="34" w:name="page35"/>
    <w:bookmarkEnd w:id="34"/>
    <w:p>
      <w:pPr>
        <w:ind w:left="380"/>
        <w:spacing w:after="0"/>
        <w:rPr>
          <w:sz w:val="20"/>
          <w:szCs w:val="20"/>
          <w:color w:val="auto"/>
        </w:rPr>
      </w:pPr>
      <w:r>
        <w:rPr>
          <w:rFonts w:ascii="Times New Roman" w:cs="Times New Roman" w:eastAsia="Times New Roman" w:hAnsi="Times New Roman"/>
          <w:sz w:val="18"/>
          <w:szCs w:val="18"/>
          <w:color w:val="auto"/>
        </w:rPr>
        <w:t>The table below summarizes the Company’s capital structure:</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 CHF thousands</w:t>
            </w:r>
          </w:p>
        </w:tc>
      </w:tr>
      <w:tr>
        <w:trPr>
          <w:trHeight w:val="190"/>
        </w:trPr>
        <w:tc>
          <w:tcPr>
            <w:tcW w:w="454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Treasury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40" w:type="dxa"/>
            <w:vAlign w:val="bottom"/>
          </w:tcPr>
          <w:p>
            <w:pPr>
              <w:spacing w:after="0"/>
              <w:rPr>
                <w:sz w:val="16"/>
                <w:szCs w:val="16"/>
                <w:color w:val="auto"/>
              </w:rPr>
            </w:pPr>
          </w:p>
        </w:tc>
        <w:tc>
          <w:tcPr>
            <w:tcW w:w="84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r>
      <w:tr>
        <w:trPr>
          <w:trHeight w:val="196"/>
        </w:trPr>
        <w:tc>
          <w:tcPr>
            <w:tcW w:w="45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8"/>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104,441,787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(5,243,958)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public offerings, net of underwriting fees and</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30,232</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treasury shares in public offerings,</w:t>
            </w: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4"/>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underwriting fees and transaction costs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111,310,150</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(10,899,773)</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Issuance of shares – incentive plans, net of transaction costs</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1,331,854</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112,642,004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(10,899,773)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common shares and treasury shares have nominal values of CHF 0.02 per share. All shares have been fully paid.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treasury shares held by the Company are not considered outstanding shares as of December 31, 2025 or 2024.</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financing and other purposes</w:t>
      </w:r>
    </w:p>
    <w:p>
      <w:pPr>
        <w:spacing w:after="0" w:line="229"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The Company’s share capital may be increased by a maximum aggregate amount of CHF 100,000 through the issuance of a maximum of 5,000,000 registered shares, payable in full, each with a nominal value of CHF 0.02 per share, through the exercise of conversion and/or option or warrant rights granted in connection with bonds or similar instruments, issued or to be issued by the Company or by subsidiaries of the Company, including convertible debt instruments.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 for employee benefit plans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Company’s share capital may be increased by a maximum aggregate amount of CHF 90,057.34 through the issuance of not more than 4,502,867 common shares, payable in full, each with a nominal value of CHF 0.02 per share, by the exercise of options rights that have been granted to employees, consultants, members of the board of directors, or other person providing services to the Company or a subsidiary. As of December 31, 2025, 168,677 of our common shares, which were issued upon the exercise of options and restricted share units, have not yet been registered with the commercial register of the Canton of Vaud.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229" w:lineRule="exact"/>
        <w:rPr>
          <w:sz w:val="20"/>
          <w:szCs w:val="20"/>
          <w:color w:val="auto"/>
        </w:rPr>
      </w:pPr>
    </w:p>
    <w:p>
      <w:pPr>
        <w:jc w:val="both"/>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December 19, 2023, the Company announced that it had closed an underwritten offering of 14,300,000 common shares, resulting in gross proceeds of approximately USD 50.1 (CHF 43.8) million. Net underwriting fees and transaction costs totaled CHF 3.3 million for net proceeds of CHF 40.5 million. Transaction costs associated with these offerings and related to the issuance of new shares were charged directly against the share premium account thereby reducing the total equity reported.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On March 14, 2024, the Company filed a Shelf Registration Statement on Form F-3 (Reg. No. 333-277940) (the “Shelf Registration Statement”), which was subsequently amended on July 26, 2024, with the SEC. The Shelf Registration Statement was declared effective by the SEC on July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 Any offering of securities covered by the Shelf Registration Statement will be made only by means of a written prospectus and prospectus supplement authorized and filed by the Company.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 the market equity offering</w:t>
      </w:r>
    </w:p>
    <w:p>
      <w:pPr>
        <w:spacing w:after="0" w:line="22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Commencing in September 2020, the Company established an “at the market offering” (ATM) for the sale of up to USD 80.0 (CHF 64.0) million worth of our common shares from time to time by entering into an Open Market Sale Agreement (“Sales Agreement”) with Jefferies LLC (“Jefferies”).</w:t>
      </w:r>
    </w:p>
    <w:p>
      <w:pPr>
        <w:spacing w:after="0" w:line="176"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Q2 2021 and Q2 2024, we filed a new registration statement on Form F-3 and entered into a new Sales Agreement in Q2 2021 and Q3 2024 to replace and extend the ATM program.</w:t>
      </w:r>
    </w:p>
    <w:p>
      <w:pPr>
        <w:spacing w:after="0" w:line="1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Q2 2024, the Company issued 5,700,000 common shares with a nominal value of CHF 0.02 to be held as treasury shares.</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Through December 31, 2025, the Company has cumulatively sold 2,179,434 common shares previously held as treasury shares pursuant to the Sales Agreement, raising USD 16.4 (CHF 14.9) million, net of underwriting fees and transaction costs. We have paid commissions to Jefferies totaling USD 0.5 (CHF 0.5) million through December 31, 2025, for share issuances in accordance with our ATM programs. In 2025, the Company had no share activity related to the ATM program.</w:t>
      </w:r>
    </w:p>
    <w:p>
      <w:pPr>
        <w:spacing w:after="0" w:line="183" w:lineRule="exact"/>
        <w:rPr>
          <w:sz w:val="20"/>
          <w:szCs w:val="20"/>
          <w:color w:val="auto"/>
        </w:rPr>
      </w:pPr>
    </w:p>
    <w:p>
      <w:pPr>
        <w:ind w:left="700" w:hanging="650"/>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payables and accrued expenses</w:t>
      </w: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8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6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2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expenses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4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provision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decrease in trade payables and accrued research and development costs is primarily due a decrease in research and development expenses in 2025 leading up to and at year end including reduced activities in early-stage programs and reduction in manufacturing activities on clinical stage programs which did not recur in the current year.</w:t>
      </w:r>
    </w:p>
    <w:p>
      <w:pPr>
        <w:spacing w:after="0" w:line="172" w:lineRule="exact"/>
        <w:rPr>
          <w:sz w:val="20"/>
          <w:szCs w:val="20"/>
          <w:color w:val="auto"/>
        </w:rPr>
      </w:pPr>
    </w:p>
    <w:p>
      <w:pPr>
        <w:ind w:left="700" w:hanging="650"/>
        <w:spacing w:after="0"/>
        <w:tabs>
          <w:tab w:leader="none" w:pos="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revenues</w:t>
      </w:r>
    </w:p>
    <w:p>
      <w:pPr>
        <w:spacing w:after="0" w:line="21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AC Immune generated contract revenues of CHF 3.6 million, CHF 27.3 million and CHF 14.8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contract revenue amounts from its OLCAs for the years ended December 31, 2025, 2024 and 2023, respectively.</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89"/>
        </w:trPr>
        <w:tc>
          <w:tcPr>
            <w:tcW w:w="584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Janssen</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Takeda</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recognized the following contract revenues as a result of changes in the contract asset and the contract liability balances in the respective periods: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5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recognized in the period from:</w:t>
            </w:r>
          </w:p>
        </w:tc>
        <w:tc>
          <w:tcPr>
            <w:tcW w:w="102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60" w:type="dxa"/>
            <w:vAlign w:val="bottom"/>
          </w:tcPr>
          <w:p>
            <w:pPr>
              <w:spacing w:after="0"/>
              <w:rPr>
                <w:sz w:val="21"/>
                <w:szCs w:val="21"/>
                <w:color w:val="auto"/>
              </w:rPr>
            </w:pPr>
          </w:p>
        </w:tc>
      </w:tr>
      <w:tr>
        <w:trPr>
          <w:trHeight w:val="47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13.1</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Licensing and collaboration agreements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Morphomer Tau small molecule – 2018 license agreement with Eli Lilly and Company</w:t>
      </w:r>
    </w:p>
    <w:p>
      <w:pPr>
        <w:spacing w:after="0" w:line="227" w:lineRule="exact"/>
        <w:rPr>
          <w:sz w:val="20"/>
          <w:szCs w:val="20"/>
          <w:color w:val="auto"/>
        </w:rPr>
      </w:pPr>
    </w:p>
    <w:p>
      <w:pPr>
        <w:ind w:left="60" w:right="99" w:firstLine="324"/>
        <w:spacing w:after="0" w:line="250" w:lineRule="auto"/>
        <w:rPr>
          <w:sz w:val="20"/>
          <w:szCs w:val="20"/>
          <w:color w:val="auto"/>
        </w:rPr>
      </w:pPr>
      <w:r>
        <w:rPr>
          <w:rFonts w:ascii="Times New Roman" w:cs="Times New Roman" w:eastAsia="Times New Roman" w:hAnsi="Times New Roman"/>
          <w:sz w:val="18"/>
          <w:szCs w:val="18"/>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94"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Per the terms of the agreement, the Company received an initial upfront payment of CHF 80 million in Q1 2019 for the rights granted by the Company to Lilly. To date, the Company has completed a Phase 1 clinical study with ACI-3024.</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left="60" w:right="259" w:firstLine="324"/>
        <w:spacing w:after="0" w:line="275" w:lineRule="auto"/>
        <w:rPr>
          <w:sz w:val="20"/>
          <w:szCs w:val="20"/>
          <w:color w:val="auto"/>
        </w:rPr>
      </w:pPr>
      <w:r>
        <w:rPr>
          <w:rFonts w:ascii="Times New Roman" w:cs="Times New Roman" w:eastAsia="Times New Roman" w:hAnsi="Times New Roman"/>
          <w:sz w:val="17"/>
          <w:szCs w:val="17"/>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60" w:right="759"/>
        <w:spacing w:after="0" w:line="282" w:lineRule="auto"/>
        <w:rPr>
          <w:sz w:val="20"/>
          <w:szCs w:val="20"/>
          <w:color w:val="auto"/>
        </w:rPr>
      </w:pPr>
      <w:r>
        <w:rPr>
          <w:rFonts w:ascii="Times New Roman" w:cs="Times New Roman" w:eastAsia="Times New Roman" w:hAnsi="Times New Roman"/>
          <w:sz w:val="18"/>
          <w:szCs w:val="18"/>
          <w:color w:val="auto"/>
        </w:rPr>
        <w:t>last royalty term for the last licensed product. However, under the terms of the agreement, Lilly may terminate the agreement at any time by providing 3 months’ prior notice to us.</w:t>
      </w:r>
    </w:p>
    <w:p>
      <w:pPr>
        <w:spacing w:after="0" w:line="162" w:lineRule="exact"/>
        <w:rPr>
          <w:sz w:val="20"/>
          <w:szCs w:val="20"/>
          <w:color w:val="auto"/>
        </w:rPr>
      </w:pPr>
    </w:p>
    <w:p>
      <w:pPr>
        <w:ind w:left="60" w:right="439" w:firstLine="324"/>
        <w:spacing w:after="0" w:line="269" w:lineRule="auto"/>
        <w:rPr>
          <w:sz w:val="20"/>
          <w:szCs w:val="20"/>
          <w:color w:val="auto"/>
        </w:rPr>
      </w:pPr>
      <w:r>
        <w:rPr>
          <w:rFonts w:ascii="Times New Roman" w:cs="Times New Roman" w:eastAsia="Times New Roman" w:hAnsi="Times New Roman"/>
          <w:sz w:val="17"/>
          <w:szCs w:val="17"/>
          <w:color w:val="auto"/>
        </w:rPr>
        <w:t>AC Immune assessed this arrangement in accordance with IFRS 15 and concluded that Lilly is a customer. The Company identified the following significant performance obligations under the contract: (i) a right-of-use license and</w:t>
      </w:r>
    </w:p>
    <w:p>
      <w:pPr>
        <w:ind w:left="60" w:right="79" w:hanging="10"/>
        <w:spacing w:after="0" w:line="249" w:lineRule="auto"/>
        <w:tabs>
          <w:tab w:leader="none" w:pos="3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9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7"/>
          <w:szCs w:val="17"/>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w:t>
      </w:r>
    </w:p>
    <w:p>
      <w:pPr>
        <w:spacing w:after="0" w:line="2" w:lineRule="exact"/>
        <w:rPr>
          <w:sz w:val="20"/>
          <w:szCs w:val="20"/>
          <w:color w:val="auto"/>
        </w:rPr>
      </w:pPr>
    </w:p>
    <w:p>
      <w:pPr>
        <w:jc w:val="both"/>
        <w:ind w:left="60" w:right="179" w:hanging="10"/>
        <w:spacing w:after="0" w:line="255"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8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revenue recognition timing to be determined by either delivery or the provision of services.</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177"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intellectual property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years ended December 31, 2025, 2024 and 2023, we have recognized no revenues from this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380" w:right="579"/>
        <w:spacing w:after="0" w:line="284" w:lineRule="auto"/>
        <w:rPr>
          <w:sz w:val="20"/>
          <w:szCs w:val="20"/>
          <w:color w:val="auto"/>
        </w:rPr>
      </w:pPr>
      <w:r>
        <w:rPr>
          <w:rFonts w:ascii="Times New Roman" w:cs="Times New Roman" w:eastAsia="Times New Roman" w:hAnsi="Times New Roman"/>
          <w:sz w:val="18"/>
          <w:szCs w:val="18"/>
          <w:i w:val="1"/>
          <w:iCs w:val="1"/>
          <w:color w:val="auto"/>
        </w:rPr>
        <w:t>Tau active immunotherapy in AD – 2014 agreement with Janssen Pharmaceuticals, Inc. (Janssen), a Johnson &amp; Johnson company</w:t>
      </w:r>
    </w:p>
    <w:p>
      <w:pPr>
        <w:spacing w:after="0" w:line="160" w:lineRule="exact"/>
        <w:rPr>
          <w:sz w:val="20"/>
          <w:szCs w:val="20"/>
          <w:color w:val="auto"/>
        </w:rPr>
      </w:pPr>
    </w:p>
    <w:p>
      <w:pPr>
        <w:ind w:left="60" w:right="59" w:firstLine="324"/>
        <w:spacing w:after="0" w:line="249" w:lineRule="auto"/>
        <w:rPr>
          <w:sz w:val="20"/>
          <w:szCs w:val="20"/>
          <w:color w:val="auto"/>
        </w:rPr>
      </w:pPr>
      <w:r>
        <w:rPr>
          <w:rFonts w:ascii="Times New Roman" w:cs="Times New Roman" w:eastAsia="Times New Roman" w:hAnsi="Times New Roman"/>
          <w:sz w:val="18"/>
          <w:szCs w:val="18"/>
          <w:color w:val="auto"/>
        </w:rPr>
        <w:t>In December 2014, we entered into an agreement with Janssen Pharmaceuticals, Inc. (Janssen), a Johnson &amp; Johnson company, to develop and commercialize therapeutic anti-Tau active immunotherapies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low-double digits to the mid-teens for the ACI-35.030 active immunotherapy program. In April 2016, July 2017, January 2019, November 2019, December 2022, November 2023, September 2024 and December 2024, the companies entered into the first, second, third, fourth, fifth, sixth, seventh and eighth amendments, respectively. These amendments allow for the alignment of certain payment and activity provisions with the Development Plan and Research Plan activities.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Phase 2b clinical study to evaluate ACI-</w:t>
      </w:r>
    </w:p>
    <w:p>
      <w:pPr>
        <w:spacing w:after="0" w:line="6" w:lineRule="exact"/>
        <w:rPr>
          <w:sz w:val="20"/>
          <w:szCs w:val="20"/>
          <w:color w:val="auto"/>
        </w:rPr>
      </w:pPr>
    </w:p>
    <w:p>
      <w:pPr>
        <w:ind w:left="60" w:right="219"/>
        <w:spacing w:after="0" w:line="249" w:lineRule="auto"/>
        <w:rPr>
          <w:sz w:val="20"/>
          <w:szCs w:val="20"/>
          <w:color w:val="auto"/>
        </w:rPr>
      </w:pPr>
      <w:r>
        <w:rPr>
          <w:rFonts w:ascii="Times New Roman" w:cs="Times New Roman" w:eastAsia="Times New Roman" w:hAnsi="Times New Roman"/>
          <w:sz w:val="18"/>
          <w:szCs w:val="18"/>
          <w:color w:val="auto"/>
        </w:rPr>
        <w:t>35.030/JNJ-2056 in patients with preclinical AD, those individuals not yet showing symptoms.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ACI-35.030. In July 2024, JNJ-2056 was granted Fast Track designation from the FDA, for the treatment of AD.</w:t>
      </w:r>
    </w:p>
    <w:p>
      <w:pPr>
        <w:spacing w:after="0" w:line="19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agreement also allows for the expansion to a second indication based on the same anti-Tau active immunotherapy program and based on intellectual property related to this program.</w:t>
      </w:r>
    </w:p>
    <w:p>
      <w:pPr>
        <w:spacing w:after="0" w:line="162" w:lineRule="exact"/>
        <w:rPr>
          <w:sz w:val="20"/>
          <w:szCs w:val="20"/>
          <w:color w:val="auto"/>
        </w:rPr>
      </w:pPr>
    </w:p>
    <w:p>
      <w:pPr>
        <w:ind w:left="60" w:right="239" w:firstLine="324"/>
        <w:spacing w:after="0" w:line="271" w:lineRule="auto"/>
        <w:rPr>
          <w:sz w:val="20"/>
          <w:szCs w:val="20"/>
          <w:color w:val="auto"/>
        </w:rPr>
      </w:pPr>
      <w:r>
        <w:rPr>
          <w:rFonts w:ascii="Times New Roman" w:cs="Times New Roman" w:eastAsia="Times New Roman" w:hAnsi="Times New Roman"/>
          <w:sz w:val="17"/>
          <w:szCs w:val="17"/>
          <w:color w:val="auto"/>
        </w:rPr>
        <w:t>The Company received an upfront, non-refundable license fee of CHF 25.9 million, which we recognized as revenue in 2014. In May 2016, we received a payment of CHF 4.9 million for reaching a clinical milestone in the first Phase 1b study. In February 2024, we received a payment of CHF 14.8 million for the commencement of the first Phase 2b clinical study. In October 2024, we received a payment of CHF 24.6 million for triggering the rapid rate of prescreening in the potentially registrational Phase 2b ReTain trial. The Company recognized this income as revenue because we deemed it highly probable that this milestone would be obtained and would not be subject to reversal in the future.</w:t>
      </w:r>
    </w:p>
    <w:p>
      <w:pPr>
        <w:spacing w:after="0" w:line="17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90"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As described above, the Company has earned and received various milestone payments related to this contract. In the future, the Company could also receive up to more than CHF 418 million in clinical, regulatory and commercial milestones as well as tiered, low-double digits to mid-teen royalties on aggregate net sales for the ACI-35.030 active immunotherapy program. In assessing that future clinical, regulatory or commercial milestones are fully constrained, the Company considered numerous factors to determine that these milestones are not highly probable to obtain, including that receipt of the milestones is outside the control of the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9" w:name="page40"/>
    <w:bookmarkEnd w:id="39"/>
    <w:p>
      <w:pPr>
        <w:ind w:left="60" w:right="119"/>
        <w:spacing w:after="0" w:line="254" w:lineRule="auto"/>
        <w:rPr>
          <w:sz w:val="20"/>
          <w:szCs w:val="20"/>
          <w:color w:val="auto"/>
        </w:rPr>
      </w:pPr>
      <w:r>
        <w:rPr>
          <w:rFonts w:ascii="Times New Roman" w:cs="Times New Roman" w:eastAsia="Times New Roman" w:hAnsi="Times New Roman"/>
          <w:sz w:val="18"/>
          <w:szCs w:val="18"/>
          <w:color w:val="auto"/>
        </w:rPr>
        <w:t>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7"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we have recognized nil, CHF 24.6 million, and CHF 14.8 million, respectively, from this arrangement.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Tau-PET imaging agent – 2014 agreement with Life Molecular Imaging (LMI)</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May 2014 (as amended in June 2022),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150) million, plus royalties on sales at a percentage rate ranging from mid-single digits to low-teens. To date, the Company has received EUR 7.5 million (CHF 7.9 million) of payments related to these milestones and is eligible to receive the remaining EUR 152.5 million (CHF 142.9 million) related to achievement of certain clinical milestones as well as regulatory and sales-based milestones. No payments have been received in 2023, 2024, or 2025.</w:t>
      </w:r>
    </w:p>
    <w:p>
      <w:pPr>
        <w:spacing w:after="0" w:line="192"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3"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8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92" w:lineRule="exact"/>
        <w:rPr>
          <w:sz w:val="20"/>
          <w:szCs w:val="20"/>
          <w:color w:val="auto"/>
        </w:rPr>
      </w:pPr>
    </w:p>
    <w:p>
      <w:pPr>
        <w:ind w:left="60" w:right="83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has recognized no revenues from this arrangement.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agreement with Takeda Pharmaceuticals, USA, Inc</w:t>
      </w:r>
    </w:p>
    <w:p>
      <w:pPr>
        <w:spacing w:after="0" w:line="22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1.7) billion if all related milestones are achieved over the course of the agreement. Upon commercialization, AC Immune will be entitled to receive tiered mid-to-high teens percentages royalties on worldwide net sales.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78"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9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97" w:lineRule="exact"/>
        <w:rPr>
          <w:sz w:val="20"/>
          <w:szCs w:val="20"/>
          <w:color w:val="auto"/>
        </w:rPr>
      </w:pPr>
    </w:p>
    <w:p>
      <w:pPr>
        <w:ind w:left="60" w:right="459"/>
        <w:spacing w:after="0" w:line="297"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contract revenue of CHF 3.6 million, CHF 2.7 million, and nil, respectively, reflecting its efforts under this agreement.</w:t>
      </w:r>
    </w:p>
    <w:p>
      <w:pPr>
        <w:spacing w:after="0" w:line="6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recorded CHF 86.0 million in deferred contract revenue related to the unsatisfied performance obligations under this agreement, compared to 89.6 million of December 31, 2024. The deferred contract revenue allocated to the license option is classified as short-term on the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consolidated balance sheets, based on the expected timing of satisfaction of the performance obligations.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ind w:left="6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7"/>
          <w:szCs w:val="17"/>
          <w:b w:val="1"/>
          <w:bCs w:val="1"/>
          <w:color w:val="auto"/>
        </w:rPr>
        <w:t>Grant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Company announced that it had been awarded two grants totaling USD 1.5 (CHF 1.4) million to advance small molecule PD programs. One award supported an existing early-stage program to develop small molecules that can prevent intracellular aggregation and spreading of a-syn. The other award funded research on the therapeutic potential of chemically and mechanistically novel, brain penetrant small molecule inhibitors of NLRP3 inflammasome activation for the treatment of PD.</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August 2022, the Company received follow-on grant funding as part of its joint arrangement with Skåne in Sweden totaling USD 0.5 (CHF 0.5) million for the continued development of its alpha-synuclein PET imaging diagnostic agent. As part of this grant, AC Immune received USD 0.4 (CHF 0.4) million directly from the MJFF. Skåne received USD 0.1 (CHF 0.1) million of the total grant directly from the MJFF over the duration of the grant period.</w:t>
      </w:r>
    </w:p>
    <w:p>
      <w:pPr>
        <w:spacing w:after="0" w:line="16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announced that it had been awarded a new grant totaling USD 0.5 (CHF 0.4) million from the MJFF to support the development of its TDP-43 PET tracer program.</w:t>
      </w:r>
    </w:p>
    <w:p>
      <w:pPr>
        <w:spacing w:after="0" w:line="16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the Company has recognized nil, less than CHF 0.1 million for the year ended December 31, 2024 and CHF 1.2 million for the year ended December 31, 2023, from its MJFF grants, under “Other operating income/(expense), net”.</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Expenses by category</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9"/>
        </w:trPr>
        <w:tc>
          <w:tcPr>
            <w:tcW w:w="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24"/>
                <w:szCs w:val="24"/>
                <w:color w:val="auto"/>
              </w:rPr>
            </w:pPr>
          </w:p>
        </w:tc>
      </w:tr>
      <w:tr>
        <w:trPr>
          <w:trHeight w:val="206"/>
        </w:trPr>
        <w:tc>
          <w:tcPr>
            <w:tcW w:w="4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89"/>
        </w:trPr>
        <w:tc>
          <w:tcPr>
            <w:tcW w:w="420" w:type="dxa"/>
            <w:vAlign w:val="bottom"/>
          </w:tcPr>
          <w:p>
            <w:pPr>
              <w:spacing w:after="0"/>
              <w:rPr>
                <w:sz w:val="16"/>
                <w:szCs w:val="16"/>
                <w:color w:val="auto"/>
              </w:rPr>
            </w:pPr>
          </w:p>
        </w:tc>
        <w:tc>
          <w:tcPr>
            <w:tcW w:w="54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32,076</w:t>
            </w: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w:t>
            </w:r>
          </w:p>
        </w:tc>
      </w:tr>
      <w:tr>
        <w:trPr>
          <w:trHeight w:val="22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23"/>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54,606</w:t>
            </w:r>
          </w:p>
        </w:tc>
      </w:tr>
      <w:tr>
        <w:trPr>
          <w:trHeight w:val="20"/>
        </w:trPr>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decrease of research and development expenses in 2025 compared with the prior period is predominantly driven by decreases in manufacturing costs not recurring in the current period for ACI-7104.056 and reduced activity in the Company’s discovery and preclinical expenses for the TDP-43 antibody and PET tracer programs.</w:t>
      </w:r>
    </w:p>
    <w:p>
      <w:pPr>
        <w:spacing w:after="0" w:line="176"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had 105.0, 122.5 and 115.4 FTEs in our research and development functions.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20" w:type="dxa"/>
            <w:vAlign w:val="bottom"/>
          </w:tcPr>
          <w:p>
            <w:pPr>
              <w:spacing w:after="0"/>
              <w:rPr>
                <w:sz w:val="16"/>
                <w:szCs w:val="16"/>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4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42" w:name="page43"/>
    <w:bookmarkEnd w:id="42"/>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2025, general and administrative expenses decreased compared to the previous year, primarily driven by a decrease in legal fees related to business development and licensing activities, as well as lower salaries and related costs as a result of the restructuring, partly offset by increased severance costs.</w:t>
      </w:r>
    </w:p>
    <w:p>
      <w:pPr>
        <w:spacing w:after="0" w:line="176"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had 26.7, 30.9 and 26.2 FTEs in our general and administrative functions.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 net</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584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19"/>
                <w:szCs w:val="19"/>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9"/>
                <w:szCs w:val="19"/>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Borders>
              <w:bottom w:val="single" w:sz="8" w:color="auto"/>
            </w:tcBorders>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finance result primarily consists of interest income associated with our short-term financial assets and interest expense associated with lease liabilities as well as foreign currency exchange differences.</w:t>
      </w:r>
    </w:p>
    <w:p>
      <w:pPr>
        <w:spacing w:after="0" w:line="176"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For the year ended December 31, 2025, the unfavorable change in net finance result of CHF 2.5 million primarily related to a decrease of CHF 1.3 million in financial income attributed to lower interest received on net investments in short-term financial assets, with less deposits made in 2025 compared to the previous period. The unfavorable change in exchange differences was caused by foreign currencies depreciating against the Swiss franc, predominantly the U.S. Dollar.</w:t>
      </w:r>
    </w:p>
    <w:p>
      <w:pPr>
        <w:spacing w:after="0" w:line="187"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management compensation</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Key management includes the board of directors and executive management. For 2025, there were six members (2024: six members and 2023: eight) of the Board (excluding the CEO) and three members (2024: seven and 2023: seven) of executive management (including the CEO). Compensation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8"/>
        </w:trPr>
        <w:tc>
          <w:tcPr>
            <w:tcW w:w="58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Group recognized less than CHF 0.1 million in income taxes and no deferred tax asset or liability positions for the years ended December 31, 2025, 2024 and 2023, respectively. The Group’s expected tax expense for each year is based on the applicable tax rates in each jurisdiction. In 2025, these rates ranged from 13.6% to 34.0% (13.6% - 33.8% for 2024 and 2023) in the Group’s respective tax jurisdictions. The weighted average tax rate applicable to the Group was 13.6% (13.6% for 2024 and 2023,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380"/>
        <w:spacing w:after="0"/>
        <w:rPr>
          <w:sz w:val="20"/>
          <w:szCs w:val="20"/>
          <w:color w:val="auto"/>
        </w:rPr>
      </w:pPr>
      <w:r>
        <w:rPr>
          <w:rFonts w:ascii="Times New Roman" w:cs="Times New Roman" w:eastAsia="Times New Roman" w:hAnsi="Times New Roman"/>
          <w:sz w:val="18"/>
          <w:szCs w:val="18"/>
          <w:color w:val="auto"/>
        </w:rPr>
        <w:t>The Group’s income tax expense for each year can be reconciled to loss before tax as follows: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4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89"/>
        </w:trPr>
        <w:tc>
          <w:tcPr>
            <w:tcW w:w="584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w w:val="99"/>
              </w:rPr>
              <w:t>Tax benefit calculated at the domestic rates applicable in the respective countries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w:t>
            </w: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tax)/expenses not deductible for tax purposes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 of unused tax losses and tax offsets not recognized as deferred tax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 expense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The Swiss tax rate used for the 2025 reconciliations is the corporate tax rate of 13.6% (13.6% in 2024 and 2023, respectively) payable by corporate entities in the Canton of Vaud, Switzerland on taxable profits under tax law in that jurisdiction.</w:t>
      </w:r>
    </w:p>
    <w:p>
      <w:pPr>
        <w:spacing w:after="0" w:line="183" w:lineRule="exact"/>
        <w:rPr>
          <w:sz w:val="20"/>
          <w:szCs w:val="20"/>
          <w:color w:val="auto"/>
        </w:rPr>
      </w:pPr>
    </w:p>
    <w:p>
      <w:pPr>
        <w:ind w:left="60" w:right="439" w:firstLine="324"/>
        <w:spacing w:after="0" w:line="270" w:lineRule="auto"/>
        <w:rPr>
          <w:sz w:val="20"/>
          <w:szCs w:val="20"/>
          <w:color w:val="auto"/>
        </w:rPr>
      </w:pPr>
      <w:r>
        <w:rPr>
          <w:rFonts w:ascii="Times New Roman" w:cs="Times New Roman" w:eastAsia="Times New Roman" w:hAnsi="Times New Roman"/>
          <w:sz w:val="18"/>
          <w:szCs w:val="18"/>
          <w:color w:val="auto"/>
        </w:rPr>
        <w:t>The below table details the total unrecognized deductible temporary differences, unused tax losses and unused tax credits:</w:t>
      </w: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 unused tax</w:t>
            </w: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for which no</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have been recognized are attributable to the following:</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losses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Deductible temporary differences related to:</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Retirement benefit plan</w:t>
            </w:r>
          </w:p>
        </w:tc>
        <w:tc>
          <w:tcPr>
            <w:tcW w:w="2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370,935</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tax losses carry forwards of the Company and their respective expiry dates: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8"/>
        </w:trPr>
        <w:tc>
          <w:tcPr>
            <w:tcW w:w="644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losses split by expiry date:</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2026</w:t>
            </w:r>
          </w:p>
        </w:tc>
        <w:tc>
          <w:tcPr>
            <w:tcW w:w="22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2027</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2030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2031</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45,848</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2032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unrecorded tax loss carryforwards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tax losses available for future offset against taxable profits have increased by CHF 18.7 million from 2024, representing the amount of tax losses that are additionally available as an offset reduced by expiring tax losses in 2025 of CHF 48.9 million, subject to expiration as disclosed in the table above, against future taxable income.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58"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benefit plan</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6"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Contributions paid to the plan are computed as a percentage of salary, adjusted for the age of the employee and shared approximately 47% and 53% by employee and employer, respectively.</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91"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pension plan is exposed to Swiss inflation, interest rate risks and changes in the life expectancy for pensioners. For accounting purposes under IFRS Accounting Standards, the plan is treated as a defined benefit plan in accordance with IAS 19.</w:t>
      </w:r>
    </w:p>
    <w:p>
      <w:pPr>
        <w:spacing w:after="0" w:line="176"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status of the defined benefit pension plan and the amount that is recognized in the consolidated balance sheets: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19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(48,261)</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(52,455)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0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9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45" w:name="page46"/>
    <w:bookmarkEnd w:id="45"/>
    <w:p>
      <w:pPr>
        <w:ind w:left="380"/>
        <w:spacing w:after="0"/>
        <w:rPr>
          <w:sz w:val="20"/>
          <w:szCs w:val="20"/>
          <w:color w:val="auto"/>
        </w:rPr>
      </w:pPr>
      <w:r>
        <w:rPr>
          <w:rFonts w:ascii="Times New Roman" w:cs="Times New Roman" w:eastAsia="Times New Roman" w:hAnsi="Times New Roman"/>
          <w:sz w:val="18"/>
          <w:szCs w:val="18"/>
          <w:color w:val="auto"/>
        </w:rPr>
        <w:t>The following amounts have been recorded as net pension cost in the consolidated statements of income/(loss):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8"/>
        </w:trPr>
        <w:tc>
          <w:tcPr>
            <w:tcW w:w="58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service cost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service cost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4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and losses on settlement / curtailment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pension cost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defined benefit obligation, fair value of plan assets and unrecognized gains/(losses) are as follows.</w:t>
      </w:r>
    </w:p>
    <w:p>
      <w:pPr>
        <w:spacing w:after="0" w:line="221"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defined benefit obligation</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4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January 1</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demographic assumptions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financial assumptions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experience assumptions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(deposited)/paid</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and (losses) on settlement / curtailment</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Employees’ contributions</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(52,455)</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5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 fair value of plan assets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 w:type="dxa"/>
            <w:vAlign w:val="bottom"/>
            <w:gridSpan w:val="2"/>
            <w:vMerge w:val="continue"/>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January 1</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contributions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Employer’s contributions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 deposited</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Gains and (losses) on settlement / curtailment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Expected contributions by the employer to be paid to the post-employment benefit plans during the annual period beginning after the end of the reporting period amount to approximately CHF 1.5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net defined benefit liability</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January 1</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pension cost through statement of income/(loss)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through other comprehensive income/(loss)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Employer’s contribution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defined benefit liabilities as of December 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0"/>
        </w:trPr>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w:t>
            </w:r>
          </w:p>
        </w:tc>
        <w:tc>
          <w:tcPr>
            <w:tcW w:w="54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Other comprehensive gains/(losses)</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demographic assumptions</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changes in financial assumptions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experience assumptions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Return on plan assets excluding interest income</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gain/(loss)</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2024, the change in experience assumptions mainly due to new active insured and pensioners. In 2025, the change in experience assumptions is mainly due to leavers after the restructuring. The experience changes are offset by an increase in the interest rate on savings capital which was updated based on emerging long-term trends of increased returns on capital.</w:t>
      </w:r>
    </w:p>
    <w:p>
      <w:pPr>
        <w:spacing w:after="0" w:line="180"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plan assets is the cash surrender value of the insurance with the insurance company (AXA). The investment strategy defined by the board of trustees follows a conservative profile.</w:t>
      </w:r>
    </w:p>
    <w:p>
      <w:pPr>
        <w:spacing w:after="0" w:line="148"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duration of the defined benefit obligation is 16.1 years and 16.3 years as of December 31, 2025 and 2024, respectively.</w:t>
      </w:r>
    </w:p>
    <w:p>
      <w:pPr>
        <w:spacing w:after="0" w:line="16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actuarial assumptions used for the calculation of the pension cost and the defined benefit obligation of the defined benefit pension plan for the years ended December 31, 2025, 2024 and 2023, respectively, are as follows: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8"/>
        </w:trPr>
        <w:tc>
          <w:tcPr>
            <w:tcW w:w="3320" w:type="dxa"/>
            <w:vAlign w:val="bottom"/>
          </w:tcPr>
          <w:p>
            <w:pPr>
              <w:spacing w:after="0"/>
              <w:rPr>
                <w:sz w:val="16"/>
                <w:szCs w:val="16"/>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Rate of future increase in compensations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future increase in current pensions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on retirement savings capital</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Mortality and disability rates</w:t>
            </w: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2020 GT (CMI)</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BVG 2020 GT (CMI)</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BVG 2020 GT (CMI)</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bl>
    <w:p>
      <w:pPr>
        <w:spacing w:after="0" w:line="238"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In defining the benefits, the minimum requirements of the Swiss BVG and its implementing provisions must be observed. The BVG defines the minimum pensionable salary and the minimum retirement credits.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2025 is shown below:</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208"/>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0" w:type="dxa"/>
            <w:vAlign w:val="bottom"/>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6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90"/>
        </w:trPr>
        <w:tc>
          <w:tcPr>
            <w:tcW w:w="2680" w:type="dxa"/>
            <w:vAlign w:val="bottom"/>
          </w:tcPr>
          <w:p>
            <w:pPr>
              <w:spacing w:after="0"/>
              <w:rPr>
                <w:sz w:val="16"/>
                <w:szCs w:val="16"/>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7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95"/>
        </w:trPr>
        <w:tc>
          <w:tcPr>
            <w:tcW w:w="26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r>
      <w:tr>
        <w:trPr>
          <w:trHeight w:val="20"/>
        </w:trPr>
        <w:tc>
          <w:tcPr>
            <w:tcW w:w="2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1"/>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44,698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52,332</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49,343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46,435</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49,613</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46,984</w:t>
            </w:r>
          </w:p>
        </w:tc>
      </w:tr>
      <w:tr>
        <w:trPr>
          <w:trHeight w:val="225"/>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3,563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1,277</w:t>
            </w: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assumptions as of December 31, 2024 is shown below:</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Interest rate on</w:t>
            </w:r>
          </w:p>
        </w:tc>
      </w:tr>
      <w:tr>
        <w:trPr>
          <w:trHeight w:val="208"/>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0" w:type="dxa"/>
            <w:vAlign w:val="bottom"/>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Future salary increase</w:t>
            </w:r>
          </w:p>
        </w:tc>
        <w:tc>
          <w:tcPr>
            <w:tcW w:w="16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Future pension cost</w:t>
            </w:r>
          </w:p>
        </w:tc>
        <w:tc>
          <w:tcPr>
            <w:tcW w:w="140" w:type="dxa"/>
            <w:vAlign w:val="bottom"/>
          </w:tcPr>
          <w:p>
            <w:pPr>
              <w:spacing w:after="0"/>
              <w:rPr>
                <w:sz w:val="18"/>
                <w:szCs w:val="18"/>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savings capital</w:t>
            </w:r>
          </w:p>
        </w:tc>
      </w:tr>
      <w:tr>
        <w:trPr>
          <w:trHeight w:val="190"/>
        </w:trPr>
        <w:tc>
          <w:tcPr>
            <w:tcW w:w="2680" w:type="dxa"/>
            <w:vAlign w:val="bottom"/>
          </w:tcPr>
          <w:p>
            <w:pPr>
              <w:spacing w:after="0"/>
              <w:rPr>
                <w:sz w:val="16"/>
                <w:szCs w:val="16"/>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7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0.5%</w:t>
            </w:r>
          </w:p>
        </w:tc>
      </w:tr>
      <w:tr>
        <w:trPr>
          <w:trHeight w:val="195"/>
        </w:trPr>
        <w:tc>
          <w:tcPr>
            <w:tcW w:w="26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r>
      <w:tr>
        <w:trPr>
          <w:trHeight w:val="20"/>
        </w:trPr>
        <w:tc>
          <w:tcPr>
            <w:tcW w:w="2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1"/>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48,532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56,936</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53,728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50,423</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53,865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51,118</w:t>
            </w:r>
          </w:p>
        </w:tc>
      </w:tr>
      <w:tr>
        <w:trPr>
          <w:trHeight w:val="225"/>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from actual</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3,923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1,337</w:t>
            </w:r>
          </w:p>
        </w:tc>
      </w:tr>
    </w:tbl>
    <w:p>
      <w:pPr>
        <w:spacing w:after="0" w:line="22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72"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Share-based option awards</w:t>
      </w:r>
    </w:p>
    <w:p>
      <w:pPr>
        <w:spacing w:after="0" w:line="227"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there are equity-based instruments outstanding that the Company has granted under two different plans.</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2025.</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equity-settled share option grants for plans that existed during the period:</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Number of</w:t>
            </w:r>
          </w:p>
        </w:tc>
        <w:tc>
          <w:tcPr>
            <w:tcW w:w="2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awarded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208"/>
        </w:trPr>
        <w:tc>
          <w:tcPr>
            <w:tcW w:w="20" w:type="dxa"/>
            <w:vAlign w:val="bottom"/>
          </w:tcPr>
          <w:p>
            <w:pPr>
              <w:spacing w:after="0"/>
              <w:rPr>
                <w:sz w:val="18"/>
                <w:szCs w:val="18"/>
                <w:color w:val="auto"/>
              </w:rPr>
            </w:pPr>
          </w:p>
        </w:tc>
        <w:tc>
          <w:tcPr>
            <w:tcW w:w="35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(since inception)</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life of options</w:t>
            </w:r>
          </w:p>
        </w:tc>
      </w:tr>
      <w:tr>
        <w:trPr>
          <w:trHeight w:val="228"/>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plan C1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6,775,250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 service from grant date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2016 SOIP:</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Executives and directors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5,869,455</w:t>
            </w:r>
          </w:p>
        </w:tc>
        <w:tc>
          <w:tcPr>
            <w:tcW w:w="2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year, 3 year and 4 years’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from the date of grant,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quarterly and annually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Employees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1,888,258</w:t>
            </w:r>
          </w:p>
        </w:tc>
        <w:tc>
          <w:tcPr>
            <w:tcW w:w="2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4 years’ service from the date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grant, annually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9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8" w:name="page49"/>
    <w:bookmarkEnd w:id="48"/>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gridSpan w:val="2"/>
          </w:tcPr>
          <w:p>
            <w:pPr>
              <w:ind w:left="59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6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6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211"/>
        </w:trPr>
        <w:tc>
          <w:tcPr>
            <w:tcW w:w="6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(CHF)</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term (years)</w:t>
            </w:r>
          </w:p>
        </w:tc>
      </w:tr>
      <w:tr>
        <w:trPr>
          <w:trHeight w:val="224"/>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4,261,017</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(824,084)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(42,037)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1,554,281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4,949,177</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r>
      <w:tr>
        <w:trPr>
          <w:trHeight w:val="26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2023</w:t>
            </w: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3,022,345</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22"/>
                <w:szCs w:val="22"/>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4,949,177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8"/>
                <w:szCs w:val="18"/>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(135,118)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(205,634)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5,010,827</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9"/>
                <w:szCs w:val="19"/>
                <w:color w:val="auto"/>
              </w:rPr>
            </w:pPr>
          </w:p>
        </w:tc>
      </w:tr>
      <w:tr>
        <w:trPr>
          <w:trHeight w:val="22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4,097,932</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r>
      <w:tr>
        <w:trPr>
          <w:trHeight w:val="20"/>
        </w:trPr>
        <w:tc>
          <w:tcPr>
            <w:tcW w:w="6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5,010,827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r>
      <w:tr>
        <w:trPr>
          <w:trHeight w:val="24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(69,422)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(89,722)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(41,140)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708,021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5,518,564</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4,815,928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79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outstanding stock options as of December 31, 2025 have the following range of exercise prices: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9"/>
        </w:trPr>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Weighted-</w:t>
            </w:r>
          </w:p>
        </w:tc>
      </w:tr>
      <w:tr>
        <w:trPr>
          <w:trHeight w:val="203"/>
        </w:trPr>
        <w:tc>
          <w:tcPr>
            <w:tcW w:w="6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6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206"/>
        </w:trPr>
        <w:tc>
          <w:tcPr>
            <w:tcW w:w="6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CHF 0.15</w:t>
            </w: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tcPr>
          <w:p>
            <w:pPr>
              <w:spacing w:after="0"/>
              <w:rPr>
                <w:sz w:val="19"/>
                <w:szCs w:val="19"/>
                <w:color w:val="auto"/>
              </w:rPr>
            </w:pPr>
          </w:p>
        </w:tc>
      </w:tr>
      <w:tr>
        <w:trPr>
          <w:trHeight w:val="229"/>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CHF 9.53</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9"/>
                <w:szCs w:val="19"/>
                <w:color w:val="auto"/>
              </w:rPr>
            </w:pP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2.03 to USD 3.00</w:t>
            </w: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60" w:type="dxa"/>
            <w:vAlign w:val="bottom"/>
          </w:tcPr>
          <w:p>
            <w:pPr>
              <w:spacing w:after="0"/>
              <w:rPr>
                <w:sz w:val="19"/>
                <w:szCs w:val="19"/>
                <w:color w:val="auto"/>
              </w:rPr>
            </w:pPr>
          </w:p>
        </w:tc>
      </w:tr>
      <w:tr>
        <w:trPr>
          <w:trHeight w:val="243"/>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USD 3.00 to USD 6.00</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21"/>
                <w:szCs w:val="21"/>
                <w:color w:val="auto"/>
              </w:rPr>
            </w:pPr>
          </w:p>
        </w:tc>
      </w:tr>
      <w:tr>
        <w:trPr>
          <w:trHeight w:val="243"/>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 6.00 to USD 9.00</w:t>
            </w: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1,356,455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tcPr>
          <w:p>
            <w:pPr>
              <w:spacing w:after="0"/>
              <w:rPr>
                <w:sz w:val="21"/>
                <w:szCs w:val="21"/>
                <w:color w:val="auto"/>
              </w:rPr>
            </w:pPr>
          </w:p>
        </w:tc>
      </w:tr>
      <w:tr>
        <w:trPr>
          <w:trHeight w:val="243"/>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USD 9.00 to USD 12.30</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21"/>
                <w:szCs w:val="21"/>
                <w:color w:val="auto"/>
              </w:rPr>
            </w:pPr>
          </w:p>
        </w:tc>
      </w:tr>
      <w:tr>
        <w:trPr>
          <w:trHeight w:val="223"/>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outstanding options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exercise price for options granted in 2025, 2024 and 2023 is USD 2.40 (CHF 2.09), USD 3.99 (CHF 3.40) and USD 2.08 (CHF 1.75), respectively. The range of exercise prices for outstanding options was CHF 0.15 to CHF 9.53 for awards previously granted in CHF (prior to 2018) and USD 1.84 to USD 12.30 for awards granted in USD as of December 31, 2025.</w:t>
      </w:r>
    </w:p>
    <w:p>
      <w:pPr>
        <w:spacing w:after="0" w:line="180" w:lineRule="exact"/>
        <w:rPr>
          <w:sz w:val="20"/>
          <w:szCs w:val="20"/>
          <w:color w:val="auto"/>
        </w:rPr>
      </w:pPr>
    </w:p>
    <w:p>
      <w:pPr>
        <w:jc w:val="both"/>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For awards issued in 2024, the volatility is based on the Company’s actual volatility for the period congruent with the expected term of the underlying option. The risk-free interest rate is based on yields of long-dated U.S. Treasury notes that align with the expected term of the award. The weighted-average share price of common share options exercised in 2025 is USD 2.57 (CHF 2.12).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values of the options granted in 2025, 2024 and 2023 are USD 1.69 (CHF 1.47), USD 3.68 (CHF 3.13) and USD 1.57 (CHF 1.33), respectively. The following table illustrates the weighted-average assumptions for the Black-Scholes option-pricing model used in determining the fair value of these awards: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4420" w:type="dxa"/>
            <w:vAlign w:val="bottom"/>
          </w:tcPr>
          <w:p>
            <w:pPr>
              <w:spacing w:after="0"/>
              <w:rPr>
                <w:sz w:val="17"/>
                <w:szCs w:val="17"/>
                <w:color w:val="auto"/>
              </w:rPr>
            </w:pPr>
          </w:p>
        </w:tc>
        <w:tc>
          <w:tcPr>
            <w:tcW w:w="2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r>
      <w:tr>
        <w:trPr>
          <w:trHeight w:val="228"/>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(USD)</w:t>
            </w:r>
          </w:p>
        </w:tc>
        <w:tc>
          <w:tcPr>
            <w:tcW w:w="1560" w:type="dxa"/>
            <w:vAlign w:val="bottom"/>
            <w:tcBorders>
              <w:top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​​1.84-2.91</w:t>
            </w:r>
          </w:p>
        </w:tc>
        <w:tc>
          <w:tcPr>
            <w:tcW w:w="2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​​3.39-4.23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2.03-3.11</w:t>
            </w: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price (USD and weighted average)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1"/>
                <w:szCs w:val="2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56-85 %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82-107 %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72-86 %</w:t>
            </w: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6.25-8.25</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shd w:val="clear" w:color="auto" w:fill="CCEEFF"/>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tcPr>
          <w:p>
            <w:pPr>
              <w:spacing w:after="0"/>
              <w:rPr>
                <w:sz w:val="21"/>
                <w:szCs w:val="21"/>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 summary of share awards (restricted share and restricted share units) activity as of December 31, 2025 and changes during the year then ended is presented below:</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500" w:type="dxa"/>
            <w:vAlign w:val="bottom"/>
            <w:gridSpan w:val="2"/>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203"/>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life of non-</w:t>
            </w:r>
          </w:p>
        </w:tc>
      </w:tr>
      <w:tr>
        <w:trPr>
          <w:trHeight w:val="203"/>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awards granted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vested share</w:t>
            </w:r>
          </w:p>
        </w:tc>
      </w:tr>
      <w:tr>
        <w:trPr>
          <w:trHeight w:val="208"/>
        </w:trPr>
        <w:tc>
          <w:tcPr>
            <w:tcW w:w="20" w:type="dxa"/>
            <w:vAlign w:val="bottom"/>
          </w:tcPr>
          <w:p>
            <w:pPr>
              <w:spacing w:after="0"/>
              <w:rPr>
                <w:sz w:val="18"/>
                <w:szCs w:val="18"/>
                <w:color w:val="auto"/>
              </w:rPr>
            </w:pPr>
          </w:p>
        </w:tc>
        <w:tc>
          <w:tcPr>
            <w:tcW w:w="35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Grantee type</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 inception)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Vesting conditions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28"/>
        </w:trPr>
        <w:tc>
          <w:tcPr>
            <w:tcW w:w="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16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 year and 3 years' service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431,875</w:t>
            </w:r>
          </w:p>
        </w:tc>
        <w:tc>
          <w:tcPr>
            <w:tcW w:w="2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date of grant, annually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 years</w:t>
            </w:r>
          </w:p>
        </w:tc>
        <w:tc>
          <w:tcPr>
            <w:tcW w:w="4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Executives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2,189,707</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 year and 3 years' service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100"/>
              <w:spacing w:after="0"/>
              <w:rPr>
                <w:sz w:val="20"/>
                <w:szCs w:val="20"/>
                <w:color w:val="auto"/>
              </w:rPr>
            </w:pPr>
            <w:r>
              <w:rPr>
                <w:rFonts w:ascii="Times New Roman" w:cs="Times New Roman" w:eastAsia="Times New Roman" w:hAnsi="Times New Roman"/>
                <w:sz w:val="18"/>
                <w:szCs w:val="18"/>
                <w:color w:val="auto"/>
              </w:rPr>
              <w:t>10 years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from the date of grant,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quarterly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1,571,569</w:t>
            </w:r>
          </w:p>
        </w:tc>
        <w:tc>
          <w:tcPr>
            <w:tcW w:w="2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years’ service from the date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 years</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grant, annually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90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50" w:name="page51"/>
    <w:bookmarkEnd w:id="5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60" w:type="dxa"/>
            <w:vAlign w:val="bottom"/>
            <w:gridSpan w:val="2"/>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  Weighted-</w:t>
            </w:r>
          </w:p>
        </w:tc>
      </w:tr>
      <w:tr>
        <w:trPr>
          <w:trHeight w:val="203"/>
        </w:trPr>
        <w:tc>
          <w:tcPr>
            <w:tcW w:w="6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6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208"/>
        </w:trPr>
        <w:tc>
          <w:tcPr>
            <w:tcW w:w="69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r>
      <w:tr>
        <w:trPr>
          <w:trHeight w:val="228"/>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216,486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2023</w:t>
            </w: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298,883</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6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1,094,876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(1,064,554)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822,740</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6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2024</w:t>
            </w: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1,377,903</w:t>
            </w:r>
          </w:p>
        </w:tc>
        <w:tc>
          <w:tcPr>
            <w:tcW w:w="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822,740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(1,309,210)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763,816</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2,575,692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69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values of the remaining non-vested share awards as of the respective year end for the restricted share units were CHF 2.62, CHF 3.12 and CHF 1.97 for the years ended December 31, 2025, 2024 and 2023, respectively. The fair values of these non-vested share awards granted were determined using the market value of the common shares on the date of the award.</w:t>
      </w:r>
    </w:p>
    <w:p>
      <w:pPr>
        <w:spacing w:after="0" w:line="18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expense charged against the income statement related to all share-based compensation was CHF 4.4 million, CHF 5.5 million and CHF 4.4 million for the years ended December 31, 2025, 2024 and 2023, respectively. The expense is determined by the Company based on the number of instruments that are expected to become exercisable.</w:t>
      </w:r>
    </w:p>
    <w:p>
      <w:pPr>
        <w:spacing w:after="0" w:line="226"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6"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commitments and contingencies relate to its ongoing operating activities, mainly research and development programs, as well as its leased corporate space.</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w:t>
      </w:r>
    </w:p>
    <w:p>
      <w:pPr>
        <w:spacing w:after="0" w:line="17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lease our corporate, laboratory and other facilities under multiple leases at the EPFL Innovation Park in Ecublens, near Lausanne, Canton of Vaud, Switzerland. Our lease agreements have no termination clauses longer than a 12-month contractual notice period. The Company recognizes a right-of-use asset for its leases, except for short-term and low-value leases as indicated in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5. Right-of-use assets, long-term financial assets and lease liabilities” for the contractual undiscounted cash flows for lease obligations. The below table represents contractual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51" w:name="page52"/>
    <w:bookmarkEnd w:id="51"/>
    <w:p>
      <w:pPr>
        <w:ind w:left="60" w:right="619"/>
        <w:spacing w:after="0" w:line="282" w:lineRule="auto"/>
        <w:rPr>
          <w:sz w:val="20"/>
          <w:szCs w:val="20"/>
          <w:color w:val="auto"/>
        </w:rPr>
      </w:pPr>
      <w:r>
        <w:rPr>
          <w:rFonts w:ascii="Times New Roman" w:cs="Times New Roman" w:eastAsia="Times New Roman" w:hAnsi="Times New Roman"/>
          <w:sz w:val="18"/>
          <w:szCs w:val="18"/>
          <w:color w:val="auto"/>
        </w:rPr>
        <w:t>commitments excluding capitalized leases which are recorded on the balance sheet, the related future cash flows are presented in Note 5.</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6"/>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96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1 and 3 years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 and 5 years</w:t>
            </w:r>
          </w:p>
        </w:tc>
        <w:tc>
          <w:tcPr>
            <w:tcW w:w="18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w:t>
            </w:r>
          </w:p>
        </w:tc>
        <w:tc>
          <w:tcPr>
            <w:tcW w:w="49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 w:type="dxa"/>
            <w:vAlign w:val="bottom"/>
            <w:gridSpan w:val="2"/>
            <w:vMerge w:val="continue"/>
          </w:tcPr>
          <w:p>
            <w:pPr>
              <w:spacing w:after="0"/>
              <w:rPr>
                <w:sz w:val="24"/>
                <w:szCs w:val="24"/>
                <w:color w:val="auto"/>
              </w:rPr>
            </w:pPr>
          </w:p>
        </w:tc>
        <w:tc>
          <w:tcPr>
            <w:tcW w:w="4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gridSpan w:val="7"/>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80" w:type="dxa"/>
            <w:vAlign w:val="bottom"/>
          </w:tcPr>
          <w:p>
            <w:pPr>
              <w:spacing w:after="0"/>
              <w:rPr>
                <w:sz w:val="20"/>
                <w:szCs w:val="20"/>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18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(70,447)</w:t>
            </w:r>
          </w:p>
        </w:tc>
        <w:tc>
          <w:tcPr>
            <w:tcW w:w="24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(50,916)</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21"/>
                <w:szCs w:val="21"/>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Weighted-average number of shares outstanding used to compute EPS basic</w:t>
            </w:r>
          </w:p>
        </w:tc>
        <w:tc>
          <w:tcPr>
            <w:tcW w:w="18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 attributable to equity holders</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100,751,705</w:t>
            </w:r>
          </w:p>
        </w:tc>
        <w:tc>
          <w:tcPr>
            <w:tcW w:w="24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99,691,971</w:t>
            </w:r>
          </w:p>
        </w:tc>
        <w:tc>
          <w:tcPr>
            <w:tcW w:w="2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84,694,616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have excluded from our calculation of diluted loss per share all potentially dilutive in-the-money (i) share options and (ii) non-vested restricted share awards. See “Note 18. Share-based compensation” for the potentially dilutive equity awards.</w:t>
      </w:r>
    </w:p>
    <w:p>
      <w:pPr>
        <w:spacing w:after="0" w:line="239"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29"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financial liabilities: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20" w:type="dxa"/>
            <w:vAlign w:val="bottom"/>
          </w:tcPr>
          <w:p>
            <w:pPr>
              <w:spacing w:after="0"/>
              <w:rPr>
                <w:sz w:val="21"/>
                <w:szCs w:val="21"/>
                <w:color w:val="auto"/>
              </w:rPr>
            </w:pPr>
          </w:p>
        </w:tc>
        <w:tc>
          <w:tcPr>
            <w:tcW w:w="86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9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2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52" w:name="page53"/>
    <w:bookmarkEnd w:id="5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7"/>
        </w:trPr>
        <w:tc>
          <w:tcPr>
            <w:tcW w:w="20" w:type="dxa"/>
            <w:vAlign w:val="bottom"/>
          </w:tcPr>
          <w:p>
            <w:pPr>
              <w:spacing w:after="0"/>
              <w:rPr>
                <w:sz w:val="17"/>
                <w:szCs w:val="17"/>
                <w:color w:val="auto"/>
              </w:rPr>
            </w:pPr>
          </w:p>
        </w:tc>
        <w:tc>
          <w:tcPr>
            <w:tcW w:w="702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7. Cash and cash equivalents and short-term financial assets”). The Company recognized a loss of CHF 2.8 million, a loss of CHF 1.6 million and a loss of CHF 1.5 million for the years ended December 31, 2025, 2024 and 2023, respectively, within “Finance result, net.”</w:t>
      </w:r>
    </w:p>
    <w:p>
      <w:pPr>
        <w:spacing w:after="0" w:line="18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if the CHF had strengthened/weakened by 10% against the EUR and the USD with all other variables held constant, the net loss for the period would have been lower/higher by CHF 3.3 million (2024: CHF 5.0 million), mainly as a result of foreign exchange gains/losses on predominantly EUR/USD denominated cash and cash equivalents and short-term financial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Company’s CHF cash holdings (inclusive of those held in short-term financial assets) were subject to positive interest rates at certain counterparty thresholds through 2025. As of December 31, 2025 if the interest rates granted by the counterparties had increased/decreased by 10%, the net income for the period would have been higher/lower by CHF 0.1 million. Interest income and interest expense are recorded within finance results, net in our consolidated statements of income/(loss).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formal treasury risk and investment management policy to limit counterparty credit risk. As of December 31, 2025, the Company’s cash and cash equivalents and short-term financial assets are held with six financial institutions, each with a high credit rating ranging from A+ to AA- assigned by international credit-rating agencies. The maximum amount of credit risk is the carrying amount of the financial assets. Other receivables are fully performing, not past due and not impaired (see “Note 7. Cash and cash equivalents and short-term financial assets” and “Note 10. Other current receivables”).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Inherent in the Company’s business are various risks and uncertainties, including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3"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12 months. The Company has CHF 2.1 million (CHF 2.7 million in prior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98" w:right="1440" w:bottom="1440" w:gutter="0" w:footer="0" w:header="0"/>
        </w:sectPr>
      </w:pPr>
    </w:p>
    <w:bookmarkStart w:id="53" w:name="page54"/>
    <w:bookmarkEnd w:id="53"/>
    <w:p>
      <w:pPr>
        <w:jc w:val="both"/>
        <w:ind w:left="60" w:right="119"/>
        <w:spacing w:after="0" w:line="289" w:lineRule="auto"/>
        <w:rPr>
          <w:sz w:val="20"/>
          <w:szCs w:val="20"/>
          <w:color w:val="auto"/>
        </w:rPr>
      </w:pPr>
      <w:r>
        <w:rPr>
          <w:rFonts w:ascii="Times New Roman" w:cs="Times New Roman" w:eastAsia="Times New Roman" w:hAnsi="Times New Roman"/>
          <w:sz w:val="17"/>
          <w:szCs w:val="17"/>
          <w:color w:val="auto"/>
        </w:rPr>
        <w:t>year) in trade and other payables, and CHF 8.1 million (CHF 12.1 million in prior year) in accrued expenses which are due within 12 months from the reporting date. Finally, as it relates to the Company’s lease liabilities please see “Note 5. Right-of-use assets, long-term financial assets and lease liabilities” for detail of when corresponding lease liabilities are due.</w:t>
      </w:r>
    </w:p>
    <w:p>
      <w:pPr>
        <w:spacing w:after="0" w:line="154"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risk management</w:t>
      </w:r>
    </w:p>
    <w:p>
      <w:pPr>
        <w:spacing w:after="0" w:line="21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172"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 The Company has determined that there were no other such events that warrant disclosure or recognition in these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Statutory Financial Statements (Swiss CO)</w:t>
      </w:r>
    </w:p>
    <w:p>
      <w:pPr>
        <w:spacing w:after="0" w:line="2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80" w:type="dxa"/>
        <w:tblCellMar>
          <w:top w:w="0" w:type="dxa"/>
          <w:left w:w="0" w:type="dxa"/>
          <w:bottom w:w="0" w:type="dxa"/>
          <w:right w:w="0" w:type="dxa"/>
        </w:tblCellMar>
      </w:tblPr>
      <w:tr>
        <w:trPr>
          <w:trHeight w:val="287"/>
        </w:trPr>
        <w:tc>
          <w:tcPr>
            <w:tcW w:w="5660" w:type="dxa"/>
            <w:vAlign w:val="bottom"/>
            <w:gridSpan w:val="5"/>
          </w:tcPr>
          <w:p>
            <w:pPr>
              <w:spacing w:after="0"/>
              <w:rPr>
                <w:sz w:val="20"/>
                <w:szCs w:val="20"/>
                <w:color w:val="auto"/>
              </w:rPr>
            </w:pPr>
            <w:r>
              <w:rPr>
                <w:rFonts w:ascii="Times New Roman" w:cs="Times New Roman" w:eastAsia="Times New Roman" w:hAnsi="Times New Roman"/>
                <w:sz w:val="25"/>
                <w:szCs w:val="25"/>
                <w:b w:val="1"/>
                <w:bCs w:val="1"/>
                <w:color w:val="0000EE"/>
              </w:rPr>
              <w:t>Report of the statutory auditor</w:t>
            </w:r>
          </w:p>
        </w:tc>
        <w:tc>
          <w:tcPr>
            <w:tcW w:w="31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2</w:t>
            </w:r>
          </w:p>
        </w:tc>
      </w:tr>
      <w:tr>
        <w:trPr>
          <w:trHeight w:val="277"/>
        </w:trPr>
        <w:tc>
          <w:tcPr>
            <w:tcW w:w="3320" w:type="dxa"/>
            <w:vAlign w:val="bottom"/>
            <w:tcBorders>
              <w:top w:val="single" w:sz="8" w:color="0000EE"/>
            </w:tcBorders>
            <w:gridSpan w:val="3"/>
          </w:tcPr>
          <w:p>
            <w:pPr>
              <w:spacing w:after="0" w:line="277" w:lineRule="exact"/>
              <w:rPr>
                <w:sz w:val="20"/>
                <w:szCs w:val="20"/>
                <w:color w:val="auto"/>
              </w:rPr>
            </w:pPr>
            <w:r>
              <w:rPr>
                <w:rFonts w:ascii="Times New Roman" w:cs="Times New Roman" w:eastAsia="Times New Roman" w:hAnsi="Times New Roman"/>
                <w:sz w:val="25"/>
                <w:szCs w:val="25"/>
                <w:b w:val="1"/>
                <w:bCs w:val="1"/>
                <w:color w:val="0000EE"/>
              </w:rPr>
              <w:t>Statutory Balance Sheets</w:t>
            </w:r>
          </w:p>
        </w:tc>
        <w:tc>
          <w:tcPr>
            <w:tcW w:w="2340" w:type="dxa"/>
            <w:vAlign w:val="bottom"/>
            <w:gridSpan w:val="2"/>
          </w:tcPr>
          <w:p>
            <w:pPr>
              <w:spacing w:after="0"/>
              <w:rPr>
                <w:sz w:val="24"/>
                <w:szCs w:val="24"/>
                <w:color w:val="auto"/>
              </w:rPr>
            </w:pPr>
          </w:p>
        </w:tc>
        <w:tc>
          <w:tcPr>
            <w:tcW w:w="3120" w:type="dxa"/>
            <w:vAlign w:val="bottom"/>
          </w:tcPr>
          <w:p>
            <w:pPr>
              <w:jc w:val="right"/>
              <w:spacing w:after="0" w:line="277" w:lineRule="exact"/>
              <w:rPr>
                <w:sz w:val="20"/>
                <w:szCs w:val="20"/>
                <w:color w:val="auto"/>
              </w:rPr>
            </w:pPr>
            <w:r>
              <w:rPr>
                <w:rFonts w:ascii="Times New Roman" w:cs="Times New Roman" w:eastAsia="Times New Roman" w:hAnsi="Times New Roman"/>
                <w:sz w:val="25"/>
                <w:szCs w:val="25"/>
                <w:b w:val="1"/>
                <w:bCs w:val="1"/>
                <w:color w:val="auto"/>
              </w:rPr>
              <w:t>9</w:t>
            </w:r>
          </w:p>
        </w:tc>
      </w:tr>
      <w:tr>
        <w:trPr>
          <w:trHeight w:val="20"/>
        </w:trPr>
        <w:tc>
          <w:tcPr>
            <w:tcW w:w="26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77"/>
        </w:trPr>
        <w:tc>
          <w:tcPr>
            <w:tcW w:w="3140" w:type="dxa"/>
            <w:vAlign w:val="bottom"/>
            <w:tcBorders>
              <w:bottom w:val="single" w:sz="8" w:color="0000EE"/>
            </w:tcBorders>
            <w:gridSpan w:val="2"/>
          </w:tcPr>
          <w:p>
            <w:pPr>
              <w:spacing w:after="0" w:line="277" w:lineRule="exact"/>
              <w:rPr>
                <w:sz w:val="20"/>
                <w:szCs w:val="20"/>
                <w:color w:val="auto"/>
              </w:rPr>
            </w:pPr>
            <w:r>
              <w:rPr>
                <w:rFonts w:ascii="Times New Roman" w:cs="Times New Roman" w:eastAsia="Times New Roman" w:hAnsi="Times New Roman"/>
                <w:sz w:val="25"/>
                <w:szCs w:val="25"/>
                <w:b w:val="1"/>
                <w:bCs w:val="1"/>
                <w:color w:val="0000EE"/>
              </w:rPr>
              <w:t>Statutory Income Statements</w:t>
            </w:r>
          </w:p>
        </w:tc>
        <w:tc>
          <w:tcPr>
            <w:tcW w:w="2520" w:type="dxa"/>
            <w:vAlign w:val="bottom"/>
            <w:gridSpan w:val="3"/>
          </w:tcPr>
          <w:p>
            <w:pPr>
              <w:spacing w:after="0"/>
              <w:rPr>
                <w:sz w:val="24"/>
                <w:szCs w:val="24"/>
                <w:color w:val="auto"/>
              </w:rPr>
            </w:pPr>
          </w:p>
        </w:tc>
        <w:tc>
          <w:tcPr>
            <w:tcW w:w="3120" w:type="dxa"/>
            <w:vAlign w:val="bottom"/>
          </w:tcPr>
          <w:p>
            <w:pPr>
              <w:jc w:val="right"/>
              <w:spacing w:after="0" w:line="277" w:lineRule="exact"/>
              <w:rPr>
                <w:sz w:val="20"/>
                <w:szCs w:val="20"/>
                <w:color w:val="auto"/>
              </w:rPr>
            </w:pPr>
            <w:r>
              <w:rPr>
                <w:rFonts w:ascii="Times New Roman" w:cs="Times New Roman" w:eastAsia="Times New Roman" w:hAnsi="Times New Roman"/>
                <w:sz w:val="25"/>
                <w:szCs w:val="25"/>
                <w:b w:val="1"/>
                <w:bCs w:val="1"/>
                <w:color w:val="auto"/>
              </w:rPr>
              <w:t>10</w:t>
            </w:r>
          </w:p>
        </w:tc>
      </w:tr>
      <w:tr>
        <w:trPr>
          <w:trHeight w:val="277"/>
        </w:trPr>
        <w:tc>
          <w:tcPr>
            <w:tcW w:w="4680" w:type="dxa"/>
            <w:vAlign w:val="bottom"/>
            <w:tcBorders>
              <w:bottom w:val="single" w:sz="8" w:color="0000EE"/>
            </w:tcBorders>
            <w:gridSpan w:val="4"/>
          </w:tcPr>
          <w:p>
            <w:pPr>
              <w:spacing w:after="0" w:line="277" w:lineRule="exact"/>
              <w:rPr>
                <w:sz w:val="20"/>
                <w:szCs w:val="20"/>
                <w:color w:val="auto"/>
              </w:rPr>
            </w:pPr>
            <w:r>
              <w:rPr>
                <w:rFonts w:ascii="Times New Roman" w:cs="Times New Roman" w:eastAsia="Times New Roman" w:hAnsi="Times New Roman"/>
                <w:sz w:val="25"/>
                <w:szCs w:val="25"/>
                <w:b w:val="1"/>
                <w:bCs w:val="1"/>
                <w:color w:val="0000EE"/>
              </w:rPr>
              <w:t>Notes to the Statutory Financial Statements</w:t>
            </w:r>
          </w:p>
        </w:tc>
        <w:tc>
          <w:tcPr>
            <w:tcW w:w="980" w:type="dxa"/>
            <w:vAlign w:val="bottom"/>
          </w:tcPr>
          <w:p>
            <w:pPr>
              <w:spacing w:after="0"/>
              <w:rPr>
                <w:sz w:val="24"/>
                <w:szCs w:val="24"/>
                <w:color w:val="auto"/>
              </w:rPr>
            </w:pPr>
          </w:p>
        </w:tc>
        <w:tc>
          <w:tcPr>
            <w:tcW w:w="3120" w:type="dxa"/>
            <w:vAlign w:val="bottom"/>
          </w:tcPr>
          <w:p>
            <w:pPr>
              <w:jc w:val="right"/>
              <w:spacing w:after="0" w:line="277" w:lineRule="exact"/>
              <w:rPr>
                <w:sz w:val="20"/>
                <w:szCs w:val="20"/>
                <w:color w:val="auto"/>
              </w:rPr>
            </w:pPr>
            <w:r>
              <w:rPr>
                <w:rFonts w:ascii="Times New Roman" w:cs="Times New Roman" w:eastAsia="Times New Roman" w:hAnsi="Times New Roman"/>
                <w:sz w:val="25"/>
                <w:szCs w:val="25"/>
                <w:b w:val="1"/>
                <w:bCs w:val="1"/>
                <w:color w:val="auto"/>
              </w:rPr>
              <w:t>11</w:t>
            </w:r>
          </w:p>
        </w:tc>
      </w:tr>
      <w:tr>
        <w:trPr>
          <w:trHeight w:val="277"/>
        </w:trPr>
        <w:tc>
          <w:tcPr>
            <w:tcW w:w="5660" w:type="dxa"/>
            <w:vAlign w:val="bottom"/>
            <w:tcBorders>
              <w:bottom w:val="single" w:sz="8" w:color="0000EE"/>
            </w:tcBorders>
            <w:gridSpan w:val="5"/>
          </w:tcPr>
          <w:p>
            <w:pPr>
              <w:spacing w:after="0" w:line="277" w:lineRule="exact"/>
              <w:rPr>
                <w:sz w:val="20"/>
                <w:szCs w:val="20"/>
                <w:color w:val="auto"/>
              </w:rPr>
            </w:pPr>
            <w:r>
              <w:rPr>
                <w:rFonts w:ascii="Times New Roman" w:cs="Times New Roman" w:eastAsia="Times New Roman" w:hAnsi="Times New Roman"/>
                <w:sz w:val="25"/>
                <w:szCs w:val="25"/>
                <w:b w:val="1"/>
                <w:bCs w:val="1"/>
                <w:color w:val="0000EE"/>
              </w:rPr>
              <w:t>Proposed Carry Forward of the Accumulated Losses</w:t>
            </w:r>
          </w:p>
        </w:tc>
        <w:tc>
          <w:tcPr>
            <w:tcW w:w="3120" w:type="dxa"/>
            <w:vAlign w:val="bottom"/>
          </w:tcPr>
          <w:p>
            <w:pPr>
              <w:jc w:val="right"/>
              <w:spacing w:after="0" w:line="277" w:lineRule="exact"/>
              <w:rPr>
                <w:sz w:val="20"/>
                <w:szCs w:val="20"/>
                <w:color w:val="auto"/>
              </w:rPr>
            </w:pPr>
            <w:r>
              <w:rPr>
                <w:rFonts w:ascii="Times New Roman" w:cs="Times New Roman" w:eastAsia="Times New Roman" w:hAnsi="Times New Roman"/>
                <w:sz w:val="25"/>
                <w:szCs w:val="25"/>
                <w:b w:val="1"/>
                <w:bCs w:val="1"/>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1015 Lausanne / Ecublens</w:t>
      </w:r>
    </w:p>
    <w:p>
      <w:pPr>
        <w:spacing w:after="0" w:line="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60"/>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1114425</wp:posOffset>
            </wp:positionV>
            <wp:extent cx="1482725" cy="95123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4827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right="779"/>
        <w:spacing w:after="0" w:line="288" w:lineRule="auto"/>
        <w:rPr>
          <w:sz w:val="20"/>
          <w:szCs w:val="20"/>
          <w:color w:val="auto"/>
        </w:rPr>
      </w:pPr>
      <w:r>
        <w:rPr>
          <w:rFonts w:ascii="Arial" w:cs="Arial" w:eastAsia="Arial" w:hAnsi="Arial"/>
          <w:sz w:val="29"/>
          <w:szCs w:val="29"/>
          <w:b w:val="1"/>
          <w:bCs w:val="1"/>
          <w:color w:val="auto"/>
        </w:rPr>
        <w:t>Report of the statutory auditor to the General Meeting of AC Immune SA, Ecublens</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Report on the audit of the financial statements</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w:t>
      </w:r>
    </w:p>
    <w:p>
      <w:pPr>
        <w:spacing w:after="0" w:line="241" w:lineRule="exact"/>
        <w:rPr>
          <w:sz w:val="20"/>
          <w:szCs w:val="20"/>
          <w:color w:val="auto"/>
        </w:rPr>
      </w:pPr>
    </w:p>
    <w:p>
      <w:pPr>
        <w:ind w:left="60" w:right="259"/>
        <w:spacing w:after="0" w:line="300" w:lineRule="auto"/>
        <w:rPr>
          <w:sz w:val="20"/>
          <w:szCs w:val="20"/>
          <w:color w:val="auto"/>
        </w:rPr>
      </w:pPr>
      <w:r>
        <w:rPr>
          <w:rFonts w:ascii="Georgia" w:cs="Georgia" w:eastAsia="Georgia" w:hAnsi="Georgia"/>
          <w:sz w:val="18"/>
          <w:szCs w:val="18"/>
          <w:color w:val="auto"/>
        </w:rPr>
        <w:t>We have audited the financial statements of AC Immune SA (the Company), which comprise the statutory balance sheet as at December 31, 2025, and the statutory income statement for the year then ended, and notes to the statutory financial statements, including a summary of significant accounting policies.</w:t>
      </w:r>
    </w:p>
    <w:p>
      <w:pPr>
        <w:spacing w:after="0" w:line="192" w:lineRule="exact"/>
        <w:rPr>
          <w:sz w:val="20"/>
          <w:szCs w:val="20"/>
          <w:color w:val="auto"/>
        </w:rPr>
      </w:pPr>
    </w:p>
    <w:p>
      <w:pPr>
        <w:ind w:left="60" w:right="419"/>
        <w:spacing w:after="0" w:line="299" w:lineRule="auto"/>
        <w:rPr>
          <w:sz w:val="20"/>
          <w:szCs w:val="20"/>
          <w:color w:val="auto"/>
        </w:rPr>
      </w:pPr>
      <w:r>
        <w:rPr>
          <w:rFonts w:ascii="Georgia" w:cs="Georgia" w:eastAsia="Georgia" w:hAnsi="Georgia"/>
          <w:sz w:val="18"/>
          <w:szCs w:val="18"/>
          <w:color w:val="auto"/>
        </w:rPr>
        <w:t>In our opinion, the accompanying financial statements comply with Swiss law and the Company’s articles of incorporation.</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54" w:lineRule="exact"/>
        <w:rPr>
          <w:sz w:val="20"/>
          <w:szCs w:val="20"/>
          <w:color w:val="auto"/>
        </w:rPr>
      </w:pPr>
    </w:p>
    <w:p>
      <w:pPr>
        <w:ind w:left="60" w:right="99"/>
        <w:spacing w:after="0" w:line="300" w:lineRule="auto"/>
        <w:rPr>
          <w:sz w:val="20"/>
          <w:szCs w:val="20"/>
          <w:color w:val="auto"/>
        </w:rPr>
      </w:pPr>
      <w:r>
        <w:rPr>
          <w:rFonts w:ascii="Georgia" w:cs="Georgia" w:eastAsia="Georgia" w:hAnsi="Georgia"/>
          <w:sz w:val="18"/>
          <w:szCs w:val="18"/>
          <w:color w:val="auto"/>
        </w:rPr>
        <w:t>We conducted our audit in accordance with Swiss law and Swiss Standards on Auditing (SA-CH). Our responsibilities under those provisions and standards are further described in the 'Auditor’s responsibilities for the audit of the financial statements' section of our report. We are independent of the Company in accordance with the provisions of Swiss law and the requirements of the Swiss audit profession that are relevant to audits of the financial statements of public interest entities. We have also fulfilled our other ethical responsibilities in accordance with these requirements.</w:t>
      </w:r>
    </w:p>
    <w:p>
      <w:pPr>
        <w:spacing w:after="0" w:line="181" w:lineRule="exact"/>
        <w:rPr>
          <w:sz w:val="20"/>
          <w:szCs w:val="20"/>
          <w:color w:val="auto"/>
        </w:rPr>
      </w:pPr>
    </w:p>
    <w:p>
      <w:pPr>
        <w:ind w:left="60" w:right="539"/>
        <w:spacing w:after="0" w:line="299" w:lineRule="auto"/>
        <w:rPr>
          <w:sz w:val="20"/>
          <w:szCs w:val="20"/>
          <w:color w:val="auto"/>
        </w:rPr>
      </w:pPr>
      <w:r>
        <w:rPr>
          <w:rFonts w:ascii="Georgia" w:cs="Georgia" w:eastAsia="Georgia" w:hAnsi="Georgia"/>
          <w:sz w:val="18"/>
          <w:szCs w:val="18"/>
          <w:color w:val="auto"/>
        </w:rPr>
        <w:t>We believe that the audit evidence we have obtained is sufficient and appropriate to provide a basis for our opinion.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61"/>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audit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576897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1183005" cy="210058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183005" cy="2100580"/>
                    </a:xfrm>
                    <a:prstGeom prst="rect">
                      <a:avLst/>
                    </a:prstGeom>
                    <a:noFill/>
                  </pic:spPr>
                </pic:pic>
              </a:graphicData>
            </a:graphic>
          </wp:anchor>
        </w:drawing>
      </w:r>
    </w:p>
    <w:p>
      <w:pPr>
        <w:spacing w:after="0" w:line="111" w:lineRule="exact"/>
        <w:rPr>
          <w:sz w:val="20"/>
          <w:szCs w:val="20"/>
          <w:color w:val="auto"/>
        </w:rPr>
      </w:pPr>
    </w:p>
    <w:p>
      <w:pPr>
        <w:ind w:left="2140"/>
        <w:spacing w:after="0"/>
        <w:rPr>
          <w:sz w:val="20"/>
          <w:szCs w:val="20"/>
          <w:color w:val="auto"/>
        </w:rPr>
      </w:pPr>
      <w:r>
        <w:rPr>
          <w:rFonts w:ascii="Georgia" w:cs="Georgia" w:eastAsia="Georgia" w:hAnsi="Georgia"/>
          <w:sz w:val="18"/>
          <w:szCs w:val="18"/>
          <w:color w:val="auto"/>
        </w:rPr>
        <w:t>Overall materiality: CHF 2,705 thousand</w:t>
      </w:r>
    </w:p>
    <w:p>
      <w:pPr>
        <w:spacing w:after="0" w:line="121" w:lineRule="exact"/>
        <w:rPr>
          <w:sz w:val="20"/>
          <w:szCs w:val="20"/>
          <w:color w:val="auto"/>
        </w:rPr>
      </w:pPr>
    </w:p>
    <w:p>
      <w:pPr>
        <w:ind w:left="2140" w:right="260"/>
        <w:spacing w:after="0" w:line="300" w:lineRule="auto"/>
        <w:rPr>
          <w:sz w:val="20"/>
          <w:szCs w:val="20"/>
          <w:color w:val="auto"/>
        </w:rPr>
      </w:pPr>
      <w:r>
        <w:rPr>
          <w:rFonts w:ascii="Georgia" w:cs="Georgia" w:eastAsia="Georgia" w:hAnsi="Georgia"/>
          <w:sz w:val="18"/>
          <w:szCs w:val="18"/>
          <w:color w:val="auto"/>
        </w:rPr>
        <w:t>We tailored the scope of our audit in order to perform sufficient work to enable us to provide an opinion on the financial statements as a whole, taking into account the structure of the Company, the accounting processes and controls, and the industry in which the Company operates.</w:t>
      </w:r>
    </w:p>
    <w:p>
      <w:pPr>
        <w:spacing w:after="0" w:line="83" w:lineRule="exact"/>
        <w:rPr>
          <w:sz w:val="20"/>
          <w:szCs w:val="20"/>
          <w:color w:val="auto"/>
        </w:rPr>
      </w:pPr>
    </w:p>
    <w:p>
      <w:pPr>
        <w:ind w:left="2140"/>
        <w:spacing w:after="0"/>
        <w:rPr>
          <w:sz w:val="20"/>
          <w:szCs w:val="20"/>
          <w:color w:val="auto"/>
        </w:rPr>
      </w:pPr>
      <w:r>
        <w:rPr>
          <w:rFonts w:ascii="Georgia" w:cs="Georgia" w:eastAsia="Georgia" w:hAnsi="Georgia"/>
          <w:sz w:val="18"/>
          <w:szCs w:val="18"/>
          <w:color w:val="auto"/>
        </w:rPr>
        <w:t>As key audit matter the following area of focus has been identified:</w:t>
      </w:r>
    </w:p>
    <w:p>
      <w:pPr>
        <w:spacing w:after="0" w:line="119" w:lineRule="exact"/>
        <w:rPr>
          <w:sz w:val="20"/>
          <w:szCs w:val="20"/>
          <w:color w:val="auto"/>
        </w:rPr>
      </w:pPr>
    </w:p>
    <w:p>
      <w:pPr>
        <w:ind w:left="2140"/>
        <w:spacing w:after="0"/>
        <w:rPr>
          <w:sz w:val="20"/>
          <w:szCs w:val="20"/>
          <w:color w:val="auto"/>
        </w:rPr>
      </w:pPr>
      <w:r>
        <w:rPr>
          <w:rFonts w:ascii="Georgia" w:cs="Georgia" w:eastAsia="Georgia" w:hAnsi="Georgia"/>
          <w:sz w:val="18"/>
          <w:szCs w:val="18"/>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652780</wp:posOffset>
            </wp:positionV>
            <wp:extent cx="576897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Materiality</w:t>
      </w:r>
    </w:p>
    <w:p>
      <w:pPr>
        <w:spacing w:after="0" w:line="254" w:lineRule="exact"/>
        <w:rPr>
          <w:sz w:val="20"/>
          <w:szCs w:val="20"/>
          <w:color w:val="auto"/>
        </w:rPr>
      </w:pPr>
    </w:p>
    <w:p>
      <w:pPr>
        <w:ind w:left="60" w:right="400"/>
        <w:spacing w:after="0" w:line="322" w:lineRule="auto"/>
        <w:rPr>
          <w:sz w:val="20"/>
          <w:szCs w:val="20"/>
          <w:color w:val="auto"/>
        </w:rPr>
      </w:pPr>
      <w:r>
        <w:rPr>
          <w:rFonts w:ascii="Georgia" w:cs="Georgia" w:eastAsia="Georgia" w:hAnsi="Georgia"/>
          <w:sz w:val="17"/>
          <w:szCs w:val="17"/>
          <w:color w:val="auto"/>
        </w:rPr>
        <w:t>The scope of our audit was influenced by our application of materiality. Our audit opinion aims to provide reasonable assurance that the financial statements are free from material misstatement. Misstatements may arise due to fraud or error. They are considered material if, individually or in aggregate, they could reasonably be expected to influence the economic decisions of users taken on the basis of the financial statements.</w:t>
      </w:r>
    </w:p>
    <w:p>
      <w:pPr>
        <w:spacing w:after="0" w:line="165" w:lineRule="exact"/>
        <w:rPr>
          <w:sz w:val="20"/>
          <w:szCs w:val="20"/>
          <w:color w:val="auto"/>
        </w:rPr>
      </w:pPr>
    </w:p>
    <w:p>
      <w:pPr>
        <w:ind w:left="60" w:right="300"/>
        <w:spacing w:after="0" w:line="300" w:lineRule="auto"/>
        <w:rPr>
          <w:sz w:val="20"/>
          <w:szCs w:val="20"/>
          <w:color w:val="auto"/>
        </w:rPr>
      </w:pPr>
      <w:r>
        <w:rPr>
          <w:rFonts w:ascii="Georgia" w:cs="Georgia" w:eastAsia="Georgia" w:hAnsi="Georgia"/>
          <w:sz w:val="18"/>
          <w:szCs w:val="18"/>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227330</wp:posOffset>
            </wp:positionV>
            <wp:extent cx="576897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3680" w:type="dxa"/>
            <w:vAlign w:val="bottom"/>
          </w:tcPr>
          <w:p>
            <w:pPr>
              <w:spacing w:after="0"/>
              <w:rPr>
                <w:sz w:val="20"/>
                <w:szCs w:val="20"/>
                <w:color w:val="auto"/>
              </w:rPr>
            </w:pPr>
            <w:r>
              <w:rPr>
                <w:rFonts w:ascii="Arial" w:cs="Arial" w:eastAsia="Arial" w:hAnsi="Arial"/>
                <w:sz w:val="18"/>
                <w:szCs w:val="18"/>
                <w:b w:val="1"/>
                <w:bCs w:val="1"/>
                <w:color w:val="auto"/>
              </w:rPr>
              <w:t>Overall materiality</w:t>
            </w: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CHF 2,705 thousand</w:t>
            </w:r>
          </w:p>
        </w:tc>
      </w:tr>
      <w:tr>
        <w:trPr>
          <w:trHeight w:val="405"/>
        </w:trPr>
        <w:tc>
          <w:tcPr>
            <w:tcW w:w="3680" w:type="dxa"/>
            <w:vAlign w:val="bottom"/>
          </w:tcPr>
          <w:p>
            <w:pPr>
              <w:spacing w:after="0"/>
              <w:rPr>
                <w:sz w:val="20"/>
                <w:szCs w:val="20"/>
                <w:color w:val="auto"/>
              </w:rPr>
            </w:pPr>
            <w:r>
              <w:rPr>
                <w:rFonts w:ascii="Arial" w:cs="Arial" w:eastAsia="Arial" w:hAnsi="Arial"/>
                <w:sz w:val="18"/>
                <w:szCs w:val="18"/>
                <w:b w:val="1"/>
                <w:bCs w:val="1"/>
                <w:color w:val="auto"/>
              </w:rPr>
              <w:t>Benchmark applied</w:t>
            </w: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3 years average loss before tax</w:t>
            </w:r>
          </w:p>
        </w:tc>
      </w:tr>
      <w:tr>
        <w:trPr>
          <w:trHeight w:val="405"/>
        </w:trPr>
        <w:tc>
          <w:tcPr>
            <w:tcW w:w="3680" w:type="dxa"/>
            <w:vAlign w:val="bottom"/>
          </w:tcPr>
          <w:p>
            <w:pPr>
              <w:spacing w:after="0"/>
              <w:rPr>
                <w:sz w:val="20"/>
                <w:szCs w:val="20"/>
                <w:color w:val="auto"/>
              </w:rPr>
            </w:pPr>
            <w:r>
              <w:rPr>
                <w:rFonts w:ascii="Arial" w:cs="Arial" w:eastAsia="Arial" w:hAnsi="Arial"/>
                <w:sz w:val="18"/>
                <w:szCs w:val="18"/>
                <w:b w:val="1"/>
                <w:bCs w:val="1"/>
                <w:color w:val="auto"/>
              </w:rPr>
              <w:t>Rationale for the materiality benchmark</w:t>
            </w: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Based on our analysis and professional judgement we</w:t>
            </w:r>
          </w:p>
        </w:tc>
      </w:tr>
      <w:tr>
        <w:trPr>
          <w:trHeight w:val="257"/>
        </w:trPr>
        <w:tc>
          <w:tcPr>
            <w:tcW w:w="3680" w:type="dxa"/>
            <w:vAlign w:val="bottom"/>
          </w:tcPr>
          <w:p>
            <w:pPr>
              <w:spacing w:after="0"/>
              <w:rPr>
                <w:sz w:val="20"/>
                <w:szCs w:val="20"/>
                <w:color w:val="auto"/>
              </w:rPr>
            </w:pPr>
            <w:r>
              <w:rPr>
                <w:rFonts w:ascii="Arial" w:cs="Arial" w:eastAsia="Arial" w:hAnsi="Arial"/>
                <w:sz w:val="18"/>
                <w:szCs w:val="18"/>
                <w:b w:val="1"/>
                <w:bCs w:val="1"/>
                <w:color w:val="auto"/>
              </w:rPr>
              <w:t>applied</w:t>
            </w: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determined an average of 3 years of loss before tax is the most</w:t>
            </w:r>
          </w:p>
        </w:tc>
      </w:tr>
      <w:tr>
        <w:trPr>
          <w:trHeight w:val="228"/>
        </w:trPr>
        <w:tc>
          <w:tcPr>
            <w:tcW w:w="3680" w:type="dxa"/>
            <w:vAlign w:val="bottom"/>
          </w:tcPr>
          <w:p>
            <w:pPr>
              <w:spacing w:after="0"/>
              <w:rPr>
                <w:sz w:val="19"/>
                <w:szCs w:val="19"/>
                <w:color w:val="auto"/>
              </w:rPr>
            </w:pP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appropriate benchmark. We chose the average of 3 years of loss</w:t>
            </w:r>
          </w:p>
        </w:tc>
      </w:tr>
      <w:tr>
        <w:trPr>
          <w:trHeight w:val="257"/>
        </w:trPr>
        <w:tc>
          <w:tcPr>
            <w:tcW w:w="3680" w:type="dxa"/>
            <w:vAlign w:val="bottom"/>
          </w:tcPr>
          <w:p>
            <w:pPr>
              <w:spacing w:after="0"/>
              <w:rPr>
                <w:sz w:val="22"/>
                <w:szCs w:val="22"/>
                <w:color w:val="auto"/>
              </w:rPr>
            </w:pP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before tax because it is the benchmark against which the</w:t>
            </w:r>
          </w:p>
        </w:tc>
      </w:tr>
      <w:tr>
        <w:trPr>
          <w:trHeight w:val="257"/>
        </w:trPr>
        <w:tc>
          <w:tcPr>
            <w:tcW w:w="3680" w:type="dxa"/>
            <w:vAlign w:val="bottom"/>
          </w:tcPr>
          <w:p>
            <w:pPr>
              <w:spacing w:after="0"/>
              <w:rPr>
                <w:sz w:val="22"/>
                <w:szCs w:val="22"/>
                <w:color w:val="auto"/>
              </w:rPr>
            </w:pP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performance of the Company is most commonly measured, and</w:t>
            </w:r>
          </w:p>
        </w:tc>
      </w:tr>
      <w:tr>
        <w:trPr>
          <w:trHeight w:val="256"/>
        </w:trPr>
        <w:tc>
          <w:tcPr>
            <w:tcW w:w="3680" w:type="dxa"/>
            <w:vAlign w:val="bottom"/>
          </w:tcPr>
          <w:p>
            <w:pPr>
              <w:spacing w:after="0"/>
              <w:rPr>
                <w:sz w:val="22"/>
                <w:szCs w:val="22"/>
                <w:color w:val="auto"/>
              </w:rPr>
            </w:pP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it is a generally accepted benchmark. In addition, in our view,</w:t>
            </w:r>
          </w:p>
        </w:tc>
      </w:tr>
      <w:tr>
        <w:trPr>
          <w:trHeight w:val="256"/>
        </w:trPr>
        <w:tc>
          <w:tcPr>
            <w:tcW w:w="3680" w:type="dxa"/>
            <w:vAlign w:val="bottom"/>
          </w:tcPr>
          <w:p>
            <w:pPr>
              <w:spacing w:after="0"/>
              <w:rPr>
                <w:sz w:val="22"/>
                <w:szCs w:val="22"/>
                <w:color w:val="auto"/>
              </w:rPr>
            </w:pP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the selected materiality threshold is aligned with investors and</w:t>
            </w:r>
          </w:p>
        </w:tc>
      </w:tr>
      <w:tr>
        <w:trPr>
          <w:trHeight w:val="256"/>
        </w:trPr>
        <w:tc>
          <w:tcPr>
            <w:tcW w:w="3680" w:type="dxa"/>
            <w:vAlign w:val="bottom"/>
          </w:tcPr>
          <w:p>
            <w:pPr>
              <w:spacing w:after="0"/>
              <w:rPr>
                <w:sz w:val="22"/>
                <w:szCs w:val="22"/>
                <w:color w:val="auto"/>
              </w:rPr>
            </w:pPr>
          </w:p>
        </w:tc>
        <w:tc>
          <w:tcPr>
            <w:tcW w:w="5420" w:type="dxa"/>
            <w:vAlign w:val="bottom"/>
            <w:gridSpan w:val="2"/>
          </w:tcPr>
          <w:p>
            <w:pPr>
              <w:ind w:left="280"/>
              <w:spacing w:after="0"/>
              <w:rPr>
                <w:sz w:val="20"/>
                <w:szCs w:val="20"/>
                <w:color w:val="auto"/>
              </w:rPr>
            </w:pPr>
            <w:r>
              <w:rPr>
                <w:rFonts w:ascii="Georgia" w:cs="Georgia" w:eastAsia="Georgia" w:hAnsi="Georgia"/>
                <w:sz w:val="18"/>
                <w:szCs w:val="18"/>
                <w:color w:val="auto"/>
              </w:rPr>
              <w:t>Audit &amp; Finance Committee expectations.</w:t>
            </w:r>
          </w:p>
        </w:tc>
      </w:tr>
      <w:tr>
        <w:trPr>
          <w:trHeight w:val="97"/>
        </w:trPr>
        <w:tc>
          <w:tcPr>
            <w:tcW w:w="368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655"/>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5240" w:type="dxa"/>
            <w:vAlign w:val="bottom"/>
          </w:tcPr>
          <w:p>
            <w:pPr>
              <w:ind w:left="5140"/>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tcPr>
          <w:p>
            <w:pPr>
              <w:spacing w:after="0"/>
              <w:rPr>
                <w:sz w:val="24"/>
                <w:szCs w:val="24"/>
                <w:color w:val="auto"/>
              </w:rPr>
            </w:pPr>
          </w:p>
        </w:tc>
      </w:tr>
      <w:tr>
        <w:trPr>
          <w:trHeight w:val="560"/>
        </w:trPr>
        <w:tc>
          <w:tcPr>
            <w:tcW w:w="36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-2451100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-2451100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-2451100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-2451100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-2451100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-2451100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-2451100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-2451100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-2451100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-2451100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-2451100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-2451100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-2451100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-2451100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-2451100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-2451100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-2451100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-2451100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-2451100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-2451100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-2451100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-2451100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-2451100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-2451100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-2451100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-2451100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-2451100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-2451100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-2451100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-2451100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-2451100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-2451100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-2451100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-2451100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-2451100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-2451100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-2451100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-2451100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-2451100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-2451100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-2451100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-2451100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-2451100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-2451100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-2451100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-2451100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-2451100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-2451100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-2451100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-2451100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-2451100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-2451100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-2451100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-2451100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-2451100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-2451100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-2451100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-2451100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-2451100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-2451100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-2451100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-2451100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-2451100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-2451100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-2451100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-2451100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-2451100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-2451100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-2451100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-2451100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-2451100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-2451100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-2451100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-2451100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-2451100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-2451100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-2451100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-2451100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-2451100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-2451100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-2451100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-2451100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-2451100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-2451100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-2451100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-2451100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-2451100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-2451100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-2451100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-2451100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-2451100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-2451100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-2451100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-2451100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-2451100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-2451100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-2451100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-2451100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-2451100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-2451100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-2451100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-2451100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-2451100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-2451100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-2451100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-2451100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-2451100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-2451100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-2451100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-2451100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-2451100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-2451100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-2451100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-2451100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-2451100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-2451100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-2451100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-2451100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-2451100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-2451100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-2451100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-2451100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-2451100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-2451100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-2451100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-2451100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-2451100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-2451100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-2451100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-2451100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-2451100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-2451100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-2451100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-2451100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-2451100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-2451100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-2451100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-2451100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-2451100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-2451100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-2451100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-2451100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-2451100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-2451100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-2451100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-2451100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-2451100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-2451100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-2451100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-2451100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-2451100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-2451100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-2451100</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-2451100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-2451100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-2451100</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-2451100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-2451100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-2451100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-2451100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-2451100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-2451100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-2451100</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-2451100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-2451100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-2451100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-2451100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-2451100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-2451100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-2451100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-2451100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-2451100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-2451100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-2451100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-2451100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-2451100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-2451100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-2451100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-2451100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-2451100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-2451100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-2451100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-2451100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-2451100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-2451100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-2451100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-2451100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-2451100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-2451100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-2451100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-2451100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-2451100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-2451100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-2451100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-2451100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-2451100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-2451100</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-2451100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-2451100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-2451100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-2451100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-2451100</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-2451100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-2451100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-2451100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-2451100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-2451100</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-2451100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-2451100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-2451100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-2451100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-2451100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-2451100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-2451100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-2451100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-2451100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-2451100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-2451100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-2451100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-2451100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-2451100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-2451100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-2451100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-2451100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-2451100</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-2451100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-2451100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-2451100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-2451100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-2451100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-2451100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-2451100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-2451100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-2451100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-2451100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-2451100</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-2451100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-2451100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-2451100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-2451100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-2451100</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-2451100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-2451100</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-2451100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-2451100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-2451100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-2451100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-2451100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-2451100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-2451100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-2451100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-2451100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-2451100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-2451100</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-2451100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-2451100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-2451100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-2451100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-2451100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-2451100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-2451100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-2451100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-2451100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-2451100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-2451100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-2451100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-2451100</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-2451100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-2451100</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-2451100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-2451100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-2451100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-2451100</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-2451100</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-2451100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-2451100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-2451100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-2451100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-2451100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-2451100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-2451100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-2451100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-2451100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-2451100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-2451100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-2451100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-2451100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-2451100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-2451100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-2451100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-2451100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-2451100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-2451100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-2451100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-2451100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-2451100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-2451100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-2451100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-2451100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-2451100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-2451100</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-2451100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-2451100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-2451100</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-2451100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-2451100</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-2451100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-2451100</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-2451100</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-2451100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-2451100</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-2451100</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-2451100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-2451100</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-2451100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-2451100</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-2451100</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-2451100</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-2451100</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-2451100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-2451100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-2451100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-2451100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-2451100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-2451100</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-2451100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-2451100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-2451100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-2451100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-2451100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-2451100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-2451100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-2451100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-2451100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-2451100</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-2451100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-2451100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-2193925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-2193925</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-2193925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-2193925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-2193925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-2193925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-2193925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-2193925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-2193925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-2193925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-2193925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-2193925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-2193925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-2193925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-2193925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-2193925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-2193925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-2193925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-2193925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-2193925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-2193925</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-2193925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-2193925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-2193925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-2193925</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-2193925</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-2193925</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-2193925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-2193925</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-2193925</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-2193925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-2193925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-2193925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-2193925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-2193925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-2193925</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-2193925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-2193925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-2193925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-2193925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-2193925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-2193925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-2193925</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-2193925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-2193925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-2193925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-2193925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-2193925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-2193925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-2193925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-2193925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-2193925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-2193925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-2193925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-2193925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-2193925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-2193925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-2193925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-2193925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-2193925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-2193925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-2193925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-2193925</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-2193925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-2193925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-2193925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-2193925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-2193925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-2193925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-2193925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-2193925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-2193925</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-2193925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-2193925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-2193925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-2193925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-2193925</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-2193925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-2193925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-2193925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-2193925</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-2193925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-2193925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-2193925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-2193925</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-2193925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-2193925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-2193925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-2193925</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-2193925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-2193925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-2193925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-2193925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-2193925</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-2193925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-2193925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-2193925</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-2193925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-2193925</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-2193925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-2193925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-2193925</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-2193925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-2193925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-2193925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-2193925</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-2193925</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-2193925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-2193925</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-2193925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-2193925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-2193925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-2193925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-2193925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-2193925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-2193925</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-2193925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-2193925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-2193925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-2193925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-2193925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-2193925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-2193925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-2193925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-2193925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-2193925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-2193925</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-2193925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-2193925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-2193925</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-2193925</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-2193925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-2193925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-2193925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-2193925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-2193925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-2193925</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-2193925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-2193925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-2193925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-2193925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-2193925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-2193925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-2193925</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-2193925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-2193925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-2193925</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-2193925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-2193925</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-2193925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-2193925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-2193925</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-2193925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-2193925</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-2193925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-2193925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-2193925</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-2193925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-2193925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-2193925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-2193925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-2193925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-2193925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-2193925</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-2193925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-2193925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-2193925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-2193925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-2193925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-2193925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-2193925</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-2193925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-2193925</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-2193925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-2193925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-2193925</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-2193925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-2193925</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-2193925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-2193925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-2193925</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-2193925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-2193925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-2193925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-2193925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-2193925</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-2193925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-2193925</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-2193925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-2193925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-2193925</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-2193925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-2193925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-2193925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-2193925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-2193925</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-2193925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-2193925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-2193925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-2193925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-2193925</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-2193925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-2193925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-2193925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-2193925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-2193925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-2193925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-2193925</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-2193925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-2193925</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-2193925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-2193925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-2193925</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-2193925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-2193925</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-2193925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-2193925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-2193925</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-2193925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-2193925</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-2193925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-2193925</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-2193925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-2193925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-2193925</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-2193925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-2193925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-2193925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-2193925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-2193925</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-2193925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-2193925</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-2193925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-2193925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-2193925</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-2193925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-2193925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-2193925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-2193925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-2193925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-2193925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-2193925</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-2193925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-2193925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-2193925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-2193925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-2193925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-2193925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-2193925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-2193925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-2193925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-2193925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-2193925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-2193925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-2193925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-2193925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-2193925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-2193925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-2193925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-2193925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-2193925</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-2193925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-2193925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-2193925</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-2193925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-2193925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-2193925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-2193925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-2193925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-2193925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-2193925</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-2193925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-2193925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-2193925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-2193925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-2193925</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-2193925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-2193925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-2193925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-2193925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-2193925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-2193925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-2193925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-2193925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-2193925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-2193925</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-2193925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-2193925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-2193925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-2193925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-2193925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-2193925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-2193925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-2193925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-2193925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-2193925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-2193925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-2193925</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-2193925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-2193925</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-2193925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-2193925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-2193925</wp:posOffset>
            </wp:positionV>
            <wp:extent cx="889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-2193925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-2193925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-2193925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-2193925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-2193925</wp:posOffset>
            </wp:positionV>
            <wp:extent cx="8890"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-2193925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-2193925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-2193925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-2193925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-2193925</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-2193925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-2193925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-2193925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-2193925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-2193925</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-2193925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-2193925</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-2193925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-2193925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-2193925</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-2193925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-2193925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-2193925</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-2193925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-2193925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-2193925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-2193925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-2193925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-2193925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-2193925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-2193925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-2193925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-2193925</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-2193925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right="420" w:firstLine="43"/>
        <w:spacing w:after="0" w:line="300" w:lineRule="auto"/>
        <w:rPr>
          <w:sz w:val="20"/>
          <w:szCs w:val="20"/>
          <w:color w:val="auto"/>
        </w:rPr>
      </w:pPr>
      <w:r>
        <w:rPr>
          <w:rFonts w:ascii="Georgia" w:cs="Georgia" w:eastAsia="Georgia" w:hAnsi="Georgia"/>
          <w:sz w:val="18"/>
          <w:szCs w:val="18"/>
          <w:color w:val="auto"/>
        </w:rPr>
        <w:t>We agreed with the Audit &amp; Finance Committee that we would report to them misstatements above CHF 270 thousand identified during our audit as well as any misstatements below that amount which, in our view, warranted reporting for qualitative reasons.</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scope</w:t>
      </w:r>
    </w:p>
    <w:p>
      <w:pPr>
        <w:spacing w:after="0" w:line="241" w:lineRule="exact"/>
        <w:rPr>
          <w:sz w:val="20"/>
          <w:szCs w:val="20"/>
          <w:color w:val="auto"/>
        </w:rPr>
      </w:pPr>
    </w:p>
    <w:p>
      <w:pPr>
        <w:ind w:left="60" w:right="160"/>
        <w:spacing w:after="0" w:line="300" w:lineRule="auto"/>
        <w:rPr>
          <w:sz w:val="20"/>
          <w:szCs w:val="20"/>
          <w:color w:val="auto"/>
        </w:rPr>
      </w:pPr>
      <w:r>
        <w:rPr>
          <w:rFonts w:ascii="Georgia" w:cs="Georgia" w:eastAsia="Georgia" w:hAnsi="Georgia"/>
          <w:sz w:val="18"/>
          <w:szCs w:val="18"/>
          <w:color w:val="auto"/>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audit matters</w:t>
      </w:r>
    </w:p>
    <w:p>
      <w:pPr>
        <w:spacing w:after="0" w:line="241" w:lineRule="exact"/>
        <w:rPr>
          <w:sz w:val="20"/>
          <w:szCs w:val="20"/>
          <w:color w:val="auto"/>
        </w:rPr>
      </w:pPr>
    </w:p>
    <w:p>
      <w:pPr>
        <w:ind w:left="60" w:right="200"/>
        <w:spacing w:after="0" w:line="300" w:lineRule="auto"/>
        <w:rPr>
          <w:sz w:val="20"/>
          <w:szCs w:val="20"/>
          <w:color w:val="auto"/>
        </w:rPr>
      </w:pPr>
      <w:r>
        <w:rPr>
          <w:rFonts w:ascii="Georgia" w:cs="Georgia" w:eastAsia="Georgia" w:hAnsi="Georgia"/>
          <w:sz w:val="18"/>
          <w:szCs w:val="18"/>
          <w:color w:val="auto"/>
        </w:rPr>
        <w:t>Key audit matters are those matters that, in our professional judgement,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 -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576897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5"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b w:val="1"/>
          <w:bCs w:val="1"/>
          <w:color w:val="auto"/>
        </w:rPr>
        <w:t>Key audit matter</w:t>
      </w:r>
      <w:r>
        <w:rPr>
          <w:sz w:val="20"/>
          <w:szCs w:val="20"/>
          <w:color w:val="auto"/>
        </w:rPr>
        <w:tab/>
      </w:r>
      <w:r>
        <w:rPr>
          <w:rFonts w:ascii="Arial" w:cs="Arial" w:eastAsia="Arial" w:hAnsi="Arial"/>
          <w:sz w:val="17"/>
          <w:szCs w:val="17"/>
          <w:b w:val="1"/>
          <w:bCs w:val="1"/>
          <w:color w:val="auto"/>
        </w:rPr>
        <w:t>How our audit addressed the key audit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5768975"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sectPr>
      </w:pPr>
    </w:p>
    <w:p>
      <w:pPr>
        <w:spacing w:after="0" w:line="200" w:lineRule="exact"/>
        <w:rPr>
          <w:sz w:val="20"/>
          <w:szCs w:val="20"/>
          <w:color w:val="auto"/>
        </w:rPr>
      </w:pPr>
    </w:p>
    <w:p>
      <w:pPr>
        <w:ind w:left="40"/>
        <w:spacing w:after="0" w:line="300" w:lineRule="auto"/>
        <w:rPr>
          <w:sz w:val="20"/>
          <w:szCs w:val="20"/>
          <w:color w:val="auto"/>
        </w:rPr>
      </w:pPr>
      <w:r>
        <w:rPr>
          <w:rFonts w:ascii="Georgia" w:cs="Georgia" w:eastAsia="Georgia" w:hAnsi="Georgia"/>
          <w:sz w:val="18"/>
          <w:szCs w:val="18"/>
          <w:color w:val="auto"/>
        </w:rPr>
        <w:t>As described in Notes 2 and 4 to the financial statements, the Company has CHF 50,416 thousand of an in-process research and development (IPR&amp;D) intangible asset as of December 31, 2025. The IPR&amp;D asset is reviewed at least annually for impairment by assessing the fair value less costs to sell (recoverable amount) and comparing this to the carrying value of the asset. The significant assumptions used in the valuation model in accordance with an income approach to determine the recoverable amount include observable and unobservable key inputs as follows: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80"/>
        <w:spacing w:after="0" w:line="324" w:lineRule="auto"/>
        <w:rPr>
          <w:sz w:val="20"/>
          <w:szCs w:val="20"/>
          <w:color w:val="auto"/>
        </w:rPr>
      </w:pPr>
      <w:r>
        <w:rPr>
          <w:rFonts w:ascii="Georgia" w:cs="Georgia" w:eastAsia="Georgia" w:hAnsi="Georgia"/>
          <w:sz w:val="17"/>
          <w:szCs w:val="17"/>
          <w:color w:val="auto"/>
        </w:rPr>
        <w:t>Addressing the matter involved performing procedures and evaluating audit evidence in connection with forming our overall opinion on the financial statements.</w:t>
      </w:r>
    </w:p>
    <w:p>
      <w:pPr>
        <w:spacing w:after="0" w:line="55" w:lineRule="exact"/>
        <w:rPr>
          <w:sz w:val="20"/>
          <w:szCs w:val="20"/>
          <w:color w:val="auto"/>
        </w:rPr>
      </w:pPr>
    </w:p>
    <w:p>
      <w:pPr>
        <w:spacing w:after="0" w:line="302" w:lineRule="auto"/>
        <w:rPr>
          <w:sz w:val="20"/>
          <w:szCs w:val="20"/>
          <w:color w:val="auto"/>
        </w:rPr>
      </w:pPr>
      <w:r>
        <w:rPr>
          <w:rFonts w:ascii="Georgia" w:cs="Georgia" w:eastAsia="Georgia" w:hAnsi="Georgia"/>
          <w:sz w:val="18"/>
          <w:szCs w:val="18"/>
          <w:color w:val="auto"/>
        </w:rPr>
        <w:t>These procedures included testing the effectiveness of controls relating to management’s valuation of the intangible asset. These procedures also included, among others, (i) testing management’s process for developing the fair value estimate; (ii) evaluating the appropriateness of the discounted cash flow model; (iii) testing the completeness and accuracy of underlying data used in the model; and (iv) evaluating the reasonableness of the significant assumptions used by management related to anticipated research and development costs, anticipated costs of goods and sales and marketing expenditures, probability of achieving clinical and regulatory development milestones in</w:t>
      </w:r>
    </w:p>
    <w:p>
      <w:pPr>
        <w:spacing w:after="0" w:line="363" w:lineRule="exact"/>
        <w:rPr>
          <w:sz w:val="20"/>
          <w:szCs w:val="20"/>
          <w:color w:val="auto"/>
        </w:rPr>
      </w:pPr>
    </w:p>
    <w:p>
      <w:pPr>
        <w:sectPr>
          <w:pgSz w:w="11900" w:h="16838" w:orient="portrait"/>
          <w:cols w:equalWidth="0" w:num="2">
            <w:col w:w="4480" w:space="120"/>
            <w:col w:w="4520"/>
          </w:cols>
          <w:pgMar w:left="1440" w:top="513" w:right="1339" w:bottom="1440" w:gutter="0" w:footer="0" w:header="0"/>
          <w:type w:val="continuous"/>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74"/>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440" w:top="513" w:right="1339"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20"/>
        <w:spacing w:after="0" w:line="300" w:lineRule="auto"/>
        <w:rPr>
          <w:sz w:val="20"/>
          <w:szCs w:val="20"/>
          <w:color w:val="auto"/>
        </w:rPr>
      </w:pPr>
      <w:r>
        <w:rPr>
          <w:rFonts w:ascii="Georgia" w:cs="Georgia" w:eastAsia="Georgia" w:hAnsi="Georgia"/>
          <w:sz w:val="18"/>
          <w:szCs w:val="18"/>
          <w:color w:val="auto"/>
        </w:rPr>
        <w:t>share, general commercialization expectations such as anticipated pricing and uptake, expected patent life and market exclusivity periods, and the discount rate used to discount future cash flows. The Company’s valuation model calculates the risk-adjusted, net cash flows through the period of market exclusivity across target sales regions.</w:t>
      </w:r>
    </w:p>
    <w:p>
      <w:pPr>
        <w:spacing w:after="0" w:line="73" w:lineRule="exact"/>
        <w:rPr>
          <w:sz w:val="20"/>
          <w:szCs w:val="20"/>
          <w:color w:val="auto"/>
        </w:rPr>
      </w:pPr>
    </w:p>
    <w:p>
      <w:pPr>
        <w:ind w:left="40"/>
        <w:spacing w:after="0" w:line="301"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intangible asset – valuation is a key audit matter are (i) the significant judgment by management when determining the value of the intangible asset; (ii)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and the discount rate used to discount future cash flows.; and (iii) the audit effort involved the use of professionals with specialized skill and knowledge.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301" w:lineRule="auto"/>
        <w:rPr>
          <w:sz w:val="20"/>
          <w:szCs w:val="20"/>
          <w:color w:val="auto"/>
        </w:rPr>
      </w:pPr>
      <w:r>
        <w:rPr>
          <w:rFonts w:ascii="Georgia" w:cs="Georgia" w:eastAsia="Georgia" w:hAnsi="Georgia"/>
          <w:sz w:val="18"/>
          <w:szCs w:val="18"/>
          <w:color w:val="auto"/>
        </w:rPr>
        <w:t>accordance with certain industry benchmarks, target indication prevalence and incidence rates, anticipated market share, general commercialization expectations such as anticipated pricing and uptake, expected patent life and market exclusivity periods, and the discount rate. Evaluating management’s assumptions related to anticipated research and development costs, anticipated costs of goods and sales and marketing expenditures, probability of achieving clinical and regulatory development milestones in accordance with certain industry benchmarks, target indication prevalence and incidence rates, anticipated market share, general commercialization expectations such as anticipated pricing and uptake, expected patent life and market exclusivity periods, involved evaluating whether the assumptions used by management were reasonable considering (i) the consistency with market and industry data; and (ii) whether these assumptions were consistent with evidence obtained in other areas of the audit. Professionals with specialized skill and knowledge were used to assist in the evaluation of the Company’s discounted cash flow model and the discount rate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876300</wp:posOffset>
            </wp:positionV>
            <wp:extent cx="576897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549" w:lineRule="exact"/>
        <w:rPr>
          <w:sz w:val="20"/>
          <w:szCs w:val="20"/>
          <w:color w:val="auto"/>
        </w:rPr>
      </w:pPr>
    </w:p>
    <w:p>
      <w:pPr>
        <w:sectPr>
          <w:pgSz w:w="11900" w:h="16838" w:orient="portrait"/>
          <w:cols w:equalWidth="0" w:num="2">
            <w:col w:w="4480" w:space="120"/>
            <w:col w:w="4520"/>
          </w:cols>
          <w:pgMar w:left="1440" w:top="513" w:right="1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41" w:lineRule="exact"/>
        <w:rPr>
          <w:sz w:val="20"/>
          <w:szCs w:val="20"/>
          <w:color w:val="auto"/>
        </w:rPr>
      </w:pPr>
    </w:p>
    <w:p>
      <w:pPr>
        <w:ind w:left="60" w:right="700"/>
        <w:spacing w:after="0" w:line="300" w:lineRule="auto"/>
        <w:rPr>
          <w:sz w:val="20"/>
          <w:szCs w:val="20"/>
          <w:color w:val="auto"/>
        </w:rPr>
      </w:pPr>
      <w:r>
        <w:rPr>
          <w:rFonts w:ascii="Georgia" w:cs="Georgia" w:eastAsia="Georgia" w:hAnsi="Georgia"/>
          <w:sz w:val="18"/>
          <w:szCs w:val="18"/>
          <w:color w:val="auto"/>
        </w:rPr>
        <w:t>The Board of Directors is responsible for the other information. The other information comprises the information included in the annual report, but does not include the financial statements, the consolidated financial statements, the compensation report and our auditor’s reports thereon.</w:t>
      </w:r>
    </w:p>
    <w:p>
      <w:pPr>
        <w:spacing w:after="0" w:line="178" w:lineRule="exact"/>
        <w:rPr>
          <w:sz w:val="20"/>
          <w:szCs w:val="20"/>
          <w:color w:val="auto"/>
        </w:rPr>
      </w:pPr>
    </w:p>
    <w:p>
      <w:pPr>
        <w:ind w:left="60" w:right="200"/>
        <w:spacing w:after="0" w:line="299" w:lineRule="auto"/>
        <w:rPr>
          <w:sz w:val="20"/>
          <w:szCs w:val="20"/>
          <w:color w:val="auto"/>
        </w:rPr>
      </w:pPr>
      <w:r>
        <w:rPr>
          <w:rFonts w:ascii="Georgia" w:cs="Georgia" w:eastAsia="Georgia" w:hAnsi="Georgia"/>
          <w:sz w:val="18"/>
          <w:szCs w:val="18"/>
          <w:color w:val="auto"/>
        </w:rPr>
        <w:t>Our opinion on the financial statements does not cover the other information and we do not express any form of assurance conclusion thereon.</w:t>
      </w:r>
    </w:p>
    <w:p>
      <w:pPr>
        <w:spacing w:after="0" w:line="192" w:lineRule="exact"/>
        <w:rPr>
          <w:sz w:val="20"/>
          <w:szCs w:val="20"/>
          <w:color w:val="auto"/>
        </w:rPr>
      </w:pPr>
    </w:p>
    <w:p>
      <w:pPr>
        <w:ind w:left="60" w:right="240"/>
        <w:spacing w:after="0" w:line="300" w:lineRule="auto"/>
        <w:rPr>
          <w:sz w:val="20"/>
          <w:szCs w:val="20"/>
          <w:color w:val="auto"/>
        </w:rPr>
      </w:pPr>
      <w:r>
        <w:rPr>
          <w:rFonts w:ascii="Georgia" w:cs="Georgia" w:eastAsia="Georgia" w:hAnsi="Georgia"/>
          <w:sz w:val="18"/>
          <w:szCs w:val="18"/>
          <w:color w:val="auto"/>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574"/>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440" w:top="513" w:right="1339"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right="699"/>
        <w:spacing w:after="0" w:line="299" w:lineRule="auto"/>
        <w:rPr>
          <w:sz w:val="20"/>
          <w:szCs w:val="20"/>
          <w:color w:val="auto"/>
        </w:rPr>
      </w:pPr>
      <w:r>
        <w:rPr>
          <w:rFonts w:ascii="Georgia" w:cs="Georgia" w:eastAsia="Georgia" w:hAnsi="Georgia"/>
          <w:sz w:val="18"/>
          <w:szCs w:val="18"/>
          <w:color w:val="auto"/>
        </w:rPr>
        <w:t>If, based on the work we have performed, we conclude that there is a material misstatement of this other information, we are required to report that fact. We have nothing to report in this regard.</w:t>
      </w: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responsibilities for the financial statements</w:t>
      </w:r>
    </w:p>
    <w:p>
      <w:pPr>
        <w:spacing w:after="0" w:line="241" w:lineRule="exact"/>
        <w:rPr>
          <w:sz w:val="20"/>
          <w:szCs w:val="20"/>
          <w:color w:val="auto"/>
        </w:rPr>
      </w:pPr>
    </w:p>
    <w:p>
      <w:pPr>
        <w:ind w:left="60" w:right="219"/>
        <w:spacing w:after="0" w:line="300" w:lineRule="auto"/>
        <w:rPr>
          <w:sz w:val="20"/>
          <w:szCs w:val="20"/>
          <w:color w:val="auto"/>
        </w:rPr>
      </w:pPr>
      <w:r>
        <w:rPr>
          <w:rFonts w:ascii="Georgia" w:cs="Georgia" w:eastAsia="Georgia" w:hAnsi="Georgia"/>
          <w:sz w:val="18"/>
          <w:szCs w:val="18"/>
          <w:color w:val="auto"/>
        </w:rPr>
        <w:t>The Board of Directors is responsible for the preparation of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spacing w:after="0" w:line="179" w:lineRule="exact"/>
        <w:rPr>
          <w:sz w:val="20"/>
          <w:szCs w:val="20"/>
          <w:color w:val="auto"/>
        </w:rPr>
      </w:pPr>
    </w:p>
    <w:p>
      <w:pPr>
        <w:ind w:left="60" w:right="219"/>
        <w:spacing w:after="0" w:line="305" w:lineRule="auto"/>
        <w:rPr>
          <w:sz w:val="20"/>
          <w:szCs w:val="20"/>
          <w:color w:val="auto"/>
        </w:rPr>
      </w:pPr>
      <w:r>
        <w:rPr>
          <w:rFonts w:ascii="Georgia" w:cs="Georgia" w:eastAsia="Georgia" w:hAnsi="Georgia"/>
          <w:sz w:val="18"/>
          <w:szCs w:val="18"/>
          <w:color w:val="auto"/>
        </w:rPr>
        <w:t>In preparing the financial statements, the Board of Directors is responsible for assessing the Company’s ability to continue as a going concern, disclosing, as applicable, matters related to going concern and using the going concern basis of accounting unless the Board of Directors either intends to liquidate the Company or to cease operations, or has no realistic alternative but to do so.</w:t>
      </w: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254" w:lineRule="exact"/>
        <w:rPr>
          <w:sz w:val="20"/>
          <w:szCs w:val="20"/>
          <w:color w:val="auto"/>
        </w:rPr>
      </w:pPr>
    </w:p>
    <w:p>
      <w:pPr>
        <w:ind w:left="60" w:right="159"/>
        <w:spacing w:after="0" w:line="300" w:lineRule="auto"/>
        <w:rPr>
          <w:sz w:val="20"/>
          <w:szCs w:val="20"/>
          <w:color w:val="auto"/>
        </w:rPr>
      </w:pPr>
      <w:r>
        <w:rPr>
          <w:rFonts w:ascii="Georgia" w:cs="Georgia" w:eastAsia="Georgia" w:hAnsi="Georgia"/>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SA-CH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181" w:lineRule="exact"/>
        <w:rPr>
          <w:sz w:val="20"/>
          <w:szCs w:val="20"/>
          <w:color w:val="auto"/>
        </w:rPr>
      </w:pPr>
    </w:p>
    <w:p>
      <w:pPr>
        <w:ind w:left="60" w:right="219"/>
        <w:spacing w:after="0" w:line="299" w:lineRule="auto"/>
        <w:rPr>
          <w:sz w:val="20"/>
          <w:szCs w:val="20"/>
          <w:color w:val="auto"/>
        </w:rPr>
      </w:pPr>
      <w:r>
        <w:rPr>
          <w:rFonts w:ascii="Georgia" w:cs="Georgia" w:eastAsia="Georgia" w:hAnsi="Georgia"/>
          <w:sz w:val="18"/>
          <w:szCs w:val="18"/>
          <w:color w:val="auto"/>
        </w:rPr>
        <w:t>As part of an audit in accordance with Swiss law and SA-CH, we exercise professional judgement and maintain professional scepticism throughout the audit. We also:</w:t>
      </w:r>
    </w:p>
    <w:p>
      <w:pPr>
        <w:spacing w:after="0" w:line="192" w:lineRule="exact"/>
        <w:rPr>
          <w:sz w:val="20"/>
          <w:szCs w:val="20"/>
          <w:color w:val="auto"/>
        </w:rPr>
      </w:pPr>
    </w:p>
    <w:p>
      <w:pPr>
        <w:ind w:left="260" w:right="119" w:hanging="210"/>
        <w:spacing w:after="0" w:line="299" w:lineRule="auto"/>
        <w:tabs>
          <w:tab w:leader="none" w:pos="260" w:val="left"/>
        </w:tabs>
        <w:numPr>
          <w:ilvl w:val="0"/>
          <w:numId w:val="41"/>
        </w:numPr>
        <w:rPr>
          <w:rFonts w:ascii="Times New Roman" w:cs="Times New Roman" w:eastAsia="Times New Roman" w:hAnsi="Times New Roman"/>
          <w:sz w:val="18"/>
          <w:szCs w:val="18"/>
          <w:color w:val="auto"/>
        </w:rPr>
      </w:pPr>
      <w:r>
        <w:rPr>
          <w:rFonts w:ascii="Georgia" w:cs="Georgia" w:eastAsia="Georgia" w:hAnsi="Georgia"/>
          <w:sz w:val="18"/>
          <w:szCs w:val="18"/>
          <w:color w:val="auto"/>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12" w:lineRule="exact"/>
        <w:rPr>
          <w:rFonts w:ascii="Times New Roman" w:cs="Times New Roman" w:eastAsia="Times New Roman" w:hAnsi="Times New Roman"/>
          <w:sz w:val="18"/>
          <w:szCs w:val="18"/>
          <w:color w:val="auto"/>
        </w:rPr>
      </w:pPr>
    </w:p>
    <w:p>
      <w:pPr>
        <w:jc w:val="both"/>
        <w:ind w:left="260" w:right="139" w:hanging="210"/>
        <w:spacing w:after="0" w:line="297" w:lineRule="auto"/>
        <w:tabs>
          <w:tab w:leader="none" w:pos="260" w:val="left"/>
        </w:tabs>
        <w:numPr>
          <w:ilvl w:val="0"/>
          <w:numId w:val="41"/>
        </w:numPr>
        <w:rPr>
          <w:rFonts w:ascii="Times New Roman" w:cs="Times New Roman" w:eastAsia="Times New Roman" w:hAnsi="Times New Roman"/>
          <w:sz w:val="18"/>
          <w:szCs w:val="18"/>
          <w:color w:val="auto"/>
        </w:rPr>
      </w:pPr>
      <w:r>
        <w:rPr>
          <w:rFonts w:ascii="Georgia" w:cs="Georgia" w:eastAsia="Georgia" w:hAnsi="Georgia"/>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w:t>
      </w:r>
    </w:p>
    <w:p>
      <w:pPr>
        <w:spacing w:after="0" w:line="114" w:lineRule="exact"/>
        <w:rPr>
          <w:rFonts w:ascii="Times New Roman" w:cs="Times New Roman" w:eastAsia="Times New Roman" w:hAnsi="Times New Roman"/>
          <w:sz w:val="18"/>
          <w:szCs w:val="18"/>
          <w:color w:val="auto"/>
        </w:rPr>
      </w:pPr>
    </w:p>
    <w:p>
      <w:pPr>
        <w:ind w:left="260" w:right="119" w:hanging="210"/>
        <w:spacing w:after="0" w:line="295" w:lineRule="auto"/>
        <w:tabs>
          <w:tab w:leader="none" w:pos="260" w:val="left"/>
        </w:tabs>
        <w:numPr>
          <w:ilvl w:val="0"/>
          <w:numId w:val="41"/>
        </w:numPr>
        <w:rPr>
          <w:rFonts w:ascii="Times New Roman" w:cs="Times New Roman" w:eastAsia="Times New Roman" w:hAnsi="Times New Roman"/>
          <w:sz w:val="18"/>
          <w:szCs w:val="18"/>
          <w:color w:val="auto"/>
        </w:rPr>
      </w:pPr>
      <w:r>
        <w:rPr>
          <w:rFonts w:ascii="Georgia" w:cs="Georgia" w:eastAsia="Georgia" w:hAnsi="Georgia"/>
          <w:sz w:val="18"/>
          <w:szCs w:val="18"/>
          <w:color w:val="auto"/>
        </w:rPr>
        <w:t>Evaluate the appropriateness of accounting policies used and the reasonableness of accounting estimates and related disclosures made.</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61"/>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right="79" w:hanging="210"/>
        <w:spacing w:after="0" w:line="299" w:lineRule="auto"/>
        <w:tabs>
          <w:tab w:leader="none" w:pos="260" w:val="left"/>
        </w:tabs>
        <w:numPr>
          <w:ilvl w:val="0"/>
          <w:numId w:val="42"/>
        </w:numPr>
        <w:rPr>
          <w:rFonts w:ascii="Times New Roman" w:cs="Times New Roman" w:eastAsia="Times New Roman" w:hAnsi="Times New Roman"/>
          <w:sz w:val="18"/>
          <w:szCs w:val="18"/>
          <w:color w:val="auto"/>
        </w:rPr>
      </w:pPr>
      <w:r>
        <w:rPr>
          <w:rFonts w:ascii="Georgia" w:cs="Georgia" w:eastAsia="Georgia" w:hAnsi="Georgia"/>
          <w:sz w:val="18"/>
          <w:szCs w:val="18"/>
          <w:color w:val="auto"/>
        </w:rPr>
        <w:t>Conclude on the appropriateness of the Board of Directors’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224" w:lineRule="exact"/>
        <w:rPr>
          <w:sz w:val="20"/>
          <w:szCs w:val="20"/>
          <w:color w:val="auto"/>
        </w:rPr>
      </w:pPr>
    </w:p>
    <w:p>
      <w:pPr>
        <w:jc w:val="both"/>
        <w:ind w:left="60" w:right="379"/>
        <w:spacing w:after="0" w:line="300" w:lineRule="auto"/>
        <w:rPr>
          <w:sz w:val="20"/>
          <w:szCs w:val="20"/>
          <w:color w:val="auto"/>
        </w:rPr>
      </w:pPr>
      <w:r>
        <w:rPr>
          <w:rFonts w:ascii="Georgia" w:cs="Georgia" w:eastAsia="Georgia" w:hAnsi="Georgia"/>
          <w:sz w:val="18"/>
          <w:szCs w:val="18"/>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178" w:lineRule="exact"/>
        <w:rPr>
          <w:sz w:val="20"/>
          <w:szCs w:val="20"/>
          <w:color w:val="auto"/>
        </w:rPr>
      </w:pPr>
    </w:p>
    <w:p>
      <w:pPr>
        <w:ind w:left="60" w:right="159"/>
        <w:spacing w:after="0" w:line="300" w:lineRule="auto"/>
        <w:rPr>
          <w:sz w:val="20"/>
          <w:szCs w:val="20"/>
          <w:color w:val="auto"/>
        </w:rPr>
      </w:pPr>
      <w:r>
        <w:rPr>
          <w:rFonts w:ascii="Georgia" w:cs="Georgia" w:eastAsia="Georgia" w:hAnsi="Georgia"/>
          <w:sz w:val="18"/>
          <w:szCs w:val="18"/>
          <w:color w:val="auto"/>
        </w:rPr>
        <w:t>We also provide the Board of Directors or its relevant committee with a statement that we have complied with relevant ethical requirements regarding independence, and communicate with them regarding all relationships and other matters that may reasonably be thought to bear on our independence, and where applicable, actions taken to eliminate threats or safeguards applied.</w:t>
      </w:r>
    </w:p>
    <w:p>
      <w:pPr>
        <w:spacing w:after="0" w:line="192" w:lineRule="exact"/>
        <w:rPr>
          <w:sz w:val="20"/>
          <w:szCs w:val="20"/>
          <w:color w:val="auto"/>
        </w:rPr>
      </w:pPr>
    </w:p>
    <w:p>
      <w:pPr>
        <w:ind w:left="60" w:right="459"/>
        <w:spacing w:after="0" w:line="300" w:lineRule="auto"/>
        <w:rPr>
          <w:sz w:val="20"/>
          <w:szCs w:val="20"/>
          <w:color w:val="auto"/>
        </w:rPr>
      </w:pPr>
      <w:r>
        <w:rPr>
          <w:rFonts w:ascii="Georgia" w:cs="Georgia" w:eastAsia="Georgia" w:hAnsi="Georgia"/>
          <w:sz w:val="18"/>
          <w:szCs w:val="18"/>
          <w:color w:val="auto"/>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3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Report on other legal and regulatory requirements</w:t>
      </w:r>
    </w:p>
    <w:p>
      <w:pPr>
        <w:spacing w:after="0" w:line="258" w:lineRule="exact"/>
        <w:rPr>
          <w:sz w:val="20"/>
          <w:szCs w:val="20"/>
          <w:color w:val="auto"/>
        </w:rPr>
      </w:pPr>
    </w:p>
    <w:p>
      <w:pPr>
        <w:ind w:left="60" w:right="619"/>
        <w:spacing w:after="0" w:line="300" w:lineRule="auto"/>
        <w:rPr>
          <w:sz w:val="20"/>
          <w:szCs w:val="20"/>
          <w:color w:val="auto"/>
        </w:rPr>
      </w:pPr>
      <w:r>
        <w:rPr>
          <w:rFonts w:ascii="Georgia" w:cs="Georgia" w:eastAsia="Georgia" w:hAnsi="Georgia"/>
          <w:sz w:val="18"/>
          <w:szCs w:val="18"/>
          <w:color w:val="auto"/>
        </w:rPr>
        <w:t>In accordance with article 728a para. 1 item 3 CO and PS-CH 890, we confirm the existence of an internal control system that has been designed, pursuant to the instructions of the Board of Directors, for the preparation of the financial statements.</w:t>
      </w:r>
    </w:p>
    <w:p>
      <w:pPr>
        <w:spacing w:after="0" w:line="178" w:lineRule="exact"/>
        <w:rPr>
          <w:sz w:val="20"/>
          <w:szCs w:val="20"/>
          <w:color w:val="auto"/>
        </w:rPr>
      </w:pPr>
    </w:p>
    <w:p>
      <w:pPr>
        <w:ind w:left="60" w:right="139"/>
        <w:spacing w:after="0" w:line="300" w:lineRule="auto"/>
        <w:rPr>
          <w:sz w:val="20"/>
          <w:szCs w:val="20"/>
          <w:color w:val="auto"/>
        </w:rPr>
      </w:pPr>
      <w:r>
        <w:rPr>
          <w:rFonts w:ascii="Georgia" w:cs="Georgia" w:eastAsia="Georgia" w:hAnsi="Georgia"/>
          <w:sz w:val="18"/>
          <w:szCs w:val="18"/>
          <w:color w:val="auto"/>
        </w:rPr>
        <w:t>Based on our audit according to article 728a para. 1 item 2 CO, we confirm that the Board of Directors' proposal complies with Swiss law and the Company’s articles of incorporation. We recommend that the financial statements submitted to you be approved.</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560"/>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Georgia" w:cs="Georgia" w:eastAsia="Georgia" w:hAnsi="Georgia"/>
          <w:sz w:val="17"/>
          <w:szCs w:val="17"/>
          <w:color w:val="auto"/>
        </w:rPr>
        <w:t>PricewaterhouseCoopers SA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Georgia" w:cs="Georgia" w:eastAsia="Georgia" w:hAnsi="Georgia"/>
          <w:sz w:val="18"/>
          <w:szCs w:val="18"/>
          <w:color w:val="auto"/>
        </w:rPr>
        <w:t>/s/ Alex Fuhrer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Georgia" w:cs="Georgia" w:eastAsia="Georgia" w:hAnsi="Georgia"/>
          <w:sz w:val="18"/>
          <w:szCs w:val="18"/>
          <w:color w:val="auto"/>
        </w:rPr>
        <w:t>/s/ Thomas Kohler</w:t>
      </w:r>
    </w:p>
    <w:p>
      <w:pPr>
        <w:spacing w:after="0" w:line="52" w:lineRule="exact"/>
        <w:rPr>
          <w:sz w:val="20"/>
          <w:szCs w:val="20"/>
          <w:color w:val="auto"/>
        </w:rPr>
      </w:pPr>
    </w:p>
    <w:p>
      <w:pPr>
        <w:sectPr>
          <w:pgSz w:w="11900" w:h="16838" w:orient="portrait"/>
          <w:cols w:equalWidth="0" w:num="2">
            <w:col w:w="3900" w:space="720"/>
            <w:col w:w="4399"/>
          </w:cols>
          <w:pgMar w:left="1440" w:top="513" w:right="1440" w:bottom="1440" w:gutter="0" w:footer="0" w:header="0"/>
          <w:type w:val="continuous"/>
        </w:sectPr>
      </w:pPr>
    </w:p>
    <w:p>
      <w:pPr>
        <w:ind w:left="40"/>
        <w:spacing w:after="0"/>
        <w:rPr>
          <w:sz w:val="20"/>
          <w:szCs w:val="20"/>
          <w:color w:val="auto"/>
        </w:rPr>
      </w:pPr>
      <w:r>
        <w:rPr>
          <w:rFonts w:ascii="Georgia" w:cs="Georgia" w:eastAsia="Georgia" w:hAnsi="Georgia"/>
          <w:sz w:val="18"/>
          <w:szCs w:val="18"/>
          <w:color w:val="auto"/>
        </w:rPr>
        <w:t>Licensed audit expert</w:t>
      </w:r>
    </w:p>
    <w:p>
      <w:pPr>
        <w:spacing w:after="0" w:line="20" w:lineRule="exact"/>
        <w:rPr>
          <w:sz w:val="20"/>
          <w:szCs w:val="20"/>
          <w:color w:val="auto"/>
        </w:rPr>
      </w:pPr>
      <w:r>
        <w:rPr>
          <w:sz w:val="20"/>
          <w:szCs w:val="20"/>
          <w:color w:val="auto"/>
        </w:rPr>
        <w:br w:type="column"/>
      </w:r>
    </w:p>
    <w:p>
      <w:pPr>
        <w:jc w:val="center"/>
        <w:ind w:right="2699"/>
        <w:spacing w:after="0"/>
        <w:rPr>
          <w:sz w:val="20"/>
          <w:szCs w:val="20"/>
          <w:color w:val="auto"/>
        </w:rPr>
      </w:pPr>
      <w:r>
        <w:rPr>
          <w:rFonts w:ascii="Georgia" w:cs="Georgia" w:eastAsia="Georgia" w:hAnsi="Georgia"/>
          <w:sz w:val="17"/>
          <w:szCs w:val="17"/>
          <w:color w:val="auto"/>
        </w:rPr>
        <w:t>Licensed audit expert</w:t>
      </w:r>
    </w:p>
    <w:p>
      <w:pPr>
        <w:spacing w:after="0" w:line="61" w:lineRule="exact"/>
        <w:rPr>
          <w:sz w:val="20"/>
          <w:szCs w:val="20"/>
          <w:color w:val="auto"/>
        </w:rPr>
      </w:pPr>
    </w:p>
    <w:p>
      <w:pPr>
        <w:sectPr>
          <w:pgSz w:w="11900" w:h="16838" w:orient="portrait"/>
          <w:cols w:equalWidth="0" w:num="2">
            <w:col w:w="3900" w:space="720"/>
            <w:col w:w="4399"/>
          </w:cols>
          <w:pgMar w:left="1440" w:top="513" w:right="1440" w:bottom="1440" w:gutter="0" w:footer="0" w:header="0"/>
          <w:type w:val="continuous"/>
        </w:sectPr>
      </w:pPr>
    </w:p>
    <w:p>
      <w:pPr>
        <w:ind w:left="40"/>
        <w:spacing w:after="0"/>
        <w:rPr>
          <w:sz w:val="20"/>
          <w:szCs w:val="20"/>
          <w:color w:val="auto"/>
        </w:rPr>
      </w:pPr>
      <w:r>
        <w:rPr>
          <w:rFonts w:ascii="Georgia" w:cs="Georgia" w:eastAsia="Georgia" w:hAnsi="Georgia"/>
          <w:sz w:val="18"/>
          <w:szCs w:val="18"/>
          <w:color w:val="auto"/>
        </w:rPr>
        <w:t>Auditor in charge</w:t>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Georgia" w:cs="Georgia" w:eastAsia="Georgia" w:hAnsi="Georgia"/>
          <w:sz w:val="17"/>
          <w:szCs w:val="17"/>
          <w:color w:val="auto"/>
        </w:rPr>
        <w:t>Lausanne, March 13, 2026</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60"/>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Statutory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   Note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6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80" w:type="dxa"/>
            <w:vAlign w:val="bottom"/>
            <w:gridSpan w:val="2"/>
          </w:tcPr>
          <w:p>
            <w:pPr>
              <w:spacing w:after="0"/>
              <w:rPr>
                <w:sz w:val="12"/>
                <w:szCs w:val="12"/>
                <w:color w:val="auto"/>
              </w:rPr>
            </w:pPr>
          </w:p>
        </w:tc>
        <w:tc>
          <w:tcPr>
            <w:tcW w:w="82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60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From third parties</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Intercompany</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52,990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149,648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60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To third parties</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w w:val="99"/>
              </w:rPr>
              <w:t>10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 Intercompany</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w w:val="99"/>
              </w:rPr>
              <w:t>10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rPr>
              <w:t>10/11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w w:val="99"/>
              </w:rPr>
              <w:t>12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83,706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93,292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w w:val="99"/>
              </w:rPr>
              <w:t>12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00" w:type="dxa"/>
            <w:vAlign w:val="bottom"/>
            <w:gridSpan w:val="2"/>
          </w:tcPr>
          <w:p>
            <w:pPr>
              <w:jc w:val="center"/>
              <w:ind w:left="1571"/>
              <w:spacing w:after="0"/>
              <w:rPr>
                <w:sz w:val="20"/>
                <w:szCs w:val="20"/>
                <w:color w:val="auto"/>
              </w:rPr>
            </w:pPr>
            <w:r>
              <w:rPr>
                <w:rFonts w:ascii="Times New Roman" w:cs="Times New Roman" w:eastAsia="Times New Roman" w:hAnsi="Times New Roman"/>
                <w:sz w:val="18"/>
                <w:szCs w:val="18"/>
                <w:color w:val="auto"/>
                <w:w w:val="99"/>
              </w:rPr>
              <w:t>13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from capital contributions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 brought forward</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(356,846)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200" w:type="dxa"/>
            <w:vAlign w:val="bottom"/>
            <w:gridSpan w:val="2"/>
            <w:shd w:val="clear" w:color="auto" w:fill="CCEEFF"/>
          </w:tcPr>
          <w:p>
            <w:pPr>
              <w:jc w:val="center"/>
              <w:ind w:left="1571"/>
              <w:spacing w:after="0"/>
              <w:rPr>
                <w:sz w:val="20"/>
                <w:szCs w:val="20"/>
                <w:color w:val="auto"/>
              </w:rPr>
            </w:pPr>
            <w:r>
              <w:rPr>
                <w:rFonts w:ascii="Times New Roman" w:cs="Times New Roman" w:eastAsia="Times New Roman" w:hAnsi="Times New Roman"/>
                <w:sz w:val="18"/>
                <w:szCs w:val="18"/>
                <w:color w:val="auto"/>
                <w:w w:val="99"/>
              </w:rPr>
              <w:t>14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(67,595)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54,017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149,648</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574"/>
        </w:trPr>
        <w:tc>
          <w:tcPr>
            <w:tcW w:w="5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Statutory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3000" w:type="dxa"/>
            <w:vAlign w:val="bottom"/>
            <w:gridSpan w:val="3"/>
            <w:vMerge w:val="restart"/>
          </w:tcPr>
          <w:p>
            <w:pPr>
              <w:ind w:left="20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w:t>
            </w:r>
          </w:p>
        </w:tc>
        <w:tc>
          <w:tcPr>
            <w:tcW w:w="1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3000" w:type="dxa"/>
            <w:vAlign w:val="bottom"/>
            <w:gridSpan w:val="3"/>
            <w:vMerge w:val="continue"/>
          </w:tcPr>
          <w:p>
            <w:pPr>
              <w:spacing w:after="0"/>
              <w:rPr>
                <w:sz w:val="12"/>
                <w:szCs w:val="12"/>
                <w:color w:val="auto"/>
              </w:rPr>
            </w:pPr>
          </w:p>
        </w:tc>
        <w:tc>
          <w:tcPr>
            <w:tcW w:w="8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8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(47,429)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2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financial result, net</w:t>
            </w:r>
          </w:p>
        </w:tc>
        <w:tc>
          <w:tcPr>
            <w:tcW w:w="2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(67,595)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the statutory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General information</w:t>
      </w:r>
    </w:p>
    <w:p>
      <w:pPr>
        <w:spacing w:after="0" w:line="22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AC Immune SA (“AC Immune,” “the Company,” “we”)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 Our goal is to continue leveraging our proprietary discovery platforms, SupraAntigen and Morphomer, to shift the treatment paradigm for neurodegenerative disease towards Precision Medicine. Our corporate strategy is focused on two core value drivers: (i) Active Immunotherapies being developed for the treatment and prevention of Alzheimer’s disease (AD) and Parkinson’s disease (PD); and (ii) Intracellular targeting with brain penetrant small molecule programs targeting intracellular pathologies.</w:t>
      </w:r>
    </w:p>
    <w:p>
      <w:pPr>
        <w:spacing w:after="0" w:line="194" w:lineRule="exact"/>
        <w:rPr>
          <w:sz w:val="20"/>
          <w:szCs w:val="20"/>
          <w:color w:val="auto"/>
        </w:rPr>
      </w:pPr>
    </w:p>
    <w:p>
      <w:pPr>
        <w:jc w:val="both"/>
        <w:ind w:left="60" w:right="599"/>
        <w:spacing w:after="0" w:line="266" w:lineRule="auto"/>
        <w:rPr>
          <w:sz w:val="20"/>
          <w:szCs w:val="20"/>
          <w:color w:val="auto"/>
        </w:rPr>
      </w:pPr>
      <w:r>
        <w:rPr>
          <w:rFonts w:ascii="Times New Roman" w:cs="Times New Roman" w:eastAsia="Times New Roman" w:hAnsi="Times New Roman"/>
          <w:sz w:val="18"/>
          <w:szCs w:val="18"/>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1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statutory financial statements of AC Immune for the period ended December 31, 2025 were authorized for issue in accordance with a resolution of the Board of Directors on March 11, 2026 and will be submitted to the next Ordinary General Assembly.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During 2025 and 2024, AC Immune had an annual average of more than 10 but less than 250 full time equivalent positions.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Where necessary, comparative figures have been adjusted to conform with changes in presentation in the current year.</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Summary of significant accounting principles</w:t>
      </w:r>
    </w:p>
    <w:p>
      <w:pPr>
        <w:spacing w:after="0" w:line="220" w:lineRule="exact"/>
        <w:rPr>
          <w:sz w:val="20"/>
          <w:szCs w:val="20"/>
          <w:color w:val="auto"/>
        </w:rPr>
      </w:pPr>
    </w:p>
    <w:p>
      <w:pPr>
        <w:ind w:left="60" w:right="79"/>
        <w:spacing w:after="0" w:line="224" w:lineRule="auto"/>
        <w:rPr>
          <w:sz w:val="20"/>
          <w:szCs w:val="20"/>
          <w:color w:val="auto"/>
        </w:rPr>
      </w:pPr>
      <w:r>
        <w:rPr>
          <w:rFonts w:ascii="Times New Roman" w:cs="Times New Roman" w:eastAsia="Times New Roman" w:hAnsi="Times New Roman"/>
          <w:sz w:val="18"/>
          <w:szCs w:val="18"/>
          <w:color w:val="auto"/>
        </w:rPr>
        <w:t>The present annual accounts have been prepared in accordance with the provisions of the Swiss law on accounting and financial reporting (32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vs. non-current classification</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 presents assets and liabilities in the balance sheets based on a current/non-current classification. The Company classifies as current all amounts (assets) that are to be realized within 12 months after the reporting period and classifies as non-current all other amounts (assets). For liabilities, any amounts expected to be settled within 12 months after the reporting period are classified as current if the Company does not have the right to defer settlement for at least 12 months after the reporting period - all other amounts (liabilities) are classified as non-current.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the reporting date. Any gains or losses from these translations are included in the income statement in the period in which they arise.</w:t>
      </w:r>
    </w:p>
    <w:p>
      <w:pPr>
        <w:spacing w:after="0" w:line="18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of intellectual property</w:t>
      </w:r>
    </w:p>
    <w:p>
      <w:pPr>
        <w:spacing w:after="0" w:line="227" w:lineRule="exact"/>
        <w:rPr>
          <w:sz w:val="20"/>
          <w:szCs w:val="20"/>
          <w:color w:val="auto"/>
        </w:rPr>
      </w:pPr>
    </w:p>
    <w:p>
      <w:pPr>
        <w:jc w:val="both"/>
        <w:ind w:left="60" w:right="179"/>
        <w:spacing w:after="0" w:line="289" w:lineRule="auto"/>
        <w:rPr>
          <w:sz w:val="20"/>
          <w:szCs w:val="20"/>
          <w:color w:val="auto"/>
        </w:rPr>
      </w:pPr>
      <w:r>
        <w:rPr>
          <w:rFonts w:ascii="Times New Roman" w:cs="Times New Roman" w:eastAsia="Times New Roman" w:hAnsi="Times New Roman"/>
          <w:sz w:val="17"/>
          <w:szCs w:val="17"/>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5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when the performance obligations are satisfied.</w:t>
      </w:r>
    </w:p>
    <w:p>
      <w:pPr>
        <w:spacing w:after="0" w:line="18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For collaboration agreements, in addition to receiving upfront payments, the Company is also entitled to milestone and other contingent payments upon achieving pre-defined objectives.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Grant income</w:t>
      </w:r>
    </w:p>
    <w:p>
      <w:pPr>
        <w:spacing w:after="0" w:line="227"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has received grants, from time to time from institutions to support certain research projects. Grants are recorded in the income statement within Revenue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9"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Given the stage of development of the Company’s products, all research expenditure is recognized as expense when incurred. Research and development expenditures include:</w:t>
      </w:r>
    </w:p>
    <w:p>
      <w:pPr>
        <w:spacing w:after="0" w:line="162" w:lineRule="exact"/>
        <w:rPr>
          <w:sz w:val="20"/>
          <w:szCs w:val="20"/>
          <w:color w:val="auto"/>
        </w:rPr>
      </w:pPr>
    </w:p>
    <w:p>
      <w:pPr>
        <w:ind w:left="700" w:right="119" w:hanging="326"/>
        <w:spacing w:after="0" w:line="282"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53" w:lineRule="exact"/>
        <w:rPr>
          <w:rFonts w:ascii="Times New Roman" w:cs="Times New Roman" w:eastAsia="Times New Roman" w:hAnsi="Times New Roman"/>
          <w:sz w:val="18"/>
          <w:szCs w:val="18"/>
          <w:color w:val="auto"/>
        </w:rPr>
      </w:pPr>
    </w:p>
    <w:p>
      <w:pPr>
        <w:ind w:left="700" w:right="339" w:hanging="326"/>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6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costs related to regulatory filings and activities;</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benefits, and travel expenses; and</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allocated expenses such as facilities and information technology (IT) costs.</w:t>
      </w:r>
    </w:p>
    <w:p>
      <w:pPr>
        <w:spacing w:after="0" w:line="22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external research contracts, expenses include those associated with contract research organizations, or CROs, or contract manufacturing organizations, or CMOs. The invoicing from CROs or CMOs for services rendered does not always align with the timing of services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financial statements based on facts and circumstances known at the time.</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3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3 years</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 furniture</w:t>
            </w:r>
          </w:p>
        </w:tc>
        <w:tc>
          <w:tcPr>
            <w:tcW w:w="3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62"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Gains and losses on disposals are determined by comparing the disposal proceeds with the carrying amount and are included in the income statement.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Company reviews the in-process research and development (IPR&amp;D) asset at least annually for impairment by assessing the fair value less costs to sell (recoverable amount) and comparing this to the carrying value of the asset. The Company has determined the IPR&amp;D asset was not impaired as of December 31, 2025 and 2024, respectively.</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key assumptions used in the valuation model in accordance with an income approach to determine the recoverable amount include observable and unobservable key inputs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-305435</wp:posOffset>
            </wp:positionV>
            <wp:extent cx="565785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42" w:lineRule="exact"/>
        <w:rPr>
          <w:sz w:val="20"/>
          <w:szCs w:val="20"/>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costs;</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costs of goods and sales and marketing expenditures;</w:t>
      </w:r>
    </w:p>
    <w:p>
      <w:pPr>
        <w:spacing w:after="0" w:line="117" w:lineRule="exact"/>
        <w:rPr>
          <w:rFonts w:ascii="Times New Roman" w:cs="Times New Roman" w:eastAsia="Times New Roman" w:hAnsi="Times New Roman"/>
          <w:sz w:val="18"/>
          <w:szCs w:val="18"/>
          <w:color w:val="auto"/>
        </w:rPr>
      </w:pPr>
    </w:p>
    <w:p>
      <w:pPr>
        <w:ind w:left="700" w:right="55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 of achieving clinical and regulatory development milestones in accordance with certain industry benchmarks;</w:t>
      </w:r>
    </w:p>
    <w:p>
      <w:pPr>
        <w:spacing w:after="0" w:line="53"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indication prevalence and incidence rates;</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market share;</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commercialization expectations such as anticipated pricing and uptake;</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patent life and market exclusivity periods; and</w:t>
      </w:r>
    </w:p>
    <w:p>
      <w:pPr>
        <w:spacing w:after="0" w:line="11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metrics such as the tax rate.</w:t>
      </w:r>
    </w:p>
    <w:p>
      <w:pPr>
        <w:spacing w:after="0" w:line="225"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Company’s valuation model calculates the risk-adjusted, net cash flows through the projected period of market exclusivity across target sales regions. The Company uses a discount rate of 17% (17% for 2023), based on the assumed cost of capital for the Company over the forecast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Intercompany equity investment</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Company commenced financial operations in the United States in 2021 via the opening of its fully-owned subsidiary, AC Immune USA, Inc. (“the Subsidiary”). The Subsidiary is located at 17 State Street Fl 40, New York, USA, and is registered and organized under the laws of Delaware, USA. The Company owns 100% of the Subsidiary, paying in less than USD 1 (CHF 1) for 100 shares of par value USD 0.01 of the Subsidiary’s shares.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are comprised of receivables, cash and cash equivalents, short-term financial assets and trade payables.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2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financial assets</w:t>
      </w:r>
    </w:p>
    <w:p>
      <w:pPr>
        <w:spacing w:after="0" w:line="22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Short-term financial assets are held with external financial institutions and comprise fixed-term deposits with maturities ranging from more than 3 until 12 months in duration.</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7"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deposits held with external financial institutions and cash on hand. All cash and cash equivalents are either in cash or in deposits with original duration of less than 3 months. The Company assesses at each period whether there is objective evidence that financial assets are impaired.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Trade payables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payables are recognized initially at nominal amount, which represents cost incurred.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shareholders who own more than 5 percent of the voting rights as of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3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0" w:type="dxa"/>
            <w:vAlign w:val="bottom"/>
          </w:tcPr>
          <w:p>
            <w:pPr>
              <w:spacing w:after="0"/>
              <w:rPr>
                <w:sz w:val="1"/>
                <w:szCs w:val="1"/>
                <w:color w:val="auto"/>
              </w:rPr>
            </w:pPr>
          </w:p>
        </w:tc>
      </w:tr>
      <w:tr>
        <w:trPr>
          <w:trHeight w:val="173"/>
        </w:trPr>
        <w:tc>
          <w:tcPr>
            <w:tcW w:w="4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shareholders</w:t>
            </w:r>
          </w:p>
        </w:tc>
        <w:tc>
          <w:tcPr>
            <w:tcW w:w="800" w:type="dxa"/>
            <w:vAlign w:val="bottom"/>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1780" w:type="dxa"/>
            <w:vAlign w:val="bottom"/>
            <w:gridSpan w:val="3"/>
          </w:tcPr>
          <w:p>
            <w:pPr>
              <w:ind w:left="7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Number</w:t>
            </w:r>
          </w:p>
        </w:tc>
        <w:tc>
          <w:tcPr>
            <w:tcW w:w="6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Percent</w:t>
            </w:r>
          </w:p>
        </w:tc>
        <w:tc>
          <w:tcPr>
            <w:tcW w:w="240" w:type="dxa"/>
            <w:vAlign w:val="bottom"/>
            <w:vMerge w:val="continue"/>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8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BVF Inc.</w:t>
            </w:r>
            <w:r>
              <w:rPr>
                <w:rFonts w:ascii="Times New Roman" w:cs="Times New Roman" w:eastAsia="Times New Roman" w:hAnsi="Times New Roman"/>
                <w:sz w:val="25"/>
                <w:szCs w:val="25"/>
                <w:color w:val="auto"/>
                <w:vertAlign w:val="superscript"/>
              </w:rPr>
              <w:t>(1)</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19,822,436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7"/>
              </w:rPr>
              <w:t>20.0 %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19,522,436</w:t>
            </w:r>
          </w:p>
        </w:tc>
        <w:tc>
          <w:tcPr>
            <w:tcW w:w="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dievini Hopp BioTech holding GmbH &amp; Co KG</w:t>
            </w:r>
            <w:r>
              <w:rPr>
                <w:rFonts w:ascii="Times New Roman" w:cs="Times New Roman" w:eastAsia="Times New Roman" w:hAnsi="Times New Roman"/>
                <w:sz w:val="25"/>
                <w:szCs w:val="25"/>
                <w:color w:val="auto"/>
                <w:vertAlign w:val="superscript"/>
              </w:rPr>
              <w:t>(2)</w:t>
            </w:r>
          </w:p>
        </w:tc>
        <w:tc>
          <w:tcPr>
            <w:tcW w:w="1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16,316,742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7"/>
              </w:rPr>
              <w:t>16.4 %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16,316,742</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Varuma AG</w:t>
            </w:r>
            <w:r>
              <w:rPr>
                <w:rFonts w:ascii="Times New Roman" w:cs="Times New Roman" w:eastAsia="Times New Roman" w:hAnsi="Times New Roman"/>
                <w:sz w:val="25"/>
                <w:szCs w:val="25"/>
                <w:color w:val="auto"/>
                <w:vertAlign w:val="superscript"/>
              </w:rPr>
              <w:t>(3)</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11,999,999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7"/>
              </w:rPr>
              <w:t>12.1 %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11,999,999</w:t>
            </w:r>
          </w:p>
        </w:tc>
        <w:tc>
          <w:tcPr>
            <w:tcW w:w="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Affiris</w:t>
            </w:r>
            <w:r>
              <w:rPr>
                <w:rFonts w:ascii="Times New Roman" w:cs="Times New Roman" w:eastAsia="Times New Roman" w:hAnsi="Times New Roman"/>
                <w:sz w:val="25"/>
                <w:szCs w:val="25"/>
                <w:color w:val="auto"/>
                <w:vertAlign w:val="superscript"/>
              </w:rPr>
              <w:t>(4)</w:t>
            </w:r>
          </w:p>
        </w:tc>
        <w:tc>
          <w:tcPr>
            <w:tcW w:w="1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6,428,100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6,428,100</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9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13F filed with the SEC by BVF on February 17, 2026, these shares consist of 19,822,436 shares held of record by BVF Inc. The address of BVF Inc. is 44 Montgomery St., 40th Floor, San Francisco, California 94104.</w:t>
      </w:r>
    </w:p>
    <w:p>
      <w:pPr>
        <w:spacing w:after="0" w:line="17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13G/A filed with the SEC by dievini Hopp BioTech holding GmbH &amp; Co KG (“dievini”) on February 10, 2023. These shares consist of 16,316,742 shares held by dievini.</w:t>
      </w:r>
    </w:p>
    <w:p>
      <w:pPr>
        <w:spacing w:after="0" w:line="53" w:lineRule="exact"/>
        <w:rPr>
          <w:rFonts w:ascii="Times New Roman" w:cs="Times New Roman" w:eastAsia="Times New Roman" w:hAnsi="Times New Roman"/>
          <w:sz w:val="18"/>
          <w:szCs w:val="18"/>
          <w:color w:val="auto"/>
        </w:rPr>
      </w:pPr>
    </w:p>
    <w:p>
      <w:pPr>
        <w:ind w:left="380" w:right="1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DH-Capital GmbH &amp; Co. KG (“DH-Capital”) and OH Beteiligungen GmbH &amp; Co. KG (“OH Beteiligungen”) are collectively the holders of 100% of the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80" w:lineRule="exact"/>
        <w:rPr>
          <w:rFonts w:ascii="Times New Roman" w:cs="Times New Roman" w:eastAsia="Times New Roman" w:hAnsi="Times New Roman"/>
          <w:sz w:val="18"/>
          <w:szCs w:val="18"/>
          <w:color w:val="auto"/>
        </w:rPr>
      </w:pPr>
    </w:p>
    <w:p>
      <w:pPr>
        <w:ind w:left="380" w:right="1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dievini and Dietmar Hopp is c/o dievini Hopp BioTech holding GmbH &amp; Co. KG, Johann-Jakob-Astor Straße 57, 69190 Walldorf, Germany. The address of the principal business office of DH-Capital GmbH &amp; Co. KG and OH Beteiligungen GmbH &amp; Co. KG is Opelstraße 28, 68789 St. Leon-Rot, Germany. The address of the principal business office of Oliver Hopp is Johann-Jakob-Astor-Straße 59, 69190 Walldorf, Germany</w:t>
      </w:r>
    </w:p>
    <w:p>
      <w:pPr>
        <w:spacing w:after="0" w:line="75" w:lineRule="exact"/>
        <w:rPr>
          <w:rFonts w:ascii="Times New Roman" w:cs="Times New Roman" w:eastAsia="Times New Roman" w:hAnsi="Times New Roman"/>
          <w:sz w:val="18"/>
          <w:szCs w:val="18"/>
          <w:color w:val="auto"/>
        </w:rPr>
      </w:pPr>
    </w:p>
    <w:p>
      <w:pPr>
        <w:ind w:left="380" w:right="25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11,999,999 shares held by Varuma AG set forth in a Schedule 13G/A filed with the SEC on February 12, 2019. The address for Varuma AG is Aeschenvorstadt 55, CH 4051 Basel, Switzerland. Rudolf Maag controls the voting and investment decisions of Varuma AG.</w:t>
      </w:r>
    </w:p>
    <w:p>
      <w:pPr>
        <w:spacing w:after="0" w:line="67" w:lineRule="exact"/>
        <w:rPr>
          <w:rFonts w:ascii="Times New Roman" w:cs="Times New Roman" w:eastAsia="Times New Roman" w:hAnsi="Times New Roman"/>
          <w:sz w:val="18"/>
          <w:szCs w:val="18"/>
          <w:color w:val="auto"/>
        </w:rPr>
      </w:pPr>
    </w:p>
    <w:p>
      <w:pPr>
        <w:ind w:left="380" w:right="27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13G/A filed with the SEC by Affiris AG December 13, 2024, these shares consist of 6,428,100 shares held of record by Affiris AG. The address of Affiris AG is Karl-Farkas-Gasse 22, 1030 Vienna, Austria.</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been a tenant at our current location in the EPFL Innovation Park in Ecublens/Lausanne since shortly after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inception in 2003. We lease our corporate, laboratory and other facilities under multiple operating leases that are month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month with no termination clause longer than a 12-month contractual notice period. Our lease agreements are structured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such that we can exit these lease agreements without penalty provided we give the owner of our premises sufficient notice.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total minimum liability for the remaining term was CHF 1.4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2025, AC Immune incurred restructuring costs associated with planned initiatives to reduce our costs. The most significant restructuring costs are termination benefits provided to employees. In connection with developing a detailed formal plan for the restructuring, the Company established a provision for restructuring costs and, through execution of the plan and announcement of its main features to those affected by it, a valid expectation has been raised in those affected that the plan will be implemented. See Note 11 for full details on the expenses incurred and the liability remaining at December 31,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Swiss Code of Obligations requires management to make judgments, estimates and assumptions that affect the application of accounting policies and the reported amounts of assets, liabilities, income and expenses.</w:t>
      </w:r>
    </w:p>
    <w:p>
      <w:pPr>
        <w:spacing w:after="0" w:line="1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option, collaboration and licensing agreements, (ii) clinical development accruals and (iii)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0" w:lineRule="exact"/>
        <w:rPr>
          <w:sz w:val="20"/>
          <w:szCs w:val="20"/>
          <w:color w:val="auto"/>
        </w:rPr>
      </w:pPr>
    </w:p>
    <w:p>
      <w:pPr>
        <w:ind w:left="60" w:right="3799"/>
        <w:spacing w:after="0" w:line="499" w:lineRule="auto"/>
        <w:rPr>
          <w:sz w:val="20"/>
          <w:szCs w:val="20"/>
          <w:color w:val="auto"/>
        </w:rPr>
      </w:pPr>
      <w:r>
        <w:rPr>
          <w:rFonts w:ascii="Times New Roman" w:cs="Times New Roman" w:eastAsia="Times New Roman" w:hAnsi="Times New Roman"/>
          <w:sz w:val="18"/>
          <w:szCs w:val="18"/>
          <w:color w:val="auto"/>
        </w:rPr>
        <w:t xml:space="preserve">Information relating to items on Balance Sheets and Income Statements </w:t>
      </w:r>
      <w:r>
        <w:rPr>
          <w:rFonts w:ascii="Times New Roman" w:cs="Times New Roman" w:eastAsia="Times New Roman" w:hAnsi="Times New Roman"/>
          <w:sz w:val="19"/>
          <w:szCs w:val="19"/>
          <w:color w:val="auto"/>
        </w:rPr>
        <w:t>3. Property, plant and equipment</w:t>
      </w:r>
    </w:p>
    <w:tbl>
      <w:tblPr>
        <w:tblLayout w:type="fixed"/>
        <w:tblInd w:w="60" w:type="dxa"/>
        <w:tblCellMar>
          <w:top w:w="0" w:type="dxa"/>
          <w:left w:w="0" w:type="dxa"/>
          <w:bottom w:w="0" w:type="dxa"/>
          <w:right w:w="0" w:type="dxa"/>
        </w:tblCellMar>
      </w:tblPr>
      <w:tr>
        <w:trPr>
          <w:trHeight w:val="173"/>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208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acquisition cost</w:t>
            </w: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plant and equipment</w:t>
            </w:r>
          </w:p>
        </w:tc>
        <w:tc>
          <w:tcPr>
            <w:tcW w:w="20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Intangible assets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38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3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50,416</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50,416</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5.  Long-term financial assets</w:t>
            </w:r>
          </w:p>
        </w:tc>
        <w:tc>
          <w:tcPr>
            <w:tcW w:w="2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28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vMerge w:val="continue"/>
          </w:tcPr>
          <w:p>
            <w:pPr>
              <w:spacing w:after="0"/>
              <w:rPr>
                <w:sz w:val="12"/>
                <w:szCs w:val="12"/>
                <w:color w:val="auto"/>
              </w:rPr>
            </w:pPr>
          </w:p>
        </w:tc>
        <w:tc>
          <w:tcPr>
            <w:tcW w:w="228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 (restricted cash)</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financial assets</w:t>
            </w:r>
          </w:p>
        </w:tc>
        <w:tc>
          <w:tcPr>
            <w:tcW w:w="2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  Cash and cash equivalents and short-term financial assets</w:t>
            </w: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short-term financial assets</w:t>
            </w:r>
          </w:p>
        </w:tc>
        <w:tc>
          <w:tcPr>
            <w:tcW w:w="10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by currency</w:t>
            </w:r>
          </w:p>
        </w:tc>
        <w:tc>
          <w:tcPr>
            <w:tcW w:w="10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CHF</w:t>
            </w:r>
          </w:p>
        </w:tc>
        <w:tc>
          <w:tcPr>
            <w:tcW w:w="10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10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0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financial assets by currency</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CHF</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10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0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10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7.  Other current receivables</w:t>
            </w:r>
          </w:p>
        </w:tc>
        <w:tc>
          <w:tcPr>
            <w:tcW w:w="2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32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vMerge w:val="continue"/>
          </w:tcPr>
          <w:p>
            <w:pPr>
              <w:spacing w:after="0"/>
              <w:rPr>
                <w:sz w:val="12"/>
                <w:szCs w:val="12"/>
                <w:color w:val="auto"/>
              </w:rPr>
            </w:pPr>
          </w:p>
        </w:tc>
        <w:tc>
          <w:tcPr>
            <w:tcW w:w="2320" w:type="dxa"/>
            <w:vAlign w:val="bottom"/>
            <w:tcBorders>
              <w:bottom w:val="single" w:sz="8" w:color="CCEEFF"/>
            </w:tcBorders>
            <w:vMerge w:val="continue"/>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From third parties</w:t>
            </w:r>
          </w:p>
        </w:tc>
        <w:tc>
          <w:tcPr>
            <w:tcW w:w="2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Intercompany</w:t>
            </w:r>
          </w:p>
        </w:tc>
        <w:tc>
          <w:tcPr>
            <w:tcW w:w="23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2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9"/>
          <w:szCs w:val="19"/>
          <w:color w:val="auto"/>
        </w:rPr>
        <w:t>Prepaid expenses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36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3,972</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prepaid expenses</w:t>
            </w:r>
          </w:p>
        </w:tc>
        <w:tc>
          <w:tcPr>
            <w:tcW w:w="2360" w:type="dxa"/>
            <w:vAlign w:val="bottom"/>
          </w:tcPr>
          <w:p>
            <w:pPr>
              <w:spacing w:after="0"/>
              <w:rPr>
                <w:sz w:val="18"/>
                <w:szCs w:val="18"/>
                <w:color w:val="auto"/>
              </w:rPr>
            </w:pP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3,972</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4,301</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Accrued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5785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66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1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2660" w:type="dxa"/>
            <w:vAlign w:val="bottom"/>
            <w:tcBorders>
              <w:bottom w:val="single" w:sz="8" w:color="CCEEFF"/>
            </w:tcBorders>
          </w:tcPr>
          <w:p>
            <w:pPr>
              <w:ind w:left="2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26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accrued income</w:t>
            </w:r>
          </w:p>
        </w:tc>
        <w:tc>
          <w:tcPr>
            <w:tcW w:w="26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w:t>
            </w:r>
          </w:p>
        </w:tc>
      </w:tr>
      <w:tr>
        <w:trPr>
          <w:trHeight w:val="20"/>
        </w:trPr>
        <w:tc>
          <w:tcPr>
            <w:tcW w:w="4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10. Trade payables and accrued expenses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84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1840" w:type="dxa"/>
            <w:vAlign w:val="bottom"/>
          </w:tcPr>
          <w:p>
            <w:pPr>
              <w:ind w:left="17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From third parties</w:t>
            </w:r>
          </w:p>
        </w:tc>
        <w:tc>
          <w:tcPr>
            <w:tcW w:w="1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Intercompany</w:t>
            </w:r>
          </w:p>
        </w:tc>
        <w:tc>
          <w:tcPr>
            <w:tcW w:w="18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trade payables</w:t>
            </w:r>
          </w:p>
        </w:tc>
        <w:tc>
          <w:tcPr>
            <w:tcW w:w="18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expenses</w:t>
            </w:r>
          </w:p>
        </w:tc>
        <w:tc>
          <w:tcPr>
            <w:tcW w:w="1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R&amp;D costs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Provision</w:t>
            </w:r>
          </w:p>
        </w:tc>
        <w:tc>
          <w:tcPr>
            <w:tcW w:w="1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8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payables and accrued expenses</w:t>
            </w:r>
          </w:p>
        </w:tc>
        <w:tc>
          <w:tcPr>
            <w:tcW w:w="18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9,586</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held liabilities toward our pension insurance provider, amounting to nil and CHF 728 thousand, respectively.</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11. Restructuring expenses</w:t>
      </w:r>
    </w:p>
    <w:p>
      <w:pPr>
        <w:spacing w:after="0" w:line="220"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On September 4, 2025, the Company announced that following a strategic review, the Company is sharpening its focused investment on its most important assets and implementing cost reduction measures accordingly. As a result of the initiatives announced in September 2025, the Company recorded CHF 2.1 million of restructuring expenses in the year ending December 31, 2025, consisting solely of CHF 2.1 million of termination benefits to be paid to the employees impacted by the restructuring. As of December 31, 2025, a provision of CHF 291 thousand remained to be paid in 2026.</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12. Deferred contract revenue</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80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1800" w:type="dxa"/>
            <w:vAlign w:val="bottom"/>
            <w:tcBorders>
              <w:bottom w:val="single" w:sz="8" w:color="CCEEFF"/>
            </w:tcBorders>
          </w:tcPr>
          <w:p>
            <w:pPr>
              <w:ind w:left="17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8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83,706</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deferred contract revenue</w:t>
            </w:r>
          </w:p>
        </w:tc>
        <w:tc>
          <w:tcPr>
            <w:tcW w:w="18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83,706</w:t>
            </w:r>
          </w:p>
        </w:tc>
        <w:tc>
          <w:tcPr>
            <w:tcW w:w="2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85,056</w:t>
            </w:r>
          </w:p>
        </w:tc>
      </w:tr>
      <w:tr>
        <w:trPr>
          <w:trHeight w:val="143"/>
        </w:trPr>
        <w:tc>
          <w:tcPr>
            <w:tcW w:w="50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8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1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deferred contract revenue</w:t>
            </w:r>
          </w:p>
        </w:tc>
        <w:tc>
          <w:tcPr>
            <w:tcW w:w="18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w:t>
            </w:r>
          </w:p>
        </w:tc>
      </w:tr>
      <w:tr>
        <w:trPr>
          <w:trHeight w:val="20"/>
        </w:trPr>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1.7)</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billion if all related milestones are achieved over the course of the agreement. Upon commercialization, AC Immune will be entitled to receive tiered mid-to-high teens percentages royalties on worldwide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-305435</wp:posOffset>
            </wp:positionV>
            <wp:extent cx="565785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4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contract revenue CHF 3.6 million reflecting its efforts under this agreement.</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recorded CHF 89.6 million in deferred contract revenue related to the unsatisfied performance obligations under this agreement. The deferred contract revenue allocated to the license option is classified as short-term. The deferred contract revenue allocated to development, CMC, and regulatory activities will be recognized over the remaining performance period and classified as either current or non-current on the statutory balance sheets, based on the expected timing of satisfaction of the performance obligations.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13. Share capital</w:t>
      </w:r>
    </w:p>
    <w:p>
      <w:pPr>
        <w:spacing w:after="0" w:line="22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issued share capital amounted to CHF 2,202,019 and CHF 2,198,645, respectively, and is composed of common shares of 110,100,925 and 109,932,248, respectively. The common shares have nominal values of CHF 0.02 per share. All shares have been fully paid.</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Q2 2024, the Company issued 5,700,000 common shares with a nominal value of CHF 0.02 to be held as treasury shares. As of December 31, 2024, the Company has CHF 475.6 million of reserves from capital contributions confirmed by the Swiss Federal Tax Administration.</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announced that it had closed an underwritten offering of 14,300,000 common shares, resulting in gross proceeds of approximately USD 50.1 (CHF 43.8) million. Net underwriting fees and transaction costs totaled CHF 3.3 million for a net total of CHF 40.5 million. Transaction costs associated with these offerings and related to the issuance of new shares were charged directly against the reserves from capital contributions account thereby reducing the total shareholder equity reported.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14. Treasury shares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2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2"/>
        </w:trPr>
        <w:tc>
          <w:tcPr>
            <w:tcW w:w="2040" w:type="dxa"/>
            <w:vAlign w:val="bottom"/>
          </w:tcPr>
          <w:p>
            <w:pPr>
              <w:spacing w:after="0"/>
              <w:rPr>
                <w:sz w:val="12"/>
                <w:szCs w:val="12"/>
                <w:color w:val="auto"/>
              </w:rPr>
            </w:pPr>
          </w:p>
        </w:tc>
        <w:tc>
          <w:tcPr>
            <w:tcW w:w="2760" w:type="dxa"/>
            <w:vAlign w:val="bottom"/>
          </w:tcPr>
          <w:p>
            <w:pPr>
              <w:ind w:left="2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KCHF</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KCHF</w:t>
            </w: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Treasury shares – Tranche 1</w:t>
            </w:r>
          </w:p>
        </w:tc>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w w:val="99"/>
              </w:rPr>
              <w:t>Treasury shares – Tranche 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2,393,160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Treasury shares – Tranche 3</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10,899,773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10,899,773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r>
      <w:tr>
        <w:trPr>
          <w:trHeight w:val="20"/>
        </w:trPr>
        <w:tc>
          <w:tcPr>
            <w:tcW w:w="2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Commencing in September 2020, the Company established an “at the market offering” (ATM) for the sale of up to USD 80.0 (CHF 64.0) million worth of our common shares from time to time by entering into an Open Market Sale Agreement (Sales Agreement) with Jefferies LLC (Jefferies). In Q2 2021 and Q2 2024, we filed a new registration statement on Form F-3 and entered into a new Sales Agreement in Q2 2021 and Q3 2024 to replace and extend the ATM program. To date, the Company has sold 2,179,434 common shares previously held as treasury shares pursuant to the Sales Agreement, raising USD 16.4 (CHF 14.9) million, net of underwriting fees and transaction costs.</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held in total 10,899,773 fully paid-in treasury shares as part of its ATM offerings. These shares were established via three tranches (one in September 2020, one in September 2021 and one in June 2024, respectively).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these are booked against the reserves from capital contributions confirmed by the Swiss Federal Tax Administration (apports de capital) if any. No partial liquidation treatment applies and no withholding tax is triggered if the shares are not repurchased for cancellation but held by the Company as treasury shares, provided the limitations imposed by corporate law are respected (the nominal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60"/>
        <w:spacing w:after="0"/>
        <w:tabs>
          <w:tab w:leader="none" w:pos="8760" w:val="left"/>
        </w:tabs>
        <w:rPr>
          <w:sz w:val="20"/>
          <w:szCs w:val="20"/>
          <w:color w:val="auto"/>
        </w:rPr>
      </w:pPr>
      <w:r>
        <w:rPr>
          <w:rFonts w:ascii="Times New Roman" w:cs="Times New Roman" w:eastAsia="Times New Roman" w:hAnsi="Times New Roman"/>
          <w:sz w:val="18"/>
          <w:szCs w:val="18"/>
          <w:color w:val="auto"/>
        </w:rPr>
        <w:t>Statutory Financial Statements</w:t>
      </w:r>
      <w:r>
        <w:rPr>
          <w:sz w:val="20"/>
          <w:szCs w:val="20"/>
          <w:color w:val="auto"/>
        </w:rPr>
        <w:tab/>
      </w: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value of such shares does not exceed 10% of the outstanding share capital and the purchase price is covered by freely disposable equity). However, regarding the above-mentioned 10,899,773 treasury shares and given the specificities of the ATM offering, the Company sought and obtained a tax ruling for the two first tranches from the Swiss Federal Tax Administration confirming that their acquisition by the Company did not constitute a direct partial liquidation and therefore does not trigger withholding tax. Further, the Company has obtained a tax ruling from the concerned Cantonal Tax Authority at its place of incorporation, to obtain confirmation that the placement of these treasury shares related to the two first tranches for a subscription price superior to their nominal value will not trigger any corporate income tax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-1109345</wp:posOffset>
            </wp:positionV>
            <wp:extent cx="565785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of December 31, 2024, 2,806,613 shares from the first tranche have not been sold and are still recorded as treasury shares. In addition, 2,393,160 fully paid in treasury shares issued as part of second tranche, and 5,700,000 fully paid in treasury shares issued as part of the third tranche for the ATM for future subscription (or, possibly, as part of a future share-dividend program, should the Company become profitable and have enough earnings carried forward to cover such distribution) have not been sold and are still recorded as treasury shares as of December 31, 2024. The shares linked to the two first tranches are covered by the above-mentioned tax rulings (i.e. their acquisition does not trigger any withholding tax and their placement will not trigger any corporate income tax). The Company sought confirmation from the Cantonal Tax Authority at its place of incorporation that the same previous tax ruling remains valid and covers the third tranche as well. Based on the cantonal confirmation the company will assess with its tax advisors whether a confirmation should also be obtained from the Federal Tax Authority.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15. Revenue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90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90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92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28,568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16. Operating expenses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8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Salaries and related costs</w:t>
            </w:r>
          </w:p>
        </w:tc>
        <w:tc>
          <w:tcPr>
            <w:tcW w:w="18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 related to research and development</w:t>
            </w:r>
          </w:p>
        </w:tc>
        <w:tc>
          <w:tcPr>
            <w:tcW w:w="1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related to general administrative</w:t>
            </w: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related to restructuring</w:t>
            </w:r>
          </w:p>
        </w:tc>
        <w:tc>
          <w:tcPr>
            <w:tcW w:w="18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salaries and related cost</w:t>
            </w:r>
          </w:p>
        </w:tc>
        <w:tc>
          <w:tcPr>
            <w:tcW w:w="18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related to research and development</w:t>
            </w:r>
          </w:p>
        </w:tc>
        <w:tc>
          <w:tcPr>
            <w:tcW w:w="18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8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30,748</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 related to general and administrative</w:t>
            </w:r>
          </w:p>
        </w:tc>
        <w:tc>
          <w:tcPr>
            <w:tcW w:w="1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related to offering costs</w:t>
            </w: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related to intercompany transactions</w:t>
            </w:r>
          </w:p>
        </w:tc>
        <w:tc>
          <w:tcPr>
            <w:tcW w:w="18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8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7,574</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8760" w:val="left"/>
        </w:tabs>
        <w:rPr>
          <w:sz w:val="20"/>
          <w:szCs w:val="20"/>
          <w:color w:val="auto"/>
        </w:rPr>
      </w:pPr>
      <w:r>
        <w:rPr>
          <w:rFonts w:ascii="Times New Roman" w:cs="Times New Roman" w:eastAsia="Times New Roman" w:hAnsi="Times New Roman"/>
          <w:sz w:val="18"/>
          <w:szCs w:val="18"/>
          <w:color w:val="auto"/>
        </w:rPr>
        <w:t>Statutory Financial Statements</w:t>
      </w:r>
      <w:r>
        <w:rPr>
          <w:sz w:val="20"/>
          <w:szCs w:val="20"/>
          <w:color w:val="auto"/>
        </w:rPr>
        <w:tab/>
      </w: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5657850" cy="2540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17. Financial income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5785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2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 interest income</w:t>
            </w:r>
          </w:p>
        </w:tc>
        <w:tc>
          <w:tcPr>
            <w:tcW w:w="2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2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2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 bank fees</w:t>
            </w:r>
          </w:p>
        </w:tc>
        <w:tc>
          <w:tcPr>
            <w:tcW w:w="2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foreign exchange loss</w:t>
            </w:r>
          </w:p>
        </w:tc>
        <w:tc>
          <w:tcPr>
            <w:tcW w:w="2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2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result, net</w:t>
            </w:r>
          </w:p>
        </w:tc>
        <w:tc>
          <w:tcPr>
            <w:tcW w:w="25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18. Shareholders rights and equity awards</w:t>
      </w:r>
    </w:p>
    <w:p>
      <w:pPr>
        <w:spacing w:after="0" w:line="22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on the equity awards granted to executive officers, directors and employees in accordance with Article 959c, paragraph 2, number 11 Swiss Code of Obligations (CO) in 2025 and 2024:</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400" w:type="dxa"/>
            <w:vAlign w:val="bottom"/>
          </w:tcPr>
          <w:p>
            <w:pPr>
              <w:ind w:left="52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2025</w:t>
            </w: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2024</w:t>
            </w:r>
          </w:p>
        </w:tc>
        <w:tc>
          <w:tcPr>
            <w:tcW w:w="600" w:type="dxa"/>
            <w:vAlign w:val="bottom"/>
          </w:tcPr>
          <w:p>
            <w:pPr>
              <w:spacing w:after="0"/>
              <w:rPr>
                <w:sz w:val="15"/>
                <w:szCs w:val="15"/>
                <w:color w:val="auto"/>
              </w:rPr>
            </w:pPr>
          </w:p>
        </w:tc>
      </w:tr>
      <w:tr>
        <w:trPr>
          <w:trHeight w:val="20"/>
        </w:trPr>
        <w:tc>
          <w:tcPr>
            <w:tcW w:w="5400" w:type="dxa"/>
            <w:vAlign w:val="bottom"/>
            <w:tcBorders>
              <w:right w:val="single" w:sz="8" w:color="auto"/>
            </w:tcBorders>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42"/>
        </w:trPr>
        <w:tc>
          <w:tcPr>
            <w:tcW w:w="5400" w:type="dxa"/>
            <w:vAlign w:val="bottom"/>
          </w:tcPr>
          <w:p>
            <w:pPr>
              <w:ind w:left="52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Number   ​​​</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KCHF   ​​​</w:t>
            </w:r>
          </w:p>
        </w:tc>
        <w:tc>
          <w:tcPr>
            <w:tcW w:w="106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Number   ​​​</w:t>
            </w:r>
          </w:p>
        </w:tc>
        <w:tc>
          <w:tcPr>
            <w:tcW w:w="6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KCHF</w:t>
            </w:r>
          </w:p>
        </w:tc>
      </w:tr>
      <w:tr>
        <w:trPr>
          <w:trHeight w:val="210"/>
        </w:trPr>
        <w:tc>
          <w:tcPr>
            <w:tcW w:w="54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 to executive officers and directors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1,531,966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granted to employees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10"/>
        </w:trPr>
        <w:tc>
          <w:tcPr>
            <w:tcW w:w="54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2,184,829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1,501,556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w:t>
            </w: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Equity awards are comprised of share option grants and restricted share awards. The fair value of our share option grants is determined using the Black-Scholes-Merton Model and restricted share awards are valued using the market value of the common stock on the date of the award.</w:t>
      </w:r>
    </w:p>
    <w:p>
      <w:pPr>
        <w:spacing w:after="0" w:line="1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presents beneficial ownership of executive officers and directors, including affiliated entities, if applicable, as of December 31, 2025:</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ownership of executive officers and directors</w:t>
            </w:r>
          </w:p>
        </w:tc>
        <w:tc>
          <w:tcPr>
            <w:tcW w:w="2240" w:type="dxa"/>
            <w:vAlign w:val="bottom"/>
            <w:gridSpan w:val="2"/>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equity</w:t>
            </w:r>
          </w:p>
        </w:tc>
        <w:tc>
          <w:tcPr>
            <w:tcW w:w="0" w:type="dxa"/>
            <w:vAlign w:val="bottom"/>
          </w:tcPr>
          <w:p>
            <w:pPr>
              <w:spacing w:after="0"/>
              <w:rPr>
                <w:sz w:val="1"/>
                <w:szCs w:val="1"/>
                <w:color w:val="auto"/>
              </w:rPr>
            </w:pPr>
          </w:p>
        </w:tc>
      </w:tr>
      <w:tr>
        <w:trPr>
          <w:trHeight w:val="173"/>
        </w:trPr>
        <w:tc>
          <w:tcPr>
            <w:tcW w:w="538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 Pfeifer, Ph.D., Chief Executive Officer and Director</w:t>
            </w: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1,949,283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Anke Post, Chief Medical Officer</w:t>
            </w:r>
          </w:p>
        </w:tc>
        <w:tc>
          <w:tcPr>
            <w:tcW w:w="1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261,503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Roberts, Chief Financial Officer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Howard Donovan, Chief Human Resources Officer</w:t>
            </w:r>
          </w:p>
        </w:tc>
        <w:tc>
          <w:tcPr>
            <w:tcW w:w="1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243,354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Piergiorgio Donati, Chief Technical Operations Officer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Martin Zügel, M.D., Chair and Director</w:t>
            </w:r>
          </w:p>
        </w:tc>
        <w:tc>
          <w:tcPr>
            <w:tcW w:w="1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122,910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Monika Bütler, Ph.D., Vice Chair and Director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Renée Aguiar-Lucander, Director</w:t>
            </w:r>
          </w:p>
        </w:tc>
        <w:tc>
          <w:tcPr>
            <w:tcW w:w="1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109,928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Twyman, M.D., Director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233,264</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Carl June, M.D., Director</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19. Post balance sheet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5785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financial statements, for appropriate accounting and disclosures. The Company has determined that there were no other such events that warrant disclosure or recognition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574"/>
        </w:trPr>
        <w:tc>
          <w:tcPr>
            <w:tcW w:w="54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565785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Accumulated losses carried forward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900" w:type="dxa"/>
            <w:vAlign w:val="bottom"/>
            <w:tcBorders>
              <w:top w:val="single" w:sz="8" w:color="auto"/>
              <w:bottom w:val="single" w:sz="8" w:color="44546A"/>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44546A"/>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losses at the beginning of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for the year</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(67,595)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losses available to the Annual General Meeting</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(424,441)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Motion of the Board of Directors on the proposed carry forward of the accumulated</w:t>
            </w:r>
          </w:p>
        </w:tc>
        <w:tc>
          <w:tcPr>
            <w:tcW w:w="900" w:type="dxa"/>
            <w:vAlign w:val="bottom"/>
            <w:tcBorders>
              <w:top w:val="single" w:sz="8" w:color="44546A"/>
              <w:bottom w:val="single" w:sz="8" w:color="44546A"/>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44546A"/>
              <w:bottom w:val="single" w:sz="8" w:color="44546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6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780" w:type="dxa"/>
            <w:vAlign w:val="bottom"/>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2"/>
        </w:trPr>
        <w:tc>
          <w:tcPr>
            <w:tcW w:w="6780" w:type="dxa"/>
            <w:vAlign w:val="bottom"/>
          </w:tcPr>
          <w:p>
            <w:pPr>
              <w:spacing w:after="0"/>
              <w:rPr>
                <w:sz w:val="15"/>
                <w:szCs w:val="15"/>
                <w:color w:val="auto"/>
              </w:rPr>
            </w:pPr>
          </w:p>
        </w:tc>
        <w:tc>
          <w:tcPr>
            <w:tcW w:w="11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Motion of the</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Resolution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7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Board of</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the Annual</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Directors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General Meeting</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900" w:type="dxa"/>
            <w:vAlign w:val="bottom"/>
            <w:tcBorders>
              <w:bottom w:val="single" w:sz="8" w:color="44546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44546A"/>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losses available to the Annual General Meeting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(424,441)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Carried forward</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(424,441)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00" w:type="dxa"/>
            <w:vAlign w:val="bottom"/>
            <w:tcBorders>
              <w:top w:val="single" w:sz="8" w:color="44546A"/>
              <w:bottom w:val="single" w:sz="8" w:color="44546A"/>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44546A"/>
              <w:bottom w:val="single" w:sz="8" w:color="44546A"/>
            </w:tcBorders>
          </w:tcPr>
          <w:p>
            <w:pPr>
              <w:spacing w:after="0" w:line="20" w:lineRule="exact"/>
              <w:rPr>
                <w:sz w:val="1"/>
                <w:szCs w:val="1"/>
                <w:color w:val="auto"/>
              </w:rPr>
            </w:pPr>
          </w:p>
        </w:tc>
        <w:tc>
          <w:tcPr>
            <w:tcW w:w="20" w:type="dxa"/>
            <w:vAlign w:val="bottom"/>
            <w:tcBorders>
              <w:top w:val="single" w:sz="8" w:color="44546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Financial Statements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574"/>
        </w:trPr>
        <w:tc>
          <w:tcPr>
            <w:tcW w:w="6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7" w:name="page78"/>
    <w:bookmarkEnd w:id="77"/>
    <w:p>
      <w:pPr>
        <w:jc w:val="center"/>
        <w:ind w:left="1940"/>
        <w:spacing w:after="0" w:line="312" w:lineRule="auto"/>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2968625</wp:posOffset>
            </wp:positionH>
            <wp:positionV relativeFrom="page">
              <wp:posOffset>88900</wp:posOffset>
            </wp:positionV>
            <wp:extent cx="1911350" cy="60007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t>Compensation Report in accordance with Article 734 para. 1 of the Swiss Code of Obligations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Contents</w:t>
      </w:r>
    </w:p>
    <w:p>
      <w:pPr>
        <w:spacing w:after="0" w:line="44" w:lineRule="exact"/>
        <w:rPr>
          <w:sz w:val="20"/>
          <w:szCs w:val="20"/>
          <w:color w:val="auto"/>
        </w:rPr>
      </w:pPr>
    </w:p>
    <w:p>
      <w:pPr>
        <w:ind w:left="820" w:hanging="324"/>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of the Statutory Auditor</w:t>
      </w:r>
    </w:p>
    <w:p>
      <w:pPr>
        <w:spacing w:after="0" w:line="40" w:lineRule="exact"/>
        <w:rPr>
          <w:rFonts w:ascii="Times New Roman" w:cs="Times New Roman" w:eastAsia="Times New Roman" w:hAnsi="Times New Roman"/>
          <w:sz w:val="20"/>
          <w:szCs w:val="20"/>
          <w:color w:val="auto"/>
        </w:rPr>
      </w:pPr>
    </w:p>
    <w:p>
      <w:pPr>
        <w:ind w:left="820" w:hanging="324"/>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of the Board of Directors</w:t>
      </w:r>
    </w:p>
    <w:p>
      <w:pPr>
        <w:spacing w:after="0" w:line="40" w:lineRule="exact"/>
        <w:rPr>
          <w:rFonts w:ascii="Times New Roman" w:cs="Times New Roman" w:eastAsia="Times New Roman" w:hAnsi="Times New Roman"/>
          <w:sz w:val="20"/>
          <w:szCs w:val="20"/>
          <w:color w:val="auto"/>
        </w:rPr>
      </w:pPr>
    </w:p>
    <w:p>
      <w:pPr>
        <w:ind w:left="820" w:hanging="324"/>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of the Members of the Executive Management</w:t>
      </w:r>
    </w:p>
    <w:p>
      <w:pPr>
        <w:spacing w:after="0" w:line="40" w:lineRule="exact"/>
        <w:rPr>
          <w:rFonts w:ascii="Times New Roman" w:cs="Times New Roman" w:eastAsia="Times New Roman" w:hAnsi="Times New Roman"/>
          <w:sz w:val="20"/>
          <w:szCs w:val="20"/>
          <w:color w:val="auto"/>
        </w:rPr>
      </w:pPr>
    </w:p>
    <w:p>
      <w:pPr>
        <w:ind w:left="820" w:hanging="324"/>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Incentive Plans of the Board of Directors and the Members of the Executive Management</w:t>
      </w:r>
    </w:p>
    <w:p>
      <w:pPr>
        <w:spacing w:after="0" w:line="40" w:lineRule="exact"/>
        <w:rPr>
          <w:rFonts w:ascii="Times New Roman" w:cs="Times New Roman" w:eastAsia="Times New Roman" w:hAnsi="Times New Roman"/>
          <w:sz w:val="20"/>
          <w:szCs w:val="20"/>
          <w:color w:val="auto"/>
        </w:rPr>
      </w:pPr>
    </w:p>
    <w:p>
      <w:pPr>
        <w:ind w:left="820" w:hanging="324"/>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Mandates outside AC Immune SA</w:t>
      </w:r>
    </w:p>
    <w:p>
      <w:pPr>
        <w:spacing w:after="0" w:line="40" w:lineRule="exact"/>
        <w:rPr>
          <w:rFonts w:ascii="Times New Roman" w:cs="Times New Roman" w:eastAsia="Times New Roman" w:hAnsi="Times New Roman"/>
          <w:sz w:val="20"/>
          <w:szCs w:val="20"/>
          <w:color w:val="auto"/>
        </w:rPr>
      </w:pPr>
    </w:p>
    <w:p>
      <w:pPr>
        <w:ind w:left="820" w:hanging="324"/>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Philosophy, Principles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1377315</wp:posOffset>
            </wp:positionV>
            <wp:extent cx="5812155" cy="2540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019"/>
          </w:cols>
          <w:pgMar w:left="1440" w:top="1322" w:right="1440"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577215</wp:posOffset>
            </wp:positionV>
            <wp:extent cx="1482725" cy="96012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right="960"/>
        <w:spacing w:after="0" w:line="298" w:lineRule="auto"/>
        <w:rPr>
          <w:sz w:val="20"/>
          <w:szCs w:val="20"/>
          <w:color w:val="auto"/>
        </w:rPr>
      </w:pPr>
      <w:r>
        <w:rPr>
          <w:rFonts w:ascii="Arial" w:cs="Arial" w:eastAsia="Arial" w:hAnsi="Arial"/>
          <w:sz w:val="29"/>
          <w:szCs w:val="29"/>
          <w:b w:val="1"/>
          <w:bCs w:val="1"/>
          <w:color w:val="auto"/>
        </w:rPr>
        <w:t>Report of the statutory auditor to the General Meeting of AC Immune SA, Ecublens</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Opinion</w:t>
      </w:r>
    </w:p>
    <w:p>
      <w:pPr>
        <w:spacing w:after="0" w:line="241" w:lineRule="exact"/>
        <w:rPr>
          <w:sz w:val="20"/>
          <w:szCs w:val="20"/>
          <w:color w:val="auto"/>
        </w:rPr>
      </w:pPr>
    </w:p>
    <w:p>
      <w:pPr>
        <w:jc w:val="both"/>
        <w:ind w:left="180" w:right="20"/>
        <w:spacing w:after="0" w:line="300" w:lineRule="auto"/>
        <w:rPr>
          <w:sz w:val="20"/>
          <w:szCs w:val="20"/>
          <w:color w:val="auto"/>
        </w:rPr>
      </w:pPr>
      <w:r>
        <w:rPr>
          <w:rFonts w:ascii="Georgia" w:cs="Georgia" w:eastAsia="Georgia" w:hAnsi="Georgia"/>
          <w:sz w:val="18"/>
          <w:szCs w:val="18"/>
          <w:color w:val="auto"/>
        </w:rPr>
        <w:t>We have audited the compensation report of AC Immune SA (the Company) for the year ended December 31, 2025. The audit was limited to the information pursuant to article 734a-734f of the Swiss Code of Obligations (CO) in the tables 1.c., 2.c., 3 and 4 and the information in sections 1.b. and 3 of the compensation report.</w:t>
      </w:r>
    </w:p>
    <w:p>
      <w:pPr>
        <w:spacing w:after="0" w:line="192" w:lineRule="exact"/>
        <w:rPr>
          <w:sz w:val="20"/>
          <w:szCs w:val="20"/>
          <w:color w:val="auto"/>
        </w:rPr>
      </w:pPr>
    </w:p>
    <w:p>
      <w:pPr>
        <w:ind w:left="180" w:right="620"/>
        <w:spacing w:after="0" w:line="299" w:lineRule="auto"/>
        <w:rPr>
          <w:sz w:val="20"/>
          <w:szCs w:val="20"/>
          <w:color w:val="auto"/>
        </w:rPr>
      </w:pPr>
      <w:r>
        <w:rPr>
          <w:rFonts w:ascii="Georgia" w:cs="Georgia" w:eastAsia="Georgia" w:hAnsi="Georgia"/>
          <w:sz w:val="18"/>
          <w:szCs w:val="18"/>
          <w:color w:val="auto"/>
        </w:rPr>
        <w:t>In our opinion, the information pursuant to article 734a-734f CO in the accompanying compensation report complies with Swiss law and the Company’s articles of incorporation.</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Basis for opinion</w:t>
      </w:r>
    </w:p>
    <w:p>
      <w:pPr>
        <w:spacing w:after="0" w:line="254" w:lineRule="exact"/>
        <w:rPr>
          <w:sz w:val="20"/>
          <w:szCs w:val="20"/>
          <w:color w:val="auto"/>
        </w:rPr>
      </w:pPr>
    </w:p>
    <w:p>
      <w:pPr>
        <w:ind w:left="180"/>
        <w:spacing w:after="0" w:line="300" w:lineRule="auto"/>
        <w:rPr>
          <w:sz w:val="20"/>
          <w:szCs w:val="20"/>
          <w:color w:val="auto"/>
        </w:rPr>
      </w:pPr>
      <w:r>
        <w:rPr>
          <w:rFonts w:ascii="Georgia" w:cs="Georgia" w:eastAsia="Georgia" w:hAnsi="Georgia"/>
          <w:sz w:val="18"/>
          <w:szCs w:val="18"/>
          <w:color w:val="auto"/>
        </w:rPr>
        <w:t>We conducted our audit in accordance with Swiss law and Swiss Standards on Auditing (SA-CH). Our responsibilities under those provisions and standards are further described in the 'Auditor’s responsibilities for the audit of the compensation report' section of our report. We are independent of the Company in accordance with the provisions of Swiss law and the requirements of the Swiss audit profession, and we have fulfilled our other ethical responsibilities in accordance with these requirements.</w:t>
      </w:r>
    </w:p>
    <w:p>
      <w:pPr>
        <w:spacing w:after="0" w:line="180" w:lineRule="exact"/>
        <w:rPr>
          <w:sz w:val="20"/>
          <w:szCs w:val="20"/>
          <w:color w:val="auto"/>
        </w:rPr>
      </w:pPr>
    </w:p>
    <w:p>
      <w:pPr>
        <w:ind w:left="180"/>
        <w:spacing w:after="0"/>
        <w:rPr>
          <w:sz w:val="20"/>
          <w:szCs w:val="20"/>
          <w:color w:val="auto"/>
        </w:rPr>
      </w:pPr>
      <w:r>
        <w:rPr>
          <w:rFonts w:ascii="Georgia" w:cs="Georgia" w:eastAsia="Georgia" w:hAnsi="Georgia"/>
          <w:sz w:val="17"/>
          <w:szCs w:val="17"/>
          <w:color w:val="auto"/>
        </w:rPr>
        <w:t>We believe that the audit evidence we have obtained is sufficient and appropriate to provide a basis for our opinion.</w:t>
      </w: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information</w:t>
      </w:r>
    </w:p>
    <w:p>
      <w:pPr>
        <w:spacing w:after="0" w:line="241" w:lineRule="exact"/>
        <w:rPr>
          <w:sz w:val="20"/>
          <w:szCs w:val="20"/>
          <w:color w:val="auto"/>
        </w:rPr>
      </w:pPr>
    </w:p>
    <w:p>
      <w:pPr>
        <w:jc w:val="both"/>
        <w:ind w:left="180" w:right="60"/>
        <w:spacing w:after="0" w:line="300" w:lineRule="auto"/>
        <w:rPr>
          <w:sz w:val="20"/>
          <w:szCs w:val="20"/>
          <w:color w:val="auto"/>
        </w:rPr>
      </w:pPr>
      <w:r>
        <w:rPr>
          <w:rFonts w:ascii="Georgia" w:cs="Georgia" w:eastAsia="Georgia" w:hAnsi="Georgia"/>
          <w:sz w:val="18"/>
          <w:szCs w:val="18"/>
          <w:color w:val="auto"/>
        </w:rPr>
        <w:t>The Board of Directors is responsible for the other information. The other information comprises the information included in the annual report, but does not include the tables 1.c., 2.c., 3 and 4 and the information in sections 1.b. and 3 in the compensation report, the consolidated financial statements, the financial statements and our auditor’s reports thereon.</w:t>
      </w:r>
    </w:p>
    <w:p>
      <w:pPr>
        <w:spacing w:after="0" w:line="192" w:lineRule="exact"/>
        <w:rPr>
          <w:sz w:val="20"/>
          <w:szCs w:val="20"/>
          <w:color w:val="auto"/>
        </w:rPr>
      </w:pPr>
    </w:p>
    <w:p>
      <w:pPr>
        <w:ind w:left="180" w:right="220"/>
        <w:spacing w:after="0" w:line="299" w:lineRule="auto"/>
        <w:rPr>
          <w:sz w:val="20"/>
          <w:szCs w:val="20"/>
          <w:color w:val="auto"/>
        </w:rPr>
      </w:pPr>
      <w:r>
        <w:rPr>
          <w:rFonts w:ascii="Georgia" w:cs="Georgia" w:eastAsia="Georgia" w:hAnsi="Georgia"/>
          <w:sz w:val="18"/>
          <w:szCs w:val="18"/>
          <w:color w:val="auto"/>
        </w:rPr>
        <w:t>Our opinion on the compensation report does not cover the other information and we do not express any form of assurance conclusion thereon.</w:t>
      </w:r>
    </w:p>
    <w:p>
      <w:pPr>
        <w:spacing w:after="0" w:line="179" w:lineRule="exact"/>
        <w:rPr>
          <w:sz w:val="20"/>
          <w:szCs w:val="20"/>
          <w:color w:val="auto"/>
        </w:rPr>
      </w:pPr>
    </w:p>
    <w:p>
      <w:pPr>
        <w:ind w:left="180" w:right="60"/>
        <w:spacing w:after="0" w:line="300" w:lineRule="auto"/>
        <w:rPr>
          <w:sz w:val="20"/>
          <w:szCs w:val="20"/>
          <w:color w:val="auto"/>
        </w:rPr>
      </w:pPr>
      <w:r>
        <w:rPr>
          <w:rFonts w:ascii="Georgia" w:cs="Georgia" w:eastAsia="Georgia" w:hAnsi="Georgia"/>
          <w:sz w:val="18"/>
          <w:szCs w:val="18"/>
          <w:color w:val="auto"/>
        </w:rPr>
        <w:t>In connection with our audit of the compensation report, our responsibility is to read the other information and, in doing so, consider whether the other information is materially inconsistent with the audited financial information in the compensation report or our knowledge obtained in the audit, or otherwise appears to be materially misstated.</w:t>
      </w:r>
    </w:p>
    <w:p>
      <w:pPr>
        <w:spacing w:after="0" w:line="192" w:lineRule="exact"/>
        <w:rPr>
          <w:sz w:val="20"/>
          <w:szCs w:val="20"/>
          <w:color w:val="auto"/>
        </w:rPr>
      </w:pPr>
    </w:p>
    <w:p>
      <w:pPr>
        <w:ind w:left="180" w:right="880"/>
        <w:spacing w:after="0" w:line="299" w:lineRule="auto"/>
        <w:rPr>
          <w:sz w:val="20"/>
          <w:szCs w:val="20"/>
          <w:color w:val="auto"/>
        </w:rPr>
      </w:pPr>
      <w:r>
        <w:rPr>
          <w:rFonts w:ascii="Georgia" w:cs="Georgia" w:eastAsia="Georgia" w:hAnsi="Georgia"/>
          <w:sz w:val="18"/>
          <w:szCs w:val="18"/>
          <w:color w:val="auto"/>
        </w:rPr>
        <w:t>If, based on the work we have performed, we conclude that there is a material misstatement of this other information, we are required to report that fact. We have nothing to report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595630</wp:posOffset>
            </wp:positionV>
            <wp:extent cx="5812155" cy="1714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577215</wp:posOffset>
            </wp:positionV>
            <wp:extent cx="1482725" cy="96012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 of Directors’ responsibilities for the compensation report</w:t>
      </w:r>
    </w:p>
    <w:p>
      <w:pPr>
        <w:spacing w:after="0" w:line="241" w:lineRule="exact"/>
        <w:rPr>
          <w:sz w:val="20"/>
          <w:szCs w:val="20"/>
          <w:color w:val="auto"/>
        </w:rPr>
      </w:pPr>
    </w:p>
    <w:p>
      <w:pPr>
        <w:ind w:left="180" w:right="200"/>
        <w:spacing w:after="0" w:line="300" w:lineRule="auto"/>
        <w:rPr>
          <w:sz w:val="20"/>
          <w:szCs w:val="20"/>
          <w:color w:val="auto"/>
        </w:rPr>
      </w:pPr>
      <w:r>
        <w:rPr>
          <w:rFonts w:ascii="Georgia" w:cs="Georgia" w:eastAsia="Georgia" w:hAnsi="Georgia"/>
          <w:sz w:val="18"/>
          <w:szCs w:val="18"/>
          <w:color w:val="auto"/>
        </w:rPr>
        <w:t>The Board of Directors is responsible for the preparation of a compensation report in accordance with the provisions of Swiss law and the Company’s articles of incorporation, and for such internal control as the Board of Directors determines is necessary to enable the preparation of a compensation report that is free from material misstatement, whether due to fraud or error. It is also charged with structuring the remuneration principles and specifying the individual remuneration components.</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Auditor’s responsibilities for the audit of the compensation report</w:t>
      </w:r>
    </w:p>
    <w:p>
      <w:pPr>
        <w:spacing w:after="0" w:line="241" w:lineRule="exact"/>
        <w:rPr>
          <w:sz w:val="20"/>
          <w:szCs w:val="20"/>
          <w:color w:val="auto"/>
        </w:rPr>
      </w:pPr>
    </w:p>
    <w:p>
      <w:pPr>
        <w:ind w:left="180"/>
        <w:spacing w:after="0" w:line="300" w:lineRule="auto"/>
        <w:rPr>
          <w:sz w:val="20"/>
          <w:szCs w:val="20"/>
          <w:color w:val="auto"/>
        </w:rPr>
      </w:pPr>
      <w:r>
        <w:rPr>
          <w:rFonts w:ascii="Georgia" w:cs="Georgia" w:eastAsia="Georgia" w:hAnsi="Georgia"/>
          <w:sz w:val="18"/>
          <w:szCs w:val="18"/>
          <w:color w:val="auto"/>
        </w:rPr>
        <w:t>Our objectives are to obtain reasonable assurance about whether the information pursuant to article 734a-734f CO is free from material misstatement, whether due to fraud or error, and to issue an auditor’s report that includes our opinion. Reasonable assurance is a high level of assurance, but is not a guarantee that an audit conducted in accordance with Swiss law and SA-CH will always detect a material misstatement when it exists. Misstatements can arise from fraud or error and are considered material if, individually or in the aggregate, they could reasonably be expected to influence the economic decisions of users taken on the basis of this compensation report.</w:t>
      </w:r>
    </w:p>
    <w:p>
      <w:pPr>
        <w:spacing w:after="0" w:line="194" w:lineRule="exact"/>
        <w:rPr>
          <w:sz w:val="20"/>
          <w:szCs w:val="20"/>
          <w:color w:val="auto"/>
        </w:rPr>
      </w:pPr>
    </w:p>
    <w:p>
      <w:pPr>
        <w:ind w:left="180" w:right="400"/>
        <w:spacing w:after="0" w:line="299" w:lineRule="auto"/>
        <w:rPr>
          <w:sz w:val="20"/>
          <w:szCs w:val="20"/>
          <w:color w:val="auto"/>
        </w:rPr>
      </w:pPr>
      <w:r>
        <w:rPr>
          <w:rFonts w:ascii="Georgia" w:cs="Georgia" w:eastAsia="Georgia" w:hAnsi="Georgia"/>
          <w:sz w:val="18"/>
          <w:szCs w:val="18"/>
          <w:color w:val="auto"/>
        </w:rPr>
        <w:t>As part of an audit in accordance with Swiss law and SA-CH, we exercise professional judgement and maintain professional scepticism throughout the audit. We also:</w:t>
      </w:r>
    </w:p>
    <w:p>
      <w:pPr>
        <w:spacing w:after="0" w:line="179" w:lineRule="exact"/>
        <w:rPr>
          <w:sz w:val="20"/>
          <w:szCs w:val="20"/>
          <w:color w:val="auto"/>
        </w:rPr>
      </w:pPr>
    </w:p>
    <w:p>
      <w:pPr>
        <w:ind w:left="380" w:right="20" w:hanging="208"/>
        <w:spacing w:after="0" w:line="299" w:lineRule="auto"/>
        <w:tabs>
          <w:tab w:leader="none" w:pos="380" w:val="left"/>
        </w:tabs>
        <w:numPr>
          <w:ilvl w:val="0"/>
          <w:numId w:val="47"/>
        </w:numPr>
        <w:rPr>
          <w:rFonts w:ascii="Times New Roman" w:cs="Times New Roman" w:eastAsia="Times New Roman" w:hAnsi="Times New Roman"/>
          <w:sz w:val="18"/>
          <w:szCs w:val="18"/>
          <w:color w:val="auto"/>
        </w:rPr>
      </w:pPr>
      <w:r>
        <w:rPr>
          <w:rFonts w:ascii="Georgia" w:cs="Georgia" w:eastAsia="Georgia" w:hAnsi="Georgia"/>
          <w:sz w:val="18"/>
          <w:szCs w:val="18"/>
          <w:color w:val="auto"/>
        </w:rPr>
        <w:t>Identify and assess the risks of material misstatement in the compensation report,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112" w:lineRule="exact"/>
        <w:rPr>
          <w:rFonts w:ascii="Times New Roman" w:cs="Times New Roman" w:eastAsia="Times New Roman" w:hAnsi="Times New Roman"/>
          <w:sz w:val="18"/>
          <w:szCs w:val="18"/>
          <w:color w:val="auto"/>
        </w:rPr>
      </w:pPr>
    </w:p>
    <w:p>
      <w:pPr>
        <w:jc w:val="both"/>
        <w:ind w:left="380" w:right="320" w:hanging="208"/>
        <w:spacing w:after="0" w:line="297" w:lineRule="auto"/>
        <w:tabs>
          <w:tab w:leader="none" w:pos="380" w:val="left"/>
        </w:tabs>
        <w:numPr>
          <w:ilvl w:val="0"/>
          <w:numId w:val="47"/>
        </w:numPr>
        <w:rPr>
          <w:rFonts w:ascii="Times New Roman" w:cs="Times New Roman" w:eastAsia="Times New Roman" w:hAnsi="Times New Roman"/>
          <w:sz w:val="18"/>
          <w:szCs w:val="18"/>
          <w:color w:val="auto"/>
        </w:rPr>
      </w:pPr>
      <w:r>
        <w:rPr>
          <w:rFonts w:ascii="Georgia" w:cs="Georgia" w:eastAsia="Georgia" w:hAnsi="Georgia"/>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w:t>
      </w:r>
    </w:p>
    <w:p>
      <w:pPr>
        <w:spacing w:after="0" w:line="114" w:lineRule="exact"/>
        <w:rPr>
          <w:rFonts w:ascii="Times New Roman" w:cs="Times New Roman" w:eastAsia="Times New Roman" w:hAnsi="Times New Roman"/>
          <w:sz w:val="18"/>
          <w:szCs w:val="18"/>
          <w:color w:val="auto"/>
        </w:rPr>
      </w:pPr>
    </w:p>
    <w:p>
      <w:pPr>
        <w:ind w:left="380" w:right="300" w:hanging="208"/>
        <w:spacing w:after="0" w:line="295" w:lineRule="auto"/>
        <w:tabs>
          <w:tab w:leader="none" w:pos="380" w:val="left"/>
        </w:tabs>
        <w:numPr>
          <w:ilvl w:val="0"/>
          <w:numId w:val="47"/>
        </w:numPr>
        <w:rPr>
          <w:rFonts w:ascii="Times New Roman" w:cs="Times New Roman" w:eastAsia="Times New Roman" w:hAnsi="Times New Roman"/>
          <w:sz w:val="18"/>
          <w:szCs w:val="18"/>
          <w:color w:val="auto"/>
        </w:rPr>
      </w:pPr>
      <w:r>
        <w:rPr>
          <w:rFonts w:ascii="Georgia" w:cs="Georgia" w:eastAsia="Georgia" w:hAnsi="Georgia"/>
          <w:sz w:val="18"/>
          <w:szCs w:val="18"/>
          <w:color w:val="auto"/>
        </w:rPr>
        <w:t>Evaluate the appropriateness of accounting policies used and the reasonableness of accounting estimates and related disclosures made.</w:t>
      </w:r>
    </w:p>
    <w:p>
      <w:pPr>
        <w:spacing w:after="0" w:line="223" w:lineRule="exact"/>
        <w:rPr>
          <w:sz w:val="20"/>
          <w:szCs w:val="20"/>
          <w:color w:val="auto"/>
        </w:rPr>
      </w:pPr>
    </w:p>
    <w:p>
      <w:pPr>
        <w:jc w:val="both"/>
        <w:ind w:left="180" w:right="560"/>
        <w:spacing w:after="0" w:line="300" w:lineRule="auto"/>
        <w:rPr>
          <w:sz w:val="20"/>
          <w:szCs w:val="20"/>
          <w:color w:val="auto"/>
        </w:rPr>
      </w:pPr>
      <w:r>
        <w:rPr>
          <w:rFonts w:ascii="Georgia" w:cs="Georgia" w:eastAsia="Georgia" w:hAnsi="Georgia"/>
          <w:sz w:val="18"/>
          <w:szCs w:val="18"/>
          <w:color w:val="auto"/>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spacing w:after="0" w:line="192" w:lineRule="exact"/>
        <w:rPr>
          <w:sz w:val="20"/>
          <w:szCs w:val="20"/>
          <w:color w:val="auto"/>
        </w:rPr>
      </w:pPr>
    </w:p>
    <w:p>
      <w:pPr>
        <w:ind w:left="180" w:right="340"/>
        <w:spacing w:after="0" w:line="300" w:lineRule="auto"/>
        <w:rPr>
          <w:sz w:val="20"/>
          <w:szCs w:val="20"/>
          <w:color w:val="auto"/>
        </w:rPr>
      </w:pPr>
      <w:r>
        <w:rPr>
          <w:rFonts w:ascii="Georgia" w:cs="Georgia" w:eastAsia="Georgia" w:hAnsi="Georgia"/>
          <w:sz w:val="18"/>
          <w:szCs w:val="18"/>
          <w:color w:val="auto"/>
        </w:rPr>
        <w:t>We also provide the Board of Directors or its relevant committee with a statement that we have complied with relevant ethical requirements regarding independence, and communicate with them all relationships and other matters that may reasonably be thought to bear on our independence, and where applicable, actions taken to eliminate threats or safeguards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595630</wp:posOffset>
            </wp:positionV>
            <wp:extent cx="5812155" cy="1714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577215</wp:posOffset>
            </wp:positionV>
            <wp:extent cx="1482725" cy="96012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clrChange>
                        <a:clrFrom>
                          <a:srgbClr val="FFFFFF"/>
                        </a:clrFrom>
                        <a:clrTo>
                          <a:srgbClr val="FFFFFF">
                            <a:alpha val="0"/>
                          </a:srgbClr>
                        </a:clrTo>
                      </a:clrChange>
                      <a:extLst>
                        <a:ext uri="{28A0092B-C50C-407E-A947-70E740481C1C}"/>
                      </a:extLst>
                    </a:blip>
                    <a:srcRect/>
                    <a:stretch>
                      <a:fillRect/>
                    </a:stretch>
                  </pic:blipFill>
                  <pic:spPr bwMode="auto">
                    <a:xfrm>
                      <a:off x="0" y="0"/>
                      <a:ext cx="14827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Georgia" w:cs="Georgia" w:eastAsia="Georgia" w:hAnsi="Georgia"/>
          <w:sz w:val="18"/>
          <w:szCs w:val="18"/>
          <w:color w:val="auto"/>
        </w:rPr>
        <w:t>PricewaterhouseCoopers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3420" w:type="dxa"/>
            <w:vAlign w:val="bottom"/>
            <w:gridSpan w:val="2"/>
          </w:tcPr>
          <w:p>
            <w:pPr>
              <w:spacing w:after="0"/>
              <w:rPr>
                <w:sz w:val="20"/>
                <w:szCs w:val="20"/>
                <w:color w:val="auto"/>
              </w:rPr>
            </w:pPr>
            <w:r>
              <w:rPr>
                <w:rFonts w:ascii="Georgia" w:cs="Georgia" w:eastAsia="Georgia" w:hAnsi="Georgia"/>
                <w:sz w:val="18"/>
                <w:szCs w:val="18"/>
                <w:color w:val="auto"/>
              </w:rPr>
              <w:t>/s/ Alex Fuhrer</w:t>
            </w:r>
          </w:p>
        </w:tc>
        <w:tc>
          <w:tcPr>
            <w:tcW w:w="5740" w:type="dxa"/>
            <w:vAlign w:val="bottom"/>
          </w:tcPr>
          <w:p>
            <w:pPr>
              <w:ind w:left="1300"/>
              <w:spacing w:after="0"/>
              <w:rPr>
                <w:sz w:val="20"/>
                <w:szCs w:val="20"/>
                <w:color w:val="auto"/>
              </w:rPr>
            </w:pPr>
            <w:r>
              <w:rPr>
                <w:rFonts w:ascii="Georgia" w:cs="Georgia" w:eastAsia="Georgia" w:hAnsi="Georgia"/>
                <w:sz w:val="18"/>
                <w:szCs w:val="18"/>
                <w:color w:val="auto"/>
              </w:rPr>
              <w:t>/s/ Thomas Kohler</w:t>
            </w:r>
          </w:p>
        </w:tc>
      </w:tr>
      <w:tr>
        <w:trPr>
          <w:trHeight w:val="257"/>
        </w:trPr>
        <w:tc>
          <w:tcPr>
            <w:tcW w:w="3420" w:type="dxa"/>
            <w:vAlign w:val="bottom"/>
            <w:gridSpan w:val="2"/>
          </w:tcPr>
          <w:p>
            <w:pPr>
              <w:spacing w:after="0"/>
              <w:rPr>
                <w:sz w:val="20"/>
                <w:szCs w:val="20"/>
                <w:color w:val="auto"/>
              </w:rPr>
            </w:pPr>
            <w:r>
              <w:rPr>
                <w:rFonts w:ascii="Georgia" w:cs="Georgia" w:eastAsia="Georgia" w:hAnsi="Georgia"/>
                <w:sz w:val="18"/>
                <w:szCs w:val="18"/>
                <w:color w:val="auto"/>
              </w:rPr>
              <w:t>Licensed audit expert</w:t>
            </w:r>
          </w:p>
        </w:tc>
        <w:tc>
          <w:tcPr>
            <w:tcW w:w="5740" w:type="dxa"/>
            <w:vAlign w:val="bottom"/>
          </w:tcPr>
          <w:p>
            <w:pPr>
              <w:ind w:left="1300"/>
              <w:spacing w:after="0"/>
              <w:rPr>
                <w:sz w:val="20"/>
                <w:szCs w:val="20"/>
                <w:color w:val="auto"/>
              </w:rPr>
            </w:pPr>
            <w:r>
              <w:rPr>
                <w:rFonts w:ascii="Georgia" w:cs="Georgia" w:eastAsia="Georgia" w:hAnsi="Georgia"/>
                <w:sz w:val="18"/>
                <w:szCs w:val="18"/>
                <w:color w:val="auto"/>
              </w:rPr>
              <w:t>Licensed audit expert</w:t>
            </w:r>
          </w:p>
        </w:tc>
      </w:tr>
      <w:tr>
        <w:trPr>
          <w:trHeight w:val="256"/>
        </w:trPr>
        <w:tc>
          <w:tcPr>
            <w:tcW w:w="3420" w:type="dxa"/>
            <w:vAlign w:val="bottom"/>
            <w:gridSpan w:val="2"/>
          </w:tcPr>
          <w:p>
            <w:pPr>
              <w:spacing w:after="0"/>
              <w:rPr>
                <w:sz w:val="20"/>
                <w:szCs w:val="20"/>
                <w:color w:val="auto"/>
              </w:rPr>
            </w:pPr>
            <w:r>
              <w:rPr>
                <w:rFonts w:ascii="Georgia" w:cs="Georgia" w:eastAsia="Georgia" w:hAnsi="Georgia"/>
                <w:sz w:val="18"/>
                <w:szCs w:val="18"/>
                <w:color w:val="auto"/>
              </w:rPr>
              <w:t>Auditor in charge</w:t>
            </w:r>
          </w:p>
        </w:tc>
        <w:tc>
          <w:tcPr>
            <w:tcW w:w="5740" w:type="dxa"/>
            <w:vAlign w:val="bottom"/>
          </w:tcPr>
          <w:p>
            <w:pPr>
              <w:spacing w:after="0"/>
              <w:rPr>
                <w:sz w:val="22"/>
                <w:szCs w:val="22"/>
                <w:color w:val="auto"/>
              </w:rPr>
            </w:pPr>
          </w:p>
        </w:tc>
      </w:tr>
      <w:tr>
        <w:trPr>
          <w:trHeight w:val="702"/>
        </w:trPr>
        <w:tc>
          <w:tcPr>
            <w:tcW w:w="2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Georgia" w:cs="Georgia" w:eastAsia="Georgia" w:hAnsi="Georgia"/>
                <w:sz w:val="18"/>
                <w:szCs w:val="18"/>
                <w:color w:val="auto"/>
              </w:rPr>
              <w:t>Lausanne, March 13, 2026</w:t>
            </w:r>
          </w:p>
        </w:tc>
        <w:tc>
          <w:tcPr>
            <w:tcW w:w="5740" w:type="dxa"/>
            <w:vAlign w:val="bottom"/>
          </w:tcPr>
          <w:p>
            <w:pPr>
              <w:spacing w:after="0"/>
              <w:rPr>
                <w:sz w:val="24"/>
                <w:szCs w:val="24"/>
                <w:color w:val="auto"/>
              </w:rPr>
            </w:pPr>
          </w:p>
        </w:tc>
      </w:tr>
      <w:tr>
        <w:trPr>
          <w:trHeight w:val="1454"/>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9320"/>
          </w:cols>
          <w:pgMar w:left="1440" w:top="1440" w:right="11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32" w:lineRule="exact"/>
        <w:rPr>
          <w:sz w:val="20"/>
          <w:szCs w:val="20"/>
          <w:color w:val="auto"/>
        </w:rPr>
      </w:pPr>
    </w:p>
    <w:p>
      <w:pPr>
        <w:ind w:left="180" w:right="340"/>
        <w:spacing w:after="0" w:line="311" w:lineRule="auto"/>
        <w:rPr>
          <w:sz w:val="20"/>
          <w:szCs w:val="20"/>
          <w:color w:val="auto"/>
        </w:rPr>
      </w:pPr>
      <w:r>
        <w:rPr>
          <w:rFonts w:ascii="Times New Roman" w:cs="Times New Roman" w:eastAsia="Times New Roman" w:hAnsi="Times New Roman"/>
          <w:sz w:val="20"/>
          <w:szCs w:val="20"/>
          <w:color w:val="auto"/>
        </w:rPr>
        <w:t>This compensation report of AC Immune SA (the “Company”) has been prepared in accordance with the Swiss Code of Obligations (“CO”).</w:t>
      </w:r>
    </w:p>
    <w:p>
      <w:pPr>
        <w:spacing w:after="0" w:line="210" w:lineRule="exact"/>
        <w:rPr>
          <w:sz w:val="20"/>
          <w:szCs w:val="20"/>
          <w:color w:val="auto"/>
        </w:rPr>
      </w:pPr>
    </w:p>
    <w:p>
      <w:pPr>
        <w:ind w:left="1140" w:right="4940" w:hanging="644"/>
        <w:spacing w:after="0" w:line="315" w:lineRule="auto"/>
        <w:tabs>
          <w:tab w:leader="none" w:pos="802"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of the Board of Directors a. 2025 and 2024 Board Composition</w:t>
      </w:r>
    </w:p>
    <w:p>
      <w:pPr>
        <w:spacing w:after="0" w:line="210" w:lineRule="exact"/>
        <w:rPr>
          <w:sz w:val="20"/>
          <w:szCs w:val="20"/>
          <w:color w:val="auto"/>
        </w:rPr>
      </w:pPr>
    </w:p>
    <w:p>
      <w:pPr>
        <w:jc w:val="both"/>
        <w:ind w:left="180"/>
        <w:spacing w:after="0" w:line="291" w:lineRule="auto"/>
        <w:rPr>
          <w:sz w:val="20"/>
          <w:szCs w:val="20"/>
          <w:color w:val="auto"/>
        </w:rPr>
      </w:pPr>
      <w:r>
        <w:rPr>
          <w:rFonts w:ascii="Times New Roman" w:cs="Times New Roman" w:eastAsia="Times New Roman" w:hAnsi="Times New Roman"/>
          <w:sz w:val="20"/>
          <w:szCs w:val="20"/>
          <w:color w:val="auto"/>
        </w:rPr>
        <w:t>Our Board of Directors is composed of six directors, including our Chief Executive Officer (“CEO”). Each director is elected for a renewable one-year term. The current members of our Board of Directors were appointed at the 2025 shareholders’ meeting held on 19 June 2025 (“2025 AGM”) to serve until the 2026 shareholders’ meeting planned for June 2026.</w:t>
      </w:r>
    </w:p>
    <w:p>
      <w:pPr>
        <w:spacing w:after="0" w:line="224" w:lineRule="exact"/>
        <w:rPr>
          <w:sz w:val="20"/>
          <w:szCs w:val="20"/>
          <w:color w:val="auto"/>
        </w:rPr>
      </w:pPr>
    </w:p>
    <w:tbl>
      <w:tblPr>
        <w:tblLayout w:type="fixed"/>
        <w:tblInd w:w="190" w:type="dxa"/>
        <w:tblCellMar>
          <w:top w:w="0" w:type="dxa"/>
          <w:left w:w="0" w:type="dxa"/>
          <w:bottom w:w="0" w:type="dxa"/>
          <w:right w:w="0" w:type="dxa"/>
        </w:tblCellMar>
      </w:tblPr>
      <w:tr>
        <w:trPr>
          <w:trHeight w:val="187"/>
        </w:trPr>
        <w:tc>
          <w:tcPr>
            <w:tcW w:w="2140" w:type="dxa"/>
            <w:vAlign w:val="bottom"/>
            <w:tcBorders>
              <w:top w:val="single" w:sz="8" w:color="auto"/>
              <w:left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Appointed</w:t>
            </w:r>
          </w:p>
        </w:tc>
        <w:tc>
          <w:tcPr>
            <w:tcW w:w="134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Board role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 and</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 the Board</w:t>
            </w:r>
          </w:p>
        </w:tc>
        <w:tc>
          <w:tcPr>
            <w:tcW w:w="13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Nomination and</w:t>
            </w: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Directors</w:t>
            </w:r>
          </w:p>
        </w:tc>
        <w:tc>
          <w:tcPr>
            <w:tcW w:w="13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w:t>
            </w: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(AFC)</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r>
      <w:tr>
        <w:trPr>
          <w:trHeight w:val="205"/>
        </w:trPr>
        <w:tc>
          <w:tcPr>
            <w:tcW w:w="214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(CNC)</w:t>
            </w:r>
          </w:p>
        </w:tc>
      </w:tr>
      <w:tr>
        <w:trPr>
          <w:trHeight w:val="183"/>
        </w:trPr>
        <w:tc>
          <w:tcPr>
            <w:tcW w:w="2140" w:type="dxa"/>
            <w:vAlign w:val="bottom"/>
            <w:tcBorders>
              <w:left w:val="single" w:sz="8" w:color="auto"/>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Andrea Pfeifer, Ph.D.</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2016</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 – CEO</w:t>
            </w:r>
          </w:p>
        </w:tc>
        <w:tc>
          <w:tcPr>
            <w:tcW w:w="132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96"/>
        </w:trPr>
        <w:tc>
          <w:tcPr>
            <w:tcW w:w="214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Douglas Williams, Ph.D.</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Chair</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5"/>
                <w:szCs w:val="15"/>
                <w:color w:val="auto"/>
              </w:rPr>
              <w:t xml:space="preserve">Member </w:t>
            </w:r>
            <w:r>
              <w:rPr>
                <w:rFonts w:ascii="Times New Roman" w:cs="Times New Roman" w:eastAsia="Times New Roman" w:hAnsi="Times New Roman"/>
                <w:sz w:val="22"/>
                <w:szCs w:val="22"/>
                <w:color w:val="auto"/>
                <w:vertAlign w:val="superscript"/>
              </w:rPr>
              <w:t>(3)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Member</w:t>
            </w:r>
          </w:p>
        </w:tc>
      </w:tr>
      <w:tr>
        <w:trPr>
          <w:trHeight w:val="196"/>
        </w:trPr>
        <w:tc>
          <w:tcPr>
            <w:tcW w:w="214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Werner Lanthaler, Ph.D.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5"/>
                <w:szCs w:val="15"/>
                <w:color w:val="auto"/>
              </w:rPr>
              <w:t xml:space="preserve">Member </w:t>
            </w:r>
            <w:r>
              <w:rPr>
                <w:rFonts w:ascii="Times New Roman" w:cs="Times New Roman" w:eastAsia="Times New Roman" w:hAnsi="Times New Roman"/>
                <w:sz w:val="22"/>
                <w:szCs w:val="22"/>
                <w:color w:val="auto"/>
                <w:vertAlign w:val="superscript"/>
              </w:rPr>
              <w:t>(4)</w:t>
            </w:r>
          </w:p>
        </w:tc>
        <w:tc>
          <w:tcPr>
            <w:tcW w:w="1500" w:type="dxa"/>
            <w:vAlign w:val="bottom"/>
            <w:tcBorders>
              <w:bottom w:val="single" w:sz="8" w:color="auto"/>
              <w:right w:val="single" w:sz="8" w:color="auto"/>
            </w:tcBorders>
          </w:tcPr>
          <w:p>
            <w:pPr>
              <w:spacing w:after="0"/>
              <w:rPr>
                <w:sz w:val="17"/>
                <w:szCs w:val="17"/>
                <w:color w:val="auto"/>
              </w:rPr>
            </w:pPr>
          </w:p>
        </w:tc>
      </w:tr>
      <w:tr>
        <w:trPr>
          <w:trHeight w:val="182"/>
        </w:trPr>
        <w:tc>
          <w:tcPr>
            <w:tcW w:w="2140" w:type="dxa"/>
            <w:vAlign w:val="bottom"/>
            <w:tcBorders>
              <w:left w:val="single" w:sz="8" w:color="auto"/>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Roy Twyman, M.D.</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2019</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w:t>
            </w:r>
          </w:p>
        </w:tc>
        <w:tc>
          <w:tcPr>
            <w:tcW w:w="132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Member</w:t>
            </w:r>
          </w:p>
        </w:tc>
      </w:tr>
      <w:tr>
        <w:trPr>
          <w:trHeight w:val="183"/>
        </w:trPr>
        <w:tc>
          <w:tcPr>
            <w:tcW w:w="2140" w:type="dxa"/>
            <w:vAlign w:val="bottom"/>
            <w:tcBorders>
              <w:left w:val="single" w:sz="8" w:color="auto"/>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Carl June, M.D.</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2020</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w:t>
            </w:r>
          </w:p>
        </w:tc>
        <w:tc>
          <w:tcPr>
            <w:tcW w:w="132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r>
      <w:tr>
        <w:trPr>
          <w:trHeight w:val="183"/>
        </w:trPr>
        <w:tc>
          <w:tcPr>
            <w:tcW w:w="2140" w:type="dxa"/>
            <w:vAlign w:val="bottom"/>
            <w:tcBorders>
              <w:left w:val="single" w:sz="8" w:color="auto"/>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Monika Bütler, Ph.D.</w:t>
            </w:r>
          </w:p>
        </w:tc>
        <w:tc>
          <w:tcPr>
            <w:tcW w:w="10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2021</w:t>
            </w:r>
          </w:p>
        </w:tc>
        <w:tc>
          <w:tcPr>
            <w:tcW w:w="134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Vice Chair</w:t>
            </w:r>
          </w:p>
        </w:tc>
        <w:tc>
          <w:tcPr>
            <w:tcW w:w="13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Chair</w:t>
            </w:r>
          </w:p>
        </w:tc>
        <w:tc>
          <w:tcPr>
            <w:tcW w:w="150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Chair</w:t>
            </w:r>
          </w:p>
        </w:tc>
      </w:tr>
      <w:tr>
        <w:trPr>
          <w:trHeight w:val="196"/>
        </w:trPr>
        <w:tc>
          <w:tcPr>
            <w:tcW w:w="214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Monica Shaw, M.D.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w:t>
            </w:r>
          </w:p>
        </w:tc>
        <w:tc>
          <w:tcPr>
            <w:tcW w:w="1500" w:type="dxa"/>
            <w:vAlign w:val="bottom"/>
            <w:tcBorders>
              <w:bottom w:val="single" w:sz="8" w:color="auto"/>
              <w:right w:val="single" w:sz="8" w:color="auto"/>
            </w:tcBorders>
          </w:tcPr>
          <w:p>
            <w:pPr>
              <w:spacing w:after="0"/>
              <w:rPr>
                <w:sz w:val="17"/>
                <w:szCs w:val="17"/>
                <w:color w:val="auto"/>
              </w:rPr>
            </w:pPr>
          </w:p>
        </w:tc>
      </w:tr>
      <w:tr>
        <w:trPr>
          <w:trHeight w:val="196"/>
        </w:trPr>
        <w:tc>
          <w:tcPr>
            <w:tcW w:w="214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Renée Aguiar-Lucander </w:t>
            </w:r>
            <w:r>
              <w:rPr>
                <w:rFonts w:ascii="Times New Roman" w:cs="Times New Roman" w:eastAsia="Times New Roman" w:hAnsi="Times New Roman"/>
                <w:sz w:val="22"/>
                <w:szCs w:val="22"/>
                <w:color w:val="auto"/>
                <w:vertAlign w:val="superscript"/>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w:t>
            </w:r>
          </w:p>
        </w:tc>
        <w:tc>
          <w:tcPr>
            <w:tcW w:w="1500" w:type="dxa"/>
            <w:vAlign w:val="bottom"/>
            <w:tcBorders>
              <w:bottom w:val="single" w:sz="8" w:color="auto"/>
              <w:right w:val="single" w:sz="8" w:color="auto"/>
            </w:tcBorders>
          </w:tcPr>
          <w:p>
            <w:pPr>
              <w:spacing w:after="0"/>
              <w:rPr>
                <w:sz w:val="17"/>
                <w:szCs w:val="17"/>
                <w:color w:val="auto"/>
              </w:rPr>
            </w:pPr>
          </w:p>
        </w:tc>
      </w:tr>
      <w:tr>
        <w:trPr>
          <w:trHeight w:val="196"/>
        </w:trPr>
        <w:tc>
          <w:tcPr>
            <w:tcW w:w="214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Martin Zügel, M.D. </w:t>
            </w:r>
            <w:r>
              <w:rPr>
                <w:rFonts w:ascii="Times New Roman" w:cs="Times New Roman" w:eastAsia="Times New Roman" w:hAnsi="Times New Roman"/>
                <w:sz w:val="22"/>
                <w:szCs w:val="22"/>
                <w:color w:val="auto"/>
                <w:vertAlign w:val="superscript"/>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Chair</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Member</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380" w:lineRule="exact"/>
        <w:rPr>
          <w:sz w:val="20"/>
          <w:szCs w:val="20"/>
          <w:color w:val="auto"/>
        </w:rPr>
      </w:pPr>
    </w:p>
    <w:p>
      <w:pPr>
        <w:ind w:left="360" w:hanging="188"/>
        <w:spacing w:after="0"/>
        <w:tabs>
          <w:tab w:leader="none" w:pos="36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Until 19 June 2025. Did not stand for reelection at AC Immune’s 2025 AGM.</w:t>
      </w:r>
    </w:p>
    <w:p>
      <w:pPr>
        <w:spacing w:after="0" w:line="109" w:lineRule="exact"/>
        <w:rPr>
          <w:rFonts w:ascii="Times New Roman" w:cs="Times New Roman" w:eastAsia="Times New Roman" w:hAnsi="Times New Roman"/>
          <w:sz w:val="24"/>
          <w:szCs w:val="24"/>
          <w:color w:val="auto"/>
          <w:vertAlign w:val="superscript"/>
        </w:rPr>
      </w:pPr>
    </w:p>
    <w:p>
      <w:pPr>
        <w:ind w:left="340" w:hanging="168"/>
        <w:spacing w:after="0" w:line="236" w:lineRule="auto"/>
        <w:tabs>
          <w:tab w:leader="none" w:pos="34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Newly appointed at the 2025 AGM on 19 June 2025.</w:t>
      </w:r>
    </w:p>
    <w:p>
      <w:pPr>
        <w:ind w:left="360" w:hanging="188"/>
        <w:spacing w:after="0" w:line="187" w:lineRule="auto"/>
        <w:tabs>
          <w:tab w:leader="none" w:pos="36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Appointed from 9 February 2024 until 19 June 2025.</w:t>
      </w:r>
    </w:p>
    <w:p>
      <w:pPr>
        <w:ind w:left="360" w:hanging="188"/>
        <w:spacing w:after="0" w:line="182" w:lineRule="auto"/>
        <w:tabs>
          <w:tab w:leader="none" w:pos="3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Until 2 February 2024.</w:t>
      </w:r>
    </w:p>
    <w:p>
      <w:pPr>
        <w:spacing w:after="0" w:line="200" w:lineRule="exact"/>
        <w:rPr>
          <w:sz w:val="20"/>
          <w:szCs w:val="20"/>
          <w:color w:val="auto"/>
        </w:rPr>
      </w:pPr>
    </w:p>
    <w:p>
      <w:pPr>
        <w:jc w:val="both"/>
        <w:ind w:left="180"/>
        <w:spacing w:after="0" w:line="303" w:lineRule="auto"/>
        <w:rPr>
          <w:sz w:val="20"/>
          <w:szCs w:val="20"/>
          <w:color w:val="auto"/>
        </w:rPr>
      </w:pPr>
      <w:r>
        <w:rPr>
          <w:rFonts w:ascii="Times New Roman" w:cs="Times New Roman" w:eastAsia="Times New Roman" w:hAnsi="Times New Roman"/>
          <w:sz w:val="19"/>
          <w:szCs w:val="19"/>
          <w:color w:val="auto"/>
        </w:rPr>
        <w:t>Pursuant to the NASDAQ Marketplace Rule 5615(a)(3), the Company follows Swiss rules in lieu of the NASDAQ exchange listing rules for rules regarding the nominations committee, independent director oversight of executive officer compensation, majority independent board representation and the establishment of, or amendments to, equity-based compensation plans for employees. Swiss law does not require that a majority of our Board of Directors consists of independent directors. However, Roy Twyman, Carl June, Monika Bütler, Renée Aguiar-Lucander and Martin Zügel are all independent directors. Douglas Williams, Werner Lanthaler and Monica Shaw were deemed to be independent directors during their tenure as members of our Board of Directors. In making such determination, our Board of Directors considered the relationships that each non-employee director has with us and any other circumstances our Board of Directors deemed relevant in determining director independence, including the number of ordinary shares, if any that are beneficially owned by directors and their affiliated entities.</w:t>
      </w:r>
    </w:p>
    <w:p>
      <w:pPr>
        <w:spacing w:after="0" w:line="221" w:lineRule="exact"/>
        <w:rPr>
          <w:sz w:val="20"/>
          <w:szCs w:val="20"/>
          <w:color w:val="auto"/>
        </w:rPr>
      </w:pPr>
    </w:p>
    <w:p>
      <w:pPr>
        <w:ind w:left="1140"/>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b.</w:t>
      </w:r>
      <w:r>
        <w:rPr>
          <w:sz w:val="20"/>
          <w:szCs w:val="20"/>
          <w:color w:val="auto"/>
        </w:rPr>
        <w:tab/>
      </w:r>
      <w:r>
        <w:rPr>
          <w:rFonts w:ascii="Times New Roman" w:cs="Times New Roman" w:eastAsia="Times New Roman" w:hAnsi="Times New Roman"/>
          <w:sz w:val="19"/>
          <w:szCs w:val="19"/>
          <w:b w:val="1"/>
          <w:bCs w:val="1"/>
          <w:color w:val="auto"/>
        </w:rPr>
        <w:t>Compensation Structure</w:t>
      </w:r>
    </w:p>
    <w:p>
      <w:pPr>
        <w:spacing w:after="0" w:line="314" w:lineRule="exact"/>
        <w:rPr>
          <w:sz w:val="20"/>
          <w:szCs w:val="20"/>
          <w:color w:val="auto"/>
        </w:rPr>
      </w:pPr>
    </w:p>
    <w:p>
      <w:pPr>
        <w:jc w:val="both"/>
        <w:ind w:left="180" w:right="20"/>
        <w:spacing w:after="0" w:line="311" w:lineRule="auto"/>
        <w:rPr>
          <w:sz w:val="20"/>
          <w:szCs w:val="20"/>
          <w:color w:val="auto"/>
        </w:rPr>
      </w:pPr>
      <w:r>
        <w:rPr>
          <w:rFonts w:ascii="Times New Roman" w:cs="Times New Roman" w:eastAsia="Times New Roman" w:hAnsi="Times New Roman"/>
          <w:sz w:val="19"/>
          <w:szCs w:val="19"/>
          <w:color w:val="auto"/>
        </w:rPr>
        <w:t>Board members are paid a fixed fee that depends on the function exercised. Board fees are determined in alignment with market practice. In addition to the fixed fee, board members are awarded equity instruments under the Company’s equity incentive plans as described within the section “Equity Incentive Plans” of this report. Annual fixed fees, excluding social security contributions are paid semi-annually, in Swiss Francs (“CHF”)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607060</wp:posOffset>
            </wp:positionV>
            <wp:extent cx="5812155" cy="2540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22" w:lineRule="exact"/>
        <w:rPr>
          <w:sz w:val="20"/>
          <w:szCs w:val="20"/>
          <w:color w:val="auto"/>
        </w:rPr>
      </w:pPr>
    </w:p>
    <w:tbl>
      <w:tblPr>
        <w:tblLayout w:type="fixed"/>
        <w:tblInd w:w="190" w:type="dxa"/>
        <w:tblCellMar>
          <w:top w:w="0" w:type="dxa"/>
          <w:left w:w="0" w:type="dxa"/>
          <w:bottom w:w="0" w:type="dxa"/>
          <w:right w:w="0" w:type="dxa"/>
        </w:tblCellMar>
      </w:tblPr>
      <w:tr>
        <w:trPr>
          <w:trHeight w:val="160"/>
        </w:trPr>
        <w:tc>
          <w:tcPr>
            <w:tcW w:w="4140" w:type="dxa"/>
            <w:vAlign w:val="bottom"/>
            <w:tcBorders>
              <w:right w:val="single" w:sz="8" w:color="auto"/>
            </w:tcBorders>
          </w:tcPr>
          <w:p>
            <w:pPr>
              <w:spacing w:after="0"/>
              <w:rPr>
                <w:sz w:val="13"/>
                <w:szCs w:val="13"/>
                <w:color w:val="auto"/>
              </w:rPr>
            </w:pPr>
          </w:p>
        </w:tc>
        <w:tc>
          <w:tcPr>
            <w:tcW w:w="1900" w:type="dxa"/>
            <w:vAlign w:val="bottom"/>
            <w:tcBorders>
              <w:top w:val="single" w:sz="8" w:color="auto"/>
              <w:right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from 2024 and from 2025</w:t>
            </w:r>
          </w:p>
        </w:tc>
      </w:tr>
      <w:tr>
        <w:trPr>
          <w:trHeight w:val="215"/>
        </w:trPr>
        <w:tc>
          <w:tcPr>
            <w:tcW w:w="4140" w:type="dxa"/>
            <w:vAlign w:val="bottom"/>
            <w:tcBorders>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(CHFk)</w:t>
            </w:r>
          </w:p>
        </w:tc>
      </w:tr>
      <w:tr>
        <w:trPr>
          <w:trHeight w:val="211"/>
        </w:trPr>
        <w:tc>
          <w:tcPr>
            <w:tcW w:w="41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Chair</w:t>
            </w:r>
          </w:p>
        </w:tc>
        <w:tc>
          <w:tcPr>
            <w:tcW w:w="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Member</w:t>
            </w:r>
          </w:p>
        </w:tc>
      </w:tr>
      <w:tr>
        <w:trPr>
          <w:trHeight w:val="238"/>
        </w:trPr>
        <w:tc>
          <w:tcPr>
            <w:tcW w:w="4140" w:type="dxa"/>
            <w:vAlign w:val="bottom"/>
            <w:tcBorders>
              <w:left w:val="single" w:sz="8" w:color="auto"/>
              <w:bottom w:val="single" w:sz="8" w:color="auto"/>
              <w:right w:val="single" w:sz="8" w:color="auto"/>
            </w:tcBorders>
          </w:tcPr>
          <w:p>
            <w:pPr>
              <w:ind w:left="100"/>
              <w:spacing w:after="0" w:line="239" w:lineRule="exact"/>
              <w:rPr>
                <w:sz w:val="20"/>
                <w:szCs w:val="20"/>
                <w:color w:val="auto"/>
              </w:rPr>
            </w:pPr>
            <w:r>
              <w:rPr>
                <w:rFonts w:ascii="Times New Roman" w:cs="Times New Roman" w:eastAsia="Times New Roman" w:hAnsi="Times New Roman"/>
                <w:sz w:val="16"/>
                <w:szCs w:val="16"/>
                <w:color w:val="auto"/>
              </w:rPr>
              <w:t>Board of Directors</w:t>
            </w:r>
            <w:r>
              <w:rPr>
                <w:rFonts w:ascii="Times New Roman" w:cs="Times New Roman" w:eastAsia="Times New Roman" w:hAnsi="Times New Roman"/>
                <w:sz w:val="24"/>
                <w:szCs w:val="24"/>
                <w:color w:val="auto"/>
                <w:vertAlign w:val="superscript"/>
              </w:rPr>
              <w:t>(1)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840" w:type="dxa"/>
            <w:vAlign w:val="bottom"/>
            <w:tcBorders>
              <w:bottom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7"/>
                <w:szCs w:val="27"/>
                <w:color w:val="auto"/>
                <w:w w:val="97"/>
                <w:vertAlign w:val="subscript"/>
              </w:rPr>
              <w:t>54</w:t>
            </w:r>
            <w:r>
              <w:rPr>
                <w:rFonts w:ascii="Times New Roman" w:cs="Times New Roman" w:eastAsia="Times New Roman" w:hAnsi="Times New Roman"/>
                <w:sz w:val="11"/>
                <w:szCs w:val="11"/>
                <w:color w:val="auto"/>
                <w:w w:val="97"/>
              </w:rPr>
              <w:t>(2)</w:t>
            </w:r>
          </w:p>
        </w:tc>
      </w:tr>
      <w:tr>
        <w:trPr>
          <w:trHeight w:val="204"/>
        </w:trPr>
        <w:tc>
          <w:tcPr>
            <w:tcW w:w="4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Compensation, Nomination and Governance Committee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04"/>
        </w:trPr>
        <w:tc>
          <w:tcPr>
            <w:tcW w:w="4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Audit and Finance Committee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80" w:right="20" w:hanging="8"/>
        <w:spacing w:after="0" w:line="208" w:lineRule="auto"/>
        <w:tabs>
          <w:tab w:leader="none" w:pos="379"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Board member and CEO, Professor Andrea Pfeifer is unremunerated for her Board participation (see also the overview on Board compensation below).</w:t>
      </w:r>
    </w:p>
    <w:p>
      <w:pPr>
        <w:spacing w:after="0" w:line="222" w:lineRule="exact"/>
        <w:rPr>
          <w:rFonts w:ascii="Times New Roman" w:cs="Times New Roman" w:eastAsia="Times New Roman" w:hAnsi="Times New Roman"/>
          <w:sz w:val="24"/>
          <w:szCs w:val="24"/>
          <w:color w:val="auto"/>
          <w:vertAlign w:val="superscript"/>
        </w:rPr>
      </w:pPr>
    </w:p>
    <w:p>
      <w:pPr>
        <w:ind w:left="180" w:hanging="8"/>
        <w:spacing w:after="0" w:line="228" w:lineRule="auto"/>
        <w:tabs>
          <w:tab w:leader="none" w:pos="352"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role of Vice Chair was reintroduced in 2023 to take on responsibilities delegated by the Chair, and to deputize for the Chair during any absence. Vice Chair’s additional responsibilities are remunerated with an annual board fee of CHF 70k.</w:t>
      </w:r>
    </w:p>
    <w:p>
      <w:pPr>
        <w:spacing w:after="0" w:line="127" w:lineRule="exact"/>
        <w:rPr>
          <w:rFonts w:ascii="Times New Roman" w:cs="Times New Roman" w:eastAsia="Times New Roman" w:hAnsi="Times New Roman"/>
          <w:sz w:val="23"/>
          <w:szCs w:val="23"/>
          <w:color w:val="auto"/>
          <w:vertAlign w:val="superscript"/>
        </w:rPr>
      </w:pPr>
    </w:p>
    <w:p>
      <w:pPr>
        <w:ind w:left="1460" w:hanging="316"/>
        <w:spacing w:after="0"/>
        <w:tabs>
          <w:tab w:leader="none" w:pos="1460" w:val="left"/>
        </w:tabs>
        <w:numPr>
          <w:ilvl w:val="1"/>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2025 and 2024 Board Compensation</w:t>
      </w:r>
    </w:p>
    <w:p>
      <w:pPr>
        <w:spacing w:after="0" w:line="152" w:lineRule="exact"/>
        <w:rPr>
          <w:sz w:val="20"/>
          <w:szCs w:val="20"/>
          <w:color w:val="auto"/>
        </w:rPr>
      </w:pPr>
    </w:p>
    <w:p>
      <w:pPr>
        <w:ind w:left="180" w:right="20"/>
        <w:spacing w:after="0" w:line="311" w:lineRule="auto"/>
        <w:rPr>
          <w:sz w:val="20"/>
          <w:szCs w:val="20"/>
          <w:color w:val="auto"/>
        </w:rPr>
      </w:pPr>
      <w:r>
        <w:rPr>
          <w:rFonts w:ascii="Times New Roman" w:cs="Times New Roman" w:eastAsia="Times New Roman" w:hAnsi="Times New Roman"/>
          <w:sz w:val="20"/>
          <w:szCs w:val="20"/>
          <w:color w:val="auto"/>
        </w:rPr>
        <w:t>In 2025 and 2024, the total compensation of the members of the Board of Directors consisted of board fees, social security contributions and compensation paid in the form of equity instruments as detailed below:</w:t>
      </w:r>
    </w:p>
    <w:p>
      <w:pPr>
        <w:spacing w:after="0" w:line="136" w:lineRule="exact"/>
        <w:rPr>
          <w:sz w:val="20"/>
          <w:szCs w:val="20"/>
          <w:color w:val="auto"/>
        </w:rPr>
      </w:pPr>
    </w:p>
    <w:tbl>
      <w:tblPr>
        <w:tblLayout w:type="fixed"/>
        <w:tblInd w:w="190" w:type="dxa"/>
        <w:tblCellMar>
          <w:top w:w="0" w:type="dxa"/>
          <w:left w:w="0" w:type="dxa"/>
          <w:bottom w:w="0" w:type="dxa"/>
          <w:right w:w="0" w:type="dxa"/>
        </w:tblCellMar>
      </w:tblPr>
      <w:tr>
        <w:trPr>
          <w:trHeight w:val="200"/>
        </w:trPr>
        <w:tc>
          <w:tcPr>
            <w:tcW w:w="920" w:type="dxa"/>
            <w:vAlign w:val="bottom"/>
            <w:tcBorders>
              <w:top w:val="single" w:sz="8" w:color="auto"/>
              <w:left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2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 Cash</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FMV of Equity</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Annual</w:t>
            </w: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instruments granted</w:t>
            </w:r>
          </w:p>
        </w:tc>
        <w:tc>
          <w:tcPr>
            <w:tcW w:w="17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auto"/>
                <w:w w:val="96"/>
              </w:rPr>
              <w:t xml:space="preserve">Compensation </w:t>
            </w:r>
            <w:r>
              <w:rPr>
                <w:rFonts w:ascii="Times New Roman" w:cs="Times New Roman" w:eastAsia="Times New Roman" w:hAnsi="Times New Roman"/>
                <w:sz w:val="23"/>
                <w:szCs w:val="23"/>
                <w:b w:val="1"/>
                <w:bCs w:val="1"/>
                <w:color w:val="auto"/>
                <w:w w:val="96"/>
                <w:vertAlign w:val="superscript"/>
              </w:rPr>
              <w:t>(7)</w:t>
            </w:r>
          </w:p>
        </w:tc>
      </w:tr>
      <w:tr>
        <w:trPr>
          <w:trHeight w:val="160"/>
        </w:trPr>
        <w:tc>
          <w:tcPr>
            <w:tcW w:w="920" w:type="dxa"/>
            <w:vAlign w:val="bottom"/>
            <w:tcBorders>
              <w:left w:val="single" w:sz="8" w:color="auto"/>
              <w:right w:val="single" w:sz="8" w:color="auto"/>
            </w:tcBorders>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(5)(6)</w:t>
            </w:r>
          </w:p>
        </w:tc>
        <w:tc>
          <w:tcPr>
            <w:tcW w:w="1740" w:type="dxa"/>
            <w:vAlign w:val="bottom"/>
            <w:tcBorders>
              <w:right w:val="single" w:sz="8" w:color="auto"/>
            </w:tcBorders>
          </w:tcPr>
          <w:p>
            <w:pPr>
              <w:spacing w:after="0"/>
              <w:rPr>
                <w:sz w:val="13"/>
                <w:szCs w:val="13"/>
                <w:color w:val="auto"/>
              </w:rPr>
            </w:pPr>
          </w:p>
        </w:tc>
      </w:tr>
      <w:tr>
        <w:trPr>
          <w:trHeight w:val="45"/>
        </w:trPr>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r>
        <w:trPr>
          <w:trHeight w:val="183"/>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680"/>
              <w:spacing w:after="0" w:line="183" w:lineRule="exact"/>
              <w:rPr>
                <w:sz w:val="20"/>
                <w:szCs w:val="20"/>
                <w:color w:val="auto"/>
              </w:rPr>
            </w:pPr>
            <w:r>
              <w:rPr>
                <w:rFonts w:ascii="Times New Roman" w:cs="Times New Roman" w:eastAsia="Times New Roman" w:hAnsi="Times New Roman"/>
                <w:sz w:val="16"/>
                <w:szCs w:val="16"/>
                <w:b w:val="1"/>
                <w:bCs w:val="1"/>
                <w:color w:val="auto"/>
              </w:rPr>
              <w:t>(CHFk)</w:t>
            </w:r>
          </w:p>
        </w:tc>
        <w:tc>
          <w:tcPr>
            <w:tcW w:w="1740" w:type="dxa"/>
            <w:vAlign w:val="bottom"/>
            <w:tcBorders>
              <w:bottom w:val="single" w:sz="8" w:color="auto"/>
              <w:right w:val="single" w:sz="8" w:color="auto"/>
            </w:tcBorders>
          </w:tcPr>
          <w:p>
            <w:pPr>
              <w:spacing w:after="0"/>
              <w:rPr>
                <w:sz w:val="15"/>
                <w:szCs w:val="15"/>
                <w:color w:val="auto"/>
              </w:rPr>
            </w:pPr>
          </w:p>
        </w:tc>
      </w:tr>
      <w:tr>
        <w:trPr>
          <w:trHeight w:val="182"/>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Douglas Williams, Ph.D. </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56</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56</w:t>
            </w:r>
          </w:p>
        </w:tc>
      </w:tr>
      <w:tr>
        <w:trPr>
          <w:trHeight w:val="182"/>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106</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85</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191</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Andrea Pfeifer, Ph.D. </w:t>
            </w:r>
            <w:r>
              <w:rPr>
                <w:rFonts w:ascii="Times New Roman" w:cs="Times New Roman" w:eastAsia="Times New Roman" w:hAnsi="Times New Roman"/>
                <w:sz w:val="21"/>
                <w:szCs w:val="21"/>
                <w:color w:val="auto"/>
                <w:vertAlign w:val="superscript"/>
              </w:rPr>
              <w:t>(2)</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Werner Lanthaler, Ph.D. </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29</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29</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58</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70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128</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Roy Twyman, M.D.</w:t>
            </w:r>
            <w:r>
              <w:rPr>
                <w:rFonts w:ascii="Times New Roman" w:cs="Times New Roman" w:eastAsia="Times New Roman" w:hAnsi="Times New Roman"/>
                <w:sz w:val="21"/>
                <w:szCs w:val="21"/>
                <w:color w:val="auto"/>
                <w:vertAlign w:val="superscript"/>
              </w:rPr>
              <w:t>(4)</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66</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136</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64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70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134</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Carl June, M.D.</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124</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54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70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124</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Monika Bütler Ph.D.</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107</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75</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182</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104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75</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179</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Monica Shaw M.D. </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34</w:t>
            </w:r>
          </w:p>
        </w:tc>
      </w:tr>
      <w:tr>
        <w:trPr>
          <w:trHeight w:val="182"/>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68</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70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138</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Renée Aguair-Lucander </w:t>
            </w:r>
            <w:r>
              <w:rPr>
                <w:rFonts w:ascii="Times New Roman" w:cs="Times New Roman" w:eastAsia="Times New Roman" w:hAnsi="Times New Roman"/>
                <w:sz w:val="21"/>
                <w:szCs w:val="21"/>
                <w:color w:val="auto"/>
                <w:vertAlign w:val="superscript"/>
              </w:rPr>
              <w:t>(3)</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auto"/>
                <w:w w:val="99"/>
              </w:rPr>
              <w:t>34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140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174</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Martin Zügel M.D. </w:t>
            </w:r>
            <w:r>
              <w:rPr>
                <w:rFonts w:ascii="Times New Roman" w:cs="Times New Roman" w:eastAsia="Times New Roman" w:hAnsi="Times New Roman"/>
                <w:sz w:val="21"/>
                <w:szCs w:val="21"/>
                <w:color w:val="auto"/>
                <w:vertAlign w:val="superscript"/>
              </w:rPr>
              <w:t>(3)</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auto"/>
                <w:w w:val="99"/>
              </w:rPr>
              <w:t>54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155</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209</w:t>
            </w:r>
          </w:p>
        </w:tc>
      </w:tr>
      <w:tr>
        <w:trPr>
          <w:trHeight w:val="183"/>
        </w:trPr>
        <w:tc>
          <w:tcPr>
            <w:tcW w:w="920" w:type="dxa"/>
            <w:vAlign w:val="bottom"/>
            <w:tcBorders>
              <w:left w:val="single" w:sz="8" w:color="auto"/>
              <w:bottom w:val="single" w:sz="8" w:color="auto"/>
              <w:right w:val="single" w:sz="8" w:color="auto"/>
            </w:tcBorders>
          </w:tcPr>
          <w:p>
            <w:pPr>
              <w:jc w:val="right"/>
              <w:ind w:right="419"/>
              <w:spacing w:after="0" w:line="183" w:lineRule="exact"/>
              <w:rPr>
                <w:sz w:val="20"/>
                <w:szCs w:val="20"/>
                <w:color w:val="auto"/>
              </w:rPr>
            </w:pPr>
            <w:r>
              <w:rPr>
                <w:rFonts w:ascii="Times New Roman" w:cs="Times New Roman" w:eastAsia="Times New Roman" w:hAnsi="Times New Roman"/>
                <w:sz w:val="16"/>
                <w:szCs w:val="16"/>
                <w:i w:val="1"/>
                <w:iCs w:val="1"/>
                <w:color w:val="548DD4"/>
              </w:rPr>
              <w:t>2024</w:t>
            </w:r>
          </w:p>
        </w:tc>
        <w:tc>
          <w:tcPr>
            <w:tcW w:w="21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r>
      <w:tr>
        <w:trPr>
          <w:trHeight w:val="183"/>
        </w:trPr>
        <w:tc>
          <w:tcPr>
            <w:tcW w:w="92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r>
      <w:tr>
        <w:trPr>
          <w:trHeight w:val="183"/>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Total 2025</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434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510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944</w:t>
            </w:r>
          </w:p>
        </w:tc>
      </w:tr>
      <w:tr>
        <w:trPr>
          <w:trHeight w:val="183"/>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i w:val="1"/>
                <w:iCs w:val="1"/>
                <w:color w:val="548DD4"/>
              </w:rPr>
              <w:t>Total 2024</w:t>
            </w:r>
          </w:p>
        </w:tc>
        <w:tc>
          <w:tcPr>
            <w:tcW w:w="15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454</w:t>
            </w:r>
          </w:p>
        </w:tc>
        <w:tc>
          <w:tcPr>
            <w:tcW w:w="17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440</w:t>
            </w:r>
          </w:p>
        </w:tc>
        <w:tc>
          <w:tcPr>
            <w:tcW w:w="17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48DD4"/>
                <w:w w:val="99"/>
              </w:rPr>
              <w:t>894</w:t>
            </w:r>
          </w:p>
        </w:tc>
      </w:tr>
    </w:tbl>
    <w:p>
      <w:pPr>
        <w:spacing w:after="0" w:line="164" w:lineRule="exact"/>
        <w:rPr>
          <w:sz w:val="20"/>
          <w:szCs w:val="20"/>
          <w:color w:val="auto"/>
        </w:rPr>
      </w:pPr>
    </w:p>
    <w:p>
      <w:pPr>
        <w:ind w:left="360" w:hanging="188"/>
        <w:spacing w:after="0"/>
        <w:tabs>
          <w:tab w:leader="none" w:pos="36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Board member until 19 June 2025. Did not stand for re-election at AC Immune’s 2025 AGM.</w:t>
      </w:r>
    </w:p>
    <w:p>
      <w:pPr>
        <w:spacing w:after="0" w:line="23" w:lineRule="exact"/>
        <w:rPr>
          <w:rFonts w:ascii="Times New Roman" w:cs="Times New Roman" w:eastAsia="Times New Roman" w:hAnsi="Times New Roman"/>
          <w:sz w:val="24"/>
          <w:szCs w:val="24"/>
          <w:color w:val="auto"/>
          <w:vertAlign w:val="superscript"/>
        </w:rPr>
      </w:pPr>
    </w:p>
    <w:p>
      <w:pPr>
        <w:ind w:left="340" w:hanging="168"/>
        <w:spacing w:after="0" w:line="191" w:lineRule="auto"/>
        <w:tabs>
          <w:tab w:leader="none" w:pos="34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Unremunerated for board participation; compensation is included in section 2c below.</w:t>
      </w:r>
    </w:p>
    <w:p>
      <w:pPr>
        <w:spacing w:after="0" w:line="37" w:lineRule="exact"/>
        <w:rPr>
          <w:rFonts w:ascii="Times New Roman" w:cs="Times New Roman" w:eastAsia="Times New Roman" w:hAnsi="Times New Roman"/>
          <w:sz w:val="21"/>
          <w:szCs w:val="21"/>
          <w:color w:val="auto"/>
          <w:vertAlign w:val="superscript"/>
        </w:rPr>
      </w:pPr>
    </w:p>
    <w:p>
      <w:pPr>
        <w:ind w:left="340" w:hanging="168"/>
        <w:spacing w:after="0" w:line="191" w:lineRule="auto"/>
        <w:tabs>
          <w:tab w:leader="none" w:pos="34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Newly appointed at the AGM 2025 on 19 June 2025.</w:t>
      </w:r>
    </w:p>
    <w:p>
      <w:pPr>
        <w:spacing w:after="0" w:line="23" w:lineRule="exact"/>
        <w:rPr>
          <w:rFonts w:ascii="Times New Roman" w:cs="Times New Roman" w:eastAsia="Times New Roman" w:hAnsi="Times New Roman"/>
          <w:sz w:val="21"/>
          <w:szCs w:val="21"/>
          <w:color w:val="auto"/>
          <w:vertAlign w:val="superscript"/>
        </w:rPr>
      </w:pPr>
    </w:p>
    <w:p>
      <w:pPr>
        <w:ind w:left="360" w:hanging="188"/>
        <w:spacing w:after="0" w:line="182" w:lineRule="auto"/>
        <w:tabs>
          <w:tab w:leader="none" w:pos="36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addition, Roy Twyman received CHF 35k and CHF 66k as compensation for consultancy services in 2025 and 2024, respectively.</w:t>
      </w:r>
    </w:p>
    <w:p>
      <w:pPr>
        <w:spacing w:after="0" w:line="37" w:lineRule="exact"/>
        <w:rPr>
          <w:rFonts w:ascii="Times New Roman" w:cs="Times New Roman" w:eastAsia="Times New Roman" w:hAnsi="Times New Roman"/>
          <w:sz w:val="22"/>
          <w:szCs w:val="22"/>
          <w:color w:val="auto"/>
          <w:vertAlign w:val="superscript"/>
        </w:rPr>
      </w:pPr>
    </w:p>
    <w:p>
      <w:pPr>
        <w:jc w:val="both"/>
        <w:ind w:left="180" w:hanging="8"/>
        <w:spacing w:after="0" w:line="236" w:lineRule="auto"/>
        <w:tabs>
          <w:tab w:leader="none" w:pos="352"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mixture of Stock Options and Restricted Share Units (“RSUs”), as further described in Section 3 below, are granted. The fair value of RSUs are determined using a reasonable estimate of the market value of common shares on the award date. Stock options grants are valued using the Black-Scholes model and their exercise price is set using the market price at the grant date.</w:t>
      </w:r>
    </w:p>
    <w:p>
      <w:pPr>
        <w:spacing w:after="0" w:line="21" w:lineRule="exact"/>
        <w:rPr>
          <w:rFonts w:ascii="Times New Roman" w:cs="Times New Roman" w:eastAsia="Times New Roman" w:hAnsi="Times New Roman"/>
          <w:sz w:val="23"/>
          <w:szCs w:val="23"/>
          <w:color w:val="auto"/>
          <w:vertAlign w:val="superscript"/>
        </w:rPr>
      </w:pPr>
    </w:p>
    <w:p>
      <w:pPr>
        <w:ind w:left="180" w:hanging="8"/>
        <w:spacing w:after="0" w:line="222" w:lineRule="auto"/>
        <w:tabs>
          <w:tab w:leader="none" w:pos="371"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Fair market value (“FMV”) excludes Swiss social security contributions which become due when a beneficiary exercises or settles their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501650</wp:posOffset>
            </wp:positionV>
            <wp:extent cx="5812155" cy="2603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28" w:lineRule="exact"/>
        <w:rPr>
          <w:sz w:val="20"/>
          <w:szCs w:val="20"/>
          <w:color w:val="auto"/>
        </w:rPr>
      </w:pPr>
    </w:p>
    <w:p>
      <w:pPr>
        <w:ind w:left="180" w:right="20" w:hanging="8"/>
        <w:spacing w:after="0" w:line="222" w:lineRule="auto"/>
        <w:tabs>
          <w:tab w:leader="none" w:pos="379"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 Immune also paid contributions to the social security system, which amounted to CHF 25k and CHF 28k in 2025 and 2024, respectively.</w:t>
      </w:r>
    </w:p>
    <w:p>
      <w:pPr>
        <w:spacing w:after="0" w:line="237" w:lineRule="exact"/>
        <w:rPr>
          <w:sz w:val="20"/>
          <w:szCs w:val="20"/>
          <w:color w:val="auto"/>
        </w:rPr>
      </w:pPr>
    </w:p>
    <w:p>
      <w:pPr>
        <w:ind w:left="180" w:right="580"/>
        <w:spacing w:after="0" w:line="315" w:lineRule="auto"/>
        <w:rPr>
          <w:sz w:val="20"/>
          <w:szCs w:val="20"/>
          <w:color w:val="auto"/>
        </w:rPr>
      </w:pPr>
      <w:r>
        <w:rPr>
          <w:rFonts w:ascii="Times New Roman" w:cs="Times New Roman" w:eastAsia="Times New Roman" w:hAnsi="Times New Roman"/>
          <w:sz w:val="20"/>
          <w:szCs w:val="20"/>
          <w:b w:val="1"/>
          <w:bCs w:val="1"/>
          <w:color w:val="auto"/>
        </w:rPr>
        <w:t>d. Loans to Board Members, payments to Related Parties of Board Members and payments to former members of the Board of Directors in 2025 and 2024</w:t>
      </w:r>
    </w:p>
    <w:p>
      <w:pPr>
        <w:spacing w:after="0" w:line="210"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During this period, the Company neither promised nor provided loans, nor had any loans outstanding to present or former members of Board of Directors. Except for anything disclosed in the table in Section 2(c), no payments to related parties of present or former members of the Board of Directors were made in 2025 and 2024.</w:t>
      </w:r>
    </w:p>
    <w:p>
      <w:pPr>
        <w:spacing w:after="0" w:line="229" w:lineRule="exact"/>
        <w:rPr>
          <w:sz w:val="20"/>
          <w:szCs w:val="20"/>
          <w:color w:val="auto"/>
        </w:rPr>
      </w:pPr>
    </w:p>
    <w:p>
      <w:pPr>
        <w:jc w:val="both"/>
        <w:ind w:left="180"/>
        <w:spacing w:after="0" w:line="311" w:lineRule="auto"/>
        <w:rPr>
          <w:sz w:val="20"/>
          <w:szCs w:val="20"/>
          <w:color w:val="auto"/>
        </w:rPr>
      </w:pPr>
      <w:r>
        <w:rPr>
          <w:rFonts w:ascii="Times New Roman" w:cs="Times New Roman" w:eastAsia="Times New Roman" w:hAnsi="Times New Roman"/>
          <w:sz w:val="20"/>
          <w:szCs w:val="20"/>
          <w:color w:val="auto"/>
        </w:rPr>
        <w:t>In 2025 and 2024, consulting fees of CHF 20k and nil, respectively, were paid to a former member of the Board of Directors.</w:t>
      </w:r>
    </w:p>
    <w:p>
      <w:pPr>
        <w:spacing w:after="0" w:line="223" w:lineRule="exact"/>
        <w:rPr>
          <w:sz w:val="20"/>
          <w:szCs w:val="20"/>
          <w:color w:val="auto"/>
        </w:rPr>
      </w:pPr>
    </w:p>
    <w:p>
      <w:pPr>
        <w:ind w:left="820" w:hanging="324"/>
        <w:spacing w:after="0"/>
        <w:tabs>
          <w:tab w:leader="none" w:pos="8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for Members of Executive Management</w:t>
      </w:r>
    </w:p>
    <w:p>
      <w:pPr>
        <w:spacing w:after="0" w:line="40" w:lineRule="exact"/>
        <w:rPr>
          <w:rFonts w:ascii="Times New Roman" w:cs="Times New Roman" w:eastAsia="Times New Roman" w:hAnsi="Times New Roman"/>
          <w:sz w:val="20"/>
          <w:szCs w:val="20"/>
          <w:b w:val="1"/>
          <w:bCs w:val="1"/>
          <w:color w:val="auto"/>
        </w:rPr>
      </w:pPr>
    </w:p>
    <w:p>
      <w:pPr>
        <w:ind w:left="11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  2025 and 2024 Executive Management Composition</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Executive Management for the years ended 31 December 2025 and 2024 was comprised of:</w:t>
      </w:r>
    </w:p>
    <w:p>
      <w:pPr>
        <w:spacing w:after="0" w:line="286" w:lineRule="exact"/>
        <w:rPr>
          <w:sz w:val="20"/>
          <w:szCs w:val="20"/>
          <w:color w:val="auto"/>
        </w:rPr>
      </w:pPr>
    </w:p>
    <w:tbl>
      <w:tblPr>
        <w:tblLayout w:type="fixed"/>
        <w:tblInd w:w="830" w:type="dxa"/>
        <w:tblCellMar>
          <w:top w:w="0" w:type="dxa"/>
          <w:left w:w="0" w:type="dxa"/>
          <w:bottom w:w="0" w:type="dxa"/>
          <w:right w:w="0" w:type="dxa"/>
        </w:tblCellMar>
      </w:tblPr>
      <w:tr>
        <w:trPr>
          <w:trHeight w:val="202"/>
        </w:trPr>
        <w:tc>
          <w:tcPr>
            <w:tcW w:w="220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4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Appointment</w:t>
            </w:r>
          </w:p>
        </w:tc>
      </w:tr>
      <w:tr>
        <w:trPr>
          <w:trHeight w:val="183"/>
        </w:trPr>
        <w:tc>
          <w:tcPr>
            <w:tcW w:w="2200" w:type="dxa"/>
            <w:vAlign w:val="bottom"/>
            <w:tcBorders>
              <w:left w:val="single" w:sz="8" w:color="auto"/>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Andrea Pfeifer, Ph.D.</w:t>
            </w:r>
          </w:p>
        </w:tc>
        <w:tc>
          <w:tcPr>
            <w:tcW w:w="244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Chief Executive Officer</w:t>
            </w:r>
          </w:p>
        </w:tc>
        <w:tc>
          <w:tcPr>
            <w:tcW w:w="158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2003</w:t>
            </w:r>
          </w:p>
        </w:tc>
      </w:tr>
      <w:tr>
        <w:trPr>
          <w:trHeight w:val="196"/>
        </w:trPr>
        <w:tc>
          <w:tcPr>
            <w:tcW w:w="22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Jean-Fabien Monin </w:t>
            </w:r>
            <w:r>
              <w:rPr>
                <w:rFonts w:ascii="Times New Roman" w:cs="Times New Roman" w:eastAsia="Times New Roman" w:hAnsi="Times New Roman"/>
                <w:sz w:val="22"/>
                <w:szCs w:val="22"/>
                <w:color w:val="auto"/>
                <w:vertAlign w:val="superscript"/>
              </w:rPr>
              <w:t>(1)</w:t>
            </w: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Administrative 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2009</w:t>
            </w:r>
          </w:p>
        </w:tc>
      </w:tr>
      <w:tr>
        <w:trPr>
          <w:trHeight w:val="169"/>
        </w:trPr>
        <w:tc>
          <w:tcPr>
            <w:tcW w:w="2200" w:type="dxa"/>
            <w:vAlign w:val="bottom"/>
            <w:tcBorders>
              <w:left w:val="single" w:sz="8" w:color="auto"/>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6"/>
                <w:szCs w:val="16"/>
                <w:color w:val="auto"/>
              </w:rPr>
              <w:t>Piergiorgio Donati</w:t>
            </w:r>
          </w:p>
        </w:tc>
        <w:tc>
          <w:tcPr>
            <w:tcW w:w="2440" w:type="dxa"/>
            <w:vAlign w:val="bottom"/>
            <w:tcBorders>
              <w:right w:val="single" w:sz="8" w:color="auto"/>
            </w:tcBorders>
          </w:tcPr>
          <w:p>
            <w:pPr>
              <w:ind w:left="100"/>
              <w:spacing w:after="0" w:line="169" w:lineRule="exact"/>
              <w:rPr>
                <w:sz w:val="20"/>
                <w:szCs w:val="20"/>
                <w:color w:val="auto"/>
              </w:rPr>
            </w:pPr>
            <w:r>
              <w:rPr>
                <w:rFonts w:ascii="Times New Roman" w:cs="Times New Roman" w:eastAsia="Times New Roman" w:hAnsi="Times New Roman"/>
                <w:sz w:val="16"/>
                <w:szCs w:val="16"/>
                <w:color w:val="auto"/>
              </w:rPr>
              <w:t>Chief Technical Operations</w:t>
            </w:r>
          </w:p>
        </w:tc>
        <w:tc>
          <w:tcPr>
            <w:tcW w:w="15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2019</w:t>
            </w:r>
          </w:p>
        </w:tc>
      </w:tr>
      <w:tr>
        <w:trPr>
          <w:trHeight w:val="213"/>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Officer</w:t>
            </w:r>
          </w:p>
        </w:tc>
        <w:tc>
          <w:tcPr>
            <w:tcW w:w="1580" w:type="dxa"/>
            <w:vAlign w:val="bottom"/>
            <w:tcBorders>
              <w:bottom w:val="single" w:sz="8" w:color="auto"/>
              <w:right w:val="single" w:sz="8" w:color="auto"/>
            </w:tcBorders>
          </w:tcPr>
          <w:p>
            <w:pPr>
              <w:spacing w:after="0"/>
              <w:rPr>
                <w:sz w:val="18"/>
                <w:szCs w:val="18"/>
                <w:color w:val="auto"/>
              </w:rPr>
            </w:pPr>
          </w:p>
        </w:tc>
      </w:tr>
      <w:tr>
        <w:trPr>
          <w:trHeight w:val="199"/>
        </w:trPr>
        <w:tc>
          <w:tcPr>
            <w:tcW w:w="2200" w:type="dxa"/>
            <w:vAlign w:val="bottom"/>
            <w:tcBorders>
              <w:left w:val="single" w:sz="8" w:color="auto"/>
              <w:bottom w:val="single" w:sz="8" w:color="auto"/>
              <w:right w:val="single" w:sz="8" w:color="auto"/>
            </w:tcBorders>
          </w:tcPr>
          <w:p>
            <w:pPr>
              <w:ind w:left="100"/>
              <w:spacing w:after="0" w:line="199" w:lineRule="exact"/>
              <w:rPr>
                <w:sz w:val="20"/>
                <w:szCs w:val="20"/>
                <w:color w:val="auto"/>
              </w:rPr>
            </w:pPr>
            <w:r>
              <w:rPr>
                <w:rFonts w:ascii="Times New Roman" w:cs="Times New Roman" w:eastAsia="Times New Roman" w:hAnsi="Times New Roman"/>
                <w:sz w:val="16"/>
                <w:szCs w:val="16"/>
                <w:color w:val="auto"/>
              </w:rPr>
              <w:t xml:space="preserve">Howard Donovan </w:t>
            </w:r>
            <w:r>
              <w:rPr>
                <w:rFonts w:ascii="Times New Roman" w:cs="Times New Roman" w:eastAsia="Times New Roman" w:hAnsi="Times New Roman"/>
                <w:sz w:val="23"/>
                <w:szCs w:val="23"/>
                <w:color w:val="auto"/>
                <w:vertAlign w:val="superscript"/>
              </w:rPr>
              <w:t>(5)</w:t>
            </w: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Human Resources 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r>
      <w:tr>
        <w:trPr>
          <w:trHeight w:val="196"/>
        </w:trPr>
        <w:tc>
          <w:tcPr>
            <w:tcW w:w="22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Christopher Roberts </w:t>
            </w:r>
            <w:r>
              <w:rPr>
                <w:rFonts w:ascii="Times New Roman" w:cs="Times New Roman" w:eastAsia="Times New Roman" w:hAnsi="Times New Roman"/>
                <w:sz w:val="22"/>
                <w:szCs w:val="22"/>
                <w:color w:val="auto"/>
                <w:vertAlign w:val="superscript"/>
              </w:rPr>
              <w:t>(2)</w:t>
            </w: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r>
      <w:tr>
        <w:trPr>
          <w:trHeight w:val="196"/>
        </w:trPr>
        <w:tc>
          <w:tcPr>
            <w:tcW w:w="22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Nuno Mendonça M.D </w:t>
            </w:r>
            <w:r>
              <w:rPr>
                <w:rFonts w:ascii="Times New Roman" w:cs="Times New Roman" w:eastAsia="Times New Roman" w:hAnsi="Times New Roman"/>
                <w:sz w:val="22"/>
                <w:szCs w:val="22"/>
                <w:color w:val="auto"/>
                <w:vertAlign w:val="superscript"/>
              </w:rPr>
              <w:t>(1)</w:t>
            </w: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Medical 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6"/>
        </w:trPr>
        <w:tc>
          <w:tcPr>
            <w:tcW w:w="22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Madiha Derouazi </w:t>
            </w:r>
            <w:r>
              <w:rPr>
                <w:rFonts w:ascii="Times New Roman" w:cs="Times New Roman" w:eastAsia="Times New Roman" w:hAnsi="Times New Roman"/>
                <w:sz w:val="22"/>
                <w:szCs w:val="22"/>
                <w:color w:val="auto"/>
                <w:vertAlign w:val="superscript"/>
              </w:rPr>
              <w:t>(3)</w:t>
            </w: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6"/>
        </w:trPr>
        <w:tc>
          <w:tcPr>
            <w:tcW w:w="2200" w:type="dxa"/>
            <w:vAlign w:val="bottom"/>
            <w:tcBorders>
              <w:left w:val="single" w:sz="8" w:color="auto"/>
              <w:bottom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5"/>
                <w:szCs w:val="15"/>
                <w:color w:val="auto"/>
              </w:rPr>
              <w:t xml:space="preserve">Anke Post </w:t>
            </w:r>
            <w:r>
              <w:rPr>
                <w:rFonts w:ascii="Times New Roman" w:cs="Times New Roman" w:eastAsia="Times New Roman" w:hAnsi="Times New Roman"/>
                <w:sz w:val="22"/>
                <w:szCs w:val="22"/>
                <w:color w:val="auto"/>
                <w:vertAlign w:val="superscript"/>
              </w:rPr>
              <w:t>(4)</w:t>
            </w:r>
          </w:p>
        </w:tc>
        <w:tc>
          <w:tcPr>
            <w:tcW w:w="2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Medical Officer</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r>
    </w:tbl>
    <w:p>
      <w:pPr>
        <w:spacing w:after="0" w:line="227" w:lineRule="exact"/>
        <w:rPr>
          <w:sz w:val="20"/>
          <w:szCs w:val="20"/>
          <w:color w:val="auto"/>
        </w:rPr>
      </w:pPr>
    </w:p>
    <w:p>
      <w:pPr>
        <w:ind w:left="980" w:hanging="171"/>
        <w:spacing w:after="0"/>
        <w:tabs>
          <w:tab w:leader="none" w:pos="98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Until departure 31 December 2024.</w:t>
      </w:r>
    </w:p>
    <w:p>
      <w:pPr>
        <w:spacing w:after="0" w:line="23" w:lineRule="exact"/>
        <w:rPr>
          <w:rFonts w:ascii="Times New Roman" w:cs="Times New Roman" w:eastAsia="Times New Roman" w:hAnsi="Times New Roman"/>
          <w:sz w:val="22"/>
          <w:szCs w:val="22"/>
          <w:color w:val="auto"/>
          <w:vertAlign w:val="superscript"/>
        </w:rPr>
      </w:pPr>
    </w:p>
    <w:p>
      <w:pPr>
        <w:ind w:left="980" w:hanging="171"/>
        <w:spacing w:after="0" w:line="182" w:lineRule="auto"/>
        <w:tabs>
          <w:tab w:leader="none" w:pos="98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Formally appointed to Executive Management team with effect from 1 January 2024.</w:t>
      </w:r>
    </w:p>
    <w:p>
      <w:pPr>
        <w:spacing w:after="0" w:line="37" w:lineRule="exact"/>
        <w:rPr>
          <w:rFonts w:ascii="Times New Roman" w:cs="Times New Roman" w:eastAsia="Times New Roman" w:hAnsi="Times New Roman"/>
          <w:sz w:val="22"/>
          <w:szCs w:val="22"/>
          <w:color w:val="auto"/>
          <w:vertAlign w:val="superscript"/>
        </w:rPr>
      </w:pPr>
    </w:p>
    <w:p>
      <w:pPr>
        <w:ind w:left="1000" w:hanging="191"/>
        <w:spacing w:after="0" w:line="182" w:lineRule="auto"/>
        <w:tabs>
          <w:tab w:leader="none" w:pos="10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From appointment on 1 January 2024 until departure on 31 January 2025.</w:t>
      </w:r>
    </w:p>
    <w:p>
      <w:pPr>
        <w:spacing w:after="0" w:line="24" w:lineRule="exact"/>
        <w:rPr>
          <w:rFonts w:ascii="Times New Roman" w:cs="Times New Roman" w:eastAsia="Times New Roman" w:hAnsi="Times New Roman"/>
          <w:sz w:val="22"/>
          <w:szCs w:val="22"/>
          <w:color w:val="auto"/>
          <w:vertAlign w:val="superscript"/>
        </w:rPr>
      </w:pPr>
    </w:p>
    <w:p>
      <w:pPr>
        <w:ind w:left="1000" w:hanging="191"/>
        <w:spacing w:after="0" w:line="182" w:lineRule="auto"/>
        <w:tabs>
          <w:tab w:leader="none" w:pos="10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From appointment on 16 September 2024 until June 2025. She continues to receive compensation until end of June 2026.</w:t>
      </w:r>
    </w:p>
    <w:p>
      <w:pPr>
        <w:spacing w:after="0" w:line="37" w:lineRule="exact"/>
        <w:rPr>
          <w:rFonts w:ascii="Times New Roman" w:cs="Times New Roman" w:eastAsia="Times New Roman" w:hAnsi="Times New Roman"/>
          <w:sz w:val="22"/>
          <w:szCs w:val="22"/>
          <w:color w:val="auto"/>
          <w:vertAlign w:val="superscript"/>
        </w:rPr>
      </w:pPr>
    </w:p>
    <w:p>
      <w:pPr>
        <w:ind w:left="800" w:right="200" w:firstLine="10"/>
        <w:spacing w:after="0"/>
        <w:tabs>
          <w:tab w:leader="none" w:pos="982"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From appointment on 1 July 2022 until end of November 2025. He continues to receive compensation until end of November 2026.</w:t>
      </w:r>
    </w:p>
    <w:p>
      <w:pPr>
        <w:spacing w:after="0" w:line="200" w:lineRule="exact"/>
        <w:rPr>
          <w:rFonts w:ascii="Times New Roman" w:cs="Times New Roman" w:eastAsia="Times New Roman" w:hAnsi="Times New Roman"/>
          <w:sz w:val="22"/>
          <w:szCs w:val="22"/>
          <w:color w:val="auto"/>
          <w:vertAlign w:val="superscript"/>
        </w:rPr>
      </w:pPr>
    </w:p>
    <w:p>
      <w:pPr>
        <w:spacing w:after="0" w:line="245" w:lineRule="exact"/>
        <w:rPr>
          <w:rFonts w:ascii="Times New Roman" w:cs="Times New Roman" w:eastAsia="Times New Roman" w:hAnsi="Times New Roman"/>
          <w:sz w:val="22"/>
          <w:szCs w:val="22"/>
          <w:color w:val="auto"/>
          <w:vertAlign w:val="superscript"/>
        </w:rPr>
      </w:pPr>
    </w:p>
    <w:p>
      <w:pPr>
        <w:ind w:left="1460" w:hanging="316"/>
        <w:spacing w:after="0"/>
        <w:tabs>
          <w:tab w:leader="none" w:pos="1460"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Executive Compensation Principles</w:t>
      </w:r>
    </w:p>
    <w:p>
      <w:pPr>
        <w:spacing w:after="0" w:line="314"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Each Executive Management member receives remuneration of a base salary, car allowance, short-term incentive plan, social security benefits, and an equity incentive plan. These compensation principles are more fully described in the Compensation Philosophy, Principles and Governance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751205</wp:posOffset>
            </wp:positionV>
            <wp:extent cx="5812155" cy="1714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28" w:lineRule="exact"/>
        <w:rPr>
          <w:sz w:val="20"/>
          <w:szCs w:val="20"/>
          <w:color w:val="auto"/>
        </w:rPr>
      </w:pPr>
    </w:p>
    <w:p>
      <w:pPr>
        <w:ind w:left="1520" w:hanging="376"/>
        <w:spacing w:after="0"/>
        <w:tabs>
          <w:tab w:leader="none" w:pos="152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2025 and 2024 Executive Compensation</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The total Executive Management Compensation includes the CEO’s remuneration, which is individually disclosed.</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Executive Management compensation for the years ending 31 December 2025 and 2024 are outlined below:</w:t>
      </w:r>
    </w:p>
    <w:p>
      <w:pPr>
        <w:spacing w:after="0" w:line="286" w:lineRule="exact"/>
        <w:rPr>
          <w:sz w:val="20"/>
          <w:szCs w:val="20"/>
          <w:color w:val="auto"/>
        </w:rPr>
      </w:pPr>
    </w:p>
    <w:tbl>
      <w:tblPr>
        <w:tblLayout w:type="fixed"/>
        <w:tblInd w:w="190" w:type="dxa"/>
        <w:tblCellMar>
          <w:top w:w="0" w:type="dxa"/>
          <w:left w:w="0" w:type="dxa"/>
          <w:bottom w:w="0" w:type="dxa"/>
          <w:right w:w="0" w:type="dxa"/>
        </w:tblCellMar>
      </w:tblPr>
      <w:tr>
        <w:trPr>
          <w:trHeight w:val="186"/>
        </w:trPr>
        <w:tc>
          <w:tcPr>
            <w:tcW w:w="700" w:type="dxa"/>
            <w:vAlign w:val="bottom"/>
            <w:tcBorders>
              <w:top w:val="single" w:sz="8" w:color="auto"/>
              <w:left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3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tcBorders>
              <w:top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Cash</w:t>
            </w:r>
          </w:p>
        </w:tc>
        <w:tc>
          <w:tcPr>
            <w:tcW w:w="1320" w:type="dxa"/>
            <w:vAlign w:val="bottom"/>
            <w:tcBorders>
              <w:top w:val="single" w:sz="8" w:color="auto"/>
              <w:right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60" w:type="dxa"/>
            <w:vAlign w:val="bottom"/>
            <w:tcBorders>
              <w:top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660" w:type="dxa"/>
            <w:vAlign w:val="bottom"/>
            <w:tcBorders>
              <w:top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Cash</w:t>
            </w:r>
          </w:p>
        </w:tc>
        <w:tc>
          <w:tcPr>
            <w:tcW w:w="680" w:type="dxa"/>
            <w:vAlign w:val="bottom"/>
            <w:tcBorders>
              <w:top w:val="single" w:sz="8" w:color="auto"/>
              <w:right w:val="single" w:sz="8" w:color="auto"/>
            </w:tcBorders>
          </w:tcPr>
          <w:p>
            <w:pPr>
              <w:jc w:val="right"/>
              <w:ind w:right="21"/>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1"/>
                <w:szCs w:val="21"/>
                <w:b w:val="1"/>
                <w:bCs w:val="1"/>
                <w:color w:val="auto"/>
                <w:vertAlign w:val="superscript"/>
              </w:rPr>
              <w:t>(1)</w:t>
            </w:r>
          </w:p>
        </w:tc>
        <w:tc>
          <w:tcPr>
            <w:tcW w:w="1120" w:type="dxa"/>
            <w:vAlign w:val="bottom"/>
            <w:tcBorders>
              <w:top w:val="single" w:sz="8" w:color="auto"/>
              <w:right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Equity FMV</w:t>
            </w:r>
          </w:p>
        </w:tc>
        <w:tc>
          <w:tcPr>
            <w:tcW w:w="0" w:type="dxa"/>
            <w:vAlign w:val="bottom"/>
          </w:tcPr>
          <w:p>
            <w:pPr>
              <w:spacing w:after="0"/>
              <w:rPr>
                <w:sz w:val="1"/>
                <w:szCs w:val="1"/>
                <w:color w:val="auto"/>
              </w:rPr>
            </w:pPr>
          </w:p>
        </w:tc>
      </w:tr>
      <w:tr>
        <w:trPr>
          <w:trHeight w:val="213"/>
        </w:trPr>
        <w:tc>
          <w:tcPr>
            <w:tcW w:w="7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2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6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66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Bonus</w:t>
            </w:r>
          </w:p>
        </w:tc>
        <w:tc>
          <w:tcPr>
            <w:tcW w:w="6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(2)(3)(4)</w:t>
            </w:r>
          </w:p>
        </w:tc>
        <w:tc>
          <w:tcPr>
            <w:tcW w:w="0" w:type="dxa"/>
            <w:vAlign w:val="bottom"/>
          </w:tcPr>
          <w:p>
            <w:pPr>
              <w:spacing w:after="0"/>
              <w:rPr>
                <w:sz w:val="1"/>
                <w:szCs w:val="1"/>
                <w:color w:val="auto"/>
              </w:rPr>
            </w:pPr>
          </w:p>
        </w:tc>
      </w:tr>
      <w:tr>
        <w:trPr>
          <w:trHeight w:val="195"/>
        </w:trPr>
        <w:tc>
          <w:tcPr>
            <w:tcW w:w="70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b w:val="1"/>
                <w:bCs w:val="1"/>
                <w:color w:val="auto"/>
              </w:rPr>
              <w:t>(in CHFk)</w:t>
            </w: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left w:val="single" w:sz="8" w:color="auto"/>
              <w:right w:val="single" w:sz="8" w:color="auto"/>
            </w:tcBorders>
          </w:tcPr>
          <w:p>
            <w:pPr>
              <w:jc w:val="right"/>
              <w:ind w:right="199"/>
              <w:spacing w:after="0" w:line="169"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Andrea Pfeifer,</w:t>
            </w:r>
          </w:p>
        </w:tc>
        <w:tc>
          <w:tcPr>
            <w:tcW w:w="120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610</w:t>
            </w:r>
          </w:p>
        </w:tc>
        <w:tc>
          <w:tcPr>
            <w:tcW w:w="132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28</w:t>
            </w:r>
          </w:p>
        </w:tc>
        <w:tc>
          <w:tcPr>
            <w:tcW w:w="106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144</w:t>
            </w:r>
          </w:p>
        </w:tc>
        <w:tc>
          <w:tcPr>
            <w:tcW w:w="66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438</w:t>
            </w:r>
          </w:p>
        </w:tc>
        <w:tc>
          <w:tcPr>
            <w:tcW w:w="680" w:type="dxa"/>
            <w:vAlign w:val="bottom"/>
            <w:tcBorders>
              <w:right w:val="single" w:sz="8" w:color="auto"/>
            </w:tcBorders>
          </w:tcPr>
          <w:p>
            <w:pPr>
              <w:jc w:val="right"/>
              <w:ind w:right="41"/>
              <w:spacing w:after="0" w:line="169" w:lineRule="exact"/>
              <w:rPr>
                <w:sz w:val="20"/>
                <w:szCs w:val="20"/>
                <w:color w:val="auto"/>
              </w:rPr>
            </w:pPr>
            <w:r>
              <w:rPr>
                <w:rFonts w:ascii="Times New Roman" w:cs="Times New Roman" w:eastAsia="Times New Roman" w:hAnsi="Times New Roman"/>
                <w:sz w:val="16"/>
                <w:szCs w:val="16"/>
                <w:color w:val="auto"/>
              </w:rPr>
              <w:t>1,220</w:t>
            </w:r>
          </w:p>
        </w:tc>
        <w:tc>
          <w:tcPr>
            <w:tcW w:w="1120" w:type="dxa"/>
            <w:vAlign w:val="bottom"/>
            <w:tcBorders>
              <w:right w:val="single" w:sz="8" w:color="auto"/>
            </w:tcBorders>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tcPr>
          <w:p>
            <w:pPr>
              <w:spacing w:after="0"/>
              <w:rPr>
                <w:sz w:val="19"/>
                <w:szCs w:val="19"/>
                <w:color w:val="auto"/>
              </w:rPr>
            </w:pP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Ph.D.</w:t>
            </w:r>
          </w:p>
        </w:tc>
        <w:tc>
          <w:tcPr>
            <w:tcW w:w="12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00" w:type="dxa"/>
            <w:vAlign w:val="bottom"/>
            <w:tcBorders>
              <w:left w:val="single" w:sz="8" w:color="auto"/>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i w:val="1"/>
                <w:iCs w:val="1"/>
                <w:color w:val="558ED5"/>
              </w:rPr>
              <w:t>578</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i w:val="1"/>
                <w:iCs w:val="1"/>
                <w:color w:val="558ED5"/>
              </w:rPr>
              <w:t>28</w:t>
            </w:r>
          </w:p>
        </w:tc>
        <w:tc>
          <w:tcPr>
            <w:tcW w:w="10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i w:val="1"/>
                <w:iCs w:val="1"/>
                <w:color w:val="558ED5"/>
              </w:rPr>
              <w:t>126</w:t>
            </w:r>
          </w:p>
        </w:tc>
        <w:tc>
          <w:tcPr>
            <w:tcW w:w="66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i w:val="1"/>
                <w:iCs w:val="1"/>
                <w:color w:val="558ED5"/>
              </w:rPr>
              <w:t>536</w:t>
            </w:r>
          </w:p>
        </w:tc>
        <w:tc>
          <w:tcPr>
            <w:tcW w:w="6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i w:val="1"/>
                <w:iCs w:val="1"/>
                <w:color w:val="558ED5"/>
              </w:rPr>
              <w:t>1,268</w:t>
            </w:r>
          </w:p>
        </w:tc>
        <w:tc>
          <w:tcPr>
            <w:tcW w:w="112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i w:val="1"/>
                <w:iCs w:val="1"/>
                <w:color w:val="558ED5"/>
              </w:rPr>
              <w:t>1,450</w:t>
            </w:r>
          </w:p>
        </w:tc>
        <w:tc>
          <w:tcPr>
            <w:tcW w:w="0" w:type="dxa"/>
            <w:vAlign w:val="bottom"/>
          </w:tcPr>
          <w:p>
            <w:pPr>
              <w:spacing w:after="0"/>
              <w:rPr>
                <w:sz w:val="1"/>
                <w:szCs w:val="1"/>
                <w:color w:val="auto"/>
              </w:rPr>
            </w:pPr>
          </w:p>
        </w:tc>
      </w:tr>
      <w:tr>
        <w:trPr>
          <w:trHeight w:val="372"/>
        </w:trPr>
        <w:tc>
          <w:tcPr>
            <w:tcW w:w="70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0" w:type="dxa"/>
            <w:vAlign w:val="bottom"/>
            <w:tcBorders>
              <w:left w:val="single" w:sz="8" w:color="auto"/>
              <w:right w:val="single" w:sz="8" w:color="auto"/>
            </w:tcBorders>
          </w:tcPr>
          <w:p>
            <w:pPr>
              <w:jc w:val="right"/>
              <w:ind w:right="199"/>
              <w:spacing w:after="0" w:line="169"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Total Executive</w:t>
            </w:r>
          </w:p>
        </w:tc>
        <w:tc>
          <w:tcPr>
            <w:tcW w:w="120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2’150</w:t>
            </w:r>
          </w:p>
        </w:tc>
        <w:tc>
          <w:tcPr>
            <w:tcW w:w="132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77</w:t>
            </w:r>
          </w:p>
        </w:tc>
        <w:tc>
          <w:tcPr>
            <w:tcW w:w="106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418</w:t>
            </w:r>
          </w:p>
        </w:tc>
        <w:tc>
          <w:tcPr>
            <w:tcW w:w="660" w:type="dxa"/>
            <w:vAlign w:val="bottom"/>
            <w:tcBorders>
              <w:right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843</w:t>
            </w:r>
          </w:p>
        </w:tc>
        <w:tc>
          <w:tcPr>
            <w:tcW w:w="680" w:type="dxa"/>
            <w:vAlign w:val="bottom"/>
            <w:tcBorders>
              <w:right w:val="single" w:sz="8" w:color="auto"/>
            </w:tcBorders>
          </w:tcPr>
          <w:p>
            <w:pPr>
              <w:jc w:val="right"/>
              <w:ind w:right="41"/>
              <w:spacing w:after="0" w:line="169" w:lineRule="exact"/>
              <w:rPr>
                <w:sz w:val="20"/>
                <w:szCs w:val="20"/>
                <w:color w:val="auto"/>
              </w:rPr>
            </w:pPr>
            <w:r>
              <w:rPr>
                <w:rFonts w:ascii="Times New Roman" w:cs="Times New Roman" w:eastAsia="Times New Roman" w:hAnsi="Times New Roman"/>
                <w:sz w:val="16"/>
                <w:szCs w:val="16"/>
                <w:color w:val="auto"/>
              </w:rPr>
              <w:t>3,488</w:t>
            </w:r>
          </w:p>
        </w:tc>
        <w:tc>
          <w:tcPr>
            <w:tcW w:w="1120" w:type="dxa"/>
            <w:vAlign w:val="bottom"/>
            <w:tcBorders>
              <w:right w:val="single" w:sz="8" w:color="auto"/>
            </w:tcBorders>
          </w:tcPr>
          <w:p>
            <w:pPr>
              <w:jc w:val="right"/>
              <w:ind w:right="42"/>
              <w:spacing w:after="0" w:line="169" w:lineRule="exact"/>
              <w:rPr>
                <w:sz w:val="20"/>
                <w:szCs w:val="20"/>
                <w:color w:val="auto"/>
              </w:rPr>
            </w:pPr>
            <w:r>
              <w:rPr>
                <w:rFonts w:ascii="Times New Roman" w:cs="Times New Roman" w:eastAsia="Times New Roman" w:hAnsi="Times New Roman"/>
                <w:sz w:val="16"/>
                <w:szCs w:val="16"/>
                <w:color w:val="auto"/>
              </w:rPr>
              <w:t>2,275</w:t>
            </w:r>
          </w:p>
        </w:tc>
        <w:tc>
          <w:tcPr>
            <w:tcW w:w="0" w:type="dxa"/>
            <w:vAlign w:val="bottom"/>
          </w:tcPr>
          <w:p>
            <w:pPr>
              <w:spacing w:after="0"/>
              <w:rPr>
                <w:sz w:val="1"/>
                <w:szCs w:val="1"/>
                <w:color w:val="auto"/>
              </w:rPr>
            </w:pPr>
          </w:p>
        </w:tc>
      </w:tr>
      <w:tr>
        <w:trPr>
          <w:trHeight w:val="189"/>
        </w:trPr>
        <w:tc>
          <w:tcPr>
            <w:tcW w:w="7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Management</w:t>
            </w:r>
          </w:p>
        </w:tc>
        <w:tc>
          <w:tcPr>
            <w:tcW w:w="12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70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Compensation</w:t>
            </w: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bottom w:val="single" w:sz="8" w:color="auto"/>
              <w:right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vMerge w:val="continue"/>
          </w:tcPr>
          <w:p>
            <w:pPr>
              <w:spacing w:after="0"/>
              <w:rPr>
                <w:sz w:val="15"/>
                <w:szCs w:val="15"/>
                <w:color w:val="auto"/>
              </w:rPr>
            </w:pPr>
          </w:p>
        </w:tc>
        <w:tc>
          <w:tcPr>
            <w:tcW w:w="120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i w:val="1"/>
                <w:iCs w:val="1"/>
                <w:color w:val="558ED5"/>
              </w:rPr>
              <w:t>2,773</w:t>
            </w:r>
          </w:p>
        </w:tc>
        <w:tc>
          <w:tcPr>
            <w:tcW w:w="132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i w:val="1"/>
                <w:iCs w:val="1"/>
                <w:color w:val="558ED5"/>
              </w:rPr>
              <w:t>103</w:t>
            </w:r>
          </w:p>
        </w:tc>
        <w:tc>
          <w:tcPr>
            <w:tcW w:w="106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i w:val="1"/>
                <w:iCs w:val="1"/>
                <w:color w:val="558ED5"/>
              </w:rPr>
              <w:t>476</w:t>
            </w:r>
          </w:p>
        </w:tc>
        <w:tc>
          <w:tcPr>
            <w:tcW w:w="660" w:type="dxa"/>
            <w:vAlign w:val="bottom"/>
            <w:tcBorders>
              <w:bottom w:val="single" w:sz="8" w:color="auto"/>
              <w:right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i w:val="1"/>
                <w:iCs w:val="1"/>
                <w:color w:val="558ED5"/>
              </w:rPr>
              <w:t>1,304</w:t>
            </w:r>
          </w:p>
        </w:tc>
        <w:tc>
          <w:tcPr>
            <w:tcW w:w="680" w:type="dxa"/>
            <w:vAlign w:val="bottom"/>
            <w:tcBorders>
              <w:bottom w:val="single" w:sz="8" w:color="auto"/>
              <w:right w:val="single" w:sz="8" w:color="auto"/>
            </w:tcBorders>
          </w:tcPr>
          <w:p>
            <w:pPr>
              <w:jc w:val="right"/>
              <w:ind w:right="41"/>
              <w:spacing w:after="0" w:line="183" w:lineRule="exact"/>
              <w:rPr>
                <w:sz w:val="20"/>
                <w:szCs w:val="20"/>
                <w:color w:val="auto"/>
              </w:rPr>
            </w:pPr>
            <w:r>
              <w:rPr>
                <w:rFonts w:ascii="Times New Roman" w:cs="Times New Roman" w:eastAsia="Times New Roman" w:hAnsi="Times New Roman"/>
                <w:sz w:val="16"/>
                <w:szCs w:val="16"/>
                <w:i w:val="1"/>
                <w:iCs w:val="1"/>
                <w:color w:val="558ED5"/>
              </w:rPr>
              <w:t>4,656</w:t>
            </w:r>
          </w:p>
        </w:tc>
        <w:tc>
          <w:tcPr>
            <w:tcW w:w="1120" w:type="dxa"/>
            <w:vAlign w:val="bottom"/>
            <w:tcBorders>
              <w:bottom w:val="single" w:sz="8" w:color="auto"/>
              <w:right w:val="single" w:sz="8" w:color="auto"/>
            </w:tcBorders>
          </w:tcPr>
          <w:p>
            <w:pPr>
              <w:jc w:val="right"/>
              <w:ind w:right="42"/>
              <w:spacing w:after="0" w:line="183" w:lineRule="exact"/>
              <w:rPr>
                <w:sz w:val="20"/>
                <w:szCs w:val="20"/>
                <w:color w:val="auto"/>
              </w:rPr>
            </w:pPr>
            <w:r>
              <w:rPr>
                <w:rFonts w:ascii="Times New Roman" w:cs="Times New Roman" w:eastAsia="Times New Roman" w:hAnsi="Times New Roman"/>
                <w:sz w:val="16"/>
                <w:szCs w:val="16"/>
                <w:i w:val="1"/>
                <w:iCs w:val="1"/>
                <w:color w:val="558ED5"/>
              </w:rPr>
              <w:t>2,498</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180" w:hanging="8"/>
        <w:spacing w:after="0" w:line="258" w:lineRule="auto"/>
        <w:tabs>
          <w:tab w:leader="none" w:pos="365"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 Immune also paid the company-related portion of social security contributions for members of the Executive Management in line with applicable laws where the executives are employed. This was an aggregate amount of CHF 280k in 2025 and CHF 400k in 2024, which includes the employer cost of accident and loss of salary through illness insurance. Additional employer social charges, related to equity transactions, were for an amount of CHF 4k and 9k in the aggregate for Executive Management in 2025 and 2024, respectively.</w:t>
      </w:r>
    </w:p>
    <w:p>
      <w:pPr>
        <w:jc w:val="both"/>
        <w:ind w:left="180" w:hanging="8"/>
        <w:spacing w:after="0" w:line="222" w:lineRule="auto"/>
        <w:tabs>
          <w:tab w:leader="none" w:pos="365"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 mixture of Stock Options and RSUs were granted in 2025 and 2024. These awards are further described in Section 3 below. Stock Options and RSUs awarded in 2025 vest between 2025 to 2027. Stock Options and RSUs awarded in 2024 vest between 2024 to 2026. 2025</w:t>
      </w:r>
    </w:p>
    <w:p>
      <w:pPr>
        <w:spacing w:after="0" w:line="20" w:lineRule="exact"/>
        <w:rPr>
          <w:rFonts w:ascii="Times New Roman" w:cs="Times New Roman" w:eastAsia="Times New Roman" w:hAnsi="Times New Roman"/>
          <w:sz w:val="24"/>
          <w:szCs w:val="24"/>
          <w:color w:val="auto"/>
          <w:vertAlign w:val="superscript"/>
        </w:rPr>
      </w:pPr>
    </w:p>
    <w:p>
      <w:pPr>
        <w:ind w:left="180" w:right="20"/>
        <w:spacing w:after="0" w:line="29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and 2024 RSUs granted to the CEO vest during a 12-month period. We estimate the fair value of RSUs using a reasonable estimate of the market value of the common shares on the date the award is granted. Stock option grants are valued using the Black-Scholes pricing model.</w:t>
      </w:r>
    </w:p>
    <w:p>
      <w:pPr>
        <w:ind w:left="180" w:right="20" w:hanging="8"/>
        <w:spacing w:after="0"/>
        <w:tabs>
          <w:tab w:leader="none" w:pos="365"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Fair market value (FMV) excludes Swiss social security contributions which become due when an equity instrument is exercised or settled.</w:t>
      </w:r>
    </w:p>
    <w:p>
      <w:pPr>
        <w:spacing w:after="0" w:line="169" w:lineRule="exact"/>
        <w:rPr>
          <w:rFonts w:ascii="Times New Roman" w:cs="Times New Roman" w:eastAsia="Times New Roman" w:hAnsi="Times New Roman"/>
          <w:sz w:val="24"/>
          <w:szCs w:val="24"/>
          <w:color w:val="auto"/>
          <w:vertAlign w:val="superscript"/>
        </w:rPr>
      </w:pPr>
    </w:p>
    <w:p>
      <w:pPr>
        <w:ind w:left="180" w:right="20" w:hanging="8"/>
        <w:spacing w:after="0" w:line="222" w:lineRule="auto"/>
        <w:tabs>
          <w:tab w:leader="none" w:pos="368"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2025 and 2024 aggregate equity grants reflect unvested equity that was awarded, and subsequently forfeited by departing Executive Management members, with a grant value of CHF 275k for 2025 and CHF 633k for 2024.</w:t>
      </w:r>
    </w:p>
    <w:p>
      <w:pPr>
        <w:spacing w:after="0" w:line="237" w:lineRule="exact"/>
        <w:rPr>
          <w:sz w:val="20"/>
          <w:szCs w:val="20"/>
          <w:color w:val="auto"/>
        </w:rPr>
      </w:pPr>
    </w:p>
    <w:p>
      <w:pPr>
        <w:ind w:left="1460" w:right="380" w:hanging="316"/>
        <w:spacing w:after="0" w:line="298" w:lineRule="auto"/>
        <w:tabs>
          <w:tab w:leader="none" w:pos="1460"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Loans to Executive Management, payments to Related Parties of Executive Management and payments to former members of Executive Management in 2025 and 2024</w:t>
      </w:r>
    </w:p>
    <w:p>
      <w:pPr>
        <w:spacing w:after="0" w:line="1" w:lineRule="exact"/>
        <w:rPr>
          <w:sz w:val="20"/>
          <w:szCs w:val="20"/>
          <w:color w:val="auto"/>
        </w:rPr>
      </w:pPr>
    </w:p>
    <w:p>
      <w:pPr>
        <w:jc w:val="both"/>
        <w:ind w:left="180" w:right="20"/>
        <w:spacing w:after="0" w:line="296" w:lineRule="auto"/>
        <w:rPr>
          <w:sz w:val="20"/>
          <w:szCs w:val="20"/>
          <w:color w:val="auto"/>
        </w:rPr>
      </w:pPr>
      <w:r>
        <w:rPr>
          <w:rFonts w:ascii="Times New Roman" w:cs="Times New Roman" w:eastAsia="Times New Roman" w:hAnsi="Times New Roman"/>
          <w:sz w:val="20"/>
          <w:szCs w:val="20"/>
          <w:color w:val="auto"/>
        </w:rPr>
        <w:t>During this period, the Company neither promised nor provided loans, nor had any loans outstanding to present or former members of Executive Management. Additionally, no payments to related parties of present or former members of the Executive Management were made in 2025 and 2024.</w:t>
      </w:r>
    </w:p>
    <w:p>
      <w:pPr>
        <w:spacing w:after="0" w:line="229" w:lineRule="exact"/>
        <w:rPr>
          <w:sz w:val="20"/>
          <w:szCs w:val="20"/>
          <w:color w:val="auto"/>
        </w:rPr>
      </w:pPr>
    </w:p>
    <w:p>
      <w:pPr>
        <w:jc w:val="both"/>
        <w:ind w:left="180"/>
        <w:spacing w:after="0" w:line="311" w:lineRule="auto"/>
        <w:rPr>
          <w:sz w:val="20"/>
          <w:szCs w:val="20"/>
          <w:color w:val="auto"/>
        </w:rPr>
      </w:pPr>
      <w:r>
        <w:rPr>
          <w:rFonts w:ascii="Times New Roman" w:cs="Times New Roman" w:eastAsia="Times New Roman" w:hAnsi="Times New Roman"/>
          <w:sz w:val="19"/>
          <w:szCs w:val="19"/>
          <w:color w:val="auto"/>
        </w:rPr>
        <w:t>In 2025 and 2024, a former member of Executive Management received compensation for providing non-executive scientific advisor services, with a total amount of CHF 404k and CHF 451k, respectively. AC Immune also paid this former member of Executive Management the company-related portion of social security contributions in line with applicable laws where the executives are employed. This was an aggregate amount of CHF 35k in 2025 and CHF 47k in 2024, which includes the employer cost of accident and loss of salary through illness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735965</wp:posOffset>
            </wp:positionV>
            <wp:extent cx="5812155" cy="2540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28"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Equity Incentive Plans of the Board of Directors and the Executive Management</w:t>
      </w: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Board of Directors and Executive Management Equity Incentive Plan Summary</w:t>
      </w:r>
    </w:p>
    <w:p>
      <w:pPr>
        <w:spacing w:after="0" w:line="32" w:lineRule="exact"/>
        <w:rPr>
          <w:sz w:val="20"/>
          <w:szCs w:val="20"/>
          <w:color w:val="auto"/>
        </w:rPr>
      </w:pPr>
    </w:p>
    <w:p>
      <w:pPr>
        <w:ind w:left="180" w:right="20"/>
        <w:spacing w:after="0" w:line="253" w:lineRule="auto"/>
        <w:rPr>
          <w:sz w:val="20"/>
          <w:szCs w:val="20"/>
          <w:color w:val="auto"/>
        </w:rPr>
      </w:pPr>
      <w:r>
        <w:rPr>
          <w:rFonts w:ascii="Times New Roman" w:cs="Times New Roman" w:eastAsia="Times New Roman" w:hAnsi="Times New Roman"/>
          <w:sz w:val="20"/>
          <w:szCs w:val="20"/>
          <w:color w:val="auto"/>
        </w:rPr>
        <w:t>The members of the Board of Directors and Executive Management held the following equity instruments, as outlined in the following two tables, as of 31 December 2025 and 2024:</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 xml:space="preserve">Investments held by members of the Board of Directors </w:t>
      </w:r>
      <w:r>
        <w:rPr>
          <w:rFonts w:ascii="Times New Roman" w:cs="Times New Roman" w:eastAsia="Times New Roman" w:hAnsi="Times New Roman"/>
          <w:sz w:val="29"/>
          <w:szCs w:val="29"/>
          <w:b w:val="1"/>
          <w:bCs w:val="1"/>
          <w:i w:val="1"/>
          <w:iCs w:val="1"/>
          <w:color w:val="4F81BD"/>
          <w:vertAlign w:val="superscript"/>
        </w:rPr>
        <w:t>(1)</w:t>
      </w:r>
    </w:p>
    <w:p>
      <w:pPr>
        <w:spacing w:after="0" w:line="190" w:lineRule="exact"/>
        <w:rPr>
          <w:sz w:val="20"/>
          <w:szCs w:val="20"/>
          <w:color w:val="auto"/>
        </w:rPr>
      </w:pPr>
    </w:p>
    <w:tbl>
      <w:tblPr>
        <w:tblLayout w:type="fixed"/>
        <w:tblInd w:w="190" w:type="dxa"/>
        <w:tblCellMar>
          <w:top w:w="0" w:type="dxa"/>
          <w:left w:w="0" w:type="dxa"/>
          <w:bottom w:w="0" w:type="dxa"/>
          <w:right w:w="0" w:type="dxa"/>
        </w:tblCellMar>
      </w:tblPr>
      <w:tr>
        <w:trPr>
          <w:trHeight w:val="187"/>
        </w:trPr>
        <w:tc>
          <w:tcPr>
            <w:tcW w:w="640" w:type="dxa"/>
            <w:vAlign w:val="bottom"/>
            <w:tcBorders>
              <w:top w:val="single" w:sz="8" w:color="auto"/>
              <w:left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2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9"/>
        </w:trPr>
        <w:tc>
          <w:tcPr>
            <w:tcW w:w="64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Stock</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unvested</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RSUs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unvested</w:t>
            </w:r>
          </w:p>
        </w:tc>
      </w:tr>
      <w:tr>
        <w:trPr>
          <w:trHeight w:val="203"/>
        </w:trPr>
        <w:tc>
          <w:tcPr>
            <w:tcW w:w="640" w:type="dxa"/>
            <w:vAlign w:val="bottom"/>
            <w:tcBorders>
              <w:left w:val="single" w:sz="8" w:color="auto"/>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auto"/>
                <w:w w:val="94"/>
              </w:rPr>
              <w:t xml:space="preserve">Options </w:t>
            </w:r>
            <w:r>
              <w:rPr>
                <w:rFonts w:ascii="Times New Roman" w:cs="Times New Roman" w:eastAsia="Times New Roman" w:hAnsi="Times New Roman"/>
                <w:sz w:val="23"/>
                <w:szCs w:val="23"/>
                <w:b w:val="1"/>
                <w:bCs w:val="1"/>
                <w:color w:val="auto"/>
                <w:w w:val="94"/>
                <w:vertAlign w:val="superscript"/>
              </w:rPr>
              <w:t>(3)</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10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auto"/>
                <w:w w:val="96"/>
              </w:rPr>
              <w:t xml:space="preserve">RSUs </w:t>
            </w:r>
            <w:r>
              <w:rPr>
                <w:rFonts w:ascii="Times New Roman" w:cs="Times New Roman" w:eastAsia="Times New Roman" w:hAnsi="Times New Roman"/>
                <w:sz w:val="23"/>
                <w:szCs w:val="23"/>
                <w:b w:val="1"/>
                <w:bCs w:val="1"/>
                <w:color w:val="auto"/>
                <w:w w:val="96"/>
                <w:vertAlign w:val="superscript"/>
              </w:rPr>
              <w:t>(4)</w:t>
            </w:r>
          </w:p>
        </w:tc>
      </w:tr>
      <w:tr>
        <w:trPr>
          <w:trHeight w:val="232"/>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7"/>
              </w:rPr>
              <w:t xml:space="preserve">Options - </w:t>
            </w:r>
            <w:r>
              <w:rPr>
                <w:rFonts w:ascii="Times New Roman" w:cs="Times New Roman" w:eastAsia="Times New Roman" w:hAnsi="Times New Roman"/>
                <w:sz w:val="24"/>
                <w:szCs w:val="24"/>
                <w:b w:val="1"/>
                <w:bCs w:val="1"/>
                <w:color w:val="auto"/>
                <w:w w:val="97"/>
                <w:vertAlign w:val="superscript"/>
              </w:rPr>
              <w:t>(3)</w:t>
            </w:r>
          </w:p>
        </w:tc>
        <w:tc>
          <w:tcPr>
            <w:tcW w:w="11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Douglas Williams, Ph.D. </w:t>
            </w:r>
            <w:r>
              <w:rPr>
                <w:rFonts w:ascii="Times New Roman" w:cs="Times New Roman" w:eastAsia="Times New Roman" w:hAnsi="Times New Roman"/>
                <w:sz w:val="21"/>
                <w:szCs w:val="21"/>
                <w:color w:val="auto"/>
                <w:vertAlign w:val="superscript"/>
              </w:rPr>
              <w:t>(2)</w:t>
            </w:r>
          </w:p>
        </w:tc>
        <w:tc>
          <w:tcPr>
            <w:tcW w:w="8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Chair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16,000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129,458</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17,114</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42,008</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9,392</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Werner Lanthaler, Ph.D. </w:t>
            </w:r>
            <w:r>
              <w:rPr>
                <w:rFonts w:ascii="Times New Roman" w:cs="Times New Roman" w:eastAsia="Times New Roman" w:hAnsi="Times New Roman"/>
                <w:sz w:val="21"/>
                <w:szCs w:val="21"/>
                <w:color w:val="auto"/>
                <w:vertAlign w:val="superscript"/>
              </w:rPr>
              <w:t>(2)</w:t>
            </w:r>
          </w:p>
        </w:tc>
        <w:tc>
          <w:tcPr>
            <w:tcW w:w="8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103,128</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107,701</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14,094</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36,875</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7,735</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Roy Twyman, M.D.</w:t>
            </w:r>
          </w:p>
        </w:tc>
        <w:tc>
          <w:tcPr>
            <w:tcW w:w="8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26,000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139,977</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43,299</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32,704</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17,284</w:t>
            </w: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26,000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125,883</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14,094</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24,969</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7,735</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2"/>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Carl June, M.D.</w:t>
            </w:r>
          </w:p>
        </w:tc>
        <w:tc>
          <w:tcPr>
            <w:tcW w:w="8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118,782</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43,299</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32,704</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17,284</w:t>
            </w:r>
          </w:p>
        </w:tc>
      </w:tr>
      <w:tr>
        <w:trPr>
          <w:trHeight w:val="182"/>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104,688</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14,094</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24,969</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7,735</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Monika Bütler, Ph. D.</w:t>
            </w:r>
          </w:p>
        </w:tc>
        <w:tc>
          <w:tcPr>
            <w:tcW w:w="86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Vice</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125,438</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46,392</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34,386</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18,519</w:t>
            </w:r>
          </w:p>
        </w:tc>
      </w:tr>
      <w:tr>
        <w:trPr>
          <w:trHeight w:val="182"/>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Chair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110,337</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15,101</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26,099</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8,287</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223"/>
        </w:trPr>
        <w:tc>
          <w:tcPr>
            <w:tcW w:w="640" w:type="dxa"/>
            <w:vAlign w:val="bottom"/>
            <w:tcBorders>
              <w:left w:val="single" w:sz="8" w:color="auto"/>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222" w:lineRule="exact"/>
              <w:rPr>
                <w:sz w:val="20"/>
                <w:szCs w:val="20"/>
                <w:color w:val="auto"/>
              </w:rPr>
            </w:pPr>
            <w:r>
              <w:rPr>
                <w:rFonts w:ascii="Times New Roman" w:cs="Times New Roman" w:eastAsia="Times New Roman" w:hAnsi="Times New Roman"/>
                <w:sz w:val="16"/>
                <w:szCs w:val="16"/>
                <w:color w:val="auto"/>
              </w:rPr>
              <w:t xml:space="preserve">Monica Shaw, M. D. </w:t>
            </w:r>
            <w:r>
              <w:rPr>
                <w:rFonts w:ascii="Times New Roman" w:cs="Times New Roman" w:eastAsia="Times New Roman" w:hAnsi="Times New Roman"/>
                <w:sz w:val="24"/>
                <w:szCs w:val="24"/>
                <w:color w:val="auto"/>
                <w:vertAlign w:val="superscript"/>
              </w:rPr>
              <w:t>(2)</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9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558ED5"/>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558ED5"/>
                <w:w w:val="74"/>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107,682</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14,094</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24,969</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7,735</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Renée Aguiar-Lucander</w:t>
            </w: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Director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75,360</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34,568</w:t>
            </w: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21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Martin Zügel M.D.</w:t>
            </w:r>
          </w:p>
        </w:tc>
        <w:tc>
          <w:tcPr>
            <w:tcW w:w="860" w:type="dxa"/>
            <w:vAlign w:val="bottom"/>
            <w:tcBorders>
              <w:bottom w:val="single" w:sz="8" w:color="auto"/>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16"/>
                <w:szCs w:val="16"/>
                <w:color w:val="auto"/>
              </w:rPr>
              <w:t>Chair</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84,638</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38,272</w:t>
            </w:r>
          </w:p>
        </w:tc>
      </w:tr>
      <w:tr>
        <w:trPr>
          <w:trHeight w:val="183"/>
        </w:trPr>
        <w:tc>
          <w:tcPr>
            <w:tcW w:w="640" w:type="dxa"/>
            <w:vAlign w:val="bottom"/>
            <w:tcBorders>
              <w:left w:val="single" w:sz="8" w:color="auto"/>
              <w:bottom w:val="single" w:sz="8" w:color="auto"/>
              <w:right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21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74"/>
              </w:rPr>
              <w:t>-</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83"/>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Total 2025</w:t>
            </w: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28,000</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384,197</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292,988</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99,794</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125,927</w:t>
            </w:r>
          </w:p>
        </w:tc>
      </w:tr>
      <w:tr>
        <w:trPr>
          <w:trHeight w:val="183"/>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i w:val="1"/>
                <w:iCs w:val="1"/>
                <w:color w:val="558ED5"/>
              </w:rPr>
              <w:t>Total 2024</w:t>
            </w:r>
          </w:p>
        </w:tc>
        <w:tc>
          <w:tcPr>
            <w:tcW w:w="8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147,128</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685,749</w:t>
            </w:r>
          </w:p>
        </w:tc>
        <w:tc>
          <w:tcPr>
            <w:tcW w:w="11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88,591</w:t>
            </w:r>
          </w:p>
        </w:tc>
        <w:tc>
          <w:tcPr>
            <w:tcW w:w="11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179,889</w:t>
            </w:r>
          </w:p>
        </w:tc>
        <w:tc>
          <w:tcPr>
            <w:tcW w:w="104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48,619</w:t>
            </w:r>
          </w:p>
        </w:tc>
      </w:tr>
    </w:tbl>
    <w:p>
      <w:pPr>
        <w:spacing w:after="0" w:line="185" w:lineRule="exact"/>
        <w:rPr>
          <w:sz w:val="20"/>
          <w:szCs w:val="20"/>
          <w:color w:val="auto"/>
        </w:rPr>
      </w:pPr>
    </w:p>
    <w:p>
      <w:pPr>
        <w:ind w:left="340" w:hanging="168"/>
        <w:spacing w:after="0"/>
        <w:tabs>
          <w:tab w:leader="none" w:pos="340"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Excluding Andrea Pfeifer, CEO, whose holdings are listed under Executive Management.</w:t>
      </w:r>
    </w:p>
    <w:p>
      <w:pPr>
        <w:spacing w:after="0" w:line="37" w:lineRule="exact"/>
        <w:rPr>
          <w:rFonts w:ascii="Times New Roman" w:cs="Times New Roman" w:eastAsia="Times New Roman" w:hAnsi="Times New Roman"/>
          <w:sz w:val="21"/>
          <w:szCs w:val="21"/>
          <w:color w:val="auto"/>
          <w:vertAlign w:val="superscript"/>
        </w:rPr>
      </w:pPr>
    </w:p>
    <w:p>
      <w:pPr>
        <w:ind w:left="180" w:hanging="8"/>
        <w:spacing w:after="0" w:line="213" w:lineRule="auto"/>
        <w:tabs>
          <w:tab w:leader="none" w:pos="365"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Board member until 19 June 2025. Did not stand for re-election at AC Immune’s 2025 AGM. Since not a current Board member, no disclosures are made for 2025.</w:t>
      </w:r>
    </w:p>
    <w:p>
      <w:pPr>
        <w:spacing w:after="0" w:line="19" w:lineRule="exact"/>
        <w:rPr>
          <w:rFonts w:ascii="Times New Roman" w:cs="Times New Roman" w:eastAsia="Times New Roman" w:hAnsi="Times New Roman"/>
          <w:sz w:val="24"/>
          <w:szCs w:val="24"/>
          <w:color w:val="auto"/>
          <w:vertAlign w:val="superscript"/>
        </w:rPr>
      </w:pPr>
    </w:p>
    <w:p>
      <w:pPr>
        <w:jc w:val="both"/>
        <w:ind w:left="180" w:right="20" w:hanging="8"/>
        <w:spacing w:after="0" w:line="239" w:lineRule="auto"/>
        <w:tabs>
          <w:tab w:leader="none" w:pos="396"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Each stock option (SO) award, on vesting, entitles the recipient to purchase a quantity of the Company’s common shares, equivalent to the number of SOs exercised, with an exercise price of USD 1.84 for the 2025 option grants and USD 4.23 for 2024 option grants. Stock options (SOs) awarded in 2025 fully vest in 2026, and those awarded in 2024 fully vested in 2025.</w:t>
      </w:r>
    </w:p>
    <w:p>
      <w:pPr>
        <w:spacing w:after="0" w:line="20" w:lineRule="exact"/>
        <w:rPr>
          <w:rFonts w:ascii="Times New Roman" w:cs="Times New Roman" w:eastAsia="Times New Roman" w:hAnsi="Times New Roman"/>
          <w:sz w:val="24"/>
          <w:szCs w:val="24"/>
          <w:color w:val="auto"/>
          <w:vertAlign w:val="superscript"/>
        </w:rPr>
      </w:pPr>
    </w:p>
    <w:p>
      <w:pPr>
        <w:jc w:val="both"/>
        <w:ind w:left="180" w:hanging="8"/>
        <w:spacing w:after="0" w:line="252" w:lineRule="auto"/>
        <w:tabs>
          <w:tab w:leader="none" w:pos="352"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Each RSU granted entitles the Grantee to an equivalent number of the Company’s common shares. RSUs awarded in 2025 fully vest in 2026, and those awarded in 2024 fully vested in 2025. The settlement and delivery of shares occurs upon payment of the nominal value of each vested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949960</wp:posOffset>
            </wp:positionV>
            <wp:extent cx="5812155" cy="2603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3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189"/>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held by</w:t>
            </w:r>
          </w:p>
        </w:tc>
        <w:tc>
          <w:tcPr>
            <w:tcW w:w="13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unvested Stock</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RSUs</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unvested</w:t>
            </w:r>
          </w:p>
        </w:tc>
      </w:tr>
      <w:tr>
        <w:trPr>
          <w:trHeight w:val="1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members of</w:t>
            </w:r>
          </w:p>
        </w:tc>
        <w:tc>
          <w:tcPr>
            <w:tcW w:w="13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RSUs</w:t>
            </w:r>
          </w:p>
        </w:tc>
      </w:tr>
      <w:tr>
        <w:trPr>
          <w:trHeight w:val="203"/>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13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auto"/>
                <w:w w:val="97"/>
              </w:rPr>
              <w:t xml:space="preserve">Options </w:t>
            </w:r>
            <w:r>
              <w:rPr>
                <w:rFonts w:ascii="Times New Roman" w:cs="Times New Roman" w:eastAsia="Times New Roman" w:hAnsi="Times New Roman"/>
                <w:sz w:val="23"/>
                <w:szCs w:val="23"/>
                <w:b w:val="1"/>
                <w:bCs w:val="1"/>
                <w:color w:val="auto"/>
                <w:w w:val="97"/>
                <w:vertAlign w:val="superscript"/>
              </w:rPr>
              <w:t>(5)</w:t>
            </w:r>
          </w:p>
        </w:tc>
        <w:tc>
          <w:tcPr>
            <w:tcW w:w="14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1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184"/>
        </w:trPr>
        <w:tc>
          <w:tcPr>
            <w:tcW w:w="1180" w:type="dxa"/>
            <w:vAlign w:val="bottom"/>
            <w:tcBorders>
              <w:left w:val="single" w:sz="8" w:color="auto"/>
              <w:bottom w:val="single" w:sz="8" w:color="auto"/>
              <w:right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Andrea Pfeifer,</w:t>
            </w:r>
          </w:p>
        </w:tc>
        <w:tc>
          <w:tcPr>
            <w:tcW w:w="1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Executive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1,963,283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1,577,134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1,338,676</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1180" w:type="dxa"/>
            <w:vAlign w:val="bottom"/>
            <w:tcBorders>
              <w:left w:val="single" w:sz="8" w:color="auto"/>
              <w:bottom w:val="single" w:sz="8" w:color="auto"/>
              <w:right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Ph.D.</w:t>
            </w:r>
          </w:p>
        </w:tc>
        <w:tc>
          <w:tcPr>
            <w:tcW w:w="1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2,146,071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1,306,292</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270,842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629,593</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114,821</w:t>
            </w:r>
          </w:p>
        </w:tc>
      </w:tr>
      <w:tr>
        <w:trPr>
          <w:trHeight w:val="183"/>
        </w:trPr>
        <w:tc>
          <w:tcPr>
            <w:tcW w:w="118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Jean-Fabien</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Administrative</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96"/>
        </w:trPr>
        <w:tc>
          <w:tcPr>
            <w:tcW w:w="1180" w:type="dxa"/>
            <w:vAlign w:val="bottom"/>
            <w:tcBorders>
              <w:left w:val="single" w:sz="8" w:color="auto"/>
              <w:bottom w:val="single" w:sz="8" w:color="auto"/>
              <w:right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5"/>
                <w:szCs w:val="15"/>
                <w:color w:val="auto"/>
              </w:rPr>
              <w:t xml:space="preserve">Monin </w:t>
            </w:r>
            <w:r>
              <w:rPr>
                <w:rFonts w:ascii="Times New Roman" w:cs="Times New Roman" w:eastAsia="Times New Roman" w:hAnsi="Times New Roman"/>
                <w:sz w:val="22"/>
                <w:szCs w:val="22"/>
                <w:color w:val="auto"/>
                <w:vertAlign w:val="superscript"/>
              </w:rPr>
              <w:t>(1)</w:t>
            </w:r>
          </w:p>
        </w:tc>
        <w:tc>
          <w:tcPr>
            <w:tcW w:w="1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311,950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159,753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10,345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w:t>
            </w:r>
          </w:p>
        </w:tc>
      </w:tr>
      <w:tr>
        <w:trPr>
          <w:trHeight w:val="183"/>
        </w:trPr>
        <w:tc>
          <w:tcPr>
            <w:tcW w:w="118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Piergiorgio</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Technical</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4,500</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239,180</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50,229</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61,806</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26,621</w:t>
            </w:r>
          </w:p>
        </w:tc>
      </w:tr>
      <w:tr>
        <w:trPr>
          <w:trHeight w:val="182"/>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Donati</w:t>
            </w:r>
          </w:p>
        </w:tc>
        <w:tc>
          <w:tcPr>
            <w:tcW w:w="158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Operations Officer</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4,500</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180,010</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47,861</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33,932</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21,708</w:t>
            </w:r>
          </w:p>
        </w:tc>
      </w:tr>
      <w:tr>
        <w:trPr>
          <w:trHeight w:val="183"/>
        </w:trPr>
        <w:tc>
          <w:tcPr>
            <w:tcW w:w="118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Nuno Mendonca</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Medical</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82"/>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(1)</w:t>
            </w:r>
          </w:p>
        </w:tc>
        <w:tc>
          <w:tcPr>
            <w:tcW w:w="158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Officer</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54,459</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5"/>
              </w:rPr>
              <w:t>27,111</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r>
      <w:tr>
        <w:trPr>
          <w:trHeight w:val="183"/>
        </w:trPr>
        <w:tc>
          <w:tcPr>
            <w:tcW w:w="118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Madiha</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Scientific</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96"/>
        </w:trPr>
        <w:tc>
          <w:tcPr>
            <w:tcW w:w="1180" w:type="dxa"/>
            <w:vAlign w:val="bottom"/>
            <w:tcBorders>
              <w:left w:val="single" w:sz="8" w:color="auto"/>
              <w:bottom w:val="single" w:sz="8" w:color="auto"/>
              <w:right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5"/>
                <w:szCs w:val="15"/>
                <w:color w:val="auto"/>
              </w:rPr>
              <w:t xml:space="preserve">Derouazi </w:t>
            </w:r>
            <w:r>
              <w:rPr>
                <w:rFonts w:ascii="Times New Roman" w:cs="Times New Roman" w:eastAsia="Times New Roman" w:hAnsi="Times New Roman"/>
                <w:sz w:val="22"/>
                <w:szCs w:val="22"/>
                <w:color w:val="auto"/>
                <w:vertAlign w:val="superscript"/>
              </w:rPr>
              <w:t>(2)</w:t>
            </w:r>
          </w:p>
        </w:tc>
        <w:tc>
          <w:tcPr>
            <w:tcW w:w="1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6,349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24,540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49,080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6,349</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25,397</w:t>
            </w:r>
          </w:p>
        </w:tc>
      </w:tr>
      <w:tr>
        <w:trPr>
          <w:trHeight w:val="183"/>
        </w:trPr>
        <w:tc>
          <w:tcPr>
            <w:tcW w:w="118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4"/>
                <w:szCs w:val="14"/>
                <w:color w:val="auto"/>
              </w:rPr>
              <w:t xml:space="preserve">Anke Post </w:t>
            </w:r>
            <w:r>
              <w:rPr>
                <w:rFonts w:ascii="Times New Roman" w:cs="Times New Roman" w:eastAsia="Times New Roman" w:hAnsi="Times New Roman"/>
                <w:sz w:val="21"/>
                <w:szCs w:val="21"/>
                <w:color w:val="auto"/>
                <w:vertAlign w:val="superscript"/>
              </w:rPr>
              <w:t>(3)</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Medical</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Officer</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3,645</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29,168</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1,828</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14,630</w:t>
            </w:r>
          </w:p>
        </w:tc>
      </w:tr>
      <w:tr>
        <w:trPr>
          <w:trHeight w:val="183"/>
        </w:trPr>
        <w:tc>
          <w:tcPr>
            <w:tcW w:w="1180" w:type="dxa"/>
            <w:vAlign w:val="bottom"/>
            <w:tcBorders>
              <w:left w:val="single" w:sz="8" w:color="auto"/>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Howard</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Human</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96"/>
        </w:trPr>
        <w:tc>
          <w:tcPr>
            <w:tcW w:w="1180" w:type="dxa"/>
            <w:vAlign w:val="bottom"/>
            <w:tcBorders>
              <w:left w:val="single" w:sz="8" w:color="auto"/>
              <w:bottom w:val="single" w:sz="8" w:color="auto"/>
              <w:right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5"/>
                <w:szCs w:val="15"/>
                <w:color w:val="auto"/>
              </w:rPr>
              <w:t xml:space="preserve">Donovan </w:t>
            </w:r>
            <w:r>
              <w:rPr>
                <w:rFonts w:ascii="Times New Roman" w:cs="Times New Roman" w:eastAsia="Times New Roman" w:hAnsi="Times New Roman"/>
                <w:sz w:val="22"/>
                <w:szCs w:val="22"/>
                <w:color w:val="auto"/>
                <w:vertAlign w:val="superscript"/>
              </w:rPr>
              <w:t>(4)</w:t>
            </w:r>
          </w:p>
        </w:tc>
        <w:tc>
          <w:tcPr>
            <w:tcW w:w="1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Resources Officer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72,396</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44,378</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rPr>
              <w:t>34.096</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558ED5"/>
                <w:w w:val="99"/>
              </w:rPr>
              <w:t>21,740</w:t>
            </w:r>
          </w:p>
        </w:tc>
      </w:tr>
      <w:tr>
        <w:trPr>
          <w:trHeight w:val="183"/>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Christopher</w:t>
            </w:r>
          </w:p>
        </w:tc>
        <w:tc>
          <w:tcPr>
            <w:tcW w:w="158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Chief Financial</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45,818</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123,704</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81,745</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19,059</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42,312</w:t>
            </w: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Roberts</w:t>
            </w:r>
          </w:p>
        </w:tc>
        <w:tc>
          <w:tcPr>
            <w:tcW w:w="158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Officer</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20,135</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59,280</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53,861</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9,930</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27,944</w:t>
            </w:r>
          </w:p>
        </w:tc>
      </w:tr>
      <w:tr>
        <w:trPr>
          <w:trHeight w:val="183"/>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color w:val="auto"/>
              </w:rPr>
              <w:t>Total 2025</w:t>
            </w:r>
          </w:p>
        </w:tc>
        <w:tc>
          <w:tcPr>
            <w:tcW w:w="1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2,013,601</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1,940,018</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131,974</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1,419,541</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68,933</w:t>
            </w:r>
          </w:p>
        </w:tc>
      </w:tr>
      <w:tr>
        <w:trPr>
          <w:trHeight w:val="183"/>
        </w:trPr>
        <w:tc>
          <w:tcPr>
            <w:tcW w:w="1180" w:type="dxa"/>
            <w:vAlign w:val="bottom"/>
            <w:tcBorders>
              <w:left w:val="single" w:sz="8" w:color="auto"/>
              <w:bottom w:val="single" w:sz="8" w:color="auto"/>
              <w:right w:val="single" w:sz="8" w:color="auto"/>
            </w:tcBorders>
          </w:tcPr>
          <w:p>
            <w:pPr>
              <w:jc w:val="right"/>
              <w:ind w:right="679"/>
              <w:spacing w:after="0" w:line="183" w:lineRule="exact"/>
              <w:rPr>
                <w:sz w:val="20"/>
                <w:szCs w:val="20"/>
                <w:color w:val="auto"/>
              </w:rPr>
            </w:pPr>
            <w:r>
              <w:rPr>
                <w:rFonts w:ascii="Times New Roman" w:cs="Times New Roman" w:eastAsia="Times New Roman" w:hAnsi="Times New Roman"/>
                <w:sz w:val="16"/>
                <w:szCs w:val="16"/>
                <w:i w:val="1"/>
                <w:iCs w:val="1"/>
                <w:color w:val="558ED5"/>
              </w:rPr>
              <w:t>2024</w:t>
            </w:r>
          </w:p>
        </w:tc>
        <w:tc>
          <w:tcPr>
            <w:tcW w:w="1320" w:type="dxa"/>
            <w:vAlign w:val="bottom"/>
            <w:tcBorders>
              <w:bottom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6"/>
                <w:szCs w:val="16"/>
                <w:i w:val="1"/>
                <w:iCs w:val="1"/>
                <w:color w:val="558ED5"/>
              </w:rPr>
              <w:t>Total 2024</w:t>
            </w:r>
          </w:p>
        </w:tc>
        <w:tc>
          <w:tcPr>
            <w:tcW w:w="1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2,489,005</w:t>
            </w:r>
          </w:p>
        </w:tc>
        <w:tc>
          <w:tcPr>
            <w:tcW w:w="10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1,860,375</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495,190</w:t>
            </w:r>
          </w:p>
        </w:tc>
        <w:tc>
          <w:tcPr>
            <w:tcW w:w="110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rPr>
              <w:t>753,184</w:t>
            </w:r>
          </w:p>
        </w:tc>
        <w:tc>
          <w:tcPr>
            <w:tcW w:w="9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i w:val="1"/>
                <w:iCs w:val="1"/>
                <w:color w:val="558ED5"/>
                <w:w w:val="99"/>
              </w:rPr>
              <w:t>226,240</w:t>
            </w:r>
          </w:p>
        </w:tc>
      </w:tr>
    </w:tbl>
    <w:p>
      <w:pPr>
        <w:spacing w:after="0" w:line="185" w:lineRule="exact"/>
        <w:rPr>
          <w:sz w:val="20"/>
          <w:szCs w:val="20"/>
          <w:color w:val="auto"/>
        </w:rPr>
      </w:pPr>
    </w:p>
    <w:p>
      <w:pPr>
        <w:ind w:left="680" w:hanging="168"/>
        <w:spacing w:after="0"/>
        <w:tabs>
          <w:tab w:leader="none" w:pos="680"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Departed on 31 December 2024. Since not a current member of Executive Management, no disclosures are made for 2025.</w:t>
      </w:r>
    </w:p>
    <w:p>
      <w:pPr>
        <w:spacing w:after="0" w:line="23" w:lineRule="exact"/>
        <w:rPr>
          <w:rFonts w:ascii="Times New Roman" w:cs="Times New Roman" w:eastAsia="Times New Roman" w:hAnsi="Times New Roman"/>
          <w:sz w:val="21"/>
          <w:szCs w:val="21"/>
          <w:color w:val="auto"/>
          <w:vertAlign w:val="superscript"/>
        </w:rPr>
      </w:pPr>
    </w:p>
    <w:p>
      <w:pPr>
        <w:ind w:left="520" w:hanging="8"/>
        <w:spacing w:after="0" w:line="220" w:lineRule="auto"/>
        <w:tabs>
          <w:tab w:leader="none" w:pos="719"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From appointment on 1 January 2024 until departure on 31 January 2025. Since not a current employee or member of Executive Management, no disclosures are made for 2025.</w:t>
      </w:r>
    </w:p>
    <w:p>
      <w:pPr>
        <w:spacing w:after="0" w:line="5" w:lineRule="exact"/>
        <w:rPr>
          <w:rFonts w:ascii="Times New Roman" w:cs="Times New Roman" w:eastAsia="Times New Roman" w:hAnsi="Times New Roman"/>
          <w:sz w:val="24"/>
          <w:szCs w:val="24"/>
          <w:color w:val="auto"/>
          <w:vertAlign w:val="superscript"/>
        </w:rPr>
      </w:pPr>
    </w:p>
    <w:p>
      <w:pPr>
        <w:ind w:left="520" w:hanging="8"/>
        <w:spacing w:after="0" w:line="229" w:lineRule="auto"/>
        <w:tabs>
          <w:tab w:leader="none" w:pos="71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From appointment 16 September 2024 until June 2025. Since not a current member of Executive Management, no disclosures are made for 2025.</w:t>
      </w:r>
    </w:p>
    <w:p>
      <w:pPr>
        <w:ind w:left="700" w:hanging="188"/>
        <w:spacing w:after="0" w:line="187" w:lineRule="auto"/>
        <w:tabs>
          <w:tab w:leader="none" w:pos="70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Until end of November 2025. Since not a current member of Executive Management, no disclosures are made for 2025.</w:t>
      </w:r>
    </w:p>
    <w:p>
      <w:pPr>
        <w:spacing w:after="0" w:line="38" w:lineRule="exact"/>
        <w:rPr>
          <w:rFonts w:ascii="Times New Roman" w:cs="Times New Roman" w:eastAsia="Times New Roman" w:hAnsi="Times New Roman"/>
          <w:sz w:val="24"/>
          <w:szCs w:val="24"/>
          <w:color w:val="auto"/>
          <w:vertAlign w:val="superscript"/>
        </w:rPr>
      </w:pPr>
    </w:p>
    <w:p>
      <w:pPr>
        <w:jc w:val="both"/>
        <w:ind w:left="520" w:hanging="8"/>
        <w:spacing w:after="0" w:line="232" w:lineRule="auto"/>
        <w:tabs>
          <w:tab w:leader="none" w:pos="705"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On vesting, each stock option (SO) entitles the recipient to purchase the Company’s common shares, equivalent to the number of SOs exercised, with the exercise price being the market price at grant date, which was USD 2.91 for 2025, and between USD 3.39 and 3.99 for 2024.</w:t>
      </w:r>
    </w:p>
    <w:p>
      <w:pPr>
        <w:spacing w:after="0" w:line="21" w:lineRule="exact"/>
        <w:rPr>
          <w:rFonts w:ascii="Times New Roman" w:cs="Times New Roman" w:eastAsia="Times New Roman" w:hAnsi="Times New Roman"/>
          <w:sz w:val="24"/>
          <w:szCs w:val="24"/>
          <w:color w:val="auto"/>
          <w:vertAlign w:val="superscript"/>
        </w:rPr>
      </w:pPr>
    </w:p>
    <w:p>
      <w:pPr>
        <w:ind w:left="520" w:right="20" w:hanging="8"/>
        <w:spacing w:after="0" w:line="228" w:lineRule="auto"/>
        <w:tabs>
          <w:tab w:leader="none" w:pos="692"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Each RSU entitles the recipient to an equivalent number of the Company’s common shares. 2025 and 2024 RSUs granted to the CEO vest during a 12-month period. The settlement and delivery of shares occurs upon payment of the nominal value of each vested RSU.</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4F81BD"/>
        </w:rPr>
        <w:t>Compensation of Current and Former Members of the Board and Executive Management</w:t>
      </w:r>
    </w:p>
    <w:p>
      <w:pPr>
        <w:spacing w:after="0" w:line="44" w:lineRule="exact"/>
        <w:rPr>
          <w:sz w:val="20"/>
          <w:szCs w:val="20"/>
          <w:color w:val="auto"/>
        </w:rPr>
      </w:pPr>
    </w:p>
    <w:p>
      <w:pPr>
        <w:jc w:val="both"/>
        <w:ind w:left="520"/>
        <w:spacing w:after="0" w:line="290" w:lineRule="auto"/>
        <w:rPr>
          <w:sz w:val="20"/>
          <w:szCs w:val="20"/>
          <w:color w:val="auto"/>
        </w:rPr>
      </w:pPr>
      <w:r>
        <w:rPr>
          <w:rFonts w:ascii="Times New Roman" w:cs="Times New Roman" w:eastAsia="Times New Roman" w:hAnsi="Times New Roman"/>
          <w:sz w:val="20"/>
          <w:szCs w:val="20"/>
          <w:color w:val="auto"/>
        </w:rPr>
        <w:t>In connection with RSUs settled and options exercised in 2025 and 2024 by current and former members of the Board and Executive Management, AC Immune settles social security contributions, in accordance with applicable laws, on the gain resulting from the difference in exercise price and fair value of the shares at the time of the exercise. For former Board and Executive Management members, AC Immune paid CHF 4k and 11k in 2025 and 2024, respectively. For current Board and Executive Management members, AC Immune paid CHF 4k and CHF 9k in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1270000</wp:posOffset>
            </wp:positionV>
            <wp:extent cx="5812155" cy="1714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660"/>
          </w:cols>
          <w:pgMar w:left="1100" w:top="1440" w:right="11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28"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Mandates outside of AC Immune SA</w:t>
      </w:r>
    </w:p>
    <w:p>
      <w:pPr>
        <w:spacing w:after="0" w:line="139" w:lineRule="exact"/>
        <w:rPr>
          <w:sz w:val="20"/>
          <w:szCs w:val="20"/>
          <w:color w:val="auto"/>
        </w:rPr>
      </w:pPr>
    </w:p>
    <w:p>
      <w:pPr>
        <w:jc w:val="both"/>
        <w:ind w:left="180"/>
        <w:spacing w:after="0" w:line="291" w:lineRule="auto"/>
        <w:rPr>
          <w:sz w:val="20"/>
          <w:szCs w:val="20"/>
          <w:color w:val="auto"/>
        </w:rPr>
      </w:pPr>
      <w:r>
        <w:rPr>
          <w:rFonts w:ascii="Times New Roman" w:cs="Times New Roman" w:eastAsia="Times New Roman" w:hAnsi="Times New Roman"/>
          <w:sz w:val="20"/>
          <w:szCs w:val="20"/>
          <w:color w:val="auto"/>
        </w:rPr>
        <w:t>According to article 37 and 38 of the Articles of Association (</w:t>
      </w:r>
      <w:r>
        <w:rPr>
          <w:rFonts w:ascii="Arial" w:cs="Arial" w:eastAsia="Arial" w:hAnsi="Arial"/>
          <w:sz w:val="20"/>
          <w:szCs w:val="20"/>
          <w:color w:val="auto"/>
        </w:rPr>
        <w:t>Corporate Governance | AC Immune SA)</w:t>
      </w:r>
      <w:r>
        <w:rPr>
          <w:rFonts w:ascii="Times New Roman" w:cs="Times New Roman" w:eastAsia="Times New Roman" w:hAnsi="Times New Roman"/>
          <w:sz w:val="20"/>
          <w:szCs w:val="20"/>
          <w:color w:val="auto"/>
        </w:rPr>
        <w:t>, limitations apply to mandates outside AC Immune SA for Board Members and Executive Management members. The following external mandates as of 31 December 2025 and 31 December 2024, (unless otherwise indicated) are subject to these limitations and are therefore presented in the Compensation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93980</wp:posOffset>
            </wp:positionV>
            <wp:extent cx="5820410" cy="726948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5820410" cy="7269480"/>
                    </a:xfrm>
                    <a:prstGeom prst="rect">
                      <a:avLst/>
                    </a:prstGeom>
                    <a:noFill/>
                  </pic:spPr>
                </pic:pic>
              </a:graphicData>
            </a:graphic>
          </wp:anchor>
        </w:drawing>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Board Members</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Current Members</w:t>
      </w:r>
    </w:p>
    <w:p>
      <w:pPr>
        <w:spacing w:after="0" w:line="64"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Martin Zügel M.D.</w:t>
            </w: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rPr>
              <w:t>Renée Aguiar-Lucander</w:t>
            </w:r>
          </w:p>
        </w:tc>
      </w:tr>
      <w:tr>
        <w:trPr>
          <w:trHeight w:val="3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Grünenthal GmbH</w:t>
            </w: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Hansa Biopharma AB</w:t>
            </w: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 CEO</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 Chair of the Audit Committee</w:t>
            </w:r>
          </w:p>
        </w:tc>
        <w:tc>
          <w:tcPr>
            <w:tcW w:w="3380" w:type="dxa"/>
            <w:vAlign w:val="bottom"/>
          </w:tcPr>
          <w:p>
            <w:pPr>
              <w:spacing w:after="0"/>
              <w:rPr>
                <w:sz w:val="18"/>
                <w:szCs w:val="18"/>
                <w:color w:val="auto"/>
              </w:rPr>
            </w:pPr>
          </w:p>
        </w:tc>
      </w:tr>
      <w:tr>
        <w:trPr>
          <w:trHeight w:val="195"/>
        </w:trPr>
        <w:tc>
          <w:tcPr>
            <w:tcW w:w="3380" w:type="dxa"/>
            <w:vAlign w:val="bottom"/>
          </w:tcPr>
          <w:p>
            <w:pPr>
              <w:spacing w:after="0"/>
              <w:rPr>
                <w:sz w:val="16"/>
                <w:szCs w:val="16"/>
                <w:color w:val="auto"/>
              </w:rPr>
            </w:pP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Inventiva Pharma</w:t>
            </w: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AMW GmbH</w:t>
            </w: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 Member of the Board of Directors</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 Chair of the Supervisory Board</w:t>
            </w:r>
          </w:p>
        </w:tc>
        <w:tc>
          <w:tcPr>
            <w:tcW w:w="3380" w:type="dxa"/>
            <w:vAlign w:val="bottom"/>
          </w:tcPr>
          <w:p>
            <w:pPr>
              <w:spacing w:after="0"/>
              <w:rPr>
                <w:sz w:val="18"/>
                <w:szCs w:val="18"/>
                <w:color w:val="auto"/>
              </w:rPr>
            </w:pPr>
          </w:p>
        </w:tc>
      </w:tr>
      <w:tr>
        <w:trPr>
          <w:trHeight w:val="195"/>
        </w:trPr>
        <w:tc>
          <w:tcPr>
            <w:tcW w:w="3380" w:type="dxa"/>
            <w:vAlign w:val="bottom"/>
          </w:tcPr>
          <w:p>
            <w:pPr>
              <w:spacing w:after="0"/>
              <w:rPr>
                <w:sz w:val="16"/>
                <w:szCs w:val="16"/>
                <w:color w:val="auto"/>
              </w:rPr>
            </w:pP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SwedenBio</w:t>
            </w: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MESI Ltd</w:t>
            </w:r>
          </w:p>
        </w:tc>
        <w:tc>
          <w:tcPr>
            <w:tcW w:w="33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 Member of the Board of Directors</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 Chair of the Supervisory Board</w:t>
            </w:r>
          </w:p>
        </w:tc>
        <w:tc>
          <w:tcPr>
            <w:tcW w:w="3380" w:type="dxa"/>
            <w:vAlign w:val="bottom"/>
          </w:tcPr>
          <w:p>
            <w:pPr>
              <w:spacing w:after="0"/>
              <w:rPr>
                <w:sz w:val="18"/>
                <w:szCs w:val="18"/>
                <w:color w:val="auto"/>
              </w:rPr>
            </w:pPr>
          </w:p>
        </w:tc>
      </w:tr>
    </w:tbl>
    <w:p>
      <w:pPr>
        <w:spacing w:after="0" w:line="200" w:lineRule="exact"/>
        <w:rPr>
          <w:sz w:val="20"/>
          <w:szCs w:val="20"/>
          <w:color w:val="auto"/>
        </w:rPr>
      </w:pPr>
    </w:p>
    <w:p>
      <w:pPr>
        <w:spacing w:after="0" w:line="249"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Monika Bütler, Ph. D.</w:t>
            </w:r>
          </w:p>
        </w:tc>
        <w:tc>
          <w:tcPr>
            <w:tcW w:w="940" w:type="dxa"/>
            <w:vAlign w:val="bottom"/>
          </w:tcPr>
          <w:p>
            <w:pPr>
              <w:spacing w:after="0"/>
              <w:rPr>
                <w:sz w:val="18"/>
                <w:szCs w:val="18"/>
                <w:color w:val="auto"/>
              </w:rPr>
            </w:pPr>
          </w:p>
        </w:tc>
        <w:tc>
          <w:tcPr>
            <w:tcW w:w="302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Roy Twyman, M.D.</w:t>
            </w:r>
          </w:p>
        </w:tc>
        <w:tc>
          <w:tcPr>
            <w:tcW w:w="0" w:type="dxa"/>
            <w:vAlign w:val="bottom"/>
          </w:tcPr>
          <w:p>
            <w:pPr>
              <w:spacing w:after="0"/>
              <w:rPr>
                <w:sz w:val="1"/>
                <w:szCs w:val="1"/>
                <w:color w:val="auto"/>
              </w:rPr>
            </w:pPr>
          </w:p>
        </w:tc>
      </w:tr>
      <w:tr>
        <w:trPr>
          <w:trHeight w:val="397"/>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Swiss Life Holding Ltd</w:t>
            </w:r>
            <w:r>
              <w:rPr>
                <w:rFonts w:ascii="Times New Roman" w:cs="Times New Roman" w:eastAsia="Times New Roman" w:hAnsi="Times New Roman"/>
                <w:sz w:val="14"/>
                <w:szCs w:val="14"/>
                <w:color w:val="auto"/>
              </w:rPr>
              <w:t>(1)</w:t>
            </w:r>
          </w:p>
        </w:tc>
        <w:tc>
          <w:tcPr>
            <w:tcW w:w="940" w:type="dxa"/>
            <w:vAlign w:val="bottom"/>
          </w:tcPr>
          <w:p>
            <w:pPr>
              <w:spacing w:after="0"/>
              <w:rPr>
                <w:sz w:val="24"/>
                <w:szCs w:val="24"/>
                <w:color w:val="auto"/>
              </w:rPr>
            </w:pPr>
          </w:p>
        </w:tc>
        <w:tc>
          <w:tcPr>
            <w:tcW w:w="3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Amron Neuroscience, LLC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940" w:type="dxa"/>
            <w:vAlign w:val="bottom"/>
          </w:tcPr>
          <w:p>
            <w:pPr>
              <w:spacing w:after="0"/>
              <w:rPr>
                <w:sz w:val="18"/>
                <w:szCs w:val="18"/>
                <w:color w:val="auto"/>
              </w:rPr>
            </w:pPr>
          </w:p>
        </w:tc>
        <w:tc>
          <w:tcPr>
            <w:tcW w:w="3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 CEO and Founder</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 Member of the Audit Committee</w:t>
            </w:r>
          </w:p>
        </w:tc>
        <w:tc>
          <w:tcPr>
            <w:tcW w:w="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Member of the Compensation Committee</w:t>
            </w:r>
          </w:p>
        </w:tc>
        <w:tc>
          <w:tcPr>
            <w:tcW w:w="940" w:type="dxa"/>
            <w:vAlign w:val="bottom"/>
          </w:tcPr>
          <w:p>
            <w:pPr>
              <w:jc w:val="right"/>
              <w:ind w:right="626"/>
              <w:spacing w:after="0"/>
              <w:rPr>
                <w:sz w:val="20"/>
                <w:szCs w:val="20"/>
                <w:color w:val="auto"/>
              </w:rPr>
            </w:pPr>
            <w:r>
              <w:rPr>
                <w:rFonts w:ascii="Times New Roman" w:cs="Times New Roman" w:eastAsia="Times New Roman" w:hAnsi="Times New Roman"/>
                <w:sz w:val="15"/>
                <w:szCs w:val="15"/>
                <w:color w:val="auto"/>
                <w:w w:val="87"/>
              </w:rPr>
              <w:t>(10)</w:t>
            </w:r>
          </w:p>
        </w:tc>
        <w:tc>
          <w:tcPr>
            <w:tcW w:w="30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NeuroVision Imaging, Inc.</w:t>
            </w:r>
          </w:p>
        </w:tc>
        <w:tc>
          <w:tcPr>
            <w:tcW w:w="0" w:type="dxa"/>
            <w:vAlign w:val="bottom"/>
          </w:tcPr>
          <w:p>
            <w:pPr>
              <w:spacing w:after="0"/>
              <w:rPr>
                <w:sz w:val="1"/>
                <w:szCs w:val="1"/>
                <w:color w:val="auto"/>
              </w:rPr>
            </w:pPr>
          </w:p>
        </w:tc>
      </w:tr>
      <w:tr>
        <w:trPr>
          <w:trHeight w:val="27"/>
        </w:trPr>
        <w:tc>
          <w:tcPr>
            <w:tcW w:w="28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3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Swiss Life Ltd</w:t>
      </w:r>
    </w:p>
    <w:p>
      <w:pPr>
        <w:spacing w:after="0" w:line="23" w:lineRule="exact"/>
        <w:rPr>
          <w:sz w:val="20"/>
          <w:szCs w:val="20"/>
          <w:color w:val="auto"/>
        </w:rPr>
      </w:pPr>
    </w:p>
    <w:p>
      <w:pPr>
        <w:ind w:left="380" w:hanging="102"/>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Board of Directors</w:t>
      </w:r>
    </w:p>
    <w:p>
      <w:pPr>
        <w:spacing w:after="0" w:line="5" w:lineRule="exact"/>
        <w:rPr>
          <w:rFonts w:ascii="Times New Roman" w:cs="Times New Roman" w:eastAsia="Times New Roman" w:hAnsi="Times New Roman"/>
          <w:sz w:val="16"/>
          <w:szCs w:val="16"/>
          <w:color w:val="auto"/>
        </w:rPr>
      </w:pPr>
    </w:p>
    <w:p>
      <w:pPr>
        <w:ind w:left="380" w:hanging="102"/>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8" w:lineRule="exact"/>
        <w:rPr>
          <w:rFonts w:ascii="Times New Roman" w:cs="Times New Roman" w:eastAsia="Times New Roman" w:hAnsi="Times New Roman"/>
          <w:sz w:val="16"/>
          <w:szCs w:val="16"/>
          <w:color w:val="auto"/>
        </w:rPr>
      </w:pPr>
    </w:p>
    <w:p>
      <w:pPr>
        <w:ind w:left="380" w:hanging="102"/>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r>
        <w:rPr>
          <w:rFonts w:ascii="Times New Roman" w:cs="Times New Roman" w:eastAsia="Times New Roman" w:hAnsi="Times New Roman"/>
          <w:sz w:val="14"/>
          <w:szCs w:val="14"/>
          <w:color w:val="auto"/>
        </w:rPr>
        <w:t>(10)</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Schindler Holding AG</w:t>
      </w:r>
      <w:r>
        <w:rPr>
          <w:rFonts w:ascii="Times New Roman" w:cs="Times New Roman" w:eastAsia="Times New Roman" w:hAnsi="Times New Roman"/>
          <w:sz w:val="14"/>
          <w:szCs w:val="14"/>
          <w:color w:val="auto"/>
        </w:rPr>
        <w:t>(1)</w:t>
      </w:r>
    </w:p>
    <w:p>
      <w:pPr>
        <w:spacing w:after="0" w:line="26" w:lineRule="exact"/>
        <w:rPr>
          <w:sz w:val="20"/>
          <w:szCs w:val="20"/>
          <w:color w:val="auto"/>
        </w:rPr>
      </w:pPr>
    </w:p>
    <w:p>
      <w:pPr>
        <w:ind w:left="380" w:hanging="102"/>
        <w:spacing w:after="0"/>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Board of Directors</w:t>
      </w:r>
    </w:p>
    <w:p>
      <w:pPr>
        <w:spacing w:after="0" w:line="18" w:lineRule="exact"/>
        <w:rPr>
          <w:rFonts w:ascii="Times New Roman" w:cs="Times New Roman" w:eastAsia="Times New Roman" w:hAnsi="Times New Roman"/>
          <w:sz w:val="16"/>
          <w:szCs w:val="16"/>
          <w:color w:val="auto"/>
        </w:rPr>
      </w:pPr>
    </w:p>
    <w:p>
      <w:pPr>
        <w:ind w:left="380" w:hanging="102"/>
        <w:spacing w:after="0"/>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8" w:lineRule="exact"/>
        <w:rPr>
          <w:rFonts w:ascii="Times New Roman" w:cs="Times New Roman" w:eastAsia="Times New Roman" w:hAnsi="Times New Roman"/>
          <w:sz w:val="16"/>
          <w:szCs w:val="16"/>
          <w:color w:val="auto"/>
        </w:rPr>
      </w:pPr>
    </w:p>
    <w:p>
      <w:pPr>
        <w:ind w:left="380" w:hanging="102"/>
        <w:spacing w:after="0"/>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Compensation Committee</w:t>
      </w:r>
      <w:r>
        <w:rPr>
          <w:rFonts w:ascii="Times New Roman" w:cs="Times New Roman" w:eastAsia="Times New Roman" w:hAnsi="Times New Roman"/>
          <w:sz w:val="14"/>
          <w:szCs w:val="14"/>
          <w:color w:val="auto"/>
        </w:rPr>
        <w:t>(11)</w:t>
      </w:r>
    </w:p>
    <w:p>
      <w:pPr>
        <w:spacing w:after="0" w:line="2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Huber+Suhner Ltd</w:t>
      </w:r>
      <w:r>
        <w:rPr>
          <w:rFonts w:ascii="Times New Roman" w:cs="Times New Roman" w:eastAsia="Times New Roman" w:hAnsi="Times New Roman"/>
          <w:sz w:val="14"/>
          <w:szCs w:val="14"/>
          <w:color w:val="auto"/>
        </w:rPr>
        <w:t>(1)</w:t>
      </w:r>
    </w:p>
    <w:p>
      <w:pPr>
        <w:spacing w:after="0" w:line="26" w:lineRule="exact"/>
        <w:rPr>
          <w:sz w:val="20"/>
          <w:szCs w:val="20"/>
          <w:color w:val="auto"/>
        </w:rPr>
      </w:pPr>
    </w:p>
    <w:p>
      <w:pPr>
        <w:ind w:left="380" w:hanging="102"/>
        <w:spacing w:after="0"/>
        <w:tabs>
          <w:tab w:leader="none" w:pos="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Board of Directors</w:t>
      </w:r>
    </w:p>
    <w:p>
      <w:pPr>
        <w:spacing w:after="0" w:line="18" w:lineRule="exact"/>
        <w:rPr>
          <w:rFonts w:ascii="Times New Roman" w:cs="Times New Roman" w:eastAsia="Times New Roman" w:hAnsi="Times New Roman"/>
          <w:sz w:val="16"/>
          <w:szCs w:val="16"/>
          <w:color w:val="auto"/>
        </w:rPr>
      </w:pPr>
    </w:p>
    <w:p>
      <w:pPr>
        <w:ind w:left="380" w:hanging="102"/>
        <w:spacing w:after="0"/>
        <w:tabs>
          <w:tab w:leader="none" w:pos="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Nomination and Compensation Committee</w:t>
      </w:r>
    </w:p>
    <w:p>
      <w:pPr>
        <w:spacing w:after="0" w:line="2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Gebert Rüf Foundation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Vice Chair</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Max Schmidheiny Foundation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Member of the Board of Trustees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Manufactura Tessanda Val Müstair Foundation</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Member of the Board of Trustees</w:t>
      </w:r>
      <w:r>
        <w:rPr>
          <w:rFonts w:ascii="Times New Roman" w:cs="Times New Roman" w:eastAsia="Times New Roman" w:hAnsi="Times New Roman"/>
          <w:sz w:val="24"/>
          <w:szCs w:val="24"/>
          <w:color w:val="auto"/>
          <w:vertAlign w:val="superscript"/>
        </w:rPr>
        <w:t>(8)</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Swiss Management Association</w:t>
      </w:r>
      <w:r>
        <w:rPr>
          <w:rFonts w:ascii="Times New Roman" w:cs="Times New Roman" w:eastAsia="Times New Roman" w:hAnsi="Times New Roman"/>
          <w:sz w:val="14"/>
          <w:szCs w:val="14"/>
          <w:color w:val="auto"/>
        </w:rPr>
        <w:t>(12)</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Member of the Executive Board</w:t>
      </w: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Carl June</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Jupiter Bioventures</w:t>
      </w:r>
      <w:r>
        <w:rPr>
          <w:rFonts w:ascii="Times New Roman" w:cs="Times New Roman" w:eastAsia="Times New Roman" w:hAnsi="Times New Roman"/>
          <w:sz w:val="24"/>
          <w:szCs w:val="24"/>
          <w:color w:val="auto"/>
          <w:vertAlign w:val="superscript"/>
        </w:rPr>
        <w:t>(13)</w:t>
      </w:r>
    </w:p>
    <w:p>
      <w:pPr>
        <w:ind w:left="280"/>
        <w:spacing w:after="0"/>
        <w:rPr>
          <w:sz w:val="20"/>
          <w:szCs w:val="20"/>
          <w:color w:val="auto"/>
        </w:rPr>
      </w:pPr>
      <w:r>
        <w:rPr>
          <w:rFonts w:ascii="Times New Roman" w:cs="Times New Roman" w:eastAsia="Times New Roman" w:hAnsi="Times New Roman"/>
          <w:sz w:val="16"/>
          <w:szCs w:val="16"/>
          <w:color w:val="auto"/>
        </w:rPr>
        <w:t>-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1071880</wp:posOffset>
            </wp:positionV>
            <wp:extent cx="5812155" cy="2603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1957705</wp:posOffset>
            </wp:positionV>
            <wp:extent cx="5812155" cy="2603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5812155" cy="26035"/>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Former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-113665</wp:posOffset>
            </wp:positionV>
            <wp:extent cx="5812155" cy="58889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5812155" cy="5888990"/>
                    </a:xfrm>
                    <a:prstGeom prst="rect">
                      <a:avLst/>
                    </a:prstGeom>
                    <a:noFill/>
                  </pic:spPr>
                </pic:pic>
              </a:graphicData>
            </a:graphic>
          </wp:anchor>
        </w:drawing>
      </w:r>
    </w:p>
    <w:p>
      <w:pPr>
        <w:spacing w:after="0" w:line="37" w:lineRule="exact"/>
        <w:rPr>
          <w:sz w:val="20"/>
          <w:szCs w:val="20"/>
          <w:color w:val="auto"/>
        </w:rPr>
      </w:pPr>
    </w:p>
    <w:tbl>
      <w:tblPr>
        <w:tblLayout w:type="fixed"/>
        <w:tblInd w:w="180" w:type="dxa"/>
        <w:tblCellMar>
          <w:top w:w="0" w:type="dxa"/>
          <w:left w:w="0" w:type="dxa"/>
          <w:bottom w:w="0" w:type="dxa"/>
          <w:right w:w="0" w:type="dxa"/>
        </w:tblCellMar>
      </w:tblPr>
      <w:tr>
        <w:trPr>
          <w:trHeight w:val="298"/>
        </w:trPr>
        <w:tc>
          <w:tcPr>
            <w:tcW w:w="42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xml:space="preserve">Douglas Williams, Ph.D. </w:t>
            </w:r>
            <w:r>
              <w:rPr>
                <w:rFonts w:ascii="Times New Roman" w:cs="Times New Roman" w:eastAsia="Times New Roman" w:hAnsi="Times New Roman"/>
                <w:sz w:val="21"/>
                <w:szCs w:val="21"/>
                <w:color w:val="auto"/>
                <w:vertAlign w:val="superscript"/>
              </w:rPr>
              <w:t>(9)</w:t>
            </w:r>
          </w:p>
        </w:tc>
        <w:tc>
          <w:tcPr>
            <w:tcW w:w="200" w:type="dxa"/>
            <w:vAlign w:val="bottom"/>
            <w:tcBorders>
              <w:top w:val="single" w:sz="8" w:color="auto"/>
              <w:right w:val="single" w:sz="8" w:color="auto"/>
            </w:tcBorders>
          </w:tcPr>
          <w:p>
            <w:pPr>
              <w:spacing w:after="0"/>
              <w:rPr>
                <w:sz w:val="24"/>
                <w:szCs w:val="24"/>
                <w:color w:val="auto"/>
              </w:rPr>
            </w:pPr>
          </w:p>
        </w:tc>
        <w:tc>
          <w:tcPr>
            <w:tcW w:w="4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 xml:space="preserve">Werner Lanthaler, Ph.D. </w:t>
            </w:r>
            <w:r>
              <w:rPr>
                <w:rFonts w:ascii="Times New Roman" w:cs="Times New Roman" w:eastAsia="Times New Roman" w:hAnsi="Times New Roman"/>
                <w:sz w:val="21"/>
                <w:szCs w:val="21"/>
                <w:color w:val="auto"/>
                <w:vertAlign w:val="superscript"/>
              </w:rPr>
              <w:t>(9)</w:t>
            </w:r>
          </w:p>
        </w:tc>
      </w:tr>
      <w:tr>
        <w:trPr>
          <w:trHeight w:val="323"/>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Sana Biotechnology, Inc</w:t>
            </w:r>
            <w:r>
              <w:rPr>
                <w:rFonts w:ascii="Times New Roman" w:cs="Times New Roman" w:eastAsia="Times New Roman" w:hAnsi="Times New Roman"/>
                <w:sz w:val="14"/>
                <w:szCs w:val="14"/>
                <w:color w:val="auto"/>
              </w:rPr>
              <w:t>(1)(2)</w:t>
            </w: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Evotec AG</w:t>
            </w:r>
            <w:r>
              <w:rPr>
                <w:rFonts w:ascii="Times New Roman" w:cs="Times New Roman" w:eastAsia="Times New Roman" w:hAnsi="Times New Roman"/>
                <w:sz w:val="24"/>
                <w:szCs w:val="24"/>
                <w:color w:val="auto"/>
                <w:vertAlign w:val="superscript"/>
              </w:rPr>
              <w:t>(1)(4)</w:t>
            </w:r>
          </w:p>
        </w:tc>
      </w:tr>
      <w:tr>
        <w:trPr>
          <w:trHeight w:val="210"/>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Head of Research and Development</w:t>
            </w:r>
          </w:p>
        </w:tc>
        <w:tc>
          <w:tcPr>
            <w:tcW w:w="200" w:type="dxa"/>
            <w:vAlign w:val="bottom"/>
            <w:tcBorders>
              <w:right w:val="single" w:sz="8" w:color="auto"/>
            </w:tcBorders>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Chief Executive Officer</w:t>
            </w:r>
          </w:p>
        </w:tc>
      </w:tr>
      <w:tr>
        <w:trPr>
          <w:trHeight w:val="409"/>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Climb Bio, Inc.</w:t>
            </w:r>
            <w:r>
              <w:rPr>
                <w:rFonts w:ascii="Times New Roman" w:cs="Times New Roman" w:eastAsia="Times New Roman" w:hAnsi="Times New Roman"/>
                <w:sz w:val="14"/>
                <w:szCs w:val="14"/>
                <w:color w:val="auto"/>
              </w:rPr>
              <w:t>(3)</w:t>
            </w: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WLAN Holding AG</w:t>
            </w:r>
          </w:p>
        </w:tc>
      </w:tr>
      <w:tr>
        <w:trPr>
          <w:trHeight w:val="212"/>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Chair of the Board of Directors</w:t>
            </w:r>
          </w:p>
        </w:tc>
        <w:tc>
          <w:tcPr>
            <w:tcW w:w="200" w:type="dxa"/>
            <w:vAlign w:val="bottom"/>
            <w:tcBorders>
              <w:right w:val="single" w:sz="8" w:color="auto"/>
            </w:tcBorders>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Managing Director</w:t>
            </w:r>
          </w:p>
        </w:tc>
      </w:tr>
      <w:tr>
        <w:trPr>
          <w:trHeight w:val="397"/>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TriArm Therapeutics</w:t>
            </w:r>
            <w:r>
              <w:rPr>
                <w:rFonts w:ascii="Times New Roman" w:cs="Times New Roman" w:eastAsia="Times New Roman" w:hAnsi="Times New Roman"/>
                <w:sz w:val="24"/>
                <w:szCs w:val="24"/>
                <w:color w:val="auto"/>
                <w:vertAlign w:val="superscript"/>
              </w:rPr>
              <w:t>(3)</w:t>
            </w: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Proxygen GmbH</w:t>
            </w:r>
            <w:r>
              <w:rPr>
                <w:rFonts w:ascii="Times New Roman" w:cs="Times New Roman" w:eastAsia="Times New Roman" w:hAnsi="Times New Roman"/>
                <w:sz w:val="24"/>
                <w:szCs w:val="24"/>
                <w:color w:val="auto"/>
                <w:vertAlign w:val="superscript"/>
              </w:rPr>
              <w:t>(5)</w:t>
            </w:r>
          </w:p>
        </w:tc>
      </w:tr>
      <w:tr>
        <w:trPr>
          <w:trHeight w:val="237"/>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200" w:type="dxa"/>
            <w:vAlign w:val="bottom"/>
            <w:tcBorders>
              <w:right w:val="single" w:sz="8" w:color="auto"/>
            </w:tcBorders>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Chair of the Board of Directors</w:t>
            </w:r>
          </w:p>
        </w:tc>
      </w:tr>
      <w:tr>
        <w:trPr>
          <w:trHeight w:val="384"/>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Stablix, Inc.</w:t>
            </w: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HAL Allergy B.V.</w:t>
            </w:r>
            <w:r>
              <w:rPr>
                <w:rFonts w:ascii="Times New Roman" w:cs="Times New Roman" w:eastAsia="Times New Roman" w:hAnsi="Times New Roman"/>
                <w:sz w:val="24"/>
                <w:szCs w:val="24"/>
                <w:color w:val="auto"/>
                <w:vertAlign w:val="superscript"/>
              </w:rPr>
              <w:t>(6)</w:t>
            </w:r>
          </w:p>
        </w:tc>
      </w:tr>
      <w:tr>
        <w:trPr>
          <w:trHeight w:val="224"/>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200" w:type="dxa"/>
            <w:vAlign w:val="bottom"/>
            <w:tcBorders>
              <w:right w:val="single" w:sz="8" w:color="auto"/>
            </w:tcBorders>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Chair of the Supervisory Board</w:t>
            </w:r>
          </w:p>
        </w:tc>
      </w:tr>
      <w:tr>
        <w:trPr>
          <w:trHeight w:val="397"/>
        </w:trPr>
        <w:tc>
          <w:tcPr>
            <w:tcW w:w="2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Soravia GmbH</w:t>
            </w:r>
          </w:p>
        </w:tc>
      </w:tr>
      <w:tr>
        <w:trPr>
          <w:trHeight w:val="210"/>
        </w:trPr>
        <w:tc>
          <w:tcPr>
            <w:tcW w:w="2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Member of the Board of Directors</w:t>
            </w:r>
          </w:p>
        </w:tc>
      </w:tr>
      <w:tr>
        <w:trPr>
          <w:trHeight w:val="411"/>
        </w:trPr>
        <w:tc>
          <w:tcPr>
            <w:tcW w:w="2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Cerabyte GmbH</w:t>
            </w:r>
            <w:r>
              <w:rPr>
                <w:rFonts w:ascii="Times New Roman" w:cs="Times New Roman" w:eastAsia="Times New Roman" w:hAnsi="Times New Roman"/>
                <w:sz w:val="24"/>
                <w:szCs w:val="24"/>
                <w:color w:val="auto"/>
                <w:vertAlign w:val="superscript"/>
              </w:rPr>
              <w:t>(7)</w:t>
            </w:r>
          </w:p>
        </w:tc>
      </w:tr>
      <w:tr>
        <w:trPr>
          <w:trHeight w:val="210"/>
        </w:trPr>
        <w:tc>
          <w:tcPr>
            <w:tcW w:w="2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Member of the Board of Directors</w:t>
            </w:r>
          </w:p>
        </w:tc>
      </w:tr>
      <w:tr>
        <w:trPr>
          <w:trHeight w:val="222"/>
        </w:trPr>
        <w:tc>
          <w:tcPr>
            <w:tcW w:w="24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r>
      <w:tr>
        <w:trPr>
          <w:trHeight w:val="119"/>
        </w:trPr>
        <w:tc>
          <w:tcPr>
            <w:tcW w:w="24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w w:val="93"/>
              </w:rPr>
              <w:t>(1)</w:t>
            </w:r>
          </w:p>
        </w:tc>
        <w:tc>
          <w:tcPr>
            <w:tcW w:w="42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Listed company</w:t>
            </w:r>
          </w:p>
        </w:tc>
        <w:tc>
          <w:tcPr>
            <w:tcW w:w="4680" w:type="dxa"/>
            <w:vAlign w:val="bottom"/>
          </w:tcPr>
          <w:p>
            <w:pPr>
              <w:spacing w:after="0"/>
              <w:rPr>
                <w:sz w:val="10"/>
                <w:szCs w:val="10"/>
                <w:color w:val="auto"/>
              </w:rPr>
            </w:pPr>
          </w:p>
        </w:tc>
      </w:tr>
      <w:tr>
        <w:trPr>
          <w:trHeight w:val="149"/>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(2)</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Until April 2024</w:t>
            </w:r>
          </w:p>
        </w:tc>
        <w:tc>
          <w:tcPr>
            <w:tcW w:w="4680" w:type="dxa"/>
            <w:vAlign w:val="bottom"/>
          </w:tcPr>
          <w:p>
            <w:pPr>
              <w:spacing w:after="0"/>
              <w:rPr>
                <w:sz w:val="12"/>
                <w:szCs w:val="12"/>
                <w:color w:val="auto"/>
              </w:rPr>
            </w:pPr>
          </w:p>
        </w:tc>
      </w:tr>
      <w:tr>
        <w:trPr>
          <w:trHeight w:val="148"/>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(3)</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November 2024</w:t>
            </w:r>
          </w:p>
        </w:tc>
        <w:tc>
          <w:tcPr>
            <w:tcW w:w="4680" w:type="dxa"/>
            <w:vAlign w:val="bottom"/>
          </w:tcPr>
          <w:p>
            <w:pPr>
              <w:spacing w:after="0"/>
              <w:rPr>
                <w:sz w:val="12"/>
                <w:szCs w:val="12"/>
                <w:color w:val="auto"/>
              </w:rPr>
            </w:pPr>
          </w:p>
        </w:tc>
      </w:tr>
      <w:tr>
        <w:trPr>
          <w:trHeight w:val="149"/>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(4)</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Until January 2024</w:t>
            </w:r>
          </w:p>
        </w:tc>
        <w:tc>
          <w:tcPr>
            <w:tcW w:w="4680" w:type="dxa"/>
            <w:vAlign w:val="bottom"/>
          </w:tcPr>
          <w:p>
            <w:pPr>
              <w:spacing w:after="0"/>
              <w:rPr>
                <w:sz w:val="12"/>
                <w:szCs w:val="12"/>
                <w:color w:val="auto"/>
              </w:rPr>
            </w:pPr>
          </w:p>
        </w:tc>
      </w:tr>
      <w:tr>
        <w:trPr>
          <w:trHeight w:val="148"/>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(5)</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June 2024</w:t>
            </w:r>
          </w:p>
        </w:tc>
        <w:tc>
          <w:tcPr>
            <w:tcW w:w="4680" w:type="dxa"/>
            <w:vAlign w:val="bottom"/>
          </w:tcPr>
          <w:p>
            <w:pPr>
              <w:spacing w:after="0"/>
              <w:rPr>
                <w:sz w:val="12"/>
                <w:szCs w:val="12"/>
                <w:color w:val="auto"/>
              </w:rPr>
            </w:pPr>
          </w:p>
        </w:tc>
      </w:tr>
      <w:tr>
        <w:trPr>
          <w:trHeight w:val="149"/>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(6)</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December 2024</w:t>
            </w:r>
          </w:p>
        </w:tc>
        <w:tc>
          <w:tcPr>
            <w:tcW w:w="4680" w:type="dxa"/>
            <w:vAlign w:val="bottom"/>
          </w:tcPr>
          <w:p>
            <w:pPr>
              <w:spacing w:after="0"/>
              <w:rPr>
                <w:sz w:val="12"/>
                <w:szCs w:val="12"/>
                <w:color w:val="auto"/>
              </w:rPr>
            </w:pPr>
          </w:p>
        </w:tc>
      </w:tr>
      <w:tr>
        <w:trPr>
          <w:trHeight w:val="148"/>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(7)</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May 2024</w:t>
            </w:r>
          </w:p>
        </w:tc>
        <w:tc>
          <w:tcPr>
            <w:tcW w:w="4680" w:type="dxa"/>
            <w:vAlign w:val="bottom"/>
          </w:tcPr>
          <w:p>
            <w:pPr>
              <w:spacing w:after="0"/>
              <w:rPr>
                <w:sz w:val="12"/>
                <w:szCs w:val="12"/>
                <w:color w:val="auto"/>
              </w:rPr>
            </w:pPr>
          </w:p>
        </w:tc>
      </w:tr>
      <w:tr>
        <w:trPr>
          <w:trHeight w:val="148"/>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(8)</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From July 2024</w:t>
            </w:r>
          </w:p>
        </w:tc>
        <w:tc>
          <w:tcPr>
            <w:tcW w:w="4680" w:type="dxa"/>
            <w:vAlign w:val="bottom"/>
          </w:tcPr>
          <w:p>
            <w:pPr>
              <w:spacing w:after="0"/>
              <w:rPr>
                <w:sz w:val="12"/>
                <w:szCs w:val="12"/>
                <w:color w:val="auto"/>
              </w:rPr>
            </w:pPr>
          </w:p>
        </w:tc>
      </w:tr>
      <w:tr>
        <w:trPr>
          <w:trHeight w:val="149"/>
        </w:trPr>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3"/>
              </w:rPr>
              <w:t>(9)</w:t>
            </w:r>
          </w:p>
        </w:tc>
        <w:tc>
          <w:tcPr>
            <w:tcW w:w="4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Tracked until departure from AC Immune’s board on 19 June 2025</w:t>
            </w:r>
          </w:p>
        </w:tc>
        <w:tc>
          <w:tcPr>
            <w:tcW w:w="4680" w:type="dxa"/>
            <w:vAlign w:val="bottom"/>
          </w:tcPr>
          <w:p>
            <w:pPr>
              <w:spacing w:after="0"/>
              <w:rPr>
                <w:sz w:val="12"/>
                <w:szCs w:val="12"/>
                <w:color w:val="auto"/>
              </w:rPr>
            </w:pPr>
          </w:p>
        </w:tc>
      </w:tr>
      <w:tr>
        <w:trPr>
          <w:trHeight w:val="148"/>
        </w:trPr>
        <w:tc>
          <w:tcPr>
            <w:tcW w:w="44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(10) </w:t>
            </w:r>
            <w:r>
              <w:rPr>
                <w:rFonts w:ascii="Times New Roman" w:cs="Times New Roman" w:eastAsia="Times New Roman" w:hAnsi="Times New Roman"/>
                <w:sz w:val="14"/>
                <w:szCs w:val="14"/>
                <w:color w:val="auto"/>
              </w:rPr>
              <w:t>From May 2025</w:t>
            </w:r>
          </w:p>
        </w:tc>
        <w:tc>
          <w:tcPr>
            <w:tcW w:w="4680" w:type="dxa"/>
            <w:vAlign w:val="bottom"/>
          </w:tcPr>
          <w:p>
            <w:pPr>
              <w:spacing w:after="0"/>
              <w:rPr>
                <w:sz w:val="12"/>
                <w:szCs w:val="12"/>
                <w:color w:val="auto"/>
              </w:rPr>
            </w:pPr>
          </w:p>
        </w:tc>
      </w:tr>
      <w:tr>
        <w:trPr>
          <w:trHeight w:val="148"/>
        </w:trPr>
        <w:tc>
          <w:tcPr>
            <w:tcW w:w="44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(11) </w:t>
            </w:r>
            <w:r>
              <w:rPr>
                <w:rFonts w:ascii="Times New Roman" w:cs="Times New Roman" w:eastAsia="Times New Roman" w:hAnsi="Times New Roman"/>
                <w:sz w:val="14"/>
                <w:szCs w:val="14"/>
                <w:color w:val="auto"/>
              </w:rPr>
              <w:t>From March 2025, before Member of the Compensation Committee</w:t>
            </w:r>
          </w:p>
        </w:tc>
        <w:tc>
          <w:tcPr>
            <w:tcW w:w="4680" w:type="dxa"/>
            <w:vAlign w:val="bottom"/>
          </w:tcPr>
          <w:p>
            <w:pPr>
              <w:spacing w:after="0"/>
              <w:rPr>
                <w:sz w:val="12"/>
                <w:szCs w:val="12"/>
                <w:color w:val="auto"/>
              </w:rPr>
            </w:pPr>
          </w:p>
        </w:tc>
      </w:tr>
      <w:tr>
        <w:trPr>
          <w:trHeight w:val="149"/>
        </w:trPr>
        <w:tc>
          <w:tcPr>
            <w:tcW w:w="44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(12) </w:t>
            </w:r>
            <w:r>
              <w:rPr>
                <w:rFonts w:ascii="Times New Roman" w:cs="Times New Roman" w:eastAsia="Times New Roman" w:hAnsi="Times New Roman"/>
                <w:sz w:val="14"/>
                <w:szCs w:val="14"/>
                <w:color w:val="auto"/>
              </w:rPr>
              <w:t>Until March 2025</w:t>
            </w:r>
          </w:p>
        </w:tc>
        <w:tc>
          <w:tcPr>
            <w:tcW w:w="4680" w:type="dxa"/>
            <w:vAlign w:val="bottom"/>
          </w:tcPr>
          <w:p>
            <w:pPr>
              <w:spacing w:after="0"/>
              <w:rPr>
                <w:sz w:val="12"/>
                <w:szCs w:val="12"/>
                <w:color w:val="auto"/>
              </w:rPr>
            </w:pPr>
          </w:p>
        </w:tc>
      </w:tr>
      <w:tr>
        <w:trPr>
          <w:trHeight w:val="171"/>
        </w:trPr>
        <w:tc>
          <w:tcPr>
            <w:tcW w:w="44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color w:val="auto"/>
              </w:rPr>
              <w:t xml:space="preserve">(13) </w:t>
            </w:r>
            <w:r>
              <w:rPr>
                <w:rFonts w:ascii="Times New Roman" w:cs="Times New Roman" w:eastAsia="Times New Roman" w:hAnsi="Times New Roman"/>
                <w:sz w:val="14"/>
                <w:szCs w:val="14"/>
                <w:color w:val="auto"/>
              </w:rPr>
              <w:t>From September 2025</w:t>
            </w:r>
          </w:p>
        </w:tc>
        <w:tc>
          <w:tcPr>
            <w:tcW w:w="4680" w:type="dxa"/>
            <w:vAlign w:val="bottom"/>
            <w:tcBorders>
              <w:bottom w:val="single" w:sz="8" w:color="auto"/>
            </w:tcBorders>
          </w:tcPr>
          <w:p>
            <w:pPr>
              <w:spacing w:after="0"/>
              <w:rPr>
                <w:sz w:val="14"/>
                <w:szCs w:val="14"/>
                <w:color w:val="auto"/>
              </w:rPr>
            </w:pPr>
          </w:p>
        </w:tc>
      </w:tr>
      <w:tr>
        <w:trPr>
          <w:trHeight w:val="237"/>
        </w:trPr>
        <w:tc>
          <w:tcPr>
            <w:tcW w:w="42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Executive Management Members</w:t>
            </w:r>
          </w:p>
        </w:tc>
        <w:tc>
          <w:tcPr>
            <w:tcW w:w="200" w:type="dxa"/>
            <w:vAlign w:val="bottom"/>
            <w:tcBorders>
              <w:bottom w:val="single" w:sz="8" w:color="auto"/>
              <w:right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r>
      <w:tr>
        <w:trPr>
          <w:trHeight w:val="206"/>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Andrea Pfeifer, Ph.D.</w:t>
            </w:r>
          </w:p>
        </w:tc>
        <w:tc>
          <w:tcPr>
            <w:tcW w:w="200" w:type="dxa"/>
            <w:vAlign w:val="bottom"/>
            <w:tcBorders>
              <w:right w:val="single" w:sz="8" w:color="auto"/>
            </w:tcBorders>
          </w:tcPr>
          <w:p>
            <w:pPr>
              <w:spacing w:after="0"/>
              <w:rPr>
                <w:sz w:val="17"/>
                <w:szCs w:val="17"/>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Christopher Roberts</w:t>
            </w:r>
          </w:p>
        </w:tc>
      </w:tr>
      <w:tr>
        <w:trPr>
          <w:trHeight w:val="341"/>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BioMedInvest AG II (in Liquidation)</w:t>
            </w:r>
          </w:p>
        </w:tc>
        <w:tc>
          <w:tcPr>
            <w:tcW w:w="200" w:type="dxa"/>
            <w:vAlign w:val="bottom"/>
            <w:tcBorders>
              <w:right w:val="single" w:sz="8" w:color="auto"/>
            </w:tcBorders>
          </w:tcPr>
          <w:p>
            <w:pPr>
              <w:spacing w:after="0"/>
              <w:rPr>
                <w:sz w:val="24"/>
                <w:szCs w:val="24"/>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Msizi Africa</w:t>
            </w:r>
          </w:p>
        </w:tc>
      </w:tr>
      <w:tr>
        <w:trPr>
          <w:trHeight w:val="237"/>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200" w:type="dxa"/>
            <w:vAlign w:val="bottom"/>
            <w:tcBorders>
              <w:right w:val="single" w:sz="8" w:color="auto"/>
            </w:tcBorders>
          </w:tcPr>
          <w:p>
            <w:pPr>
              <w:spacing w:after="0"/>
              <w:rPr>
                <w:sz w:val="20"/>
                <w:szCs w:val="20"/>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Trustee and Treasurer</w:t>
            </w:r>
          </w:p>
        </w:tc>
      </w:tr>
      <w:tr>
        <w:trPr>
          <w:trHeight w:val="397"/>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AB2 Bio AG</w:t>
            </w:r>
          </w:p>
        </w:tc>
        <w:tc>
          <w:tcPr>
            <w:tcW w:w="200" w:type="dxa"/>
            <w:vAlign w:val="bottom"/>
            <w:tcBorders>
              <w:right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210"/>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Chair of the Board of Directors</w:t>
            </w:r>
          </w:p>
        </w:tc>
        <w:tc>
          <w:tcPr>
            <w:tcW w:w="200" w:type="dxa"/>
            <w:vAlign w:val="bottom"/>
            <w:tcBorders>
              <w:right w:val="single" w:sz="8" w:color="auto"/>
            </w:tcBorders>
          </w:tcPr>
          <w:p>
            <w:pPr>
              <w:spacing w:after="0"/>
              <w:rPr>
                <w:sz w:val="18"/>
                <w:szCs w:val="18"/>
                <w:color w:val="auto"/>
              </w:rPr>
            </w:pPr>
          </w:p>
        </w:tc>
        <w:tc>
          <w:tcPr>
            <w:tcW w:w="4680" w:type="dxa"/>
            <w:vAlign w:val="bottom"/>
          </w:tcPr>
          <w:p>
            <w:pPr>
              <w:spacing w:after="0"/>
              <w:rPr>
                <w:sz w:val="18"/>
                <w:szCs w:val="18"/>
                <w:color w:val="auto"/>
              </w:rPr>
            </w:pPr>
          </w:p>
        </w:tc>
      </w:tr>
      <w:tr>
        <w:trPr>
          <w:trHeight w:val="411"/>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Symrise AG</w:t>
            </w:r>
            <w:r>
              <w:rPr>
                <w:rFonts w:ascii="Times New Roman" w:cs="Times New Roman" w:eastAsia="Times New Roman" w:hAnsi="Times New Roman"/>
                <w:sz w:val="14"/>
                <w:szCs w:val="14"/>
                <w:color w:val="auto"/>
              </w:rPr>
              <w:t>(1)</w:t>
            </w:r>
          </w:p>
        </w:tc>
        <w:tc>
          <w:tcPr>
            <w:tcW w:w="200" w:type="dxa"/>
            <w:vAlign w:val="bottom"/>
            <w:tcBorders>
              <w:right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210"/>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Member of the Supervisory Board</w:t>
            </w:r>
          </w:p>
        </w:tc>
        <w:tc>
          <w:tcPr>
            <w:tcW w:w="200" w:type="dxa"/>
            <w:vAlign w:val="bottom"/>
            <w:tcBorders>
              <w:right w:val="single" w:sz="8" w:color="auto"/>
            </w:tcBorders>
          </w:tcPr>
          <w:p>
            <w:pPr>
              <w:spacing w:after="0"/>
              <w:rPr>
                <w:sz w:val="18"/>
                <w:szCs w:val="18"/>
                <w:color w:val="auto"/>
              </w:rPr>
            </w:pPr>
          </w:p>
        </w:tc>
        <w:tc>
          <w:tcPr>
            <w:tcW w:w="4680" w:type="dxa"/>
            <w:vAlign w:val="bottom"/>
          </w:tcPr>
          <w:p>
            <w:pPr>
              <w:spacing w:after="0"/>
              <w:rPr>
                <w:sz w:val="18"/>
                <w:szCs w:val="18"/>
                <w:color w:val="auto"/>
              </w:rPr>
            </w:pPr>
          </w:p>
        </w:tc>
      </w:tr>
      <w:tr>
        <w:trPr>
          <w:trHeight w:val="411"/>
        </w:trPr>
        <w:tc>
          <w:tcPr>
            <w:tcW w:w="42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E.M.S. Electro Medical Systems S.A.</w:t>
            </w:r>
          </w:p>
        </w:tc>
        <w:tc>
          <w:tcPr>
            <w:tcW w:w="200" w:type="dxa"/>
            <w:vAlign w:val="bottom"/>
            <w:tcBorders>
              <w:right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r>
        <w:trPr>
          <w:trHeight w:val="213"/>
        </w:trPr>
        <w:tc>
          <w:tcPr>
            <w:tcW w:w="42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Member of the Board of Directors</w:t>
            </w:r>
          </w:p>
        </w:tc>
        <w:tc>
          <w:tcPr>
            <w:tcW w:w="200" w:type="dxa"/>
            <w:vAlign w:val="bottom"/>
            <w:tcBorders>
              <w:bottom w:val="single" w:sz="8" w:color="auto"/>
              <w:right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4F81BD"/>
        </w:rPr>
        <w:t>Compensation Philosophy, Principles and Governance</w:t>
      </w:r>
    </w:p>
    <w:p>
      <w:pPr>
        <w:spacing w:after="0" w:line="44"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19"/>
          <w:szCs w:val="19"/>
          <w:color w:val="auto"/>
        </w:rPr>
        <w:t>AC Immune SA is a clinical-stage biopharmaceutical company leveraging our proprietary technology platforms to discover, design and develop novel proprietary medicines and diagnostics for prevention and treatment of neuro 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as well as downstream pathways such as chronic neuroinflammation triggered by aggregates of these misfolded proteins. Our corporate strategy is founded upon multiple pillars including a) Active Immunotherapies that target (i) Abeta and</w:t>
      </w:r>
    </w:p>
    <w:p>
      <w:pPr>
        <w:spacing w:after="0" w:line="4" w:lineRule="exact"/>
        <w:rPr>
          <w:sz w:val="20"/>
          <w:szCs w:val="20"/>
          <w:color w:val="auto"/>
        </w:rPr>
      </w:pPr>
    </w:p>
    <w:p>
      <w:pPr>
        <w:jc w:val="both"/>
        <w:ind w:left="180" w:hanging="8"/>
        <w:spacing w:after="0" w:line="303" w:lineRule="auto"/>
        <w:tabs>
          <w:tab w:leader="none" w:pos="47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phosphorylated Tau to treat and ultimately prevent Alzheimer’s disease, and (iii) a-syn for Parkinson’s disease; and b) Intracellular Targeting to address these and other NDD indications using small molecules. We use our proprietary platform technologies, including SupraAntigen® (conformation-specific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455930</wp:posOffset>
            </wp:positionV>
            <wp:extent cx="5812155" cy="2603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32" w:lineRule="exact"/>
        <w:rPr>
          <w:sz w:val="20"/>
          <w:szCs w:val="20"/>
          <w:color w:val="auto"/>
        </w:rPr>
      </w:pPr>
    </w:p>
    <w:p>
      <w:pPr>
        <w:jc w:val="both"/>
        <w:ind w:left="180"/>
        <w:spacing w:after="0" w:line="311" w:lineRule="auto"/>
        <w:rPr>
          <w:sz w:val="20"/>
          <w:szCs w:val="20"/>
          <w:color w:val="auto"/>
        </w:rPr>
      </w:pPr>
      <w:r>
        <w:rPr>
          <w:rFonts w:ascii="Times New Roman" w:cs="Times New Roman" w:eastAsia="Times New Roman" w:hAnsi="Times New Roman"/>
          <w:sz w:val="20"/>
          <w:szCs w:val="20"/>
          <w:color w:val="auto"/>
        </w:rPr>
        <w:t>biologics including Active Immunotherapies) and Morphomer® (conformation-specific small molecules), to discover, design and develop novel medicines and diagnostics for targeted applications against NDD.</w:t>
      </w:r>
    </w:p>
    <w:p>
      <w:pPr>
        <w:spacing w:after="0" w:line="200" w:lineRule="exact"/>
        <w:rPr>
          <w:sz w:val="20"/>
          <w:szCs w:val="20"/>
          <w:color w:val="auto"/>
        </w:rPr>
      </w:pPr>
    </w:p>
    <w:p>
      <w:pPr>
        <w:spacing w:after="0" w:line="284" w:lineRule="exact"/>
        <w:rPr>
          <w:sz w:val="20"/>
          <w:szCs w:val="20"/>
          <w:color w:val="auto"/>
        </w:rPr>
      </w:pPr>
    </w:p>
    <w:p>
      <w:pPr>
        <w:jc w:val="both"/>
        <w:ind w:left="180"/>
        <w:spacing w:after="0" w:line="287" w:lineRule="auto"/>
        <w:rPr>
          <w:sz w:val="20"/>
          <w:szCs w:val="20"/>
          <w:color w:val="auto"/>
        </w:rPr>
      </w:pPr>
      <w:r>
        <w:rPr>
          <w:rFonts w:ascii="Times New Roman" w:cs="Times New Roman" w:eastAsia="Times New Roman" w:hAnsi="Times New Roman"/>
          <w:sz w:val="20"/>
          <w:szCs w:val="20"/>
          <w:color w:val="auto"/>
        </w:rPr>
        <w:t>AC Immune's compensation philosophy is intended to attract, motivate, and retain the best talent to achieve the Company’s strategic goals and deliverables. We ensure an equitable and competitive total compensation package. The Board believes that through combining short and long-term incentives, we align the interests of the members of the Board and Executive Management with the interests of the Company and its shareholders. Incentive compensation elements are focused on rewarding outstanding and sustainable results, as well as the demonstration of exceptional leadership, and high-quality governance standards.</w:t>
      </w:r>
    </w:p>
    <w:p>
      <w:pPr>
        <w:spacing w:after="0" w:line="240" w:lineRule="exact"/>
        <w:rPr>
          <w:sz w:val="20"/>
          <w:szCs w:val="20"/>
          <w:color w:val="auto"/>
        </w:rPr>
      </w:pPr>
    </w:p>
    <w:p>
      <w:pPr>
        <w:jc w:val="both"/>
        <w:ind w:left="180"/>
        <w:spacing w:after="0" w:line="292" w:lineRule="auto"/>
        <w:rPr>
          <w:sz w:val="20"/>
          <w:szCs w:val="20"/>
          <w:color w:val="auto"/>
        </w:rPr>
      </w:pPr>
      <w:r>
        <w:rPr>
          <w:rFonts w:ascii="Times New Roman" w:cs="Times New Roman" w:eastAsia="Times New Roman" w:hAnsi="Times New Roman"/>
          <w:sz w:val="20"/>
          <w:szCs w:val="20"/>
          <w:color w:val="auto"/>
        </w:rPr>
        <w:t>In 2024 and 2023, the Company engaged a prominent remuneration expert advisory practice to analyse the compensation levels and structure for the members of the Board and Executive Management. The analysis included compensation data of comparable biopharmaceutical organisations, including companies based in Europe and the US. The Board of Directors concluded that compensation adjustments were appropriate for AC Immune to remain a competitive employer of high-quality executive, as well as board talent.</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Method of Determining Compensation</w:t>
      </w: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The Role and Powers of the Compensation, Nomination and Governance Committee (“CNC”)</w:t>
      </w:r>
    </w:p>
    <w:p>
      <w:pPr>
        <w:spacing w:after="0" w:line="44" w:lineRule="exact"/>
        <w:rPr>
          <w:sz w:val="20"/>
          <w:szCs w:val="20"/>
          <w:color w:val="auto"/>
        </w:rPr>
      </w:pPr>
    </w:p>
    <w:p>
      <w:pPr>
        <w:jc w:val="both"/>
        <w:ind w:left="180"/>
        <w:spacing w:after="0" w:line="291" w:lineRule="auto"/>
        <w:rPr>
          <w:sz w:val="20"/>
          <w:szCs w:val="20"/>
          <w:color w:val="auto"/>
        </w:rPr>
      </w:pPr>
      <w:r>
        <w:rPr>
          <w:rFonts w:ascii="Times New Roman" w:cs="Times New Roman" w:eastAsia="Times New Roman" w:hAnsi="Times New Roman"/>
          <w:sz w:val="20"/>
          <w:szCs w:val="20"/>
          <w:color w:val="auto"/>
        </w:rPr>
        <w:t>The CNC consists of three members, who are appointed at the Annual General Meeting. In the case of vacancies during the term of office, the Board of Director’s may appoint substitutes from amongst its members. The committee enacts its own charter, with certain duties described in Articles 28, 32 - 41 of the Articles of Association of AC Immune.</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44061"/>
        </w:rPr>
        <w:t>Compensation Guidelines:</w:t>
      </w:r>
    </w:p>
    <w:p>
      <w:pPr>
        <w:spacing w:after="0" w:line="54" w:lineRule="exact"/>
        <w:rPr>
          <w:sz w:val="20"/>
          <w:szCs w:val="20"/>
          <w:color w:val="auto"/>
        </w:rPr>
      </w:pPr>
    </w:p>
    <w:p>
      <w:pPr>
        <w:jc w:val="both"/>
        <w:ind w:left="180"/>
        <w:spacing w:after="0" w:line="311" w:lineRule="auto"/>
        <w:rPr>
          <w:sz w:val="20"/>
          <w:szCs w:val="20"/>
          <w:color w:val="auto"/>
        </w:rPr>
      </w:pPr>
      <w:r>
        <w:rPr>
          <w:rFonts w:ascii="Times New Roman" w:cs="Times New Roman" w:eastAsia="Times New Roman" w:hAnsi="Times New Roman"/>
          <w:sz w:val="20"/>
          <w:szCs w:val="20"/>
          <w:color w:val="auto"/>
        </w:rPr>
        <w:t>The CNC recommends compensation guidelines for the members of the Board of Directors, the CEO, and the Executive Management, and submits these recommendations to the Board of Directors for approval.</w:t>
      </w:r>
    </w:p>
    <w:p>
      <w:pPr>
        <w:spacing w:after="0" w:line="214" w:lineRule="exact"/>
        <w:rPr>
          <w:sz w:val="20"/>
          <w:szCs w:val="20"/>
          <w:color w:val="auto"/>
        </w:rPr>
      </w:pPr>
    </w:p>
    <w:p>
      <w:pPr>
        <w:jc w:val="both"/>
        <w:ind w:left="180"/>
        <w:spacing w:after="0" w:line="281" w:lineRule="auto"/>
        <w:rPr>
          <w:sz w:val="20"/>
          <w:szCs w:val="20"/>
          <w:color w:val="auto"/>
        </w:rPr>
      </w:pPr>
      <w:r>
        <w:rPr>
          <w:rFonts w:ascii="Times New Roman" w:cs="Times New Roman" w:eastAsia="Times New Roman" w:hAnsi="Times New Roman"/>
          <w:sz w:val="20"/>
          <w:szCs w:val="20"/>
          <w:color w:val="auto"/>
        </w:rPr>
        <w:t>The CNC provides an overall package for near- and long-term compensation, including variable compensation, which;</w:t>
      </w:r>
    </w:p>
    <w:p>
      <w:pPr>
        <w:spacing w:after="0" w:line="1" w:lineRule="exact"/>
        <w:rPr>
          <w:sz w:val="20"/>
          <w:szCs w:val="20"/>
          <w:color w:val="auto"/>
        </w:rPr>
      </w:pPr>
    </w:p>
    <w:p>
      <w:pPr>
        <w:ind w:left="500" w:hanging="328"/>
        <w:spacing w:after="0"/>
        <w:tabs>
          <w:tab w:leader="none" w:pos="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intended to attract, motivate, and retain talented people with the necessary competencies;</w:t>
      </w:r>
    </w:p>
    <w:p>
      <w:pPr>
        <w:spacing w:after="0" w:line="40" w:lineRule="exact"/>
        <w:rPr>
          <w:rFonts w:ascii="Times New Roman" w:cs="Times New Roman" w:eastAsia="Times New Roman" w:hAnsi="Times New Roman"/>
          <w:sz w:val="20"/>
          <w:szCs w:val="20"/>
          <w:color w:val="auto"/>
        </w:rPr>
      </w:pPr>
    </w:p>
    <w:p>
      <w:pPr>
        <w:ind w:left="500" w:right="20" w:hanging="328"/>
        <w:spacing w:after="0" w:line="281" w:lineRule="auto"/>
        <w:tabs>
          <w:tab w:leader="none" w:pos="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consistent with market conditions, and in the case of variable compensation, consistent with the Company’s and individual’s performance, and;</w:t>
      </w:r>
    </w:p>
    <w:p>
      <w:pPr>
        <w:spacing w:after="0" w:line="1" w:lineRule="exact"/>
        <w:rPr>
          <w:rFonts w:ascii="Times New Roman" w:cs="Times New Roman" w:eastAsia="Times New Roman" w:hAnsi="Times New Roman"/>
          <w:sz w:val="20"/>
          <w:szCs w:val="20"/>
          <w:color w:val="auto"/>
        </w:rPr>
      </w:pPr>
    </w:p>
    <w:p>
      <w:pPr>
        <w:jc w:val="both"/>
        <w:ind w:left="500" w:hanging="328"/>
        <w:spacing w:after="0" w:line="296" w:lineRule="auto"/>
        <w:tabs>
          <w:tab w:leader="none" w:pos="5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Aligns the interests of the Board of Directors members and the Executive Management with the Company's interests. The CNC also periodically reviews the compensation policies for employees who are outside the Executive Management.</w:t>
      </w:r>
    </w:p>
    <w:p>
      <w:pPr>
        <w:spacing w:after="0" w:line="229" w:lineRule="exact"/>
        <w:rPr>
          <w:sz w:val="20"/>
          <w:szCs w:val="20"/>
          <w:color w:val="auto"/>
        </w:rPr>
      </w:pPr>
    </w:p>
    <w:p>
      <w:pPr>
        <w:jc w:val="both"/>
        <w:ind w:left="180"/>
        <w:spacing w:after="0" w:line="311" w:lineRule="auto"/>
        <w:rPr>
          <w:sz w:val="20"/>
          <w:szCs w:val="20"/>
          <w:color w:val="auto"/>
        </w:rPr>
      </w:pPr>
      <w:r>
        <w:rPr>
          <w:rFonts w:ascii="Times New Roman" w:cs="Times New Roman" w:eastAsia="Times New Roman" w:hAnsi="Times New Roman"/>
          <w:sz w:val="20"/>
          <w:szCs w:val="20"/>
          <w:color w:val="auto"/>
        </w:rPr>
        <w:t>The CNC meets at least four times per year and informs the Board of Directors of its recommendations and decisions after each meeting.</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Approval of Compensation during the Annual General Meeting (AGM)</w:t>
      </w:r>
    </w:p>
    <w:p>
      <w:pPr>
        <w:spacing w:after="0" w:line="44" w:lineRule="exact"/>
        <w:rPr>
          <w:sz w:val="20"/>
          <w:szCs w:val="20"/>
          <w:color w:val="auto"/>
        </w:rPr>
      </w:pPr>
    </w:p>
    <w:p>
      <w:pPr>
        <w:jc w:val="both"/>
        <w:ind w:left="180" w:right="20"/>
        <w:spacing w:after="0" w:line="296" w:lineRule="auto"/>
        <w:rPr>
          <w:sz w:val="20"/>
          <w:szCs w:val="20"/>
          <w:color w:val="auto"/>
        </w:rPr>
      </w:pPr>
      <w:r>
        <w:rPr>
          <w:rFonts w:ascii="Times New Roman" w:cs="Times New Roman" w:eastAsia="Times New Roman" w:hAnsi="Times New Roman"/>
          <w:sz w:val="20"/>
          <w:szCs w:val="20"/>
          <w:color w:val="auto"/>
        </w:rPr>
        <w:t>Swiss law requires a binding approval of the maximum compensation for the Board and the Executive Management. Under the current system, approved by the shareholders on 25 June 2021 and effective from the annual shareholder meeting held on 24 June 2022, shareholders approve annually and separately the proposals of the Board of Directors in relation to the maximum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631190</wp:posOffset>
            </wp:positionV>
            <wp:extent cx="5812155" cy="2540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32" w:lineRule="exact"/>
        <w:rPr>
          <w:sz w:val="20"/>
          <w:szCs w:val="20"/>
          <w:color w:val="auto"/>
        </w:rPr>
      </w:pPr>
    </w:p>
    <w:p>
      <w:pPr>
        <w:ind w:left="500" w:hanging="328"/>
        <w:spacing w:after="0"/>
        <w:tabs>
          <w:tab w:leader="none" w:pos="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of the Board of Directors for the period from the AGM to the next AGM;</w:t>
      </w:r>
    </w:p>
    <w:p>
      <w:pPr>
        <w:spacing w:after="0" w:line="40" w:lineRule="exact"/>
        <w:rPr>
          <w:rFonts w:ascii="Times New Roman" w:cs="Times New Roman" w:eastAsia="Times New Roman" w:hAnsi="Times New Roman"/>
          <w:sz w:val="20"/>
          <w:szCs w:val="20"/>
          <w:color w:val="auto"/>
        </w:rPr>
      </w:pPr>
    </w:p>
    <w:p>
      <w:pPr>
        <w:ind w:left="500" w:hanging="328"/>
        <w:spacing w:after="0"/>
        <w:tabs>
          <w:tab w:leader="none" w:pos="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of the Executive Management for the following financial year.</w:t>
      </w: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This annual Compensation Report is subject to a non-binding, advisory vote at the upcoming AGM.</w:t>
      </w:r>
    </w:p>
    <w:p>
      <w:pPr>
        <w:spacing w:after="0" w:line="310" w:lineRule="exact"/>
        <w:rPr>
          <w:sz w:val="20"/>
          <w:szCs w:val="20"/>
          <w:color w:val="auto"/>
        </w:rPr>
      </w:pPr>
    </w:p>
    <w:p>
      <w:pPr>
        <w:jc w:val="both"/>
        <w:ind w:left="180"/>
        <w:spacing w:after="0" w:line="291" w:lineRule="auto"/>
        <w:rPr>
          <w:sz w:val="20"/>
          <w:szCs w:val="20"/>
          <w:color w:val="auto"/>
        </w:rPr>
      </w:pPr>
      <w:r>
        <w:rPr>
          <w:rFonts w:ascii="Times New Roman" w:cs="Times New Roman" w:eastAsia="Times New Roman" w:hAnsi="Times New Roman"/>
          <w:sz w:val="20"/>
          <w:szCs w:val="20"/>
          <w:color w:val="auto"/>
        </w:rPr>
        <w:t>If the AGM withholds approval for a respective motion by the Board of Directors, the Board of Directors may either submit a new motion at the same meeting or submit a new motion to either an Extraordinary General Meeting (EGM) or at the next AGM for approval. The Company may, subject to the approval by the AGM, remunerate within the framework of the maximum total remuneration.</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Compensation of the Board of Directors</w:t>
      </w:r>
    </w:p>
    <w:p>
      <w:pPr>
        <w:spacing w:after="0" w:line="44"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The CNC reviews and proposes to the Board of Directors the resolution to be submitted to the AGM for the maximum aggregate Board of Director remuneration. The CNC also requests Board of Director approval of individual compensation for members of the Board of Directors.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Annual compensation for members of the Board typically consists of cash compensation and an equity grant.</w:t>
      </w:r>
    </w:p>
    <w:p>
      <w:pPr>
        <w:spacing w:after="0" w:line="310"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Additionally, the Company pays any employer social security contributions due on these amounts. To avoid a short-term corporate goal focus, board members do not receive variable compensation. Furthermore, they do not participate in the Company’s pension plan. Please see the tables on Page 3 for additional information.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Compensation of the Executive Management</w:t>
      </w:r>
    </w:p>
    <w:p>
      <w:pPr>
        <w:spacing w:after="0" w:line="44"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The CNC evaluates the annual performance of the CEO and Executive Management team members and submits the evaluation to the Board of Directors for review and approval, without the CEO or Executive Management team members being present.</w:t>
      </w:r>
    </w:p>
    <w:p>
      <w:pPr>
        <w:spacing w:after="0" w:line="229" w:lineRule="exact"/>
        <w:rPr>
          <w:sz w:val="20"/>
          <w:szCs w:val="20"/>
          <w:color w:val="auto"/>
        </w:rPr>
      </w:pPr>
    </w:p>
    <w:p>
      <w:pPr>
        <w:jc w:val="both"/>
        <w:ind w:left="180"/>
        <w:spacing w:after="0" w:line="289" w:lineRule="auto"/>
        <w:rPr>
          <w:sz w:val="20"/>
          <w:szCs w:val="20"/>
          <w:color w:val="auto"/>
        </w:rPr>
      </w:pPr>
      <w:r>
        <w:rPr>
          <w:rFonts w:ascii="Times New Roman" w:cs="Times New Roman" w:eastAsia="Times New Roman" w:hAnsi="Times New Roman"/>
          <w:sz w:val="20"/>
          <w:szCs w:val="20"/>
          <w:color w:val="auto"/>
        </w:rPr>
        <w:t>Subject to and within the bounds of the maximum compensation approved by the Annual Shareholders' Meeting, the CNC reviews and recommends for approval by the Board of Directors the annual base salary, incentive compensation (bonus) and equity compensation of the CEO, and after consultation with the CEO, of the Executive Management, as well as the aggregate compensation for the CEO and the Executive Management team. The CNC also requests approval by the Board of Directors regarding the determination of the compensation related incentive targets for the Executive Management team and requests Board of Director approval of individual compensation packages to be paid to members of the Executive Management.</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2025 and 2024 Elements of Compensation</w:t>
      </w: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Base Salary</w:t>
      </w:r>
    </w:p>
    <w:p>
      <w:pPr>
        <w:spacing w:after="0" w:line="44" w:lineRule="exact"/>
        <w:rPr>
          <w:sz w:val="20"/>
          <w:szCs w:val="20"/>
          <w:color w:val="auto"/>
        </w:rPr>
      </w:pPr>
    </w:p>
    <w:p>
      <w:pPr>
        <w:jc w:val="both"/>
        <w:ind w:left="180"/>
        <w:spacing w:after="0" w:line="292" w:lineRule="auto"/>
        <w:rPr>
          <w:sz w:val="20"/>
          <w:szCs w:val="20"/>
          <w:color w:val="auto"/>
        </w:rPr>
      </w:pPr>
      <w:r>
        <w:rPr>
          <w:rFonts w:ascii="Times New Roman" w:cs="Times New Roman" w:eastAsia="Times New Roman" w:hAnsi="Times New Roman"/>
          <w:sz w:val="20"/>
          <w:szCs w:val="20"/>
          <w:color w:val="auto"/>
        </w:rPr>
        <w:t>Base salaries are competitive to attract, motivate, and retain talented leaders with the necessary expertise, experience, and leadership profile. Base salary is based on the scope of the role and market assessment as well as the jobholder’s experience and skills. Fixed compensation for Executive Management team members includes base salary, car allowance and payments to the pension fund by the Company. Base salaries are assessed annually by the CNC, considering individual performance and the external remuneration assessment.</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Bonus Plan</w:t>
      </w:r>
    </w:p>
    <w:p>
      <w:pPr>
        <w:spacing w:after="0" w:line="44"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The CNC proposes to the Board of Directors an incentive bonus plan providing variable remuneration of the members of the Executive Management based on the achievement of the Company’s corporate goals, as well as individual contribution. The CNC reviews and approves any necessary bonus plan changes that are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459740</wp:posOffset>
            </wp:positionV>
            <wp:extent cx="5812155" cy="2603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32" w:lineRule="exact"/>
        <w:rPr>
          <w:sz w:val="20"/>
          <w:szCs w:val="20"/>
          <w:color w:val="auto"/>
        </w:rPr>
      </w:pPr>
    </w:p>
    <w:p>
      <w:pPr>
        <w:jc w:val="both"/>
        <w:ind w:left="180"/>
        <w:spacing w:after="0" w:line="291" w:lineRule="auto"/>
        <w:rPr>
          <w:sz w:val="20"/>
          <w:szCs w:val="20"/>
          <w:color w:val="auto"/>
        </w:rPr>
      </w:pPr>
      <w:r>
        <w:rPr>
          <w:rFonts w:ascii="Times New Roman" w:cs="Times New Roman" w:eastAsia="Times New Roman" w:hAnsi="Times New Roman"/>
          <w:sz w:val="20"/>
          <w:szCs w:val="20"/>
          <w:color w:val="auto"/>
        </w:rPr>
        <w:t>by the CEO. The CNC reviews and approves any employment contracts, separation agreements, or other agreements that the Company plans to enter into with any present, future, or former members of Executive Management, ensuring that key terms of contracts are submitted for the approval of the Board of Directors and function within maximum compensation limits approved during the Annual Shareholders' Meeting.</w:t>
      </w:r>
    </w:p>
    <w:p>
      <w:pPr>
        <w:spacing w:after="0" w:line="194" w:lineRule="exact"/>
        <w:rPr>
          <w:sz w:val="20"/>
          <w:szCs w:val="20"/>
          <w:color w:val="auto"/>
        </w:rPr>
      </w:pPr>
    </w:p>
    <w:p>
      <w:pPr>
        <w:jc w:val="both"/>
        <w:ind w:left="180"/>
        <w:spacing w:after="0" w:line="288" w:lineRule="auto"/>
        <w:rPr>
          <w:sz w:val="20"/>
          <w:szCs w:val="20"/>
          <w:color w:val="auto"/>
        </w:rPr>
      </w:pPr>
      <w:r>
        <w:rPr>
          <w:rFonts w:ascii="Times New Roman" w:cs="Times New Roman" w:eastAsia="Times New Roman" w:hAnsi="Times New Roman"/>
          <w:sz w:val="20"/>
          <w:szCs w:val="20"/>
          <w:color w:val="auto"/>
        </w:rPr>
        <w:t>The annual cash bonus for 2025 and 2024 was based on the achievement of Company and individual goals. The target bonus for 2025 and 2024 (i.e., cash bonus to be paid if 100% of corporate and individual objectives are met) is determined individually for each member of the Executive Management as a fixed amount, ranging from 27% to 70% of their base salary for 2025, (median 38%) and 27% to 69% for 2024 (median 38%). According to the external benchmarking, target bonuses for most members of Executive Management continue to be in the low range of the peer group. The 2025 and 2024 corporate goals included: (i) fulfilment of various R&amp;D milestones for several preclinical and clinical programs; (ii) establishing business development and financing opportunities for specific preclinical and clinical programs.</w:t>
      </w:r>
    </w:p>
    <w:p>
      <w:pPr>
        <w:spacing w:after="0" w:line="195"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The weightings of individual goals are defined for each Executive Management member and vary depending on the position. In principle, more senior leadership positions place a greater weight on the achievement of company rather than individual goals. The Board determined that the actual target achievement of the 2025 and 2024 corporate goals was 103.0% and 103.6%, respectively.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Pension Plan and Social Charges</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44061"/>
        </w:rPr>
        <w:t>Pension Plan</w:t>
      </w:r>
    </w:p>
    <w:p>
      <w:pPr>
        <w:spacing w:after="0" w:line="40" w:lineRule="exact"/>
        <w:rPr>
          <w:sz w:val="20"/>
          <w:szCs w:val="20"/>
          <w:color w:val="auto"/>
        </w:rPr>
      </w:pPr>
    </w:p>
    <w:p>
      <w:pPr>
        <w:jc w:val="both"/>
        <w:ind w:left="180"/>
        <w:spacing w:after="0" w:line="285" w:lineRule="auto"/>
        <w:rPr>
          <w:sz w:val="20"/>
          <w:szCs w:val="20"/>
          <w:color w:val="auto"/>
        </w:rPr>
      </w:pPr>
      <w:r>
        <w:rPr>
          <w:rFonts w:ascii="Times New Roman" w:cs="Times New Roman" w:eastAsia="Times New Roman" w:hAnsi="Times New Roman"/>
          <w:sz w:val="20"/>
          <w:szCs w:val="20"/>
          <w:color w:val="auto"/>
        </w:rPr>
        <w:t>The Company arranges for all employees, including its Executive Management team, to be affiliated with a pension plan organized by a legally independent pension institution. In addition to retirement savings, pension plan benefits include death or long-term disability risk benefits. A percentage of salary, adjusted for the age of the employee, is paid as contributions to the plan, and for 2025 was split on average 53% (53% in 2024) contributed by the employer and 47% (47% in 2024) by the employee. Pension plans are governed by the Swiss Law on Occupational Retirement, Survivors and Disability Pension Plans (BVG), under which contributions are made to a separately administered fund, which is governed by a trustee board that is responsible for administering plan rules and defining the investment strategy.</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44061"/>
        </w:rPr>
        <w:t>Social Security Contributions</w:t>
      </w:r>
    </w:p>
    <w:p>
      <w:pPr>
        <w:spacing w:after="0" w:line="40" w:lineRule="exact"/>
        <w:rPr>
          <w:sz w:val="20"/>
          <w:szCs w:val="20"/>
          <w:color w:val="auto"/>
        </w:rPr>
      </w:pPr>
    </w:p>
    <w:p>
      <w:pPr>
        <w:jc w:val="both"/>
        <w:ind w:left="180" w:right="20"/>
        <w:spacing w:after="0" w:line="311" w:lineRule="auto"/>
        <w:rPr>
          <w:sz w:val="20"/>
          <w:szCs w:val="20"/>
          <w:color w:val="auto"/>
        </w:rPr>
      </w:pPr>
      <w:r>
        <w:rPr>
          <w:rFonts w:ascii="Times New Roman" w:cs="Times New Roman" w:eastAsia="Times New Roman" w:hAnsi="Times New Roman"/>
          <w:sz w:val="20"/>
          <w:szCs w:val="20"/>
          <w:color w:val="auto"/>
        </w:rPr>
        <w:t>The Company pays old age and survivors’ insurance (AHV), Disability insurance (IV), and Income replacement scheme (EO) as required by Swiss Federal law.</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4F81BD"/>
        </w:rPr>
        <w:t>Equity Incentive Plans</w:t>
      </w: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4F81BD"/>
        </w:rPr>
        <w:t>2016 Option and Incentive Plans (Current Plan)</w:t>
      </w:r>
    </w:p>
    <w:p>
      <w:pPr>
        <w:spacing w:after="0" w:line="314" w:lineRule="exact"/>
        <w:rPr>
          <w:sz w:val="20"/>
          <w:szCs w:val="20"/>
          <w:color w:val="auto"/>
        </w:rPr>
      </w:pPr>
    </w:p>
    <w:p>
      <w:pPr>
        <w:jc w:val="both"/>
        <w:ind w:left="180"/>
        <w:spacing w:after="0" w:line="288" w:lineRule="auto"/>
        <w:rPr>
          <w:sz w:val="20"/>
          <w:szCs w:val="20"/>
          <w:color w:val="auto"/>
        </w:rPr>
      </w:pPr>
      <w:r>
        <w:rPr>
          <w:rFonts w:ascii="Times New Roman" w:cs="Times New Roman" w:eastAsia="Times New Roman" w:hAnsi="Times New Roman"/>
          <w:sz w:val="20"/>
          <w:szCs w:val="20"/>
          <w:color w:val="auto"/>
        </w:rPr>
        <w:t>The 2016 Option and Incentive Plan as amended and restated as of October 7, 2019 (the “2016 Plan”) was established for the Executive Management, employees, non-employee directors and certain consultants of AC Immune SA. In June 2019, the Board authorized, and the shareholders approved, an increase in the maximum number of shares reserved for issuance under the 2016 Plan. In October 2019, the Board authorized a second amendment and restatement to the 2016 Plan to align certain elements with Swiss statutory requirements that had no financial impact for the Company in 2019. The 2016 Plan provides for various award types, including stock options, restricted share awards, RSUs, unrestricted share awards, and performance-based awards. Vesting and performance-based conditions vary by grant and are determined by the CNC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464185</wp:posOffset>
            </wp:positionV>
            <wp:extent cx="5812155" cy="2603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431800</wp:posOffset>
            </wp:positionV>
            <wp:extent cx="1911350" cy="60007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600075"/>
                    </a:xfrm>
                    <a:prstGeom prst="rect">
                      <a:avLst/>
                    </a:prstGeom>
                    <a:noFill/>
                  </pic:spPr>
                </pic:pic>
              </a:graphicData>
            </a:graphic>
          </wp:anchor>
        </w:drawing>
      </w:r>
    </w:p>
    <w:p>
      <w:pPr>
        <w:spacing w:after="0" w:line="232" w:lineRule="exact"/>
        <w:rPr>
          <w:sz w:val="20"/>
          <w:szCs w:val="20"/>
          <w:color w:val="auto"/>
        </w:rPr>
      </w:pPr>
    </w:p>
    <w:p>
      <w:pPr>
        <w:jc w:val="both"/>
        <w:ind w:left="180"/>
        <w:spacing w:after="0" w:line="287" w:lineRule="auto"/>
        <w:rPr>
          <w:sz w:val="20"/>
          <w:szCs w:val="20"/>
          <w:color w:val="auto"/>
        </w:rPr>
      </w:pPr>
      <w:r>
        <w:rPr>
          <w:rFonts w:ascii="Times New Roman" w:cs="Times New Roman" w:eastAsia="Times New Roman" w:hAnsi="Times New Roman"/>
          <w:sz w:val="20"/>
          <w:szCs w:val="20"/>
          <w:color w:val="auto"/>
        </w:rPr>
        <w:t>administrator”), or the Chief Executive Officer under specified delegation limitations granted by the Board of Directors. The “Exercise Price” of Option awards are determined at the time of grant by the plan administrator and are not less than 100% of the fair market value at the grant date. Awards have an “Option Term” that may not exceed 10 years. 2025 and 2024 awards that were granted to members of the Executive Management team and Board of Directors are disclosed in Section 3 of this report. According to external benchmarking, equity awards continued to be in the lower range compared to the peer group.</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44061"/>
        </w:rPr>
        <w:t>Board Members and Executive Management equity</w:t>
      </w:r>
    </w:p>
    <w:p>
      <w:pPr>
        <w:spacing w:after="0" w:line="40" w:lineRule="exact"/>
        <w:rPr>
          <w:sz w:val="20"/>
          <w:szCs w:val="20"/>
          <w:color w:val="auto"/>
        </w:rPr>
      </w:pPr>
    </w:p>
    <w:p>
      <w:pPr>
        <w:jc w:val="both"/>
        <w:ind w:left="180"/>
        <w:spacing w:after="0" w:line="311" w:lineRule="auto"/>
        <w:rPr>
          <w:sz w:val="20"/>
          <w:szCs w:val="20"/>
          <w:color w:val="auto"/>
        </w:rPr>
      </w:pPr>
      <w:r>
        <w:rPr>
          <w:rFonts w:ascii="Times New Roman" w:cs="Times New Roman" w:eastAsia="Times New Roman" w:hAnsi="Times New Roman"/>
          <w:sz w:val="19"/>
          <w:szCs w:val="19"/>
          <w:color w:val="auto"/>
        </w:rPr>
        <w:t>For the fiscal years ending December 31, 2025, and 2024, we granted Board members and Executive Management an aggregate grant of Options for the right to acquire 631,450 and 406,680 shares, respectively at an exercise price ranging from USD 1.84 to USD 2.91 per share in 2025, and from USD 3.39 to USD 4.23 per share in 2024. In 2025, we also granted RSUs for the right to 900,516 shares, with a market price of CHF 1.62 to CHF 2.44, and in 2024, we also granted RSUs for the right to 557,934 shares, with a market price of CHF 3.19 to CHF 4.20.</w:t>
      </w:r>
    </w:p>
    <w:p>
      <w:pPr>
        <w:spacing w:after="0" w:line="218" w:lineRule="exact"/>
        <w:rPr>
          <w:sz w:val="20"/>
          <w:szCs w:val="20"/>
          <w:color w:val="auto"/>
        </w:rPr>
      </w:pPr>
    </w:p>
    <w:p>
      <w:pPr>
        <w:jc w:val="both"/>
        <w:ind w:left="180"/>
        <w:spacing w:after="0" w:line="291" w:lineRule="auto"/>
        <w:rPr>
          <w:sz w:val="20"/>
          <w:szCs w:val="20"/>
          <w:color w:val="auto"/>
        </w:rPr>
      </w:pPr>
      <w:r>
        <w:rPr>
          <w:rFonts w:ascii="Times New Roman" w:cs="Times New Roman" w:eastAsia="Times New Roman" w:hAnsi="Times New Roman"/>
          <w:sz w:val="20"/>
          <w:szCs w:val="20"/>
          <w:color w:val="auto"/>
        </w:rPr>
        <w:t>Options and RSUs that are granted annually to board members vest at the end of a one-year period. One time Option and RSU grants that are made to newly elected board members vest in tranches during a 3 year period. RSU grants to the CEO vest during a 12 month period, while Options and RSU grants to Executive Management vest in equal tranches quarterly over a three-year period.</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44061"/>
        </w:rPr>
        <w:t>Employment Agreements</w:t>
      </w:r>
    </w:p>
    <w:p>
      <w:pPr>
        <w:spacing w:after="0" w:line="40" w:lineRule="exact"/>
        <w:rPr>
          <w:sz w:val="20"/>
          <w:szCs w:val="20"/>
          <w:color w:val="auto"/>
        </w:rPr>
      </w:pPr>
    </w:p>
    <w:p>
      <w:pPr>
        <w:jc w:val="both"/>
        <w:ind w:left="180"/>
        <w:spacing w:after="0" w:line="296" w:lineRule="auto"/>
        <w:rPr>
          <w:sz w:val="20"/>
          <w:szCs w:val="20"/>
          <w:color w:val="auto"/>
        </w:rPr>
      </w:pPr>
      <w:r>
        <w:rPr>
          <w:rFonts w:ascii="Times New Roman" w:cs="Times New Roman" w:eastAsia="Times New Roman" w:hAnsi="Times New Roman"/>
          <w:sz w:val="20"/>
          <w:szCs w:val="20"/>
          <w:color w:val="auto"/>
        </w:rPr>
        <w:t>The Executive Management team members are employed with employment agreements that have an unlimited duration with a notice period of twelve months for the Chief Executive Officer, Chief Technical Operations Officer, and Chief Financial Officer. Executive Management team members who leave AC Immune have no contractual entitlement to termination payments, although they retain vested portions of all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459740</wp:posOffset>
            </wp:positionV>
            <wp:extent cx="5812155" cy="2603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sectPr>
      <w:pgSz w:w="11900" w:h="16838" w:orient="portrait"/>
      <w:cols w:equalWidth="0" w:num="1">
        <w:col w:w="9320"/>
      </w:cols>
      <w:pgMar w:left="1440" w:top="144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lvl w:ilvl="1">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lvl w:ilvl="1">
      <w:lvlJc w:val="left"/>
      <w:lvlText w:val="●"/>
      <w:numFmt w:val="bullet"/>
      <w:start w:val="1"/>
    </w:lvl>
  </w:abstractNum>
  <w:abstractNum w:abstractNumId="5">
    <w:nsid w:val="440BADFC"/>
    <w:multiLevelType w:val="hybridMultilevel"/>
    <w:lvl w:ilvl="0">
      <w:lvlJc w:val="left"/>
      <w:lvlText w:val="●"/>
      <w:numFmt w:val="bullet"/>
      <w:start w:val="1"/>
    </w:lvl>
    <w:lvl w:ilvl="1">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2"/>
    </w:lvl>
  </w:abstractNum>
  <w:abstractNum w:abstractNumId="13">
    <w:nsid w:val="51EAD36B"/>
    <w:multiLevelType w:val="hybridMultilevel"/>
    <w:lvl w:ilvl="0">
      <w:lvlJc w:val="left"/>
      <w:lvlText w:val="(%1)"/>
      <w:numFmt w:val="lowerRoman"/>
      <w:start w:val="3"/>
    </w:lvl>
  </w:abstractNum>
  <w:abstractNum w:abstractNumId="14">
    <w:nsid w:val="2D517796"/>
    <w:multiLevelType w:val="hybridMultilevel"/>
    <w:lvl w:ilvl="0">
      <w:lvlJc w:val="left"/>
      <w:lvlText w:val="(%1)"/>
      <w:numFmt w:val="lowerRoman"/>
      <w:start w:val="5"/>
    </w:lvl>
  </w:abstractNum>
  <w:abstractNum w:abstractNumId="15">
    <w:nsid w:val="580BD78F"/>
    <w:multiLevelType w:val="hybridMultilevel"/>
    <w:lvl w:ilvl="0">
      <w:lvlJc w:val="left"/>
      <w:lvlText w:val="%1."/>
      <w:numFmt w:val="decimal"/>
      <w:start w:val="3"/>
    </w:lvl>
  </w:abstractNum>
  <w:abstractNum w:abstractNumId="16">
    <w:nsid w:val="153EA438"/>
    <w:multiLevelType w:val="hybridMultilevel"/>
    <w:lvl w:ilvl="0">
      <w:lvlJc w:val="left"/>
      <w:lvlText w:val="%1."/>
      <w:numFmt w:val="lowerRoman"/>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lowerRoman"/>
      <w:start w:val="4"/>
    </w:lvl>
  </w:abstractNum>
  <w:abstractNum w:abstractNumId="19">
    <w:nsid w:val="6A2342EC"/>
    <w:multiLevelType w:val="hybridMultilevel"/>
    <w:lvl w:ilvl="0">
      <w:lvlJc w:val="left"/>
      <w:lvlText w:val="%1."/>
      <w:numFmt w:val="decimal"/>
      <w:start w:val="4"/>
    </w:lvl>
  </w:abstractNum>
  <w:abstractNum w:abstractNumId="20">
    <w:nsid w:val="2A487CB0"/>
    <w:multiLevelType w:val="hybridMultilevel"/>
    <w:lvl w:ilvl="0">
      <w:lvlJc w:val="left"/>
      <w:lvlText w:val="%1."/>
      <w:numFmt w:val="decimal"/>
      <w:start w:val="5"/>
    </w:lvl>
  </w:abstractNum>
  <w:abstractNum w:abstractNumId="21">
    <w:nsid w:val="1D4ED43B"/>
    <w:multiLevelType w:val="hybridMultilevel"/>
    <w:lvl w:ilvl="0">
      <w:lvlJc w:val="left"/>
      <w:lvlText w:val="%1."/>
      <w:numFmt w:val="decimal"/>
      <w:start w:val="6"/>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7"/>
    </w:lvl>
  </w:abstractNum>
  <w:abstractNum w:abstractNumId="24">
    <w:nsid w:val="57E4CCAF"/>
    <w:multiLevelType w:val="hybridMultilevel"/>
    <w:lvl w:ilvl="0">
      <w:lvlJc w:val="left"/>
      <w:lvlText w:val="%1."/>
      <w:numFmt w:val="decimal"/>
      <w:start w:val="9"/>
    </w:lvl>
  </w:abstractNum>
  <w:abstractNum w:abstractNumId="25">
    <w:nsid w:val="7A6D8D3C"/>
    <w:multiLevelType w:val="hybridMultilevel"/>
    <w:lvl w:ilvl="0">
      <w:lvlJc w:val="left"/>
      <w:lvlText w:val="%1."/>
      <w:numFmt w:val="decimal"/>
      <w:start w:val="11"/>
    </w:lvl>
  </w:abstractNum>
  <w:abstractNum w:abstractNumId="26">
    <w:nsid w:val="4B588F54"/>
    <w:multiLevelType w:val="hybridMultilevel"/>
    <w:lvl w:ilvl="0">
      <w:lvlJc w:val="left"/>
      <w:lvlText w:val="%1."/>
      <w:numFmt w:val="decimal"/>
      <w:start w:val="12"/>
    </w:lvl>
  </w:abstractNum>
  <w:abstractNum w:abstractNumId="27">
    <w:nsid w:val="542289EC"/>
    <w:multiLevelType w:val="hybridMultilevel"/>
    <w:lvl w:ilvl="0">
      <w:lvlJc w:val="left"/>
      <w:lvlText w:val="%1."/>
      <w:numFmt w:val="decimal"/>
      <w:start w:val="13"/>
    </w:lvl>
  </w:abstractNum>
  <w:abstractNum w:abstractNumId="28">
    <w:nsid w:val="6DE91B18"/>
    <w:multiLevelType w:val="hybridMultilevel"/>
    <w:lvl w:ilvl="0">
      <w:lvlJc w:val="left"/>
      <w:lvlText w:val="(%1)"/>
      <w:numFmt w:val="lowerRoman"/>
      <w:start w:val="2"/>
    </w:lvl>
  </w:abstractNum>
  <w:abstractNum w:abstractNumId="29">
    <w:nsid w:val="38437FDB"/>
    <w:multiLevelType w:val="hybridMultilevel"/>
    <w:lvl w:ilvl="0">
      <w:lvlJc w:val="left"/>
      <w:lvlText w:val="(%1)"/>
      <w:numFmt w:val="lowerRoman"/>
      <w:start w:val="3"/>
    </w:lvl>
  </w:abstractNum>
  <w:abstractNum w:abstractNumId="30">
    <w:nsid w:val="7644A45C"/>
    <w:multiLevelType w:val="hybridMultilevel"/>
    <w:lvl w:ilvl="0">
      <w:lvlJc w:val="left"/>
      <w:lvlText w:val="%1."/>
      <w:numFmt w:val="decimal"/>
      <w:start w:val="15"/>
    </w:lvl>
  </w:abstractNum>
  <w:abstractNum w:abstractNumId="31">
    <w:nsid w:val="32FFF902"/>
    <w:multiLevelType w:val="hybridMultilevel"/>
    <w:lvl w:ilvl="0">
      <w:lvlJc w:val="left"/>
      <w:lvlText w:val="%1."/>
      <w:numFmt w:val="decimal"/>
      <w:start w:val="16"/>
    </w:lvl>
  </w:abstractNum>
  <w:abstractNum w:abstractNumId="32">
    <w:nsid w:val="684A481A"/>
    <w:multiLevelType w:val="hybridMultilevel"/>
    <w:lvl w:ilvl="0">
      <w:lvlJc w:val="left"/>
      <w:lvlText w:val="%1."/>
      <w:numFmt w:val="decimal"/>
      <w:start w:val="17"/>
    </w:lvl>
  </w:abstractNum>
  <w:abstractNum w:abstractNumId="33">
    <w:nsid w:val="579478FE"/>
    <w:multiLevelType w:val="hybridMultilevel"/>
    <w:lvl w:ilvl="0">
      <w:lvlJc w:val="left"/>
      <w:lvlText w:val="%1."/>
      <w:numFmt w:val="upperLetter"/>
      <w:start w:val="1"/>
    </w:lvl>
  </w:abstractNum>
  <w:abstractNum w:abstractNumId="34">
    <w:nsid w:val="749ABB43"/>
    <w:multiLevelType w:val="hybridMultilevel"/>
    <w:lvl w:ilvl="0">
      <w:lvlJc w:val="left"/>
      <w:lvlText w:val="%1."/>
      <w:numFmt w:val="upperLetter"/>
      <w:start w:val="3"/>
    </w:lvl>
  </w:abstractNum>
  <w:abstractNum w:abstractNumId="35">
    <w:nsid w:val="3DC240FB"/>
    <w:multiLevelType w:val="hybridMultilevel"/>
    <w:lvl w:ilvl="0">
      <w:lvlJc w:val="left"/>
      <w:lvlText w:val="%1."/>
      <w:numFmt w:val="decimal"/>
      <w:start w:val="18"/>
    </w:lvl>
  </w:abstractNum>
  <w:abstractNum w:abstractNumId="36">
    <w:nsid w:val="1BA026FA"/>
    <w:multiLevelType w:val="hybridMultilevel"/>
    <w:lvl w:ilvl="0">
      <w:lvlJc w:val="left"/>
      <w:lvlText w:val="%1."/>
      <w:numFmt w:val="decimal"/>
      <w:start w:val="19"/>
    </w:lvl>
  </w:abstractNum>
  <w:abstractNum w:abstractNumId="37">
    <w:nsid w:val="79A1DEAA"/>
    <w:multiLevelType w:val="hybridMultilevel"/>
    <w:lvl w:ilvl="0">
      <w:lvlJc w:val="left"/>
      <w:lvlText w:val="%1."/>
      <w:numFmt w:val="decimal"/>
      <w:start w:val="21"/>
    </w:lvl>
  </w:abstractNum>
  <w:abstractNum w:abstractNumId="38">
    <w:nsid w:val="75C6C33A"/>
    <w:multiLevelType w:val="hybridMultilevel"/>
    <w:lvl w:ilvl="0">
      <w:lvlJc w:val="left"/>
      <w:lvlText w:val="%1."/>
      <w:numFmt w:val="decimal"/>
      <w:start w:val="22"/>
    </w:lvl>
  </w:abstractNum>
  <w:abstractNum w:abstractNumId="39">
    <w:nsid w:val="12E685FB"/>
    <w:multiLevelType w:val="hybridMultilevel"/>
    <w:lvl w:ilvl="0">
      <w:lvlJc w:val="left"/>
      <w:lvlText w:val="%1."/>
      <w:numFmt w:val="decimal"/>
      <w:start w:val="23"/>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1"/>
    </w:lvl>
    <w:lvl w:ilvl="1">
      <w:lvlJc w:val="left"/>
      <w:lvlText w:val="%2"/>
      <w:numFmt w:val="lowerLetter"/>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lvl w:ilvl="1">
      <w:lvlJc w:val="left"/>
      <w:lvlText w:val="%2."/>
      <w:numFmt w:val="lowerLetter"/>
      <w:start w:val="3"/>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7"/>
    </w:lvl>
  </w:abstractNum>
  <w:abstractNum w:abstractNumId="52">
    <w:nsid w:val="354FE9F9"/>
    <w:multiLevelType w:val="hybridMultilevel"/>
    <w:lvl w:ilvl="0">
      <w:lvlJc w:val="left"/>
      <w:lvlText w:val="%1."/>
      <w:numFmt w:val="decimal"/>
      <w:start w:val="2"/>
    </w:lvl>
    <w:lvl w:ilvl="1">
      <w:lvlJc w:val="left"/>
      <w:lvlText w:val="%2"/>
      <w:numFmt w:val="lowerLetter"/>
      <w:start w:val="1"/>
    </w:lvl>
  </w:abstractNum>
  <w:abstractNum w:abstractNumId="53">
    <w:nsid w:val="15B5AF5C"/>
    <w:multiLevelType w:val="hybridMultilevel"/>
    <w:lvl w:ilvl="0">
      <w:lvlJc w:val="left"/>
      <w:lvlText w:val="(%1)"/>
      <w:numFmt w:val="decimal"/>
      <w:start w:val="1"/>
    </w:lvl>
    <w:lvl w:ilvl="1">
      <w:lvlJc w:val="left"/>
      <w:lvlText w:val="%2."/>
      <w:numFmt w:val="lowerLetter"/>
      <w:start w:val="2"/>
    </w:lvl>
  </w:abstractNum>
  <w:abstractNum w:abstractNumId="54">
    <w:nsid w:val="741226BB"/>
    <w:multiLevelType w:val="hybridMultilevel"/>
    <w:lvl w:ilvl="0">
      <w:lvlJc w:val="left"/>
      <w:lvlText w:val="%1."/>
      <w:numFmt w:val="lowerLetter"/>
      <w:start w:val="3"/>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4"/>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lowerRoman"/>
      <w:start w:val="2"/>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jpeg"/><Relationship Id="rId1439" Type="http://schemas.openxmlformats.org/officeDocument/2006/relationships/image" Target="media/image1432.png"/><Relationship Id="rId1440" Type="http://schemas.openxmlformats.org/officeDocument/2006/relationships/image" Target="media/image1433.jpeg"/><Relationship Id="rId1441" Type="http://schemas.openxmlformats.org/officeDocument/2006/relationships/image" Target="media/image1434.png"/><Relationship Id="rId1442" Type="http://schemas.openxmlformats.org/officeDocument/2006/relationships/image" Target="media/image1435.jpeg"/><Relationship Id="rId1443" Type="http://schemas.openxmlformats.org/officeDocument/2006/relationships/image" Target="media/image1436.pn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png"/><Relationship Id="rId1447" Type="http://schemas.openxmlformats.org/officeDocument/2006/relationships/image" Target="media/image1440.jpeg"/><Relationship Id="rId1448" Type="http://schemas.openxmlformats.org/officeDocument/2006/relationships/image" Target="media/image1441.png"/><Relationship Id="rId1449" Type="http://schemas.openxmlformats.org/officeDocument/2006/relationships/image" Target="media/image1442.jpeg"/><Relationship Id="rId1450" Type="http://schemas.openxmlformats.org/officeDocument/2006/relationships/image" Target="media/image1443.png"/><Relationship Id="rId1451" Type="http://schemas.openxmlformats.org/officeDocument/2006/relationships/image" Target="media/image1444.jpeg"/><Relationship Id="rId1452" Type="http://schemas.openxmlformats.org/officeDocument/2006/relationships/image" Target="media/image1445.png"/><Relationship Id="rId1453" Type="http://schemas.openxmlformats.org/officeDocument/2006/relationships/image" Target="media/image1446.jpeg"/><Relationship Id="rId1454" Type="http://schemas.openxmlformats.org/officeDocument/2006/relationships/image" Target="media/image1447.png"/><Relationship Id="rId1455" Type="http://schemas.openxmlformats.org/officeDocument/2006/relationships/image" Target="media/image1448.jpeg"/><Relationship Id="rId1456" Type="http://schemas.openxmlformats.org/officeDocument/2006/relationships/image" Target="media/image1449.png"/><Relationship Id="rId1457" Type="http://schemas.openxmlformats.org/officeDocument/2006/relationships/image" Target="media/image1450.jpe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jpeg"/><Relationship Id="rId1466" Type="http://schemas.openxmlformats.org/officeDocument/2006/relationships/image" Target="media/image1459.png"/><Relationship Id="rId1467" Type="http://schemas.openxmlformats.org/officeDocument/2006/relationships/image" Target="media/image1460.jpeg"/><Relationship Id="rId1468" Type="http://schemas.openxmlformats.org/officeDocument/2006/relationships/image" Target="media/image1461.png"/><Relationship Id="rId1469" Type="http://schemas.openxmlformats.org/officeDocument/2006/relationships/image" Target="media/image1462.jpeg"/><Relationship Id="rId1470" Type="http://schemas.openxmlformats.org/officeDocument/2006/relationships/image" Target="media/image1463.png"/><Relationship Id="rId1471" Type="http://schemas.openxmlformats.org/officeDocument/2006/relationships/image" Target="media/image1464.jpeg"/><Relationship Id="rId1472" Type="http://schemas.openxmlformats.org/officeDocument/2006/relationships/image" Target="media/image14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2026-03-13T06:06:20Z</dcterms:created>
  <dcterms:modified xsi:type="dcterms:W3CDTF">2026-03-13T06:06:20Z</dcterms:modified>
</cp:coreProperties>
</file>