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September 16, 2016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September 13, 2016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5715</wp:posOffset>
            </wp:positionV>
            <wp:extent cx="252158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158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This free writing prospectus relates only to, and should be read together with, the preliminary prospectus dated September 13, 2016 (the “Preliminary</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Prospectus”) that was included in Amendment No. 4 to the Registration Statement on Form F-1 (File No. 333-211714) (the “Registration Statement”) relating</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to the initial public offering of common shares of AC Immune SA (the “Company”). On September 16, 2016, the Company filed Amendment No. 5 to the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which may be accessed through the following link:</w:t>
      </w:r>
    </w:p>
    <w:p>
      <w:pPr>
        <w:spacing w:after="0" w:line="9" w:lineRule="exact"/>
        <w:rPr>
          <w:sz w:val="24"/>
          <w:szCs w:val="24"/>
          <w:color w:val="auto"/>
        </w:rPr>
      </w:pPr>
    </w:p>
    <w:p>
      <w:pPr>
        <w:spacing w:after="0"/>
        <w:rPr>
          <w:rFonts w:ascii="Arial" w:cs="Arial" w:eastAsia="Arial" w:hAnsi="Arial"/>
          <w:sz w:val="17"/>
          <w:szCs w:val="17"/>
          <w:color w:val="0000EE"/>
        </w:rPr>
      </w:pPr>
      <w:hyperlink r:id="rId9">
        <w:r>
          <w:rPr>
            <w:rFonts w:ascii="Arial" w:cs="Arial" w:eastAsia="Arial" w:hAnsi="Arial"/>
            <w:sz w:val="17"/>
            <w:szCs w:val="17"/>
            <w:u w:val="single" w:color="auto"/>
            <w:color w:val="0000EE"/>
          </w:rPr>
          <w:t>http://www.sec.gov/Archives/edgar/data/1651625/000119312516711781/d16439df1a.htm</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This free writing prospectus should be read together with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Preliminary Prospectus included in the Registration Statement, including the section captioned “Risk Factors” beginning on page 12 of the Preliminary</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Prospectus. Capitalized and other terms used, but not defined, herein have the meanings set forth in the Preliminary Prospectus.</w:t>
      </w:r>
    </w:p>
    <w:p>
      <w:pPr>
        <w:spacing w:after="0" w:line="207" w:lineRule="exact"/>
        <w:rPr>
          <w:sz w:val="24"/>
          <w:szCs w:val="24"/>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The Company has filed a registration statement (including a prospectus) with the Securities and Exchange Commission (the “SEC”) for the offering to which this communication relates. Before you invest, you should read the prospectus in that registration statement and other documents the Company has filed with the SEC for more complete information about the Company and this offering. You may get these documents for free by visiting EDGAR on the SEC Web site at www.sec.gov. Alternatively, the Company, any underwriter or any dealer participating in the offering will arrange to send you the prospectus if you request it from Credit Suisse Securities (USA) LLC, Attention: Prospectus Department, Eleven Madison Avenue, New York, NY 10010, or by calling toll-free (800) 221-1037 or emailing a request to newyork.prospectus@credit-suisse.com, Jefferies LLC, Attention: Prospectus Department, 520 Madison Avenue, 2nd Floor, New York, NY 10022, or by calling toll-free 877-821-7388, or by emailing a request to prospectus_department@jefferies.com, or from Leerink Partners LLC, Attention: Syndicate Department, One Federal Street, 37th Floor, Boston, MA, 02110, or by phone at 1-800-808-7525, ext. 6142, or by email at Syndicate@leerink.com.</w:t>
      </w:r>
    </w:p>
    <w:p>
      <w:pPr>
        <w:spacing w:after="0" w:line="164"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information is set forth in Amendment No. 5 to the Registration Statement supplements and updates the information contained in the Preliminary Prospectus.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Updates to “Prospectus Summary—Summary Historical and Other Financial Information”</w:t>
      </w:r>
    </w:p>
    <w:p>
      <w:pPr>
        <w:spacing w:after="0" w:line="117" w:lineRule="exact"/>
        <w:rPr>
          <w:sz w:val="24"/>
          <w:szCs w:val="24"/>
          <w:color w:val="auto"/>
        </w:rPr>
      </w:pPr>
    </w:p>
    <w:p>
      <w:pPr>
        <w:ind w:right="20" w:firstLine="456"/>
        <w:spacing w:after="0" w:line="277" w:lineRule="auto"/>
        <w:rPr>
          <w:sz w:val="20"/>
          <w:szCs w:val="20"/>
          <w:color w:val="auto"/>
        </w:rPr>
      </w:pPr>
      <w:r>
        <w:rPr>
          <w:rFonts w:ascii="Arial" w:cs="Arial" w:eastAsia="Arial" w:hAnsi="Arial"/>
          <w:sz w:val="18"/>
          <w:szCs w:val="18"/>
          <w:color w:val="auto"/>
        </w:rPr>
        <w:t>The tabular disclosure set forth in the section of the Preliminary Prospectus captioned “Prospectus Summary—Summary Historical and Other Financial Information” has been revised as follows:</w:t>
      </w:r>
    </w:p>
    <w:p>
      <w:pPr>
        <w:spacing w:after="0" w:line="189" w:lineRule="exact"/>
        <w:rPr>
          <w:sz w:val="24"/>
          <w:szCs w:val="24"/>
          <w:color w:val="auto"/>
        </w:rPr>
      </w:pPr>
    </w:p>
    <w:tbl>
      <w:tblPr>
        <w:tblLayout w:type="fixed"/>
        <w:tblInd w:w="23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As at June 30, 2016</w:t>
            </w:r>
          </w:p>
        </w:tc>
      </w:tr>
      <w:tr>
        <w:trPr>
          <w:trHeight w:val="142"/>
        </w:trPr>
        <w:tc>
          <w:tcPr>
            <w:tcW w:w="458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Actual</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As Adjusted (1)(2)</w:t>
            </w:r>
          </w:p>
        </w:tc>
        <w:tc>
          <w:tcPr>
            <w:tcW w:w="120" w:type="dxa"/>
            <w:vAlign w:val="bottom"/>
          </w:tcPr>
          <w:p>
            <w:pPr>
              <w:spacing w:after="0"/>
              <w:rPr>
                <w:sz w:val="12"/>
                <w:szCs w:val="12"/>
                <w:color w:val="auto"/>
              </w:rPr>
            </w:pPr>
          </w:p>
        </w:tc>
      </w:tr>
      <w:tr>
        <w:trPr>
          <w:trHeight w:val="196"/>
        </w:trPr>
        <w:tc>
          <w:tcPr>
            <w:tcW w:w="458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(in CHF ‘000)</w:t>
            </w: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82,377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145,017</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103,282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149,360</w:t>
            </w: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(33,825)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(33,825)</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90,542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136,620</w:t>
            </w: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Total equity and liabilities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103,282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149,360</w:t>
            </w:r>
          </w:p>
        </w:tc>
      </w:tr>
    </w:tbl>
    <w:p>
      <w:pPr>
        <w:spacing w:after="0" w:line="93" w:lineRule="exact"/>
        <w:rPr>
          <w:sz w:val="24"/>
          <w:szCs w:val="24"/>
          <w:color w:val="auto"/>
        </w:rPr>
      </w:pPr>
    </w:p>
    <w:p>
      <w:pPr>
        <w:ind w:left="900" w:right="280" w:hanging="446"/>
        <w:spacing w:after="0" w:line="30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adjusted balance sheet data gives effect to (i) our issuance and sale of 4,545,456 common shares in this offering, assuming an initial public offering price of $12.00 per common share, which is the midpoint of the range set forth on the cover page of this prospectus, after deducting underwriting discounts and commissions and estimated offering expenses payable by us and (ii) our receipt in July 2016 of the Anti-Tau Antibody Phase 1 Milestone Payment described under “Prospectus Summary—Anti-Tau Antibody Phase 1 Milestone Payment.”</w:t>
      </w:r>
    </w:p>
    <w:p>
      <w:pPr>
        <w:spacing w:after="0" w:line="59" w:lineRule="exact"/>
        <w:rPr>
          <w:rFonts w:ascii="Arial" w:cs="Arial" w:eastAsia="Arial" w:hAnsi="Arial"/>
          <w:sz w:val="16"/>
          <w:szCs w:val="16"/>
          <w:color w:val="auto"/>
        </w:rPr>
      </w:pPr>
    </w:p>
    <w:p>
      <w:pPr>
        <w:ind w:left="900" w:right="60" w:hanging="446"/>
        <w:spacing w:after="0" w:line="271"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$12.00 per common share, which is the midpoint of the price range set forth on the cover page of this prospectus, would increase (decrease) our as adjusted cash and cash equivalents and as adjusted total shareholders’ equity by $4.2 (CHF 4.1) million, assuming that the number of common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in the number of shares we are offering would increase (decrease) as adjusted cash and cash equivalents and as adjusted total shareholders’ equity by $11.2 (CHF 10.9) million, assuming that the assumed initial public offering price remains the same and after deducting the underwriting discount and estimated offering expenses payable by us.</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Updates to “Risk Factors—Risks Related to this Offering and Our Common Shares”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risk factor set forth on page 47 of the Preliminary Prospectus under the caption “Risk Factors—Risks Related to this Offering and Our Common Shares” has been revised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 $12.00 per common share, which is the midpoint of the price range set forth on the cover page of this prospectus, you will experience immediate dilution of CHF 7.60 ($7.78) per common share, representing the difference between our as adjusted net tangible book value per common share after giving effect to this offering and the initial public offering price. In addition, purchasers of common shares in this offering will have contributed approximately 27.0% of the aggregate price paid by all purchasers of common shares issued by us but will own only approximately 8.4% of our common shares outstanding after this offering. See “Dilution.”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to “Capitalization”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tabular disclosure set forth in the section of the Preliminary Prospectus captioned “Capitalization” has been revised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at June 30, 2016</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9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Further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Adjusted</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Adjusted(1)</w:t>
            </w:r>
          </w:p>
        </w:tc>
        <w:tc>
          <w:tcPr>
            <w:tcW w:w="0" w:type="dxa"/>
            <w:vAlign w:val="bottom"/>
          </w:tcPr>
          <w:p>
            <w:pPr>
              <w:spacing w:after="0"/>
              <w:rPr>
                <w:sz w:val="1"/>
                <w:szCs w:val="1"/>
                <w:color w:val="auto"/>
              </w:rPr>
            </w:pPr>
          </w:p>
        </w:tc>
      </w:tr>
      <w:tr>
        <w:trPr>
          <w:trHeight w:val="119"/>
        </w:trPr>
        <w:tc>
          <w:tcPr>
            <w:tcW w:w="75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5"/>
          </w:tcPr>
          <w:p>
            <w:pPr>
              <w:jc w:val="center"/>
              <w:ind w:right="636"/>
              <w:spacing w:after="0" w:line="119" w:lineRule="exact"/>
              <w:rPr>
                <w:sz w:val="20"/>
                <w:szCs w:val="20"/>
                <w:color w:val="auto"/>
              </w:rPr>
            </w:pPr>
            <w:r>
              <w:rPr>
                <w:rFonts w:ascii="Arial" w:cs="Arial" w:eastAsia="Arial" w:hAnsi="Arial"/>
                <w:sz w:val="13"/>
                <w:szCs w:val="13"/>
                <w:b w:val="1"/>
                <w:bCs w:val="1"/>
                <w:color w:val="auto"/>
              </w:rPr>
              <w:t>(in CHF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shares nominal value CHF 0.02 per share, 10,814,500 shares issued and outstanding,</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actual; 65,443,542 shares authorized, 49,396,042 shares issued and outstanding, as adjusted;</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and 65,443,542 shares authorized, 53,941,498 shares issued and outstanding, as further</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20" w:type="dxa"/>
            <w:vAlign w:val="bottom"/>
          </w:tcPr>
          <w:p>
            <w:pPr>
              <w:ind w:left="360"/>
              <w:spacing w:after="0" w:line="201" w:lineRule="exact"/>
              <w:rPr>
                <w:sz w:val="20"/>
                <w:szCs w:val="20"/>
                <w:color w:val="auto"/>
              </w:rPr>
            </w:pPr>
            <w:r>
              <w:rPr>
                <w:rFonts w:ascii="Arial" w:cs="Arial" w:eastAsia="Arial" w:hAnsi="Arial"/>
                <w:sz w:val="18"/>
                <w:szCs w:val="18"/>
                <w:color w:val="auto"/>
                <w:w w:val="95"/>
              </w:rPr>
              <w:t>Preferred shares nominal value CHF 0.02 per share, 38,577,042 authorized preferred shares;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w w:val="95"/>
              </w:rPr>
              <w:t>38,577,042 preferred shares issued and outstanding, actual; no shares authorized or issued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540"/>
              <w:spacing w:after="0"/>
              <w:rPr>
                <w:sz w:val="20"/>
                <w:szCs w:val="20"/>
                <w:color w:val="auto"/>
              </w:rPr>
            </w:pPr>
            <w:r>
              <w:rPr>
                <w:rFonts w:ascii="Arial" w:cs="Arial" w:eastAsia="Arial" w:hAnsi="Arial"/>
                <w:sz w:val="18"/>
                <w:szCs w:val="18"/>
                <w:color w:val="auto"/>
              </w:rPr>
              <w:t>and outstanding, as adjusted or as further adjusted</w:t>
            </w:r>
          </w:p>
        </w:tc>
        <w:tc>
          <w:tcPr>
            <w:tcW w:w="640" w:type="dxa"/>
            <w:vAlign w:val="bottom"/>
          </w:tcPr>
          <w:p>
            <w:pPr>
              <w:jc w:val="right"/>
              <w:spacing w:after="0"/>
              <w:rPr>
                <w:sz w:val="20"/>
                <w:szCs w:val="20"/>
                <w:color w:val="auto"/>
              </w:rPr>
            </w:pPr>
            <w:r>
              <w:rPr>
                <w:rFonts w:ascii="Arial" w:cs="Arial" w:eastAsia="Arial" w:hAnsi="Arial"/>
                <w:sz w:val="18"/>
                <w:szCs w:val="18"/>
                <w:color w:val="auto"/>
              </w:rPr>
              <w:t>772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123,379</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123,380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(33,825)</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(33,825)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20" w:hanging="446"/>
        <w:spacing w:after="0" w:line="272"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$12.00 per share would increase (decrease) each of as further adjusted cash and cash equivalents, additional paid-in capital, total capitalization and shareholders’ equity by $4.2 million, assuming that the number of shares 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 capitalization by $11.2 million, assuming an initial public offering price of $12.00 per share, after deducting the underwriting discount and estimated offering expenses payable by us.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Updates to “Dilution”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disclosure set forth in the second and third paragraphs and the accompanying table set forth under the section of the Preliminary Prospectus captioned “Dilution” has been revised to read as follows: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June 30, 2016 was $92.7 (CHF 90.5) million, or $8.57 (CHF 8.37), per common share (on a fully diluted basis). Our as adjusted net tangible book value as at June 30, 2016, before giving effect to this offering was $92.7 (CHF 90.5) million, or $1.88 (CHF 1.83) per common share, based on the total number of our common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w:t>
      </w:r>
    </w:p>
    <w:p>
      <w:pPr>
        <w:sectPr>
          <w:pgSz w:w="11900" w:h="16838" w:orient="portrait"/>
          <w:cols w:equalWidth="0" w:num="1">
            <w:col w:w="11420"/>
          </w:cols>
          <w:pgMar w:left="240" w:top="274" w:right="239" w:bottom="1440" w:gutter="0" w:footer="0" w:header="0"/>
        </w:sectPr>
      </w:pPr>
    </w:p>
    <w:bookmarkStart w:id="2" w:name="page3"/>
    <w:bookmarkEnd w:id="2"/>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 4,545,456 common shares in this offering at an assumed initial public offering price of $12.00 per share (the midpoint of the price range set forth on the cover page of this prospectus), after deducting the underwriting discount and estimated expenses payable by us, our as further adjusted net tangible book value as at June 30, 2016 would have been $139.8 (CHF 136.6) million, or $2.59 (CHF 2.53) per share. This represents an immediate increase in as adjusted net tangible book value of $10.38 (CHF 10.14) per share to existing shareholders and an immediate dilution of $7.78 (CHF 7.60) per share to investors participating in this offering, as illustrated in the following table: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USD)</w:t>
            </w: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CHF)</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at June 30, 2016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As adjusted net tangible book value per share at June 30, 2016, before giving effect to this offering but giving effect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the adjustments described in the second immediately preceding paragraph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spacing w:after="0" w:line="201" w:lineRule="exact"/>
              <w:rPr>
                <w:sz w:val="20"/>
                <w:szCs w:val="20"/>
                <w:color w:val="auto"/>
              </w:rPr>
            </w:pPr>
            <w:r>
              <w:rPr>
                <w:rFonts w:ascii="Arial" w:cs="Arial" w:eastAsia="Arial" w:hAnsi="Arial"/>
                <w:sz w:val="18"/>
                <w:szCs w:val="18"/>
                <w:color w:val="auto"/>
                <w:w w:val="95"/>
              </w:rPr>
              <w:t>Increase in as adjusted net tangible book value per share attributable to new investors purchasing shares in this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offering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the tabular disclosure set forth immediately following the fifth paragraph set forth under the section of the Preliminary Prospectus captioned “Dilution” has been revised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1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Price per</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Total Shares</w:t>
            </w:r>
          </w:p>
        </w:tc>
        <w:tc>
          <w:tcPr>
            <w:tcW w:w="380" w:type="dxa"/>
            <w:vAlign w:val="bottom"/>
            <w:vMerge w:val="restart"/>
          </w:tcPr>
          <w:p>
            <w:pPr>
              <w:spacing w:after="0"/>
              <w:rPr>
                <w:sz w:val="5"/>
                <w:szCs w:val="5"/>
                <w:color w:val="auto"/>
              </w:rPr>
            </w:pPr>
          </w:p>
        </w:tc>
        <w:tc>
          <w:tcPr>
            <w:tcW w:w="14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(USD ‘000)</w:t>
            </w:r>
          </w:p>
        </w:tc>
        <w:tc>
          <w:tcPr>
            <w:tcW w:w="380" w:type="dxa"/>
            <w:vAlign w:val="bottom"/>
            <w:vMerge w:val="restart"/>
          </w:tcPr>
          <w:p>
            <w:pPr>
              <w:spacing w:after="0"/>
              <w:rPr>
                <w:sz w:val="5"/>
                <w:szCs w:val="5"/>
                <w:color w:val="auto"/>
              </w:rPr>
            </w:pPr>
          </w:p>
        </w:tc>
        <w:tc>
          <w:tcPr>
            <w:tcW w:w="14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(CHF ‘000)</w:t>
            </w:r>
          </w:p>
        </w:tc>
        <w:tc>
          <w:tcPr>
            <w:tcW w:w="380" w:type="dxa"/>
            <w:vAlign w:val="bottom"/>
            <w:vMerge w:val="restart"/>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340" w:type="dxa"/>
            <w:vAlign w:val="bottom"/>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8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300" w:type="dxa"/>
            <w:vAlign w:val="bottom"/>
            <w:vMerge w:val="restart"/>
          </w:tcPr>
          <w:p>
            <w:pPr>
              <w:spacing w:after="0"/>
              <w:rPr>
                <w:sz w:val="2"/>
                <w:szCs w:val="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Percent</w:t>
            </w:r>
          </w:p>
        </w:tc>
        <w:tc>
          <w:tcPr>
            <w:tcW w:w="86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(USD)</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49,396,042</w:t>
            </w:r>
          </w:p>
        </w:tc>
        <w:tc>
          <w:tcPr>
            <w:tcW w:w="3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127,290</w:t>
            </w:r>
          </w:p>
        </w:tc>
        <w:tc>
          <w:tcPr>
            <w:tcW w:w="2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124,367</w:t>
            </w:r>
          </w:p>
        </w:tc>
        <w:tc>
          <w:tcPr>
            <w:tcW w:w="2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4,545,456</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47,160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27.0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46,077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27.0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10.38</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53,941,498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174,450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170,445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Archives/edgar/data/1651625/000119312516711781/d16439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2019-12-09T02:46:58Z</dcterms:created>
  <dcterms:modified xsi:type="dcterms:W3CDTF">2019-12-09T02:46:58Z</dcterms:modified>
</cp:coreProperties>
</file>