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45995_6k.htm"/>
      <w:bookmarkStart w:id="1" w:name="ksdp245995_6k"/>
      <w:bookmarkEnd w:id="0"/>
      <w:bookmarkEnd w:id="1"/>
      <w:r>
        <w:rPr/>
        <w:t> </w:t>
      </w:r>
    </w:p>
    <w:p>
      <w:pPr>
        <w:pStyle w:val="TextBody"/>
        <w:bidi w:val="0"/>
        <w:jc w:val="left"/>
        <w:rPr>
          <w:bdr w:val="single" w:sz="24" w:space="1" w:color="000000"/>
        </w:rPr>
      </w:pPr>
      <w:r>
        <w:rPr>
          <w:bdr w:val="single" w:sz="24"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April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001-37891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AC IMMUNE SA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EPFL Innovation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1015 Lausanne, Switzerland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tbl>
      <w:tblPr>
        <w:tblW w:w="2630" w:type="dxa"/>
        <w:jc w:val="center"/>
        <w:tblInd w:w="0" w:type="dxa"/>
        <w:tblLayout w:type="fixed"/>
        <w:tblCellMar>
          <w:top w:w="0" w:type="dxa"/>
          <w:left w:w="0" w:type="dxa"/>
          <w:bottom w:w="0" w:type="dxa"/>
          <w:right w:w="0" w:type="dxa"/>
        </w:tblCellMar>
      </w:tblPr>
      <w:tblGrid>
        <w:gridCol w:w="1055"/>
        <w:gridCol w:w="230"/>
        <w:gridCol w:w="60"/>
        <w:gridCol w:w="1040"/>
        <w:gridCol w:w="245"/>
      </w:tblGrid>
      <w:tr>
        <w:trPr/>
        <w:tc>
          <w:tcPr>
            <w:tcW w:w="1055" w:type="dxa"/>
            <w:tcBorders/>
            <w:vAlign w:val="center"/>
          </w:tcPr>
          <w:p>
            <w:pPr>
              <w:pStyle w:val="TableContents"/>
              <w:bidi w:val="0"/>
              <w:spacing w:before="0" w:after="283"/>
              <w:jc w:val="center"/>
              <w:rPr/>
            </w:pPr>
            <w:r>
              <w:rPr/>
              <w:t>Form 20-F</w:t>
            </w:r>
          </w:p>
        </w:tc>
        <w:tc>
          <w:tcPr>
            <w:tcW w:w="23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Form 40-F</w:t>
            </w:r>
          </w:p>
        </w:tc>
        <w:tc>
          <w:tcPr>
            <w:tcW w:w="245" w:type="dxa"/>
            <w:tcBorders/>
            <w:vAlign w:val="center"/>
          </w:tcPr>
          <w:p>
            <w:pPr>
              <w:pStyle w:val="TableContents"/>
              <w:bidi w:val="0"/>
              <w:spacing w:before="0" w:after="283"/>
              <w:jc w:val="center"/>
              <w:rPr/>
            </w:pPr>
            <w:r>
              <w:rPr/>
              <w: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AC Immune SA issued a press release announcing financial and corporate updates on first quarter of 2026. The Company reports that it holds CHF 19.2 million in cash and cash equivalents (unaudited) and CHF 55.6 million in short-term financial assets (unaudited) as of March 31, 2026.</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(excluding Exhibit 99.1)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4300" w:type="dxa"/>
        <w:jc w:val="left"/>
        <w:tblInd w:w="0" w:type="dxa"/>
        <w:tblLayout w:type="fixed"/>
        <w:tblCellMar>
          <w:top w:w="0" w:type="dxa"/>
          <w:left w:w="0" w:type="dxa"/>
          <w:bottom w:w="28" w:type="dxa"/>
          <w:right w:w="0" w:type="dxa"/>
        </w:tblCellMar>
      </w:tblPr>
      <w:tblGrid>
        <w:gridCol w:w="890"/>
        <w:gridCol w:w="60"/>
        <w:gridCol w:w="3350"/>
      </w:tblGrid>
      <w:tr>
        <w:trPr/>
        <w:tc>
          <w:tcPr>
            <w:tcW w:w="890" w:type="dxa"/>
            <w:tcBorders>
              <w:bottom w:val="single" w:sz="8" w:space="0" w:color="000000"/>
            </w:tcBorders>
            <w:vAlign w:val="center"/>
          </w:tcPr>
          <w:p>
            <w:pPr>
              <w:pStyle w:val="TableContents"/>
              <w:bidi w:val="0"/>
              <w:spacing w:before="0" w:after="283"/>
              <w:jc w:val="center"/>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335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890" w:type="dxa"/>
            <w:tcBorders/>
            <w:tcMar>
              <w:bottom w:w="0" w:type="dxa"/>
            </w:tcMar>
            <w:vAlign w:val="center"/>
          </w:tcPr>
          <w:p>
            <w:pPr>
              <w:pStyle w:val="TableContents"/>
              <w:bidi w:val="0"/>
              <w:spacing w:before="0" w:after="283"/>
              <w:jc w:val="center"/>
              <w:rPr/>
            </w:pPr>
            <w:hyperlink w:anchor="dp245995_ex9901.htm">
              <w:r>
                <w:rPr>
                  <w:rStyle w:val="InternetLink"/>
                </w:rPr>
                <w:t>99.1</w:t>
              </w:r>
            </w:hyperlink>
          </w:p>
        </w:tc>
        <w:tc>
          <w:tcPr>
            <w:tcW w:w="60" w:type="dxa"/>
            <w:tcBorders/>
            <w:tcMar>
              <w:bottom w:w="0" w:type="dxa"/>
            </w:tcMar>
            <w:vAlign w:val="center"/>
          </w:tcPr>
          <w:p>
            <w:pPr>
              <w:pStyle w:val="TableContents"/>
              <w:bidi w:val="0"/>
              <w:spacing w:before="0" w:after="283"/>
              <w:jc w:val="left"/>
              <w:rPr/>
            </w:pPr>
            <w:r>
              <w:rPr/>
              <w:t> </w:t>
            </w:r>
          </w:p>
        </w:tc>
        <w:tc>
          <w:tcPr>
            <w:tcW w:w="3350" w:type="dxa"/>
            <w:tcBorders/>
            <w:tcMar>
              <w:bottom w:w="0" w:type="dxa"/>
            </w:tcMar>
            <w:vAlign w:val="center"/>
          </w:tcPr>
          <w:p>
            <w:pPr>
              <w:pStyle w:val="TableContents"/>
              <w:bidi w:val="0"/>
              <w:spacing w:before="0" w:after="283"/>
              <w:jc w:val="left"/>
              <w:rPr/>
            </w:pPr>
            <w:hyperlink w:anchor="dp245995_ex9901.htm">
              <w:r>
                <w:rPr>
                  <w:rStyle w:val="InternetLink"/>
                </w:rPr>
                <w:t>Press Release dated April 30, 2026</w:t>
              </w:r>
            </w:hyperlink>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5400" w:type="dxa"/>
        <w:jc w:val="left"/>
        <w:tblInd w:w="0" w:type="dxa"/>
        <w:tblLayout w:type="fixed"/>
        <w:tblCellMar>
          <w:top w:w="0" w:type="dxa"/>
          <w:left w:w="0" w:type="dxa"/>
          <w:bottom w:w="0" w:type="dxa"/>
          <w:right w:w="0" w:type="dxa"/>
        </w:tblCellMar>
      </w:tblPr>
      <w:tblGrid>
        <w:gridCol w:w="2000"/>
        <w:gridCol w:w="365"/>
        <w:gridCol w:w="3035"/>
      </w:tblGrid>
      <w:tr>
        <w:trPr/>
        <w:tc>
          <w:tcPr>
            <w:tcW w:w="200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b/>
              </w:rPr>
            </w:pPr>
            <w:r>
              <w:rPr>
                <w:b/>
              </w:rPr>
              <w:t>AC IMMUNE SA</w:t>
            </w:r>
          </w:p>
        </w:tc>
      </w:tr>
      <w:tr>
        <w:trPr/>
        <w:tc>
          <w:tcPr>
            <w:tcW w:w="200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035" w:type="dxa"/>
            <w:tcBorders>
              <w:bottom w:val="single" w:sz="8" w:space="0" w:color="000000"/>
            </w:tcBorders>
            <w:tcMar>
              <w:bottom w:w="28" w:type="dxa"/>
            </w:tcMar>
            <w:vAlign w:val="center"/>
          </w:tcPr>
          <w:p>
            <w:pPr>
              <w:pStyle w:val="TableContents"/>
              <w:bidi w:val="0"/>
              <w:spacing w:before="0" w:after="283"/>
              <w:jc w:val="left"/>
              <w:rPr/>
            </w:pPr>
            <w:r>
              <w:rPr/>
              <w:t>/s/ Andrea Pfeifer</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Name:  Andrea Pfeifer</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Title:    Chief Executive Officer</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3035" w:type="dxa"/>
            <w:tcBorders>
              <w:bottom w:val="single" w:sz="8" w:space="0" w:color="000000"/>
            </w:tcBorders>
            <w:tcMar>
              <w:bottom w:w="28" w:type="dxa"/>
            </w:tcMar>
            <w:vAlign w:val="center"/>
          </w:tcPr>
          <w:p>
            <w:pPr>
              <w:pStyle w:val="TableContents"/>
              <w:bidi w:val="0"/>
              <w:spacing w:before="0" w:after="283"/>
              <w:jc w:val="left"/>
              <w:rPr/>
            </w:pPr>
            <w:r>
              <w:rPr/>
              <w:t>/s/ Christopher Roberts</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Name:  Christopher Roberts</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Title:    Chief Financial Officer</w:t>
            </w:r>
          </w:p>
        </w:tc>
      </w:tr>
      <w:tr>
        <w:trPr/>
        <w:tc>
          <w:tcPr>
            <w:tcW w:w="20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jc w:val="left"/>
              <w:rPr/>
            </w:pPr>
            <w:r>
              <w:rPr/>
              <w:t>Date: April 30, 2026</w:t>
            </w:r>
          </w:p>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bookmarkStart w:id="2" w:name="dp245995_ex9901.htm"/>
      <w:bookmarkStart w:id="3" w:name="ksdp245995_ex990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t> </w:t>
      </w:r>
    </w:p>
    <w:tbl>
      <w:tblPr>
        <w:tblW w:w="4355" w:type="dxa"/>
        <w:jc w:val="left"/>
        <w:tblInd w:w="0" w:type="dxa"/>
        <w:tblLayout w:type="fixed"/>
        <w:tblCellMar>
          <w:top w:w="0" w:type="dxa"/>
          <w:left w:w="0" w:type="dxa"/>
          <w:bottom w:w="0" w:type="dxa"/>
          <w:right w:w="0" w:type="dxa"/>
        </w:tblCellMar>
      </w:tblPr>
      <w:tblGrid>
        <w:gridCol w:w="2760"/>
        <w:gridCol w:w="1595"/>
      </w:tblGrid>
      <w:tr>
        <w:trPr/>
        <w:tc>
          <w:tcPr>
            <w:tcW w:w="2760" w:type="dxa"/>
            <w:tcBorders/>
            <w:vAlign w:val="center"/>
          </w:tcPr>
          <w:p>
            <w:pPr>
              <w:pStyle w:val="TableContents"/>
              <w:bidi w:val="0"/>
              <w:spacing w:before="0" w:after="283"/>
              <w:jc w:val="left"/>
              <w:rPr/>
            </w:pPr>
            <w:r>
              <w:rPr/>
              <w:drawing>
                <wp:inline distT="0" distB="0" distL="0" distR="0">
                  <wp:extent cx="174307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43075" cy="371475"/>
                          </a:xfrm>
                          <a:prstGeom prst="rect">
                            <a:avLst/>
                          </a:prstGeom>
                        </pic:spPr>
                      </pic:pic>
                    </a:graphicData>
                  </a:graphic>
                </wp:inline>
              </w:drawing>
            </w:r>
          </w:p>
        </w:tc>
        <w:tc>
          <w:tcPr>
            <w:tcW w:w="1595" w:type="dxa"/>
            <w:tcBorders/>
            <w:vAlign w:val="center"/>
          </w:tcPr>
          <w:p>
            <w:pPr>
              <w:pStyle w:val="TableContents"/>
              <w:bidi w:val="0"/>
              <w:spacing w:before="0" w:after="283"/>
              <w:jc w:val="right"/>
              <w:rPr>
                <w:b/>
                <w:sz w:val="20"/>
              </w:rPr>
            </w:pPr>
            <w:r>
              <w:rPr>
                <w:b/>
                <w:sz w:val="20"/>
              </w:rPr>
              <w:t>PRESS RELEASE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AC Immune First Quarter 2026 Financial and Corporate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Dosed first subjects in Phase 1 trial of brain-penetrant small molecule NLRP3 inhibitor ACI-19764 with SAD/MAD results in healthy volunteers expected in H2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 xml:space="preserve">Initiated final cohort, AD4, in ABATE Phase 1b/2 trial of ACI-24 to treat Alzheimer's Disease triggers milestone payment, </w:t>
            </w:r>
            <w:r>
              <w:rPr>
                <w:rFonts w:ascii="Arial;Helvetica;Sans-Serif" w:hAnsi="Arial;Helvetica;Sans-Serif"/>
                <w:color w:val="000000"/>
              </w:rPr>
              <w:t>as announced separately today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Amended Morphomer</w:t>
            </w:r>
            <w:r>
              <w:rPr>
                <w:rFonts w:ascii="Arial;Helvetica;Sans-Serif" w:hAnsi="Arial;Helvetica;Sans-Serif"/>
                <w:position w:val="8"/>
                <w:sz w:val="19"/>
              </w:rPr>
              <w:t>®</w:t>
            </w:r>
            <w:r>
              <w:rPr>
                <w:rFonts w:ascii="Arial;Helvetica;Sans-Serif" w:hAnsi="Arial;Helvetica;Sans-Serif"/>
              </w:rPr>
              <w:t xml:space="preserve"> Tau collaboration with Lilly reflects growing excitement for targeting intracellular Tau and significant progress with our Morphomer</w:t>
            </w:r>
            <w:r>
              <w:rPr>
                <w:rFonts w:ascii="Arial;Helvetica;Sans-Serif" w:hAnsi="Arial;Helvetica;Sans-Serif"/>
                <w:position w:val="8"/>
                <w:sz w:val="19"/>
              </w:rPr>
              <w:t>®</w:t>
            </w:r>
            <w:r>
              <w:rPr>
                <w:rFonts w:ascii="Arial;Helvetica;Sans-Serif" w:hAnsi="Arial;Helvetica;Sans-Serif"/>
              </w:rPr>
              <w:t xml:space="preserve"> small molecules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Approaching multiple milestones including 12-month interim results of the AD3 cohort in ABATE in Q2 2026 and full data from Part 1 of ACI-7104 VacSYn Phase 2 trial expected in H2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4"/>
        <w:gridCol w:w="10031"/>
      </w:tblGrid>
      <w:tr>
        <w:trPr/>
        <w:tc>
          <w:tcPr>
            <w:tcW w:w="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Symbol" w:hAnsi="Symbol"/>
              </w:rPr>
            </w:pPr>
            <w:r>
              <w:rPr>
                <w:rFonts w:ascii="Symbol" w:hAnsi="Symbol"/>
              </w:rPr>
              <w:t>·</w:t>
            </w:r>
          </w:p>
        </w:tc>
        <w:tc>
          <w:tcPr>
            <w:tcW w:w="10031"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 xml:space="preserve">Cash resources of CHF 74.8 million as of March 31, 2026, provide funding into Q4 2027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Lausanne, Switzerland, April 30, 2026 -- </w:t>
      </w:r>
      <w:r>
        <w:rPr>
          <w:rFonts w:ascii="Arial;Helvetica;Sans-Serif" w:hAnsi="Arial;Helvetica;Sans-Serif"/>
          <w:b w:val="false"/>
          <w:i w:val="false"/>
          <w:caps w:val="false"/>
          <w:smallCaps w:val="false"/>
          <w:sz w:val="20"/>
        </w:rPr>
        <w:t>AC Immune SA (NASDAQ: ACIU), a clinical-stage biopharmaceutical company pioneering precision therapeutics for neurodegenerative diseases, today provided financial and corporate updates for the quarter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Dr. Andrea Pfeifer, CEO of AC Immune SA, commented:</w:t>
      </w:r>
      <w:r>
        <w:rPr>
          <w:rFonts w:ascii="Arial;Helvetica;Sans-Serif" w:hAnsi="Arial;Helvetica;Sans-Serif"/>
          <w:b w:val="false"/>
          <w:i w:val="false"/>
          <w:caps w:val="false"/>
          <w:smallCaps w:val="false"/>
          <w:sz w:val="20"/>
        </w:rPr>
        <w:t xml:space="preserve"> “The progress in our collaborations with Takeda and Eli Lilly reflect great confidence in our anti-Abeta active immunotherapy and Tau aggregation inhibitor small molecules, respectively. These have the potential to change the way we target the proteinopathies that drive Alzheimer’s and other neurodegenerative diseases (NDDs). This is further exemplified by the presentation of the interim results for ACI-7104 at AD/PD 2026 showing that our active immunotherapy targeting a-synuclein (a-syn) has the potential to modify disease pathology in Parkinson’s disease (PD). We also advanced our NLRP3 inhibitor ACI-19764 into clinical development, further demonstrating the power of AC Immune’s technology to target the key pathways that contribute to neurodegeneration.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20"/>
        </w:rPr>
        <w:t>We are now moving towards multiple value inflection points during 2026. These include Phase 2 data readouts on our active immunotherapies ACI-7104 and ACI-24, and initial results from the Phase 1 trial of ACI-19764 also anticipated this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Q1 2026 and Subsequent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ACI-24 anti-Abeta active immunotherapy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 xml:space="preserve">As </w:t>
            </w:r>
            <w:r>
              <w:rPr>
                <w:rFonts w:ascii="Arial;Helvetica;Sans-Serif" w:hAnsi="Arial;Helvetica;Sans-Serif"/>
                <w:color w:val="000000"/>
              </w:rPr>
              <w:t>announced separately today</w:t>
            </w:r>
            <w:r>
              <w:rPr>
                <w:rFonts w:ascii="Arial;Helvetica;Sans-Serif" w:hAnsi="Arial;Helvetica;Sans-Serif"/>
              </w:rPr>
              <w:t>, AC Immune has initiated the final cohort, AD4, in the ongoing Phase 1b/2 ABATE trial of ACI-24 to treat Alzheimer's Disease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Treatment of the first patient in cohort AD4 triggers a $12 million milestone payment from Takeda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4355" w:type="dxa"/>
        <w:jc w:val="left"/>
        <w:tblInd w:w="0" w:type="dxa"/>
        <w:tblLayout w:type="fixed"/>
        <w:tblCellMar>
          <w:top w:w="0" w:type="dxa"/>
          <w:left w:w="0" w:type="dxa"/>
          <w:bottom w:w="0" w:type="dxa"/>
          <w:right w:w="0" w:type="dxa"/>
        </w:tblCellMar>
      </w:tblPr>
      <w:tblGrid>
        <w:gridCol w:w="2760"/>
        <w:gridCol w:w="1595"/>
      </w:tblGrid>
      <w:tr>
        <w:trPr/>
        <w:tc>
          <w:tcPr>
            <w:tcW w:w="2760" w:type="dxa"/>
            <w:tcBorders/>
            <w:vAlign w:val="center"/>
          </w:tcPr>
          <w:p>
            <w:pPr>
              <w:pStyle w:val="TableContents"/>
              <w:bidi w:val="0"/>
              <w:spacing w:before="0" w:after="283"/>
              <w:jc w:val="left"/>
              <w:rPr/>
            </w:pPr>
            <w:r>
              <w:rPr/>
              <w:drawing>
                <wp:inline distT="0" distB="0" distL="0" distR="0">
                  <wp:extent cx="1743075"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43075" cy="371475"/>
                          </a:xfrm>
                          <a:prstGeom prst="rect">
                            <a:avLst/>
                          </a:prstGeom>
                        </pic:spPr>
                      </pic:pic>
                    </a:graphicData>
                  </a:graphic>
                </wp:inline>
              </w:drawing>
            </w:r>
          </w:p>
        </w:tc>
        <w:tc>
          <w:tcPr>
            <w:tcW w:w="1595" w:type="dxa"/>
            <w:tcBorders/>
            <w:vAlign w:val="center"/>
          </w:tcPr>
          <w:p>
            <w:pPr>
              <w:pStyle w:val="TableContents"/>
              <w:bidi w:val="0"/>
              <w:spacing w:before="0" w:after="283"/>
              <w:jc w:val="right"/>
              <w:rPr>
                <w:b/>
                <w:sz w:val="20"/>
              </w:rPr>
            </w:pPr>
            <w:r>
              <w:rPr>
                <w:b/>
                <w:sz w:val="20"/>
              </w:rPr>
              <w:t>PRESS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Morphomer-Tau small molecule program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rFonts w:ascii="Arial;Helvetica;Sans-Serif" w:hAnsi="Arial;Helvetica;Sans-Serif"/>
                <w:color w:val="000000"/>
              </w:rPr>
              <w:t>Amended agreement with Eli Lilly and Co.</w:t>
            </w:r>
            <w:r>
              <w:rPr/>
              <w:t xml:space="preserve"> </w:t>
            </w:r>
            <w:r>
              <w:rPr>
                <w:rFonts w:ascii="Arial;Helvetica;Sans-Serif" w:hAnsi="Arial;Helvetica;Sans-Serif"/>
              </w:rPr>
              <w:t>(Lilly) reflects growing excitement for targeting intracellular Tau and significant progress with our Morphomer small molecules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The amendment continues the research and collaboration to cover development of new lead Tau Morphomer</w:t>
            </w:r>
            <w:r>
              <w:rPr>
                <w:rFonts w:ascii="Arial;Helvetica;Sans-Serif" w:hAnsi="Arial;Helvetica;Sans-Serif"/>
                <w:position w:val="8"/>
                <w:sz w:val="19"/>
              </w:rPr>
              <w:t>®</w:t>
            </w:r>
            <w:r>
              <w:rPr>
                <w:rFonts w:ascii="Arial;Helvetica;Sans-Serif" w:hAnsi="Arial;Helvetica;Sans-Serif"/>
              </w:rPr>
              <w:t xml:space="preserve"> candidates and potential back-up compounds.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Under this amendment, AC Immune receives a CHF10 million upfront payment (Q2 2026 event) and a subsequent milestone payment subject to Phase 1 dosing, in addition to milestones announced in a prior amendment. AC Immune is eligible for further development, regulatory and commercial milestones of over CHF1.7 billion, plus tiered percentage royalty payments in the low double digits, as previously disclosed.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34"/>
        <w:gridCol w:w="10031"/>
      </w:tblGrid>
      <w:tr>
        <w:trPr/>
        <w:tc>
          <w:tcPr>
            <w:tcW w:w="4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Symbol" w:hAnsi="Symbol"/>
              </w:rPr>
            </w:pPr>
            <w:r>
              <w:rPr>
                <w:rFonts w:ascii="Symbol" w:hAnsi="Symbol"/>
              </w:rPr>
              <w:t>·</w:t>
            </w:r>
          </w:p>
        </w:tc>
        <w:tc>
          <w:tcPr>
            <w:tcW w:w="10031"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Investigational New Drug (IND)-enabling studies are expected to be initiated imminently.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ACI-7104, anti-a-syn active immunotherapy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 xml:space="preserve">Presented updated interim results from Part 1 of the Phase 2 VacSYn clinical trial in early-stage Parkinson's disease at the International Conference on Alzheimer’s and Parkinson’s Diseases (AD/PD™ 2026), including promising biomarker data.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Interim results previously presented include changes in biomarkers and clinical measures all suggesting potential disease modification through treatment with ACI-7104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Final results for the week 104 full data set from Part 1 of the VacSYn trial expected to be reported in H2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NLRP3 inhibitor, ACI-19764, small molecule program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 xml:space="preserve">Dosed the </w:t>
            </w:r>
            <w:r>
              <w:rPr>
                <w:rFonts w:ascii="Arial;Helvetica;Sans-Serif" w:hAnsi="Arial;Helvetica;Sans-Serif"/>
                <w:color w:val="000000"/>
              </w:rPr>
              <w:t>first subjects in a Phase 1 clinical trial of ACI-19764</w:t>
            </w:r>
            <w:r>
              <w:rPr>
                <w:rFonts w:ascii="Arial;Helvetica;Sans-Serif" w:hAnsi="Arial;Helvetica;Sans-Serif"/>
              </w:rPr>
              <w:t>, a brain-penetrant Morphomer small molecule targeting the NLRP3 inflammasome.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Morphomer NLRP3 inhibitors have potential to intervene at the earliest stages of disease in neurodegenerative conditions, including AD, PD, amyotrophic lateral sclerosis (ALS) and frontotemporal dementia.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Potential additional indications include inflammatory disorders, cardiovascular disease, metabolic disorders, skin inflammatory diseases, and certain rare diseases, among others.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ACI-35 (JNJ-2056) anti-pTau active immunotherapy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AC Immune’s partner Janssen Pharmaceuticals, Inc. (Janssen), a Johnson &amp; Johnson company, is seeking a protocol amendment for the ReTain study to enable earlier insights into the biological activity of JNJ-2056 and its potential for clinical benefit. Submissions to all relevant health authorities are ongoing.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 xml:space="preserve">The study remains active, with enrollment paused, and there is no change for enrolled participants at this time.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4355" w:type="dxa"/>
        <w:jc w:val="left"/>
        <w:tblInd w:w="0" w:type="dxa"/>
        <w:tblLayout w:type="fixed"/>
        <w:tblCellMar>
          <w:top w:w="0" w:type="dxa"/>
          <w:left w:w="0" w:type="dxa"/>
          <w:bottom w:w="0" w:type="dxa"/>
          <w:right w:w="0" w:type="dxa"/>
        </w:tblCellMar>
      </w:tblPr>
      <w:tblGrid>
        <w:gridCol w:w="2760"/>
        <w:gridCol w:w="1595"/>
      </w:tblGrid>
      <w:tr>
        <w:trPr/>
        <w:tc>
          <w:tcPr>
            <w:tcW w:w="2760" w:type="dxa"/>
            <w:tcBorders/>
            <w:vAlign w:val="center"/>
          </w:tcPr>
          <w:p>
            <w:pPr>
              <w:pStyle w:val="TableContents"/>
              <w:bidi w:val="0"/>
              <w:spacing w:before="0" w:after="283"/>
              <w:jc w:val="left"/>
              <w:rPr/>
            </w:pPr>
            <w:r>
              <w:rPr/>
              <w:drawing>
                <wp:inline distT="0" distB="0" distL="0" distR="0">
                  <wp:extent cx="1743075" cy="37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43075" cy="371475"/>
                          </a:xfrm>
                          <a:prstGeom prst="rect">
                            <a:avLst/>
                          </a:prstGeom>
                        </pic:spPr>
                      </pic:pic>
                    </a:graphicData>
                  </a:graphic>
                </wp:inline>
              </w:drawing>
            </w:r>
          </w:p>
        </w:tc>
        <w:tc>
          <w:tcPr>
            <w:tcW w:w="1595" w:type="dxa"/>
            <w:tcBorders/>
            <w:vAlign w:val="center"/>
          </w:tcPr>
          <w:p>
            <w:pPr>
              <w:pStyle w:val="TableContents"/>
              <w:bidi w:val="0"/>
              <w:spacing w:before="0" w:after="283"/>
              <w:jc w:val="right"/>
              <w:rPr>
                <w:b/>
                <w:sz w:val="20"/>
              </w:rPr>
            </w:pPr>
            <w:r>
              <w:rPr>
                <w:b/>
                <w:sz w:val="20"/>
              </w:rPr>
              <w:t>PRESS RELEASE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The study is ongoing based on ~60 enrolled patients with a minimum of 12 months and up to 24 months of treatment and follow-up.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TDP-43 PET tracer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rFonts w:ascii="Arial;Helvetica;Sans-Serif" w:hAnsi="Arial;Helvetica;Sans-Serif"/>
                <w:color w:val="000000"/>
              </w:rPr>
              <w:t>Presented</w:t>
            </w:r>
            <w:r>
              <w:rPr/>
              <w:t xml:space="preserve"> </w:t>
            </w:r>
            <w:r>
              <w:rPr>
                <w:rFonts w:ascii="Arial;Helvetica;Sans-Serif" w:hAnsi="Arial;Helvetica;Sans-Serif"/>
              </w:rPr>
              <w:t xml:space="preserve">Phase 1 data including the first </w:t>
            </w:r>
            <w:r>
              <w:rPr>
                <w:rFonts w:ascii="Arial;Helvetica;Sans-Serif" w:hAnsi="Arial;Helvetica;Sans-Serif"/>
                <w:i/>
              </w:rPr>
              <w:t>in vivo</w:t>
            </w:r>
            <w:r>
              <w:rPr>
                <w:rFonts w:ascii="Arial;Helvetica;Sans-Serif" w:hAnsi="Arial;Helvetica;Sans-Serif"/>
              </w:rPr>
              <w:t xml:space="preserve"> images of TDP-43 pathology in the human brain, detected using its first-in-class positron emission tomography (PET) tracer ACI-19626, at the International Conference on Alzheimer’s and Parkinson’s Disease (AD/PD™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 xml:space="preserve">Initial Phase 1 data (PET scans) with ACI-19626 showed that tracer uptake was significantly higher in key regions of the brain in patients with frontotemporal dementia (FTD) and we are currently evaluating the tracer in ALS patients.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Clinical data indicate a pharmacokinetic (PK) profile suitable for human brain imaging and potentially pharmacodynamic analysis of therapeutics targeting TDP-43 pathology.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AC Immune AD/PD</w:t>
      </w:r>
      <w:r>
        <w:rPr>
          <w:rFonts w:ascii="Arial;Helvetica;Sans-Serif" w:hAnsi="Arial;Helvetica;Sans-Serif"/>
          <w:b w:val="false"/>
          <w:i/>
          <w:caps w:val="false"/>
          <w:smallCaps w:val="false"/>
          <w:position w:val="7"/>
          <w:sz w:val="16"/>
          <w:sz w:val="20"/>
        </w:rPr>
        <w:t>TM</w:t>
      </w:r>
      <w:r>
        <w:rPr>
          <w:rFonts w:ascii="Arial;Helvetica;Sans-Serif" w:hAnsi="Arial;Helvetica;Sans-Serif"/>
          <w:b w:val="false"/>
          <w:i/>
          <w:caps w:val="false"/>
          <w:smallCaps w:val="false"/>
          <w:sz w:val="20"/>
        </w:rPr>
        <w:t xml:space="preserve"> 2026 symposium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 xml:space="preserve">Hosted an </w:t>
            </w:r>
            <w:r>
              <w:rPr>
                <w:rFonts w:ascii="Arial;Helvetica;Sans-Serif" w:hAnsi="Arial;Helvetica;Sans-Serif"/>
                <w:color w:val="000000"/>
              </w:rPr>
              <w:t>industry symposium</w:t>
            </w:r>
            <w:r>
              <w:rPr>
                <w:rFonts w:ascii="Arial;Helvetica;Sans-Serif" w:hAnsi="Arial;Helvetica;Sans-Serif"/>
              </w:rPr>
              <w:t xml:space="preserve"> on achieving precision prevention in Parkinson’s disease, highlighting Phase 2 clinical data on our ACI-7104 active immunotherapy, our small molecule programs targeting intracellular alpha-synuclein, and innovative diagnostic approaches to identifying at-risk individuals.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Anticipated 2026 Milestones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shd w:fill="FFFFFF" w:val="clear"/>
        <w:tblLayout w:type="fixed"/>
        <w:tblCellMar>
          <w:top w:w="28" w:type="dxa"/>
          <w:left w:w="28" w:type="dxa"/>
          <w:bottom w:w="28" w:type="dxa"/>
          <w:right w:w="28" w:type="dxa"/>
        </w:tblCellMar>
      </w:tblPr>
      <w:tblGrid>
        <w:gridCol w:w="2770"/>
        <w:gridCol w:w="6271"/>
        <w:gridCol w:w="1164"/>
      </w:tblGrid>
      <w:tr>
        <w:trPr/>
        <w:tc>
          <w:tcPr>
            <w:tcW w:w="2770" w:type="dxa"/>
            <w:tcBorders>
              <w:top w:val="single" w:sz="8" w:space="0" w:color="CCCCCC"/>
              <w:left w:val="single" w:sz="8" w:space="0" w:color="CCCCCC"/>
              <w:bottom w:val="single" w:sz="8" w:space="0" w:color="CCCCCC"/>
              <w:right w:val="single" w:sz="8" w:space="0" w:color="CCCCCC"/>
            </w:tcBorders>
            <w:shd w:fill="FFFFFF"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Program</w:t>
            </w:r>
          </w:p>
        </w:tc>
        <w:tc>
          <w:tcPr>
            <w:tcW w:w="6271" w:type="dxa"/>
            <w:tcBorders>
              <w:top w:val="single" w:sz="8" w:space="0" w:color="CCCCCC"/>
              <w:bottom w:val="single" w:sz="8" w:space="0" w:color="CCCCCC"/>
              <w:right w:val="single" w:sz="8" w:space="0" w:color="CCCCCC"/>
            </w:tcBorders>
            <w:shd w:fill="FFFFFF" w:val="clear"/>
            <w:tcMar>
              <w:left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Milestone</w:t>
            </w:r>
          </w:p>
        </w:tc>
        <w:tc>
          <w:tcPr>
            <w:tcW w:w="1164" w:type="dxa"/>
            <w:tcBorders>
              <w:top w:val="single" w:sz="8" w:space="0" w:color="CCCCCC"/>
              <w:bottom w:val="single" w:sz="8" w:space="0" w:color="CCCCCC"/>
              <w:right w:val="single" w:sz="8" w:space="0" w:color="CCCCCC"/>
            </w:tcBorders>
            <w:shd w:fill="FFFFFF" w:val="clear"/>
            <w:tcMar>
              <w:left w:w="0" w:type="dxa"/>
            </w:tcM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Expected in</w:t>
            </w:r>
          </w:p>
        </w:tc>
      </w:tr>
      <w:tr>
        <w:trPr/>
        <w:tc>
          <w:tcPr>
            <w:tcW w:w="2770" w:type="dxa"/>
            <w:tcBorders>
              <w:left w:val="single" w:sz="8" w:space="0" w:color="CCCCCC"/>
              <w:bottom w:val="single" w:sz="8" w:space="0" w:color="CCCCCC"/>
              <w:right w:val="single" w:sz="8" w:space="0" w:color="CCCCCC"/>
            </w:tcBorders>
            <w:shd w:fill="FFFFFF" w:val="clear"/>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ACI-7104.056</w:t>
              <w:br/>
              <w:t xml:space="preserve">anti-a-syn active immunotherapy </w:t>
            </w:r>
          </w:p>
        </w:tc>
        <w:tc>
          <w:tcPr>
            <w:tcW w:w="6271" w:type="dxa"/>
            <w:tcBorders>
              <w:bottom w:val="single" w:sz="8" w:space="0" w:color="CCCCCC"/>
              <w:right w:val="single" w:sz="8" w:space="0" w:color="CCCCCC"/>
            </w:tcBorders>
            <w:shd w:fill="FFFFFF" w:val="clear"/>
            <w:tcMar>
              <w:top w:w="0" w:type="dxa"/>
              <w:lef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Final data from Part 1 of the Phase 2 VacSYn trial in PD </w:t>
            </w:r>
          </w:p>
        </w:tc>
        <w:tc>
          <w:tcPr>
            <w:tcW w:w="1164" w:type="dxa"/>
            <w:tcBorders>
              <w:bottom w:val="single" w:sz="8" w:space="0" w:color="CCCCCC"/>
              <w:right w:val="single" w:sz="8" w:space="0" w:color="CCCCCC"/>
            </w:tcBorders>
            <w:shd w:fill="FFFFFF" w:val="clear"/>
            <w:tcMar>
              <w:top w:w="0" w:type="dxa"/>
              <w:lef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H2 2026</w:t>
            </w:r>
          </w:p>
        </w:tc>
      </w:tr>
      <w:tr>
        <w:trPr/>
        <w:tc>
          <w:tcPr>
            <w:tcW w:w="2770" w:type="dxa"/>
            <w:tcBorders>
              <w:left w:val="single" w:sz="8" w:space="0" w:color="CCCCCC"/>
              <w:bottom w:val="single" w:sz="8" w:space="0" w:color="CCCCCC"/>
              <w:right w:val="single" w:sz="8" w:space="0" w:color="CCCCCC"/>
            </w:tcBorders>
            <w:shd w:fill="FFFFFF" w:val="clear"/>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ACI-24.060</w:t>
              <w:br/>
              <w:t>anti-Abeta active immunotherapy</w:t>
            </w:r>
          </w:p>
        </w:tc>
        <w:tc>
          <w:tcPr>
            <w:tcW w:w="6271" w:type="dxa"/>
            <w:tcBorders>
              <w:bottom w:val="single" w:sz="8" w:space="0" w:color="CCCCCC"/>
              <w:right w:val="single" w:sz="8" w:space="0" w:color="CCCCCC"/>
            </w:tcBorders>
            <w:shd w:fill="FFFFFF" w:val="clear"/>
            <w:tcMar>
              <w:top w:w="0" w:type="dxa"/>
              <w:lef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Interim results from ABATE Phase 2 trial after reaching 12-month treatment timepoint in the AD3 cohort</w:t>
            </w:r>
          </w:p>
        </w:tc>
        <w:tc>
          <w:tcPr>
            <w:tcW w:w="1164" w:type="dxa"/>
            <w:tcBorders>
              <w:bottom w:val="single" w:sz="8" w:space="0" w:color="CCCCCC"/>
              <w:right w:val="single" w:sz="8" w:space="0" w:color="CCCCCC"/>
            </w:tcBorders>
            <w:shd w:fill="FFFFFF" w:val="clear"/>
            <w:tcMar>
              <w:top w:w="0" w:type="dxa"/>
              <w:lef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H1 2026</w:t>
            </w:r>
          </w:p>
        </w:tc>
      </w:tr>
      <w:tr>
        <w:trPr/>
        <w:tc>
          <w:tcPr>
            <w:tcW w:w="2770" w:type="dxa"/>
            <w:tcBorders>
              <w:left w:val="single" w:sz="8" w:space="0" w:color="CCCCCC"/>
              <w:right w:val="single" w:sz="8" w:space="0" w:color="CCCCCC"/>
            </w:tcBorders>
            <w:shd w:fill="FFFFFF" w:val="clear"/>
            <w:tcMar>
              <w:top w:w="0" w:type="dxa"/>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ACI-19764</w:t>
              <w:br/>
              <w:t>NLRP3 inhibitor</w:t>
            </w:r>
          </w:p>
        </w:tc>
        <w:tc>
          <w:tcPr>
            <w:tcW w:w="6271" w:type="dxa"/>
            <w:tcBorders>
              <w:bottom w:val="single" w:sz="8" w:space="0" w:color="CCCCCC"/>
              <w:right w:val="single" w:sz="8" w:space="0" w:color="CCCCCC"/>
            </w:tcBorders>
            <w:shd w:fill="FFFFFF" w:val="clear"/>
            <w:tcMar>
              <w:top w:w="0" w:type="dxa"/>
              <w:lef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Results from Phase 1 trial in healthy volunteers</w:t>
            </w:r>
          </w:p>
        </w:tc>
        <w:tc>
          <w:tcPr>
            <w:tcW w:w="1164" w:type="dxa"/>
            <w:tcBorders>
              <w:bottom w:val="single" w:sz="8" w:space="0" w:color="CCCCCC"/>
              <w:right w:val="single" w:sz="8" w:space="0" w:color="CCCCCC"/>
            </w:tcBorders>
            <w:shd w:fill="FFFFFF" w:val="clear"/>
            <w:tcMar>
              <w:top w:w="0" w:type="dxa"/>
              <w:lef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H2 2026</w:t>
            </w:r>
          </w:p>
        </w:tc>
      </w:tr>
      <w:tr>
        <w:trPr/>
        <w:tc>
          <w:tcPr>
            <w:tcW w:w="2770" w:type="dxa"/>
            <w:tcBorders>
              <w:top w:val="single" w:sz="8" w:space="0" w:color="CCCCCC"/>
              <w:left w:val="single" w:sz="8" w:space="0" w:color="CCCCCC"/>
              <w:bottom w:val="single" w:sz="8" w:space="0" w:color="CCCCCC"/>
              <w:right w:val="single" w:sz="8" w:space="0" w:color="CCCCCC"/>
            </w:tcBorders>
            <w:shd w:fill="FFFFFF" w:val="cle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Morphomer-Tau aggregation inhibitors </w:t>
            </w:r>
          </w:p>
        </w:tc>
        <w:tc>
          <w:tcPr>
            <w:tcW w:w="6271" w:type="dxa"/>
            <w:tcBorders>
              <w:bottom w:val="single" w:sz="8" w:space="0" w:color="CCCCCC"/>
              <w:right w:val="single" w:sz="8" w:space="0" w:color="CCCCCC"/>
            </w:tcBorders>
            <w:shd w:fill="FFFFFF" w:val="clear"/>
            <w:tcMar>
              <w:top w:w="0" w:type="dxa"/>
              <w:lef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Initiation of IND-enabling studies</w:t>
            </w:r>
          </w:p>
        </w:tc>
        <w:tc>
          <w:tcPr>
            <w:tcW w:w="1164" w:type="dxa"/>
            <w:tcBorders>
              <w:bottom w:val="single" w:sz="8" w:space="0" w:color="CCCCCC"/>
              <w:right w:val="single" w:sz="8" w:space="0" w:color="CCCCCC"/>
            </w:tcBorders>
            <w:shd w:fill="FFFFFF" w:val="clear"/>
            <w:tcMar>
              <w:top w:w="0" w:type="dxa"/>
              <w:lef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H1 2026</w:t>
            </w:r>
          </w:p>
        </w:tc>
      </w:tr>
      <w:tr>
        <w:trPr/>
        <w:tc>
          <w:tcPr>
            <w:tcW w:w="2770" w:type="dxa"/>
            <w:tcBorders>
              <w:left w:val="single" w:sz="8" w:space="0" w:color="CCCCCC"/>
              <w:bottom w:val="single" w:sz="8" w:space="0" w:color="CCCCCC"/>
              <w:right w:val="single" w:sz="8" w:space="0" w:color="CCCCCC"/>
            </w:tcBorders>
            <w:shd w:fill="FFFFFF" w:val="clear"/>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Morphomer a-syn aggregation inhibitor</w:t>
            </w:r>
          </w:p>
        </w:tc>
        <w:tc>
          <w:tcPr>
            <w:tcW w:w="6271" w:type="dxa"/>
            <w:tcBorders>
              <w:bottom w:val="single" w:sz="8" w:space="0" w:color="CCCCCC"/>
              <w:right w:val="single" w:sz="8" w:space="0" w:color="CCCCCC"/>
            </w:tcBorders>
            <w:shd w:fill="FFFFFF" w:val="clear"/>
            <w:tcMar>
              <w:top w:w="0" w:type="dxa"/>
              <w:lef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Lead declaration</w:t>
            </w:r>
          </w:p>
        </w:tc>
        <w:tc>
          <w:tcPr>
            <w:tcW w:w="1164" w:type="dxa"/>
            <w:tcBorders>
              <w:bottom w:val="single" w:sz="8" w:space="0" w:color="CCCCCC"/>
              <w:right w:val="single" w:sz="8" w:space="0" w:color="CCCCCC"/>
            </w:tcBorders>
            <w:shd w:fill="FFFFFF" w:val="clear"/>
            <w:tcMar>
              <w:top w:w="0" w:type="dxa"/>
              <w:left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H1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Analysis of Financial Statements for the Quarter Ended March 31,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b/>
              </w:rPr>
              <w:t>Cash Position:</w:t>
            </w:r>
            <w:r>
              <w:rPr>
                <w:rFonts w:ascii="Arial;Helvetica;Sans-Serif" w:hAnsi="Arial;Helvetica;Sans-Serif"/>
              </w:rPr>
              <w:t xml:space="preserve"> The Company had total cash resources of CHF 74.8 million (CHF 91.4 million as of December 31, 2025), composed of CHF 19.2 million in cash and cash equivalents and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4355" w:type="dxa"/>
        <w:jc w:val="left"/>
        <w:tblInd w:w="0" w:type="dxa"/>
        <w:tblLayout w:type="fixed"/>
        <w:tblCellMar>
          <w:top w:w="0" w:type="dxa"/>
          <w:left w:w="0" w:type="dxa"/>
          <w:bottom w:w="0" w:type="dxa"/>
          <w:right w:w="0" w:type="dxa"/>
        </w:tblCellMar>
      </w:tblPr>
      <w:tblGrid>
        <w:gridCol w:w="2760"/>
        <w:gridCol w:w="1595"/>
      </w:tblGrid>
      <w:tr>
        <w:trPr/>
        <w:tc>
          <w:tcPr>
            <w:tcW w:w="2760" w:type="dxa"/>
            <w:tcBorders/>
            <w:vAlign w:val="center"/>
          </w:tcPr>
          <w:p>
            <w:pPr>
              <w:pStyle w:val="TableContents"/>
              <w:bidi w:val="0"/>
              <w:spacing w:before="0" w:after="283"/>
              <w:jc w:val="left"/>
              <w:rPr/>
            </w:pPr>
            <w:r>
              <w:rPr/>
              <w:drawing>
                <wp:inline distT="0" distB="0" distL="0" distR="0">
                  <wp:extent cx="1743075" cy="37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43075" cy="371475"/>
                          </a:xfrm>
                          <a:prstGeom prst="rect">
                            <a:avLst/>
                          </a:prstGeom>
                        </pic:spPr>
                      </pic:pic>
                    </a:graphicData>
                  </a:graphic>
                </wp:inline>
              </w:drawing>
            </w:r>
          </w:p>
        </w:tc>
        <w:tc>
          <w:tcPr>
            <w:tcW w:w="1595" w:type="dxa"/>
            <w:tcBorders/>
            <w:vAlign w:val="center"/>
          </w:tcPr>
          <w:p>
            <w:pPr>
              <w:pStyle w:val="TableContents"/>
              <w:bidi w:val="0"/>
              <w:spacing w:before="0" w:after="283"/>
              <w:jc w:val="right"/>
              <w:rPr>
                <w:b/>
                <w:sz w:val="20"/>
              </w:rPr>
            </w:pPr>
            <w:r>
              <w:rPr>
                <w:b/>
                <w:sz w:val="20"/>
              </w:rPr>
              <w:t>PRESS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CHF 55.6 million in short-term financial assets. The Company’s cash resources are expected to provide sufficient capital to last into Q4 2027, excluding potential milestone payments.</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b/>
              </w:rPr>
              <w:t>R&amp;D expenditures:</w:t>
            </w:r>
            <w:r>
              <w:rPr>
                <w:rFonts w:ascii="Arial;Helvetica;Sans-Serif" w:hAnsi="Arial;Helvetica;Sans-Serif"/>
              </w:rPr>
              <w:t xml:space="preserve"> R&amp;D expenses for the three months ended March 31, 2026, were CHF 11.8 million, compared with CHF 15.9 million for the comparable period in 2025. The decrease was partly due to lower personnel and operational spend of approximately CHF 1.7 million as a result of our pipeline focus initiatives announced in Q3 2025, as well as lower spend associated with our active immunotherapy programs, particularly in the upfront CMC costs prior to initiation of phase 2 studies.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b/>
              </w:rPr>
              <w:t>G&amp;A expenditures:</w:t>
            </w:r>
            <w:r>
              <w:rPr>
                <w:rFonts w:ascii="Arial;Helvetica;Sans-Serif" w:hAnsi="Arial;Helvetica;Sans-Serif"/>
              </w:rPr>
              <w:t xml:space="preserve"> G&amp;A expenses in the period were CHF 4.2 million in the period ended March 31, 2026, compared to CHF 4.4 million for same period in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b/>
              </w:rPr>
              <w:t>Financial result:</w:t>
            </w:r>
            <w:r>
              <w:rPr>
                <w:rFonts w:ascii="Arial;Helvetica;Sans-Serif" w:hAnsi="Arial;Helvetica;Sans-Serif"/>
              </w:rPr>
              <w:t xml:space="preserve"> The financial result was a loss of less than CHF 0.1 million for the period, compared with a gain of CHF 0.3 million for the comparable period. The change was primarily driven by a decrease in interest income earned on short-term financial assets, partially offset by lower foreign exchange losses.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b/>
              </w:rPr>
              <w:t>IFRS loss for the period</w:t>
            </w:r>
            <w:r>
              <w:rPr>
                <w:rFonts w:ascii="Arial;Helvetica;Sans-Serif" w:hAnsi="Arial;Helvetica;Sans-Serif"/>
              </w:rPr>
              <w:t>: The Company had a net loss of CHF 14.8 million for the period ended March 31, 2026, compared to CHF 19.0 million for the same period in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AC Immune SA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 Immune SA is a clinical-stage biopharmaceutical company and a global leader in precision prevention for neurodegenerative diseases, including Alzheimer’s disease, Parkinson’s disease, and NeuroOrphan indications driven by misfolded proteins. The Company’s two clinically validated technology platforms, SupraAntigen</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 xml:space="preserve"> and Morphomer</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 fuel its pipeline of first- and best-in-class assets, which currently features a range of therapeutic and diagnostic programs, including candidates in Phase 2 and Phase 3 development. AC Immune has a strong track record of securing strategic partnerships with leading global pharmaceutical companies, resulting in substantial non-dilutive funding to advance its proprietary programs and &gt;$4.5 billion in potential milestone payments plus royalties.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SupraAntigen</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 xml:space="preserve"> is a registered trademark of AC Immune SA in the following territories: AU, EU, CH, GB, JP, RU, SG and USA. Morphomer</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 xml:space="preserve"> is a registered trademark of AC Immune SA in CA, CN, CH, EU, GB, JP, KR, NO, RU and SG.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on our website and any other websites referenced herein is expressly not incorporated by reference into, and does not constitute a part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 further information, please contact:</w:t>
      </w:r>
    </w:p>
    <w:p>
      <w:pPr>
        <w:pStyle w:val="TextBody"/>
        <w:bidi w:val="0"/>
        <w:spacing w:before="0" w:after="0"/>
        <w:ind w:left="0" w:right="0" w:hanging="0"/>
        <w:jc w:val="left"/>
        <w:rPr>
          <w:caps w:val="false"/>
          <w:smallCaps w:val="false"/>
        </w:rPr>
      </w:pPr>
      <w:r>
        <w:rPr>
          <w:caps w:val="false"/>
          <w:smallCaps w:val="false"/>
        </w:rPr>
        <w:t> </w:t>
      </w:r>
    </w:p>
    <w:tbl>
      <w:tblPr>
        <w:tblW w:w="5135" w:type="dxa"/>
        <w:jc w:val="left"/>
        <w:tblInd w:w="0" w:type="dxa"/>
        <w:tblLayout w:type="fixed"/>
        <w:tblCellMar>
          <w:top w:w="0" w:type="dxa"/>
          <w:left w:w="0" w:type="dxa"/>
          <w:bottom w:w="0" w:type="dxa"/>
          <w:right w:w="0" w:type="dxa"/>
        </w:tblCellMar>
      </w:tblPr>
      <w:tblGrid>
        <w:gridCol w:w="5060"/>
        <w:gridCol w:w="75"/>
      </w:tblGrid>
      <w:tr>
        <w:trPr/>
        <w:tc>
          <w:tcPr>
            <w:tcW w:w="506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b/>
                <w:sz w:val="20"/>
              </w:rPr>
              <w:t>SVP, Investor Relations &amp; Corporate Communications</w:t>
              <w:br/>
              <w:br/>
            </w:r>
            <w:r>
              <w:rPr>
                <w:rFonts w:ascii="Arial;Helvetica;Sans-Serif" w:hAnsi="Arial;Helvetica;Sans-Serif"/>
                <w:sz w:val="20"/>
              </w:rPr>
              <w:t>Gary Waanders, Ph.D., MBA</w:t>
              <w:br/>
              <w:t>AC Immune</w:t>
              <w:br/>
              <w:t>Phone: +41 21 345 91 91</w:t>
              <w:br/>
              <w:t>Email: </w:t>
            </w:r>
            <w:r>
              <w:rPr>
                <w:rFonts w:ascii="Arial;Helvetica;Sans-Serif" w:hAnsi="Arial;Helvetica;Sans-Serif"/>
                <w:color w:val="0000FF"/>
                <w:sz w:val="20"/>
                <w:u w:val="single"/>
              </w:rPr>
              <w:t>gary.waanders@acimmune.com</w:t>
            </w:r>
          </w:p>
        </w:tc>
        <w:tc>
          <w:tcPr>
            <w:tcW w:w="75" w:type="dxa"/>
            <w:tcBorders/>
            <w:vAlign w:val="center"/>
          </w:tcPr>
          <w:p>
            <w:pPr>
              <w:pStyle w:val="TableContents"/>
              <w:bidi w:val="0"/>
              <w:spacing w:before="0" w:after="283"/>
              <w:jc w:val="left"/>
              <w:rPr/>
            </w:pPr>
            <w:r>
              <w:rPr/>
              <w:t> </w:t>
            </w:r>
          </w:p>
        </w:tc>
      </w:tr>
      <w:tr>
        <w:trPr/>
        <w:tc>
          <w:tcPr>
            <w:tcW w:w="506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b/>
                <w:sz w:val="20"/>
              </w:rPr>
              <w:t>International Media</w:t>
              <w:br/>
              <w:br/>
            </w:r>
            <w:r>
              <w:rPr>
                <w:rFonts w:ascii="Arial;Helvetica;Sans-Serif" w:hAnsi="Arial;Helvetica;Sans-Serif"/>
                <w:sz w:val="20"/>
              </w:rPr>
              <w:t>Chris Maggos</w:t>
              <w:br/>
              <w:t>Cohesion Bureau</w:t>
              <w:br/>
              <w:t>Phone: +41 79 367 6254</w:t>
              <w:br/>
              <w:t>Email: </w:t>
            </w:r>
            <w:r>
              <w:rPr>
                <w:rFonts w:ascii="Arial;Helvetica;Sans-Serif" w:hAnsi="Arial;Helvetica;Sans-Serif"/>
                <w:color w:val="0000FF"/>
                <w:sz w:val="20"/>
                <w:u w:val="single"/>
              </w:rPr>
              <w:t>chris.maggos@cohesionbureau.com</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4355" w:type="dxa"/>
        <w:jc w:val="left"/>
        <w:tblInd w:w="0" w:type="dxa"/>
        <w:tblLayout w:type="fixed"/>
        <w:tblCellMar>
          <w:top w:w="0" w:type="dxa"/>
          <w:left w:w="0" w:type="dxa"/>
          <w:bottom w:w="0" w:type="dxa"/>
          <w:right w:w="0" w:type="dxa"/>
        </w:tblCellMar>
      </w:tblPr>
      <w:tblGrid>
        <w:gridCol w:w="2760"/>
        <w:gridCol w:w="1595"/>
      </w:tblGrid>
      <w:tr>
        <w:trPr/>
        <w:tc>
          <w:tcPr>
            <w:tcW w:w="2760" w:type="dxa"/>
            <w:tcBorders/>
            <w:vAlign w:val="center"/>
          </w:tcPr>
          <w:p>
            <w:pPr>
              <w:pStyle w:val="TableContents"/>
              <w:bidi w:val="0"/>
              <w:spacing w:before="0" w:after="283"/>
              <w:jc w:val="left"/>
              <w:rPr/>
            </w:pPr>
            <w:r>
              <w:rPr/>
              <w:drawing>
                <wp:inline distT="0" distB="0" distL="0" distR="0">
                  <wp:extent cx="1743075" cy="37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43075" cy="371475"/>
                          </a:xfrm>
                          <a:prstGeom prst="rect">
                            <a:avLst/>
                          </a:prstGeom>
                        </pic:spPr>
                      </pic:pic>
                    </a:graphicData>
                  </a:graphic>
                </wp:inline>
              </w:drawing>
            </w:r>
          </w:p>
        </w:tc>
        <w:tc>
          <w:tcPr>
            <w:tcW w:w="1595" w:type="dxa"/>
            <w:tcBorders/>
            <w:vAlign w:val="center"/>
          </w:tcPr>
          <w:p>
            <w:pPr>
              <w:pStyle w:val="TableContents"/>
              <w:bidi w:val="0"/>
              <w:spacing w:before="0" w:after="283"/>
              <w:jc w:val="right"/>
              <w:rPr>
                <w:b/>
                <w:sz w:val="20"/>
              </w:rPr>
            </w:pPr>
            <w:r>
              <w:rPr>
                <w:b/>
                <w:sz w:val="20"/>
              </w:rPr>
              <w:t>PRESS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4355" w:type="dxa"/>
        <w:jc w:val="left"/>
        <w:tblInd w:w="0" w:type="dxa"/>
        <w:tblLayout w:type="fixed"/>
        <w:tblCellMar>
          <w:top w:w="0" w:type="dxa"/>
          <w:left w:w="0" w:type="dxa"/>
          <w:bottom w:w="0" w:type="dxa"/>
          <w:right w:w="0" w:type="dxa"/>
        </w:tblCellMar>
      </w:tblPr>
      <w:tblGrid>
        <w:gridCol w:w="2760"/>
        <w:gridCol w:w="1595"/>
      </w:tblGrid>
      <w:tr>
        <w:trPr/>
        <w:tc>
          <w:tcPr>
            <w:tcW w:w="2760" w:type="dxa"/>
            <w:tcBorders/>
            <w:vAlign w:val="center"/>
          </w:tcPr>
          <w:p>
            <w:pPr>
              <w:pStyle w:val="TableContents"/>
              <w:bidi w:val="0"/>
              <w:spacing w:before="0" w:after="283"/>
              <w:jc w:val="left"/>
              <w:rPr/>
            </w:pPr>
            <w:r>
              <w:rPr/>
              <w:drawing>
                <wp:inline distT="0" distB="0" distL="0" distR="0">
                  <wp:extent cx="1743075"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43075" cy="371475"/>
                          </a:xfrm>
                          <a:prstGeom prst="rect">
                            <a:avLst/>
                          </a:prstGeom>
                        </pic:spPr>
                      </pic:pic>
                    </a:graphicData>
                  </a:graphic>
                </wp:inline>
              </w:drawing>
            </w:r>
          </w:p>
        </w:tc>
        <w:tc>
          <w:tcPr>
            <w:tcW w:w="1595" w:type="dxa"/>
            <w:tcBorders/>
            <w:vAlign w:val="center"/>
          </w:tcPr>
          <w:p>
            <w:pPr>
              <w:pStyle w:val="TableContents"/>
              <w:bidi w:val="0"/>
              <w:spacing w:before="0" w:after="283"/>
              <w:jc w:val="right"/>
              <w:rPr>
                <w:b/>
                <w:sz w:val="20"/>
              </w:rPr>
            </w:pPr>
            <w:r>
              <w:rPr>
                <w:b/>
                <w:sz w:val="20"/>
              </w:rPr>
              <w:t>PRESS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Condensed Consolidated Balance Sheets (Unaudited)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 CHF thousands)</w:t>
      </w:r>
    </w:p>
    <w:p>
      <w:pPr>
        <w:pStyle w:val="TextBody"/>
        <w:bidi w:val="0"/>
        <w:spacing w:before="0" w:after="0"/>
        <w:ind w:left="0" w:right="0" w:hanging="0"/>
        <w:jc w:val="center"/>
        <w:rPr>
          <w:caps w:val="false"/>
          <w:smallCaps w:val="false"/>
        </w:rPr>
      </w:pPr>
      <w:r>
        <w:rPr>
          <w:caps w:val="false"/>
          <w:smallCaps w:val="false"/>
        </w:rPr>
        <w:t> </w:t>
      </w:r>
    </w:p>
    <w:tbl>
      <w:tblPr>
        <w:tblW w:w="6717" w:type="dxa"/>
        <w:jc w:val="left"/>
        <w:tblInd w:w="0" w:type="dxa"/>
        <w:tblLayout w:type="fixed"/>
        <w:tblCellMar>
          <w:top w:w="0" w:type="dxa"/>
          <w:left w:w="0" w:type="dxa"/>
          <w:bottom w:w="0" w:type="dxa"/>
          <w:right w:w="0" w:type="dxa"/>
        </w:tblCellMar>
      </w:tblPr>
      <w:tblGrid>
        <w:gridCol w:w="4100"/>
        <w:gridCol w:w="60"/>
        <w:gridCol w:w="62"/>
        <w:gridCol w:w="908"/>
        <w:gridCol w:w="98"/>
        <w:gridCol w:w="60"/>
        <w:gridCol w:w="81"/>
        <w:gridCol w:w="1197"/>
        <w:gridCol w:w="151"/>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7" w:type="dxa"/>
            <w:gridSpan w:val="7"/>
            <w:tcBorders>
              <w:bottom w:val="single" w:sz="8" w:space="0" w:color="000000"/>
            </w:tcBorders>
            <w:tcMar>
              <w:bottom w:w="28" w:type="dxa"/>
            </w:tcMar>
            <w:vAlign w:val="center"/>
          </w:tcPr>
          <w:p>
            <w:pPr>
              <w:pStyle w:val="TableContents"/>
              <w:bidi w:val="0"/>
              <w:spacing w:before="0" w:after="283"/>
              <w:jc w:val="center"/>
              <w:rPr>
                <w:b/>
              </w:rPr>
            </w:pPr>
            <w:r>
              <w:rPr>
                <w:b/>
              </w:rPr>
              <w:t>As of</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8" w:type="dxa"/>
            <w:gridSpan w:val="3"/>
            <w:tcBorders/>
            <w:vAlign w:val="center"/>
          </w:tcPr>
          <w:p>
            <w:pPr>
              <w:pStyle w:val="TableContents"/>
              <w:bidi w:val="0"/>
              <w:spacing w:before="0" w:after="283"/>
              <w:jc w:val="center"/>
              <w:rPr>
                <w:b/>
              </w:rPr>
            </w:pPr>
            <w:r>
              <w:rPr>
                <w:b/>
              </w:rPr>
              <w:t>March 31,</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jc w:val="center"/>
              <w:rPr>
                <w:b/>
              </w:rPr>
            </w:pPr>
            <w:r>
              <w:rPr>
                <w:b/>
              </w:rPr>
              <w:t>December 31,</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410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68"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jc w:val="right"/>
              <w:rPr/>
            </w:pPr>
            <w:r>
              <w:rPr/>
              <w:t> </w:t>
            </w:r>
          </w:p>
        </w:tc>
      </w:tr>
      <w:tr>
        <w:trPr/>
        <w:tc>
          <w:tcPr>
            <w:tcW w:w="4100" w:type="dxa"/>
            <w:tcBorders/>
            <w:vAlign w:val="center"/>
          </w:tcPr>
          <w:p>
            <w:pPr>
              <w:pStyle w:val="TableContents"/>
              <w:bidi w:val="0"/>
              <w:spacing w:before="0" w:after="283"/>
              <w:jc w:val="left"/>
              <w:rPr>
                <w:b/>
              </w:rPr>
            </w:pPr>
            <w:r>
              <w:rPr>
                <w:b/>
              </w:rPr>
              <w:t>Non-current assets</w:t>
            </w:r>
          </w:p>
        </w:tc>
        <w:tc>
          <w:tcPr>
            <w:tcW w:w="60" w:type="dxa"/>
            <w:tcBorders/>
            <w:vAlign w:val="center"/>
          </w:tcPr>
          <w:p>
            <w:pPr>
              <w:pStyle w:val="TableContents"/>
              <w:bidi w:val="0"/>
              <w:spacing w:before="0" w:after="283"/>
              <w:jc w:val="left"/>
              <w:rPr/>
            </w:pPr>
            <w:r>
              <w:rPr/>
              <w:t> </w:t>
            </w:r>
          </w:p>
        </w:tc>
        <w:tc>
          <w:tcPr>
            <w:tcW w:w="1068"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29" w:type="dxa"/>
            <w:gridSpan w:val="3"/>
            <w:tcBorders/>
            <w:vAlign w:val="center"/>
          </w:tcPr>
          <w:p>
            <w:pPr>
              <w:pStyle w:val="TableContents"/>
              <w:bidi w:val="0"/>
              <w:spacing w:before="0" w:after="283"/>
              <w:jc w:val="right"/>
              <w:rPr/>
            </w:pPr>
            <w:r>
              <w:rPr/>
              <w:t> </w:t>
            </w:r>
          </w:p>
        </w:tc>
      </w:tr>
      <w:tr>
        <w:trPr/>
        <w:tc>
          <w:tcPr>
            <w:tcW w:w="4100" w:type="dxa"/>
            <w:tcBorders/>
            <w:shd w:fill="CCEEFF" w:val="clear"/>
            <w:vAlign w:val="center"/>
          </w:tcPr>
          <w:p>
            <w:pPr>
              <w:pStyle w:val="TableContents"/>
              <w:bidi w:val="0"/>
              <w:spacing w:before="0" w:after="283"/>
              <w:jc w:val="left"/>
              <w:rPr/>
            </w:pPr>
            <w:r>
              <w:rPr/>
              <w:t>Property, plant and equipment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2,057</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1,989</w:t>
            </w:r>
          </w:p>
        </w:tc>
        <w:tc>
          <w:tcPr>
            <w:tcW w:w="151"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4,310</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4,540</w:t>
            </w:r>
          </w:p>
        </w:tc>
        <w:tc>
          <w:tcPr>
            <w:tcW w:w="151"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Intangible asset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50,416</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50,416</w:t>
            </w:r>
          </w:p>
        </w:tc>
        <w:tc>
          <w:tcPr>
            <w:tcW w:w="151"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Long-term financial assets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pPr>
            <w:r>
              <w:rPr/>
              <w:t>585</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584</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double" w:sz="6" w:space="0" w:color="000000"/>
            </w:tcBorders>
            <w:shd w:fill="CCEEFF" w:val="clear"/>
            <w:tcMar>
              <w:bottom w:w="28" w:type="dxa"/>
            </w:tcMar>
            <w:vAlign w:val="center"/>
          </w:tcPr>
          <w:p>
            <w:pPr>
              <w:pStyle w:val="TableContents"/>
              <w:bidi w:val="0"/>
              <w:spacing w:before="0" w:after="283"/>
              <w:jc w:val="right"/>
              <w:rPr/>
            </w:pPr>
            <w:r>
              <w:rPr/>
              <w:t>57,368</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57,529</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3,744</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3,972</w:t>
            </w:r>
          </w:p>
        </w:tc>
        <w:tc>
          <w:tcPr>
            <w:tcW w:w="151"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Accrued income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230</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360</w:t>
            </w:r>
          </w:p>
        </w:tc>
        <w:tc>
          <w:tcPr>
            <w:tcW w:w="151"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Other current receivables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1,282</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978</w:t>
            </w:r>
          </w:p>
        </w:tc>
        <w:tc>
          <w:tcPr>
            <w:tcW w:w="151"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Short-term financial assets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55,628</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64,617</w:t>
            </w:r>
          </w:p>
        </w:tc>
        <w:tc>
          <w:tcPr>
            <w:tcW w:w="151"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pPr>
            <w:r>
              <w:rPr/>
              <w:t>19,169</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26,795</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pPr>
            <w:r>
              <w:rPr/>
              <w:t>80,053</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96,722</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double" w:sz="6" w:space="0" w:color="000000"/>
            </w:tcBorders>
            <w:shd w:fill="FFFFFF" w:val="clear"/>
            <w:tcMar>
              <w:bottom w:w="28" w:type="dxa"/>
            </w:tcMar>
            <w:vAlign w:val="center"/>
          </w:tcPr>
          <w:p>
            <w:pPr>
              <w:pStyle w:val="TableContents"/>
              <w:bidi w:val="0"/>
              <w:spacing w:before="0" w:after="283"/>
              <w:jc w:val="right"/>
              <w:rPr/>
            </w:pPr>
            <w:r>
              <w:rPr/>
              <w:t>137,421</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pPr>
            <w:r>
              <w:rPr/>
              <w:t>154,251</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b/>
              </w:rPr>
            </w:pPr>
            <w:r>
              <w:rPr>
                <w:b/>
              </w:rPr>
              <w:t>Shareholders' equity and liabilities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b/>
              </w:rPr>
            </w:pPr>
            <w:r>
              <w:rPr>
                <w:b/>
              </w:rPr>
              <w:t>Shareholders’ equity</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2,257</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2,253</w:t>
            </w:r>
          </w:p>
        </w:tc>
        <w:tc>
          <w:tcPr>
            <w:tcW w:w="151"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Share premium</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482,345</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481,863</w:t>
            </w:r>
          </w:p>
        </w:tc>
        <w:tc>
          <w:tcPr>
            <w:tcW w:w="151"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Treasury shares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(218</w:t>
            </w:r>
          </w:p>
        </w:tc>
        <w:tc>
          <w:tcPr>
            <w:tcW w:w="98"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(218</w:t>
            </w:r>
          </w:p>
        </w:tc>
        <w:tc>
          <w:tcPr>
            <w:tcW w:w="151" w:type="dxa"/>
            <w:tcBorders/>
            <w:shd w:fill="CCEEFF" w:val="cle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pPr>
            <w:r>
              <w:rPr/>
              <w:t>Currency translation differences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7</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7</w:t>
            </w:r>
          </w:p>
        </w:tc>
        <w:tc>
          <w:tcPr>
            <w:tcW w:w="151"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Accumulated losses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pPr>
            <w:r>
              <w:rPr/>
              <w:t>(452,857</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(439,021</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4100"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double" w:sz="6" w:space="0" w:color="000000"/>
            </w:tcBorders>
            <w:shd w:fill="FFFFFF" w:val="clear"/>
            <w:tcMar>
              <w:bottom w:w="28" w:type="dxa"/>
            </w:tcMar>
            <w:vAlign w:val="center"/>
          </w:tcPr>
          <w:p>
            <w:pPr>
              <w:pStyle w:val="TableContents"/>
              <w:bidi w:val="0"/>
              <w:spacing w:before="0" w:after="283"/>
              <w:jc w:val="right"/>
              <w:rPr/>
            </w:pPr>
            <w:r>
              <w:rPr/>
              <w:t>31,534</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pPr>
            <w:r>
              <w:rPr/>
              <w:t>44,884</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Long-term deferred contract revenue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1,292</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2,339</w:t>
            </w:r>
          </w:p>
        </w:tc>
        <w:tc>
          <w:tcPr>
            <w:tcW w:w="151"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Long-term lease liabilities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3,479</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3,689</w:t>
            </w:r>
          </w:p>
        </w:tc>
        <w:tc>
          <w:tcPr>
            <w:tcW w:w="151"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Net employee defined benefit liabilities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pPr>
            <w:r>
              <w:rPr/>
              <w:t>8,868</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8,646</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double" w:sz="6" w:space="0" w:color="000000"/>
            </w:tcBorders>
            <w:shd w:fill="FFFFFF" w:val="clear"/>
            <w:tcMar>
              <w:bottom w:w="28" w:type="dxa"/>
            </w:tcMar>
            <w:vAlign w:val="center"/>
          </w:tcPr>
          <w:p>
            <w:pPr>
              <w:pStyle w:val="TableContents"/>
              <w:bidi w:val="0"/>
              <w:spacing w:before="0" w:after="283"/>
              <w:jc w:val="right"/>
              <w:rPr/>
            </w:pPr>
            <w:r>
              <w:rPr/>
              <w:t>13,639</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pPr>
            <w:r>
              <w:rPr/>
              <w:t>14,674</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1,319</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2,068</w:t>
            </w:r>
          </w:p>
        </w:tc>
        <w:tc>
          <w:tcPr>
            <w:tcW w:w="151"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6,469</w:t>
            </w:r>
          </w:p>
        </w:tc>
        <w:tc>
          <w:tcPr>
            <w:tcW w:w="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8,067</w:t>
            </w:r>
          </w:p>
        </w:tc>
        <w:tc>
          <w:tcPr>
            <w:tcW w:w="151" w:type="dxa"/>
            <w:tcBorders/>
            <w:shd w:fill="FFFFFF" w:val="cle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Short-term deferred contract revenue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83,635</w:t>
            </w:r>
          </w:p>
        </w:tc>
        <w:tc>
          <w:tcPr>
            <w:tcW w:w="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83,706</w:t>
            </w:r>
          </w:p>
        </w:tc>
        <w:tc>
          <w:tcPr>
            <w:tcW w:w="151" w:type="dxa"/>
            <w:tcBorders/>
            <w:shd w:fill="CCEEFF" w:val="cle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pPr>
            <w:r>
              <w:rPr/>
              <w:t>Short-term lease liabilities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pPr>
            <w:r>
              <w:rPr/>
              <w:t>825</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852</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CCEEFF" w:val="clear"/>
            <w:tcMar>
              <w:bottom w:w="28" w:type="dxa"/>
            </w:tcMar>
            <w:vAlign w:val="center"/>
          </w:tcPr>
          <w:p>
            <w:pPr>
              <w:pStyle w:val="TableContents"/>
              <w:bidi w:val="0"/>
              <w:spacing w:before="0" w:after="283"/>
              <w:jc w:val="right"/>
              <w:rPr/>
            </w:pPr>
            <w:r>
              <w:rPr/>
              <w:t>92,248</w:t>
            </w:r>
          </w:p>
        </w:tc>
        <w:tc>
          <w:tcPr>
            <w:tcW w:w="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CCEEFF" w:val="clear"/>
            <w:tcMar>
              <w:bottom w:w="28" w:type="dxa"/>
            </w:tcMar>
            <w:vAlign w:val="center"/>
          </w:tcPr>
          <w:p>
            <w:pPr>
              <w:pStyle w:val="TableContents"/>
              <w:bidi w:val="0"/>
              <w:spacing w:before="0" w:after="283"/>
              <w:jc w:val="right"/>
              <w:rPr/>
            </w:pPr>
            <w:r>
              <w:rPr/>
              <w:t>94,693</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410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pPr>
            <w:r>
              <w:rPr/>
              <w:t>105,887</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109,367</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b/>
              </w:rPr>
            </w:pPr>
            <w:r>
              <w:rPr>
                <w:b/>
              </w:rPr>
              <w:t>Total shareholders’ equity and liabilities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double" w:sz="6" w:space="0" w:color="000000"/>
            </w:tcBorders>
            <w:shd w:fill="CCEEFF" w:val="clear"/>
            <w:tcMar>
              <w:bottom w:w="28" w:type="dxa"/>
            </w:tcMar>
            <w:vAlign w:val="center"/>
          </w:tcPr>
          <w:p>
            <w:pPr>
              <w:pStyle w:val="TableContents"/>
              <w:bidi w:val="0"/>
              <w:spacing w:before="0" w:after="283"/>
              <w:jc w:val="right"/>
              <w:rPr/>
            </w:pPr>
            <w:r>
              <w:rPr/>
              <w:t>137,421</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154,251</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tbl>
      <w:tblPr>
        <w:tblW w:w="4355" w:type="dxa"/>
        <w:jc w:val="left"/>
        <w:tblInd w:w="0" w:type="dxa"/>
        <w:tblLayout w:type="fixed"/>
        <w:tblCellMar>
          <w:top w:w="0" w:type="dxa"/>
          <w:left w:w="0" w:type="dxa"/>
          <w:bottom w:w="0" w:type="dxa"/>
          <w:right w:w="0" w:type="dxa"/>
        </w:tblCellMar>
      </w:tblPr>
      <w:tblGrid>
        <w:gridCol w:w="2760"/>
        <w:gridCol w:w="1595"/>
      </w:tblGrid>
      <w:tr>
        <w:trPr/>
        <w:tc>
          <w:tcPr>
            <w:tcW w:w="2760" w:type="dxa"/>
            <w:tcBorders/>
            <w:vAlign w:val="center"/>
          </w:tcPr>
          <w:p>
            <w:pPr>
              <w:pStyle w:val="TableContents"/>
              <w:bidi w:val="0"/>
              <w:spacing w:before="0" w:after="283"/>
              <w:jc w:val="left"/>
              <w:rPr/>
            </w:pPr>
            <w:r>
              <w:rPr/>
              <w:drawing>
                <wp:inline distT="0" distB="0" distL="0" distR="0">
                  <wp:extent cx="1743075" cy="37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43075" cy="371475"/>
                          </a:xfrm>
                          <a:prstGeom prst="rect">
                            <a:avLst/>
                          </a:prstGeom>
                        </pic:spPr>
                      </pic:pic>
                    </a:graphicData>
                  </a:graphic>
                </wp:inline>
              </w:drawing>
            </w:r>
          </w:p>
        </w:tc>
        <w:tc>
          <w:tcPr>
            <w:tcW w:w="1595" w:type="dxa"/>
            <w:tcBorders/>
            <w:vAlign w:val="center"/>
          </w:tcPr>
          <w:p>
            <w:pPr>
              <w:pStyle w:val="TableContents"/>
              <w:bidi w:val="0"/>
              <w:spacing w:before="0" w:after="283"/>
              <w:jc w:val="right"/>
              <w:rPr>
                <w:b/>
                <w:sz w:val="20"/>
              </w:rPr>
            </w:pPr>
            <w:r>
              <w:rPr>
                <w:b/>
                <w:sz w:val="20"/>
              </w:rPr>
              <w:t>PRESS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Condensed Consolidated Statements of Income/(Loss) (Unaudited)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 CHF thousands, except for per-share data)</w:t>
      </w:r>
    </w:p>
    <w:p>
      <w:pPr>
        <w:pStyle w:val="TextBody"/>
        <w:bidi w:val="0"/>
        <w:spacing w:before="0" w:after="0"/>
        <w:ind w:left="0" w:right="0" w:hanging="0"/>
        <w:jc w:val="center"/>
        <w:rPr>
          <w:caps w:val="false"/>
          <w:smallCaps w:val="false"/>
        </w:rPr>
      </w:pPr>
      <w:r>
        <w:rPr>
          <w:caps w:val="false"/>
          <w:smallCaps w:val="false"/>
        </w:rPr>
        <w:t> </w:t>
      </w:r>
    </w:p>
    <w:tbl>
      <w:tblPr>
        <w:tblW w:w="9441" w:type="dxa"/>
        <w:jc w:val="left"/>
        <w:tblInd w:w="0" w:type="dxa"/>
        <w:tblLayout w:type="fixed"/>
        <w:tblCellMar>
          <w:top w:w="0" w:type="dxa"/>
          <w:left w:w="0" w:type="dxa"/>
          <w:bottom w:w="0" w:type="dxa"/>
          <w:right w:w="0" w:type="dxa"/>
        </w:tblCellMar>
      </w:tblPr>
      <w:tblGrid>
        <w:gridCol w:w="7085"/>
        <w:gridCol w:w="60"/>
        <w:gridCol w:w="72"/>
        <w:gridCol w:w="916"/>
        <w:gridCol w:w="115"/>
        <w:gridCol w:w="72"/>
        <w:gridCol w:w="72"/>
        <w:gridCol w:w="916"/>
        <w:gridCol w:w="133"/>
      </w:tblGrid>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6" w:type="dxa"/>
            <w:gridSpan w:val="7"/>
            <w:tcBorders/>
            <w:vAlign w:val="center"/>
          </w:tcPr>
          <w:p>
            <w:pPr>
              <w:pStyle w:val="TableContents"/>
              <w:bidi w:val="0"/>
              <w:spacing w:before="0" w:after="283"/>
              <w:jc w:val="center"/>
              <w:rPr>
                <w:b/>
              </w:rPr>
            </w:pPr>
            <w:r>
              <w:rPr>
                <w:b/>
              </w:rPr>
              <w:t>For the Three Months</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6" w:type="dxa"/>
            <w:gridSpan w:val="7"/>
            <w:tcBorders>
              <w:bottom w:val="single" w:sz="8" w:space="0" w:color="000000"/>
            </w:tcBorders>
            <w:tcMar>
              <w:bottom w:w="28" w:type="dxa"/>
            </w:tcMar>
            <w:vAlign w:val="center"/>
          </w:tcPr>
          <w:p>
            <w:pPr>
              <w:pStyle w:val="TableContents"/>
              <w:bidi w:val="0"/>
              <w:spacing w:before="0" w:after="283"/>
              <w:jc w:val="center"/>
              <w:rPr>
                <w:b/>
              </w:rPr>
            </w:pPr>
            <w:r>
              <w:rPr>
                <w:b/>
              </w:rPr>
              <w:t>Ended March 31,</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2" w:type="dxa"/>
            <w:tcBorders/>
            <w:vAlign w:val="center"/>
          </w:tcPr>
          <w:p>
            <w:pPr>
              <w:pStyle w:val="TableContents"/>
              <w:bidi w:val="0"/>
              <w:spacing w:before="0" w:after="283"/>
              <w:jc w:val="left"/>
              <w:rPr/>
            </w:pPr>
            <w:r>
              <w:rPr/>
              <w:t> </w:t>
            </w:r>
          </w:p>
        </w:tc>
        <w:tc>
          <w:tcPr>
            <w:tcW w:w="112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7085" w:type="dxa"/>
            <w:tcBorders/>
            <w:vAlign w:val="center"/>
          </w:tcPr>
          <w:p>
            <w:pPr>
              <w:pStyle w:val="TableContents"/>
              <w:bidi w:val="0"/>
              <w:spacing w:before="0" w:after="283"/>
              <w:jc w:val="left"/>
              <w:rPr>
                <w:b/>
              </w:rPr>
            </w:pPr>
            <w:r>
              <w:rPr>
                <w:b/>
              </w:rPr>
              <w:t>Revenue</w:t>
            </w:r>
          </w:p>
        </w:tc>
        <w:tc>
          <w:tcPr>
            <w:tcW w:w="60" w:type="dxa"/>
            <w:tcBorders/>
            <w:vAlign w:val="center"/>
          </w:tcPr>
          <w:p>
            <w:pPr>
              <w:pStyle w:val="TableContents"/>
              <w:bidi w:val="0"/>
              <w:spacing w:before="0" w:after="283"/>
              <w:jc w:val="left"/>
              <w:rPr/>
            </w:pPr>
            <w:r>
              <w:rPr/>
              <w:t> </w:t>
            </w:r>
          </w:p>
        </w:tc>
        <w:tc>
          <w:tcPr>
            <w:tcW w:w="1103" w:type="dxa"/>
            <w:gridSpan w:val="3"/>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1121" w:type="dxa"/>
            <w:gridSpan w:val="3"/>
            <w:tcBorders/>
            <w:vAlign w:val="center"/>
          </w:tcPr>
          <w:p>
            <w:pPr>
              <w:pStyle w:val="TableContents"/>
              <w:bidi w:val="0"/>
              <w:spacing w:before="0" w:after="283"/>
              <w:jc w:val="right"/>
              <w:rPr/>
            </w:pPr>
            <w:r>
              <w:rPr/>
              <w:t> </w:t>
            </w:r>
          </w:p>
        </w:tc>
      </w:tr>
      <w:tr>
        <w:trPr/>
        <w:tc>
          <w:tcPr>
            <w:tcW w:w="7085" w:type="dxa"/>
            <w:tcBorders/>
            <w:shd w:fill="CCEEFF" w:val="clear"/>
            <w:vAlign w:val="center"/>
          </w:tcPr>
          <w:p>
            <w:pPr>
              <w:pStyle w:val="TableContents"/>
              <w:bidi w:val="0"/>
              <w:spacing w:before="0" w:after="283"/>
              <w:jc w:val="left"/>
              <w:rPr/>
            </w:pPr>
            <w:r>
              <w:rPr/>
              <w:t>Contract revenue</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1,119</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990</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1,119</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990</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b/>
              </w:rPr>
            </w:pPr>
            <w:r>
              <w:rPr>
                <w:b/>
              </w:rPr>
              <w:t>Operating expenses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Research &amp; development expenses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(11,744</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(15,916</w:t>
            </w:r>
          </w:p>
        </w:tc>
        <w:tc>
          <w:tcPr>
            <w:tcW w:w="133" w:type="dxa"/>
            <w:tcBorders/>
            <w:shd w:fill="CCEEFF" w:val="clear"/>
            <w:vAlign w:val="center"/>
          </w:tcPr>
          <w:p>
            <w:pPr>
              <w:pStyle w:val="TableContents"/>
              <w:bidi w:val="0"/>
              <w:spacing w:before="0" w:after="283"/>
              <w:jc w:val="left"/>
              <w:rPr/>
            </w:pPr>
            <w:r>
              <w:rPr/>
              <w:t>)</w:t>
            </w:r>
          </w:p>
        </w:tc>
      </w:tr>
      <w:tr>
        <w:trPr/>
        <w:tc>
          <w:tcPr>
            <w:tcW w:w="7085" w:type="dxa"/>
            <w:tcBorders/>
            <w:shd w:fill="FFFFFF" w:val="clear"/>
            <w:vAlign w:val="center"/>
          </w:tcPr>
          <w:p>
            <w:pPr>
              <w:pStyle w:val="TableContents"/>
              <w:bidi w:val="0"/>
              <w:spacing w:before="0" w:after="283"/>
              <w:jc w:val="left"/>
              <w:rPr/>
            </w:pPr>
            <w:r>
              <w:rPr/>
              <w:t>General &amp; administrative expenses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(4,174</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(4,443</w:t>
            </w:r>
          </w:p>
        </w:tc>
        <w:tc>
          <w:tcPr>
            <w:tcW w:w="133" w:type="dxa"/>
            <w:tcBorders/>
            <w:shd w:fill="FFFFFF" w:val="clear"/>
            <w:vAlign w:val="center"/>
          </w:tcPr>
          <w:p>
            <w:pPr>
              <w:pStyle w:val="TableContents"/>
              <w:bidi w:val="0"/>
              <w:spacing w:before="0" w:after="283"/>
              <w:jc w:val="left"/>
              <w:rPr/>
            </w:pPr>
            <w:r>
              <w:rPr/>
              <w:t>)</w:t>
            </w:r>
          </w:p>
        </w:tc>
      </w:tr>
      <w:tr>
        <w:trPr/>
        <w:tc>
          <w:tcPr>
            <w:tcW w:w="7085" w:type="dxa"/>
            <w:tcBorders/>
            <w:shd w:fill="CCEEFF" w:val="clear"/>
            <w:vAlign w:val="center"/>
          </w:tcPr>
          <w:p>
            <w:pPr>
              <w:pStyle w:val="TableContents"/>
              <w:bidi w:val="0"/>
              <w:spacing w:before="0" w:after="283"/>
              <w:jc w:val="left"/>
              <w:rPr/>
            </w:pPr>
            <w:r>
              <w:rPr/>
              <w:t>Other operating income/(expense), net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11</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7085"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(15,907</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(20,360</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r>
      <w:tr>
        <w:trPr/>
        <w:tc>
          <w:tcPr>
            <w:tcW w:w="7085"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(14,788</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(19,370</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7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Financial income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228</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687</w:t>
            </w:r>
          </w:p>
        </w:tc>
        <w:tc>
          <w:tcPr>
            <w:tcW w:w="13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Financial expense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(65</w:t>
            </w:r>
          </w:p>
        </w:tc>
        <w:tc>
          <w:tcPr>
            <w:tcW w:w="115"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(54</w:t>
            </w:r>
          </w:p>
        </w:tc>
        <w:tc>
          <w:tcPr>
            <w:tcW w:w="133" w:type="dxa"/>
            <w:tcBorders/>
            <w:shd w:fill="FFFFFF" w:val="clear"/>
            <w:vAlign w:val="center"/>
          </w:tcPr>
          <w:p>
            <w:pPr>
              <w:pStyle w:val="TableContents"/>
              <w:bidi w:val="0"/>
              <w:spacing w:before="0" w:after="283"/>
              <w:jc w:val="left"/>
              <w:rPr/>
            </w:pPr>
            <w:r>
              <w:rPr/>
              <w:t>)</w:t>
            </w:r>
          </w:p>
        </w:tc>
      </w:tr>
      <w:tr>
        <w:trPr/>
        <w:tc>
          <w:tcPr>
            <w:tcW w:w="7085" w:type="dxa"/>
            <w:tcBorders/>
            <w:shd w:fill="CCEEFF" w:val="clear"/>
            <w:vAlign w:val="center"/>
          </w:tcPr>
          <w:p>
            <w:pPr>
              <w:pStyle w:val="TableContents"/>
              <w:bidi w:val="0"/>
              <w:spacing w:before="0" w:after="283"/>
              <w:jc w:val="left"/>
              <w:rPr/>
            </w:pPr>
            <w:r>
              <w:rPr/>
              <w:t>Exchange differences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(176</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(292</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r>
      <w:tr>
        <w:trPr/>
        <w:tc>
          <w:tcPr>
            <w:tcW w:w="7085" w:type="dxa"/>
            <w:tcBorders/>
            <w:shd w:fill="FFFFFF" w:val="clear"/>
            <w:vAlign w:val="center"/>
          </w:tcPr>
          <w:p>
            <w:pPr>
              <w:pStyle w:val="TableContents"/>
              <w:bidi w:val="0"/>
              <w:spacing w:before="0" w:after="283"/>
              <w:jc w:val="left"/>
              <w:rPr>
                <w:b/>
              </w:rPr>
            </w:pPr>
            <w:r>
              <w:rPr>
                <w:b/>
              </w:rPr>
              <w:t>Finance result, net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(13</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341</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b/>
              </w:rPr>
            </w:pPr>
            <w:r>
              <w:rPr>
                <w:b/>
              </w:rPr>
              <w:t>Loss before tax</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(14,801</w:t>
            </w:r>
          </w:p>
        </w:tc>
        <w:tc>
          <w:tcPr>
            <w:tcW w:w="11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(19,029</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7085"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b/>
              </w:rPr>
            </w:pPr>
            <w:r>
              <w:rPr>
                <w:b/>
              </w:rPr>
              <w:t>Loss for the period</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(14,801</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(19,029</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r>
      <w:tr>
        <w:trPr/>
        <w:tc>
          <w:tcPr>
            <w:tcW w:w="70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 </w:t>
            </w:r>
          </w:p>
        </w:tc>
        <w:tc>
          <w:tcPr>
            <w:tcW w:w="133" w:type="dxa"/>
            <w:tcBorders/>
            <w:shd w:fill="CCEEFF" w:val="clear"/>
            <w:vAlign w:val="center"/>
          </w:tcPr>
          <w:p>
            <w:pPr>
              <w:pStyle w:val="TableContents"/>
              <w:bidi w:val="0"/>
              <w:spacing w:before="0" w:after="283"/>
              <w:jc w:val="left"/>
              <w:rPr/>
            </w:pPr>
            <w:r>
              <w:rPr/>
              <w:t> </w:t>
            </w:r>
          </w:p>
        </w:tc>
      </w:tr>
      <w:tr>
        <w:trPr/>
        <w:tc>
          <w:tcPr>
            <w:tcW w:w="7085" w:type="dxa"/>
            <w:tcBorders/>
            <w:shd w:fill="FFFFFF" w:val="clear"/>
            <w:vAlign w:val="center"/>
          </w:tcPr>
          <w:p>
            <w:pPr>
              <w:pStyle w:val="TableContents"/>
              <w:bidi w:val="0"/>
              <w:spacing w:before="0" w:after="283"/>
              <w:jc w:val="left"/>
              <w:rPr/>
            </w:pPr>
            <w:r>
              <w:rPr/>
              <w:t>Loss per share: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r>
      <w:tr>
        <w:trPr/>
        <w:tc>
          <w:tcPr>
            <w:tcW w:w="7085" w:type="dxa"/>
            <w:tcBorders/>
            <w:shd w:fill="CCEEFF" w:val="clear"/>
            <w:vAlign w:val="center"/>
          </w:tcPr>
          <w:p>
            <w:pPr>
              <w:pStyle w:val="TableContents"/>
              <w:bidi w:val="0"/>
              <w:spacing w:before="0" w:after="283"/>
              <w:jc w:val="left"/>
              <w:rPr/>
            </w:pPr>
            <w:r>
              <w:rPr/>
              <w:t>Basic and diluted loss per share for the period attributable to equity holders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(0.15</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(0.19</w:t>
            </w:r>
          </w:p>
        </w:tc>
        <w:tc>
          <w:tcPr>
            <w:tcW w:w="13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Condensed Consolidated Statements of Comprehensive Income/(Loss) (Unaudited)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 CHF thousands)</w:t>
      </w:r>
    </w:p>
    <w:p>
      <w:pPr>
        <w:pStyle w:val="TextBody"/>
        <w:bidi w:val="0"/>
        <w:spacing w:before="0" w:after="0"/>
        <w:ind w:left="0" w:right="0" w:hanging="0"/>
        <w:jc w:val="center"/>
        <w:rPr>
          <w:caps w:val="false"/>
          <w:smallCaps w:val="false"/>
        </w:rPr>
      </w:pPr>
      <w:r>
        <w:rPr>
          <w:caps w:val="false"/>
          <w:smallCaps w:val="false"/>
        </w:rPr>
        <w:t> </w:t>
      </w:r>
    </w:p>
    <w:tbl>
      <w:tblPr>
        <w:tblW w:w="10041" w:type="dxa"/>
        <w:jc w:val="left"/>
        <w:tblInd w:w="0" w:type="dxa"/>
        <w:tblLayout w:type="fixed"/>
        <w:tblCellMar>
          <w:top w:w="0" w:type="dxa"/>
          <w:left w:w="0" w:type="dxa"/>
          <w:bottom w:w="0" w:type="dxa"/>
          <w:right w:w="0" w:type="dxa"/>
        </w:tblCellMar>
      </w:tblPr>
      <w:tblGrid>
        <w:gridCol w:w="7685"/>
        <w:gridCol w:w="60"/>
        <w:gridCol w:w="72"/>
        <w:gridCol w:w="916"/>
        <w:gridCol w:w="115"/>
        <w:gridCol w:w="72"/>
        <w:gridCol w:w="72"/>
        <w:gridCol w:w="916"/>
        <w:gridCol w:w="133"/>
      </w:tblGrid>
      <w:tr>
        <w:trPr/>
        <w:tc>
          <w:tcPr>
            <w:tcW w:w="7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gridSpan w:val="3"/>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21" w:type="dxa"/>
            <w:gridSpan w:val="3"/>
            <w:tcBorders/>
            <w:vAlign w:val="center"/>
          </w:tcPr>
          <w:p>
            <w:pPr>
              <w:pStyle w:val="TableContents"/>
              <w:bidi w:val="0"/>
              <w:spacing w:before="0" w:after="283"/>
              <w:jc w:val="left"/>
              <w:rPr/>
            </w:pPr>
            <w:r>
              <w:rPr/>
              <w:t> </w:t>
            </w:r>
          </w:p>
        </w:tc>
      </w:tr>
      <w:tr>
        <w:trPr/>
        <w:tc>
          <w:tcPr>
            <w:tcW w:w="7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6" w:type="dxa"/>
            <w:gridSpan w:val="7"/>
            <w:tcBorders/>
            <w:vAlign w:val="center"/>
          </w:tcPr>
          <w:p>
            <w:pPr>
              <w:pStyle w:val="TableContents"/>
              <w:bidi w:val="0"/>
              <w:spacing w:before="0" w:after="283"/>
              <w:jc w:val="center"/>
              <w:rPr>
                <w:b/>
              </w:rPr>
            </w:pPr>
            <w:r>
              <w:rPr>
                <w:b/>
              </w:rPr>
              <w:t>For the Three Months</w:t>
            </w:r>
          </w:p>
        </w:tc>
      </w:tr>
      <w:tr>
        <w:trPr/>
        <w:tc>
          <w:tcPr>
            <w:tcW w:w="7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6" w:type="dxa"/>
            <w:gridSpan w:val="7"/>
            <w:tcBorders>
              <w:bottom w:val="single" w:sz="8" w:space="0" w:color="000000"/>
            </w:tcBorders>
            <w:tcMar>
              <w:bottom w:w="28" w:type="dxa"/>
            </w:tcMar>
            <w:vAlign w:val="center"/>
          </w:tcPr>
          <w:p>
            <w:pPr>
              <w:pStyle w:val="TableContents"/>
              <w:bidi w:val="0"/>
              <w:spacing w:before="0" w:after="283"/>
              <w:jc w:val="center"/>
              <w:rPr>
                <w:b/>
              </w:rPr>
            </w:pPr>
            <w:r>
              <w:rPr>
                <w:b/>
              </w:rPr>
              <w:t>ended March 31,</w:t>
            </w:r>
          </w:p>
        </w:tc>
      </w:tr>
      <w:tr>
        <w:trPr/>
        <w:tc>
          <w:tcPr>
            <w:tcW w:w="7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3"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2" w:type="dxa"/>
            <w:tcBorders/>
            <w:vAlign w:val="center"/>
          </w:tcPr>
          <w:p>
            <w:pPr>
              <w:pStyle w:val="TableContents"/>
              <w:bidi w:val="0"/>
              <w:spacing w:before="0" w:after="283"/>
              <w:jc w:val="left"/>
              <w:rPr/>
            </w:pPr>
            <w:r>
              <w:rPr/>
              <w:t> </w:t>
            </w:r>
          </w:p>
        </w:tc>
        <w:tc>
          <w:tcPr>
            <w:tcW w:w="1121"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7685"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(14,801</w:t>
            </w:r>
          </w:p>
        </w:tc>
        <w:tc>
          <w:tcPr>
            <w:tcW w:w="115" w:type="dxa"/>
            <w:tcBorders/>
            <w:shd w:fill="CCEEFF" w:val="cle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(19,029</w:t>
            </w:r>
          </w:p>
        </w:tc>
        <w:tc>
          <w:tcPr>
            <w:tcW w:w="133" w:type="dxa"/>
            <w:tcBorders/>
            <w:shd w:fill="CCEEFF" w:val="clear"/>
            <w:vAlign w:val="center"/>
          </w:tcPr>
          <w:p>
            <w:pPr>
              <w:pStyle w:val="TableContents"/>
              <w:bidi w:val="0"/>
              <w:spacing w:before="0" w:after="283"/>
              <w:jc w:val="left"/>
              <w:rPr/>
            </w:pPr>
            <w:r>
              <w:rPr/>
              <w:t>)</w:t>
            </w:r>
          </w:p>
        </w:tc>
      </w:tr>
      <w:tr>
        <w:trPr/>
        <w:tc>
          <w:tcPr>
            <w:tcW w:w="7685" w:type="dxa"/>
            <w:tcBorders/>
            <w:shd w:fill="FFFFFF" w:val="clear"/>
            <w:vAlign w:val="center"/>
          </w:tcPr>
          <w:p>
            <w:pPr>
              <w:pStyle w:val="TableContents"/>
              <w:bidi w:val="0"/>
              <w:spacing w:before="0" w:after="283"/>
              <w:jc w:val="left"/>
              <w:rPr/>
            </w:pPr>
            <w:r>
              <w:rPr/>
              <w:t>Items that will be reclassified to income or loss in subsequent periods (net of tax):</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33" w:type="dxa"/>
            <w:tcBorders/>
            <w:shd w:fill="FFFFFF" w:val="clear"/>
            <w:vAlign w:val="center"/>
          </w:tcPr>
          <w:p>
            <w:pPr>
              <w:pStyle w:val="TableContents"/>
              <w:bidi w:val="0"/>
              <w:spacing w:before="0" w:after="283"/>
              <w:jc w:val="left"/>
              <w:rPr/>
            </w:pPr>
            <w:r>
              <w:rPr/>
              <w:t> </w:t>
            </w:r>
          </w:p>
        </w:tc>
      </w:tr>
      <w:tr>
        <w:trPr/>
        <w:tc>
          <w:tcPr>
            <w:tcW w:w="7685" w:type="dxa"/>
            <w:tcBorders/>
            <w:shd w:fill="CCEEFF" w:val="clear"/>
            <w:vAlign w:val="center"/>
          </w:tcPr>
          <w:p>
            <w:pPr>
              <w:pStyle w:val="TableContents"/>
              <w:bidi w:val="0"/>
              <w:spacing w:before="0" w:after="283"/>
              <w:jc w:val="left"/>
              <w:rPr/>
            </w:pPr>
            <w:r>
              <w:rPr/>
              <w:t>Currency translation differences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0</w:t>
            </w:r>
          </w:p>
        </w:tc>
        <w:tc>
          <w:tcPr>
            <w:tcW w:w="1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4</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7685" w:type="dxa"/>
            <w:tcBorders/>
            <w:shd w:fill="FFFFFF" w:val="clear"/>
            <w:vAlign w:val="center"/>
          </w:tcPr>
          <w:p>
            <w:pPr>
              <w:pStyle w:val="TableContents"/>
              <w:bidi w:val="0"/>
              <w:spacing w:before="0" w:after="283"/>
              <w:jc w:val="left"/>
              <w:rPr/>
            </w:pPr>
            <w:r>
              <w:rPr/>
              <w:t>Other comprehensive income/(loss)</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0</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4</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685" w:type="dxa"/>
            <w:tcBorders/>
            <w:shd w:fill="CCEEFF" w:val="clear"/>
            <w:vAlign w:val="center"/>
          </w:tcPr>
          <w:p>
            <w:pPr>
              <w:pStyle w:val="TableContents"/>
              <w:bidi w:val="0"/>
              <w:spacing w:before="0" w:after="283"/>
              <w:jc w:val="left"/>
              <w:rPr>
                <w:b/>
              </w:rPr>
            </w:pPr>
            <w:r>
              <w:rPr>
                <w:b/>
              </w:rPr>
              <w:t>Total comprehensive loss, net of tax</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pPr>
            <w:r>
              <w:rPr/>
              <w:t>(14,801</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283"/>
              <w:jc w:val="right"/>
              <w:rPr/>
            </w:pPr>
            <w:r>
              <w:rPr/>
              <w:t>(19,025</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2334</Words>
  <Characters>13412</Characters>
  <CharactersWithSpaces>16004</CharactersWithSpaces>
  <Paragraphs>934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