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1)</w:t>
      </w:r>
      <w:r>
        <w:rPr>
          <w:rFonts w:ascii="Arial" w:cs="Arial" w:eastAsia="Arial" w:hAnsi="Arial"/>
          <w:sz w:val="30"/>
          <w:szCs w:val="30"/>
          <w:color w:val="auto"/>
          <w:vertAlign w:val="superscript"/>
        </w:rPr>
        <w:t>1</w:t>
      </w:r>
    </w:p>
    <w:p>
      <w:pPr>
        <w:spacing w:after="0" w:line="200" w:lineRule="exact"/>
        <w:rPr>
          <w:sz w:val="24"/>
          <w:szCs w:val="24"/>
          <w:color w:val="auto"/>
        </w:rPr>
      </w:pPr>
    </w:p>
    <w:p>
      <w:pPr>
        <w:spacing w:after="0" w:line="38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AC Immune SA</w:t>
      </w:r>
    </w:p>
    <w:p>
      <w:pPr>
        <w:spacing w:after="0" w:line="2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Common Shares, par value CHF 0.02</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H00263105</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March 19, 2019</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80" w:hanging="346"/>
        <w:spacing w:after="0"/>
        <w:tabs>
          <w:tab w:leader="none" w:pos="9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980" w:hanging="391"/>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980" w:hanging="346"/>
        <w:spacing w:after="0"/>
        <w:tabs>
          <w:tab w:leader="none" w:pos="9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3,574,717</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3,574,717</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3,574,717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5.3%</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2</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H00263105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II,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2,960,945</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2,960,945</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2,960,945</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4.4%</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3</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Biotechnology Value Trading Fund OS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516,862</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516,862</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516,862</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516,862</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516,862</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516,862</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Partners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11.0%</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 IA</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6</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11.0%</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7</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Mark N. Lampert</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United States</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7,455,534</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11.0%</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8</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AC Immune SA, a Switzerland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EPFL Innovation Park, Building B</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1015 Lausanne, Switzerland</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2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Arial" w:cs="Arial" w:eastAsia="Arial" w:hAnsi="Arial"/>
                <w:sz w:val="18"/>
                <w:szCs w:val="18"/>
                <w:color w:val="auto"/>
              </w:rPr>
              <w:t>44 Montgomery St.,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2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Arial" w:cs="Arial" w:eastAsia="Arial" w:hAnsi="Arial"/>
                <w:sz w:val="18"/>
                <w:szCs w:val="18"/>
                <w:color w:val="auto"/>
              </w:rPr>
              <w:t>44 Montgomery St.,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2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Arial" w:cs="Arial" w:eastAsia="Arial" w:hAnsi="Arial"/>
                <w:sz w:val="18"/>
                <w:szCs w:val="18"/>
                <w:color w:val="auto"/>
              </w:rPr>
              <w:t>44 Montgomery St.,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2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Inc.</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Arial" w:cs="Arial" w:eastAsia="Arial" w:hAnsi="Arial"/>
                <w:sz w:val="18"/>
                <w:szCs w:val="18"/>
                <w:color w:val="auto"/>
              </w:rPr>
              <w:t>44 Montgomery St.,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2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Mark N. Lampert (“Mr. Lampert”)</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Arial" w:cs="Arial" w:eastAsia="Arial" w:hAnsi="Arial"/>
                <w:sz w:val="18"/>
                <w:szCs w:val="18"/>
                <w:color w:val="auto"/>
              </w:rPr>
              <w:t>44 Montgomery St.,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United States</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324"/>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ind w:left="46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19"/>
          <w:szCs w:val="19"/>
          <w:color w:val="auto"/>
        </w:rPr>
        <w:t>CUSIP NO. H00263105</w:t>
      </w:r>
    </w:p>
    <w:p>
      <w:pPr>
        <w:sectPr>
          <w:pgSz w:w="11900" w:h="16838" w:orient="portrait"/>
          <w:cols w:equalWidth="0" w:num="1">
            <w:col w:w="11420"/>
          </w:cols>
          <w:pgMar w:left="240" w:top="226" w:right="239"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Item 2(e).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Shares, par value CHF 0.02 per share (the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H00263105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Filed Pursuant to Rule 13d-1(b), or 13d-2(b) or (c), Check Whether the Person Filing is a:</w:t>
      </w:r>
    </w:p>
    <w:p>
      <w:pPr>
        <w:spacing w:after="0" w:line="248"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Not applicable.</w:t>
      </w:r>
    </w:p>
    <w:p>
      <w:pPr>
        <w:spacing w:after="0" w:line="200" w:lineRule="exact"/>
        <w:rPr>
          <w:sz w:val="20"/>
          <w:szCs w:val="20"/>
          <w:color w:val="auto"/>
        </w:rPr>
      </w:pPr>
    </w:p>
    <w:p>
      <w:pPr>
        <w:sectPr>
          <w:pgSz w:w="11900" w:h="16838" w:orient="portrait"/>
          <w:cols w:equalWidth="0" w:num="2">
            <w:col w:w="720" w:space="580"/>
            <w:col w:w="10120"/>
          </w:cols>
          <w:pgMar w:left="240" w:top="226" w:right="239" w:bottom="1440" w:gutter="0" w:footer="0" w:header="0"/>
          <w:type w:val="continuous"/>
        </w:sectPr>
      </w:pPr>
    </w:p>
    <w:p>
      <w:pPr>
        <w:spacing w:after="0" w:line="25" w:lineRule="exact"/>
        <w:rPr>
          <w:sz w:val="20"/>
          <w:szCs w:val="20"/>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460" w:right="100" w:hanging="1126"/>
        <w:spacing w:after="0" w:line="277" w:lineRule="auto"/>
        <w:tabs>
          <w:tab w:leader="none" w:pos="1893" w:val="left"/>
        </w:tabs>
        <w:numPr>
          <w:ilvl w:val="0"/>
          <w:numId w:val="3"/>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900" w:hanging="566"/>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Rule 13d-1(b)(1)(ii)(J).</w:t>
      </w:r>
    </w:p>
    <w:p>
      <w:pPr>
        <w:spacing w:after="0" w:line="225" w:lineRule="exact"/>
        <w:rPr>
          <w:rFonts w:ascii="Arial" w:cs="Arial" w:eastAsia="Arial" w:hAnsi="Arial"/>
          <w:sz w:val="18"/>
          <w:szCs w:val="18"/>
          <w:color w:val="auto"/>
        </w:rPr>
      </w:pPr>
    </w:p>
    <w:p>
      <w:pPr>
        <w:ind w:left="2460" w:right="100" w:hanging="1126"/>
        <w:spacing w:after="0" w:line="277" w:lineRule="auto"/>
        <w:tabs>
          <w:tab w:leader="none" w:pos="1893" w:val="left"/>
        </w:tabs>
        <w:numPr>
          <w:ilvl w:val="0"/>
          <w:numId w:val="3"/>
        </w:numPr>
        <w:rPr>
          <w:rFonts w:ascii="Arial" w:cs="Arial" w:eastAsia="Arial" w:hAnsi="Arial"/>
          <w:sz w:val="18"/>
          <w:szCs w:val="18"/>
          <w:color w:val="auto"/>
        </w:rPr>
      </w:pPr>
      <w:r>
        <w:rPr>
          <w:rFonts w:ascii="Arial" w:cs="Arial" w:eastAsia="Arial" w:hAnsi="Arial"/>
          <w:sz w:val="18"/>
          <w:szCs w:val="18"/>
          <w:color w:val="auto"/>
        </w:rPr>
        <w:t>/ /Group, in accordance with Rule 240.13d-1(b)(1)(ii)(K). If filing as a non-U.S. institution in accordance with Rule 240.13d-1(b)(1)(ii)(J), please specify the type of institution: ____</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March 21, 2019 (i) BVF beneficially owned 3,574,717 Shares, (ii) BVF2 beneficially owned 2,960,945 Shares, and (iii) Trading Fund OS beneficially owned 516,862 Shares.</w:t>
      </w:r>
    </w:p>
    <w:p>
      <w:pPr>
        <w:spacing w:after="0" w:line="170"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Partners OS, as the general partner of Trading Fund OS, may be deemed to beneficially own the 516,862 Shares beneficially owned by Trading Fund OS.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color w:val="auto"/>
        </w:rPr>
        <w:t>CUSIP NO. H00263105</w:t>
      </w:r>
    </w:p>
    <w:p>
      <w:pPr>
        <w:spacing w:after="0" w:line="321" w:lineRule="exact"/>
        <w:rPr>
          <w:sz w:val="20"/>
          <w:szCs w:val="20"/>
          <w:color w:val="auto"/>
        </w:rPr>
      </w:pPr>
    </w:p>
    <w:p>
      <w:pPr>
        <w:jc w:val="both"/>
        <w:ind w:left="1300"/>
        <w:spacing w:after="0" w:line="312" w:lineRule="auto"/>
        <w:rPr>
          <w:sz w:val="20"/>
          <w:szCs w:val="20"/>
          <w:color w:val="auto"/>
        </w:rPr>
      </w:pPr>
      <w:r>
        <w:rPr>
          <w:rFonts w:ascii="Arial" w:cs="Arial" w:eastAsia="Arial" w:hAnsi="Arial"/>
          <w:sz w:val="16"/>
          <w:szCs w:val="16"/>
          <w:color w:val="auto"/>
        </w:rPr>
        <w:t>Partners, as the general partner of BVF, BVF2, the investment manager of Trading Fund OS, and the sole member of Partners OS, may be deemed to beneficially own the 7,455,534 Shares beneficially owned in the aggregate by BVF, BVF2, Trading Fund OS, and a certain Partners managed account (the “Partners Managed Account”), including 403,010 Shares held in the Partners Managed Account.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BVF Inc., as the general partner of Partners, may be deemed to beneficially own the 7,455,534 Shares beneficially owned by Partners.</w:t>
      </w:r>
    </w:p>
    <w:p>
      <w:pPr>
        <w:spacing w:after="0" w:line="23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7,455,534 Shares beneficially owned by BVF Inc.</w:t>
      </w:r>
    </w:p>
    <w:p>
      <w:pPr>
        <w:spacing w:after="0" w:line="170"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foregoing should not be construed in and of itself as an admission by any Reporting Person as to beneficial ownership of any Shares owned by another Reporting Person. Partners OS disclaims beneficial ownership of the Shares beneficially owned by Trading Fund OS.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188"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67,562,333 Shares outstanding, as of December 31, 2018, as disclosed in the Issuer’s Annual Report on Form 20-F filed with the Securities and Exchange Commission on March 21, 2019.</w:t>
      </w:r>
    </w:p>
    <w:p>
      <w:pPr>
        <w:spacing w:after="0" w:line="170"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As of the close of business on March 21, 2019 (i) BVF beneficially owned approximately 5.3% of the outstanding Shares, (ii) BVF2 beneficially owned approximately 4.4% of the outstanding Shares, (iii) Trading Fund OS beneficially owned less than 1% of the outstanding Shares, (iv) Partners OS may be deemed to beneficially own less than 1% of the outstanding Shares, and (v) each of Partners, BVF Inc. and Mr. Lampert may be deemed to beneficially own approximately 11.0% of the outstanding Shares (less than 1% of the outstanding Shares are held in the Partners Managed Account).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300" w:hanging="644"/>
        <w:spacing w:after="0" w:line="50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300" w:right="7120" w:hanging="644"/>
        <w:spacing w:after="0" w:line="50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300" w:right="6400" w:hanging="644"/>
        <w:spacing w:after="0" w:line="50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300" w:right="6220" w:hanging="644"/>
        <w:spacing w:after="0" w:line="43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H00263105</w:t>
      </w:r>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Partners, BVF Inc. and Mr. Lampert share voting and dispositive power over the Shares beneficially owned by BVF, BVF2, Trading Fund OS, and the Partners Managed Account.</w:t>
      </w:r>
    </w:p>
    <w:p>
      <w:pPr>
        <w:spacing w:after="0" w:line="170"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 to the Schedule 13G filed with the Securities and Exchange Commission on February 12, 2019.</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H00263105</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400"/>
          </w:cols>
          <w:pgMar w:left="240" w:top="226"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general partner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II,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general partner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sole member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By:</w:t>
        <w:tab/>
        <w:t>/s/ Mark N. Lampert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-130810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Mark N. Lampert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542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478" w:lineRule="exact"/>
        <w:rPr>
          <w:sz w:val="20"/>
          <w:szCs w:val="20"/>
          <w:color w:val="auto"/>
        </w:rPr>
      </w:pPr>
    </w:p>
    <w:p>
      <w:pPr>
        <w:sectPr>
          <w:pgSz w:w="11900" w:h="16838" w:orient="portrait"/>
          <w:cols w:equalWidth="0" w:num="2">
            <w:col w:w="5120" w:space="720"/>
            <w:col w:w="5560"/>
          </w:cols>
          <w:pgMar w:left="240" w:top="226" w:right="259" w:bottom="1440" w:gutter="0" w:footer="0" w:header="0"/>
          <w:type w:val="continuous"/>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2019-12-03T21:49:36Z</dcterms:created>
  <dcterms:modified xsi:type="dcterms:W3CDTF">2019-12-03T21:49:36Z</dcterms:modified>
</cp:coreProperties>
</file>