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608965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180340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231775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on Form 6-K (excluding Exhibit 99.3)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842010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November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(Unaudited) (IFRS) as of and for the three and nine months ended</w:t>
            </w:r>
          </w:p>
        </w:tc>
      </w:tr>
      <w:tr>
        <w:trPr>
          <w:trHeight w:val="182"/>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2025</w:t>
            </w:r>
          </w:p>
        </w:tc>
        <w:tc>
          <w:tcPr>
            <w:tcW w:w="7260" w:type="dxa"/>
            <w:vAlign w:val="bottom"/>
            <w:tcBorders>
              <w:top w:val="single" w:sz="8" w:color="0000EE"/>
            </w:tcBorders>
            <w:gridSpan w:val="3"/>
          </w:tcPr>
          <w:p>
            <w:pPr>
              <w:spacing w:after="0"/>
              <w:rPr>
                <w:sz w:val="15"/>
                <w:szCs w:val="15"/>
                <w:color w:val="auto"/>
              </w:rPr>
            </w:pPr>
          </w:p>
        </w:tc>
        <w:tc>
          <w:tcPr>
            <w:tcW w:w="280" w:type="dxa"/>
            <w:vAlign w:val="bottom"/>
          </w:tcPr>
          <w:p>
            <w:pPr>
              <w:spacing w:after="0"/>
              <w:rPr>
                <w:sz w:val="15"/>
                <w:szCs w:val="15"/>
                <w:color w:val="auto"/>
              </w:rPr>
            </w:pPr>
          </w:p>
        </w:tc>
      </w:tr>
      <w:tr>
        <w:trPr>
          <w:trHeight w:val="21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4, 2025</w:t>
            </w:r>
          </w:p>
        </w:tc>
        <w:tc>
          <w:tcPr>
            <w:tcW w:w="2540" w:type="dxa"/>
            <w:vAlign w:val="bottom"/>
            <w:gridSpan w:val="2"/>
          </w:tcPr>
          <w:p>
            <w:pPr>
              <w:spacing w:after="0"/>
              <w:rPr>
                <w:sz w:val="17"/>
                <w:szCs w:val="17"/>
                <w:color w:val="auto"/>
              </w:rPr>
            </w:pPr>
          </w:p>
        </w:tc>
      </w:tr>
      <w:tr>
        <w:trPr>
          <w:trHeight w:val="1040"/>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1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gridSpan w:val="2"/>
            <w:vMerge w:val="continue"/>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5920" w:type="dxa"/>
            <w:vAlign w:val="bottom"/>
            <w:gridSpan w:val="2"/>
            <w:vMerge w:val="continue"/>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57,861</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113,746</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171,607</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480,170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(419,751)</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0" w:type="dxa"/>
            <w:vAlign w:val="bottom"/>
          </w:tcPr>
          <w:p>
            <w:pPr>
              <w:spacing w:after="0"/>
              <w:rPr>
                <w:sz w:val="1"/>
                <w:szCs w:val="1"/>
                <w:color w:val="auto"/>
              </w:rPr>
            </w:pPr>
          </w:p>
        </w:tc>
      </w:tr>
      <w:tr>
        <w:trPr>
          <w:trHeight w:val="24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62,444</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98,286</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171,607</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17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7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5"/>
                <w:szCs w:val="15"/>
                <w:color w:val="auto"/>
              </w:rPr>
            </w:pPr>
          </w:p>
        </w:tc>
        <w:tc>
          <w:tcPr>
            <w:tcW w:w="17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60" w:type="dxa"/>
            <w:vAlign w:val="bottom"/>
            <w:gridSpan w:val="3"/>
            <w:vMerge w:val="continue"/>
          </w:tcPr>
          <w:p>
            <w:pPr>
              <w:spacing w:after="0"/>
              <w:rPr>
                <w:sz w:val="12"/>
                <w:szCs w:val="12"/>
                <w:color w:val="auto"/>
              </w:rPr>
            </w:pPr>
          </w:p>
        </w:tc>
        <w:tc>
          <w:tcPr>
            <w:tcW w:w="660" w:type="dxa"/>
            <w:vAlign w:val="bottom"/>
            <w:tcBorders>
              <w:top w:val="single" w:sz="8" w:color="auto"/>
            </w:tcBorders>
            <w:gridSpan w:val="2"/>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(16,166)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7,269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(54,924)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(33,760)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per share:</w:t>
            </w: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income/(loss) per share for the period attributable to</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Diluted income/(loss) for the period attributable to equity</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holders</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24"/>
                <w:szCs w:val="24"/>
                <w:color w:val="auto"/>
              </w:rPr>
            </w:pPr>
          </w:p>
        </w:tc>
        <w:tc>
          <w:tcPr>
            <w:tcW w:w="17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0" w:type="dxa"/>
            <w:vAlign w:val="bottom"/>
          </w:tcPr>
          <w:p>
            <w:pPr>
              <w:spacing w:after="0"/>
              <w:rPr>
                <w:sz w:val="15"/>
                <w:szCs w:val="15"/>
                <w:color w:val="auto"/>
              </w:rPr>
            </w:pPr>
          </w:p>
        </w:tc>
        <w:tc>
          <w:tcPr>
            <w:tcW w:w="15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5"/>
                <w:szCs w:val="15"/>
                <w:color w:val="auto"/>
              </w:rPr>
            </w:pPr>
          </w:p>
        </w:tc>
        <w:tc>
          <w:tcPr>
            <w:tcW w:w="17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for the period</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(15,858)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be reclassified to income or loss in subsequent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periods (net of tax):</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income/(loss), net of tax</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(13,118)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5,514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(53,325)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6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underwriting fees and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be held as treasury shares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477,126</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(348,937)</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60" w:type="dxa"/>
            <w:vAlign w:val="bottom"/>
            <w:gridSpan w:val="2"/>
          </w:tcPr>
          <w:p>
            <w:pPr>
              <w:jc w:val="center"/>
              <w:ind w:left="77"/>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480,170</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(419,751)</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1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714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60" w:type="dxa"/>
        <w:tblCellMar>
          <w:top w:w="0" w:type="dxa"/>
          <w:left w:w="0" w:type="dxa"/>
          <w:bottom w:w="0" w:type="dxa"/>
          <w:right w:w="0" w:type="dxa"/>
        </w:tblCellMar>
      </w:tblPr>
      <w:tr>
        <w:trPr>
          <w:trHeight w:val="142"/>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(56,074)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(35,119)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for the period to net cash flows: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expense/(income), net</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net employee defined benefit liability</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(Gain)/loss on sale of fixed assets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prepaid expenses</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accrued income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accounts receivable</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other current receivables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accrued expenses</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short-term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85,962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deferred income</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trade and other payables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long-term</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provided by/(used in) operating activities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(54,240)</w:t>
            </w: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58,898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expenses paid</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operating activities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(52,754)</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59,908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(Deposits)/maturities of short-term financial assets, net</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48,487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6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investing activities</w:t>
            </w: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47,539</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(101,464)</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sale of treasury shares in public offerings, net of underwriting fees and transaction</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 equity plan, net of transaction costs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and stamp duty associated with the public offerings of common shares previously</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recorded in Accrued expenses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previously recorded</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Accrued expenses</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lease obligations</w:t>
            </w:r>
          </w:p>
        </w:tc>
        <w:tc>
          <w:tcPr>
            <w:tcW w:w="6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(used in) financing activities</w:t>
            </w: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(759)</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(923)</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(5,974)</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(42,479)</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January 1</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78,494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gain/(loss) on cash and cash equivalents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September 30</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27,741</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(5,974)</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(42,479)</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activity</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recorded in Accrued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in Trade and other payables or Accrued expenses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AC Immune SA as of and for the three and nine months ended September 30, 2025 were authorized for issuance by the Company’s Audit and Finance Committee on November 3, 2025.</w:t>
      </w:r>
    </w:p>
    <w:p>
      <w:pPr>
        <w:spacing w:after="0" w:line="172"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September 30, 2025 and for the three and nine months ended September 30, 2025 and 2024,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8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14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0.850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exchange rate, USD 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0.808</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0.877</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0.850</w:t>
            </w:r>
          </w:p>
        </w:tc>
        <w:tc>
          <w:tcPr>
            <w:tcW w:w="14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0.891</w:t>
            </w: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0.889</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During Q3 2025, AC Immune incurred restructuring costs associated with planned initiatives to reduce our costs. The most significant restructuring costs are termination benefits provided to employees. In connection with developing a detailed formal plan for the restructuring, the Company established a provision for restructuring costs and, through execution of the plan and announcement of its main features to those affected by it, a valid expectation has been raised in those affected that the plan will be implemented. The recognition of restructuring provision requires estimates including timing of payments and the final cost of the termination benefits. As a result, the actual restructuring costs may differ from our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not yet effective,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2024.</w:t>
      </w:r>
    </w:p>
    <w:p>
      <w:pPr>
        <w:spacing w:after="0" w:line="1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April 2024, the IASB issued IFRS 18 Presentation and Disclosure in Financial Statements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This new standard will be effective for annual reporting periods beginning on January 1, 2027 and will require retroactive adoption. The Company is currently evaluating the new standard to determine how it will impact the presentation and disclosure in its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6-K, after considering the Company’s cash position of CHF 27.7 million and short-term financial assets of CHF 80.7 million as of September 30, 2025. Hence, these unaudited Interim Condensed Consolidated Financial Statements have been prepared on a going-concern basis.</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60" w:right="99"/>
        <w:spacing w:after="0" w:line="276" w:lineRule="auto"/>
        <w:rPr>
          <w:sz w:val="20"/>
          <w:szCs w:val="20"/>
          <w:color w:val="auto"/>
        </w:rPr>
      </w:pPr>
      <w:r>
        <w:rPr>
          <w:rFonts w:ascii="Times New Roman" w:cs="Times New Roman" w:eastAsia="Times New Roman" w:hAnsi="Times New Roman"/>
          <w:sz w:val="17"/>
          <w:szCs w:val="17"/>
          <w:color w:val="auto"/>
        </w:rPr>
        <w:t>These risks may require us to take certain measures such as delaying, reducing or eliminating certain programs. The Company’s success may depend in part upon its ability to (i) establish and maintain a strong patent position and protection,</w:t>
      </w:r>
    </w:p>
    <w:p>
      <w:pPr>
        <w:spacing w:after="0" w:line="1" w:lineRule="exact"/>
        <w:rPr>
          <w:sz w:val="20"/>
          <w:szCs w:val="20"/>
          <w:color w:val="auto"/>
        </w:rPr>
      </w:pPr>
    </w:p>
    <w:p>
      <w:pPr>
        <w:jc w:val="both"/>
        <w:ind w:left="60" w:right="159" w:hanging="10"/>
        <w:spacing w:after="0" w:line="255"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82"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 and other operating income</w:t>
      </w:r>
    </w:p>
    <w:p>
      <w:pPr>
        <w:spacing w:after="0" w:line="22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and 2024, AC Immune generated CHF 0.9 million in contract revenues, compared to CHF 25.5 million in contract revenues in the prior comparable period. For the nine months ended September 30, 2025 and 2024, AC Immune generated CHF 3.2 million in contract revenues, compared to CHF 26.2 million in the prior comparable period.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gridSpan w:val="4"/>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40" w:type="dxa"/>
            <w:vAlign w:val="bottom"/>
            <w:gridSpan w:val="3"/>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5"/>
                <w:szCs w:val="15"/>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0" w:type="dxa"/>
            <w:vAlign w:val="bottom"/>
          </w:tcPr>
          <w:p>
            <w:pPr>
              <w:spacing w:after="0"/>
              <w:rPr>
                <w:sz w:val="1"/>
                <w:szCs w:val="1"/>
                <w:color w:val="auto"/>
              </w:rPr>
            </w:pPr>
          </w:p>
        </w:tc>
      </w:tr>
      <w:tr>
        <w:trPr>
          <w:trHeight w:val="216"/>
        </w:trPr>
        <w:tc>
          <w:tcPr>
            <w:tcW w:w="66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2024, please refer to Note 14.1 “Licensing and Collaboration agreements” of our Annual Report on Form 20-F for the year ended December 31, 2024 filed on March 13,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with Takeda Pharmaceuticals, USA, Inc.</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1.7) billion if all related milestones are achieved over the course of the agreement. Upon commercialization, AC Immune will be entitled to receive tiered mid-to-high teens percentages royalties on worldwide net sales.</w:t>
      </w:r>
    </w:p>
    <w:p>
      <w:pPr>
        <w:spacing w:after="0" w:line="18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60" w:right="399"/>
        <w:spacing w:after="0" w:line="258" w:lineRule="auto"/>
        <w:rPr>
          <w:sz w:val="20"/>
          <w:szCs w:val="20"/>
          <w:color w:val="auto"/>
        </w:rPr>
      </w:pPr>
      <w:r>
        <w:rPr>
          <w:rFonts w:ascii="Times New Roman" w:cs="Times New Roman" w:eastAsia="Times New Roman" w:hAnsi="Times New Roman"/>
          <w:sz w:val="18"/>
          <w:szCs w:val="18"/>
          <w:color w:val="auto"/>
        </w:rPr>
        <w:t>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9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9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3" w:lineRule="exact"/>
        <w:rPr>
          <w:sz w:val="20"/>
          <w:szCs w:val="20"/>
          <w:color w:val="auto"/>
        </w:rPr>
      </w:pPr>
    </w:p>
    <w:p>
      <w:pPr>
        <w:ind w:left="60" w:right="43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contract revenue of CHF 0.9 million and CHF 3.2 million, respectively, reflecting its efforts under this agreement for the development, CMC, and regulatory activities of our active immunotherapies targeting Abeta, compared to no contract revenue in the prior comparable periods.</w:t>
      </w:r>
    </w:p>
    <w:p>
      <w:pPr>
        <w:spacing w:after="0" w:line="180"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recorded CHF 86.4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20" w:type="dxa"/>
            <w:vAlign w:val="bottom"/>
            <w:gridSpan w:val="3"/>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gridSpan w:val="3"/>
            <w:vMerge w:val="continue"/>
          </w:tcPr>
          <w:p>
            <w:pPr>
              <w:spacing w:after="0"/>
              <w:rPr>
                <w:sz w:val="12"/>
                <w:szCs w:val="12"/>
                <w:color w:val="auto"/>
              </w:rPr>
            </w:pPr>
          </w:p>
        </w:tc>
        <w:tc>
          <w:tcPr>
            <w:tcW w:w="1020" w:type="dxa"/>
            <w:vAlign w:val="bottom"/>
            <w:gridSpan w:val="2"/>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earnings/(loss) per share (EPS):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attributable to</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10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100,893,716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99,840,693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Basic earnings/(loss) per share for the period attributable to equity holders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earnings/(loss) per share (EPS):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income/(loss) attributable to equity holders of the Company</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attributable to</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holders</w:t>
            </w:r>
          </w:p>
        </w:tc>
        <w:tc>
          <w:tcPr>
            <w:tcW w:w="10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100,893,716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99,840,693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from equity incentive plans</w:t>
            </w: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 diluted attributable to equity holders</w:t>
            </w:r>
          </w:p>
        </w:tc>
        <w:tc>
          <w:tcPr>
            <w:tcW w:w="102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100,893,716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100,858,944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earnings/(loss) per share for the period attributable to equity holders</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102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(56,074)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4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100,645,864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99,592,932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In periods for which AC Immune has a loss, basic net loss per share is the same as diluted net loss per share. The Company has excluded from the calculation of diluted loss per share all potentially dilutive in-the-money share options. See “Note 12. Share-based compensation” for the potentially dilutive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 w:name="page14"/>
    <w:bookmarkEnd w:id="13"/>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nine months ended September 30, 2025:</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6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60" w:type="dxa"/>
            <w:vAlign w:val="bottom"/>
          </w:tcPr>
          <w:p>
            <w:pPr>
              <w:spacing w:after="0"/>
              <w:rPr>
                <w:sz w:val="10"/>
                <w:szCs w:val="10"/>
                <w:color w:val="auto"/>
              </w:rPr>
            </w:pPr>
          </w:p>
        </w:tc>
        <w:tc>
          <w:tcPr>
            <w:tcW w:w="6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10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5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accumulated depreciation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6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recognized no additions to its right-of-use assets for the nine months ended September 30, 2025.</w:t>
      </w:r>
    </w:p>
    <w:p>
      <w:pPr>
        <w:spacing w:after="0" w:line="225"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3.3% for office equipment and 7.2% for IT equipment, respectively.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assets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4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ind w:left="60" w:right="779" w:firstLine="324"/>
        <w:spacing w:after="0" w:line="312" w:lineRule="auto"/>
        <w:rPr>
          <w:sz w:val="20"/>
          <w:szCs w:val="20"/>
          <w:color w:val="auto"/>
        </w:rPr>
      </w:pPr>
      <w:r>
        <w:rPr>
          <w:rFonts w:ascii="Times New Roman" w:cs="Times New Roman" w:eastAsia="Times New Roman" w:hAnsi="Times New Roman"/>
          <w:sz w:val="17"/>
          <w:szCs w:val="17"/>
          <w:color w:val="auto"/>
        </w:rPr>
        <w:t>For the three and nine months ended September 30, 2025, and 2024, the impact on the Company’s condensed consolidated statements of income/(loss) and the condensed consolidated statements of cash flows is as follows:</w:t>
      </w:r>
    </w:p>
    <w:p>
      <w:pPr>
        <w:spacing w:after="0" w:line="13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9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0" w:type="dxa"/>
            <w:vAlign w:val="bottom"/>
          </w:tcPr>
          <w:p>
            <w:pPr>
              <w:spacing w:after="0"/>
              <w:rPr>
                <w:sz w:val="15"/>
                <w:szCs w:val="15"/>
                <w:color w:val="auto"/>
              </w:rPr>
            </w:pPr>
          </w:p>
        </w:tc>
        <w:tc>
          <w:tcPr>
            <w:tcW w:w="19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gridSpan w:val="2"/>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September 30, 2025:</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26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260" w:type="dxa"/>
            <w:vAlign w:val="bottom"/>
            <w:gridSpan w:val="2"/>
            <w:vMerge w:val="continue"/>
          </w:tcPr>
          <w:p>
            <w:pPr>
              <w:spacing w:after="0"/>
              <w:rPr>
                <w:sz w:val="15"/>
                <w:szCs w:val="15"/>
                <w:color w:val="auto"/>
              </w:rPr>
            </w:pPr>
          </w:p>
        </w:tc>
        <w:tc>
          <w:tcPr>
            <w:tcW w:w="16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0.6 million and CHF 0.4 million for leases of the Company’s premises as of September 30, 2025 and December 31, 2024, respectively. These deposits are presented in Long-term financial assets on the Company’s condensed consolidated balance sheets.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00" w:type="dxa"/>
            <w:vAlign w:val="bottom"/>
            <w:gridSpan w:val="2"/>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00" w:type="dxa"/>
            <w:vAlign w:val="bottom"/>
            <w:tcBorders>
              <w:bottom w:val="single" w:sz="8" w:color="auto"/>
            </w:tcBorders>
            <w:gridSpan w:val="3"/>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Accrued expenses consist of accrued R&amp;D costs, accrued payroll expenses and other accrued expenses totaling CHF 9.9 million and CHF 12.1 million as of September 30, 2025 and December 31, 2024, respectively. The provision pertaining to restructuring costs primarily consists of payroll related costs in the amount of CHF 2.1 million as of September 30, 2025 compared to nil as of December 31, 2024. Refer to Note 14 for more details on the restructuring.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immunotherapy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40" w:type="dxa"/>
            <w:vAlign w:val="bottom"/>
          </w:tcPr>
          <w:p>
            <w:pPr>
              <w:spacing w:after="0"/>
              <w:rPr>
                <w:sz w:val="15"/>
                <w:szCs w:val="15"/>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7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50,416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determined the IPR&amp;D asset not to be impaired as of December 31, 2024. As of September 30, 2025, the Company did not identify any triggering events that could result in an impairment of the IPR&amp;D asset.</w:t>
      </w:r>
    </w:p>
    <w:p>
      <w:pPr>
        <w:spacing w:after="0" w:line="180"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employee social obligations totaling CHF 3.3 million and CHF 4.3 million as of September 30, 2025 and December 31,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December 31, 2024:</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25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1"/>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net proceeds from the maturity of investments in short-term financial assets amounted to CHF 48.5 million, compared to net investments of CHF 100.9 million in the prior comparable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11. Share capital and Treasury shares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the at the market offering program with Jefferies LLC for the fiscal year ended December 31, 2024, please refer to Note 12 “Share capital” of the Annual Report on Form 20-F for the year ended December 31, 2024 filed on March 13,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10,899,773 treasury shares.</w:t>
      </w:r>
    </w:p>
    <w:p>
      <w:pPr>
        <w:spacing w:after="0" w:line="221" w:lineRule="exact"/>
        <w:rPr>
          <w:sz w:val="20"/>
          <w:szCs w:val="20"/>
          <w:color w:val="auto"/>
        </w:rPr>
      </w:pPr>
    </w:p>
    <w:p>
      <w:pPr>
        <w:ind w:left="380" w:right="6599" w:hanging="330"/>
        <w:spacing w:after="0" w:line="532" w:lineRule="auto"/>
        <w:tabs>
          <w:tab w:leader="none" w:pos="3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September 30, 2025.</w:t>
      </w:r>
    </w:p>
    <w:p>
      <w:pPr>
        <w:spacing w:after="0" w:line="183"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(CHF)</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3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(135,118)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3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(205,634)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3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(4,278)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4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5,010,827</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2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4,097,932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248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5,010,827</w:t>
            </w: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3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during the period</w:t>
            </w:r>
          </w:p>
        </w:tc>
        <w:tc>
          <w:tcPr>
            <w:tcW w:w="3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(65,691)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3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708,021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5,568,327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September 30, 2025</w:t>
            </w:r>
          </w:p>
        </w:tc>
        <w:tc>
          <w:tcPr>
            <w:tcW w:w="2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4,655,587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7" w:name="page18"/>
    <w:bookmarkEnd w:id="17"/>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September 30, 2025 and changes during the nine months ended is presented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1,094,876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(1,064,554)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1,377,903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822,740</w:t>
            </w: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(182,131)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(102,999)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1,473,519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(670,857)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1,498,266</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September 30,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1,949,626</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expense charged against the income statement was CHF 0.8 million and CHF 1.2 million for the three months ended September 30, 2025 and 2024, respectively. For the nine months ended September 30, 2025 and 2024, the expense charged against the income statement was CHF 3.5 million and CHF 4.5 million, respectively. The expense is determined by the Company based on the number of instruments that are expected to become exercisable.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and 2024, AC Immune recorded CHF 0.3 million in net financial gains and CHF 1.8 million in net financial losses, respectively. The increase is primarily related to more stable foreign currency exchange differences related to movement in the CHF versus foreign currencies, predominantly the U.S. Dollar, compared with the preceding period end rate. This was partially offset by reduced gains on the Company’s short-term financial assets compared to the prior period.</w:t>
      </w:r>
    </w:p>
    <w:p>
      <w:pPr>
        <w:spacing w:after="0" w:line="18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and 2024, AC Immune recorded CHF 1.2 million and CHF 1.4 million in net financial losses, respectively. The change reflects lower foreign exchange losses due to more stable movements in the CHF versus foreign currencies, predominantly the U.S. Dollar, compared with the preceding period end rate. This was partially offset by reduced gains on the Company’s short-term financial assets compared to the prior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Restructuring</w:t>
      </w:r>
    </w:p>
    <w:p>
      <w:pPr>
        <w:spacing w:after="0" w:line="22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September 4, 2025, the Company announced that following a strategic review, the Company is sharpening its focused investment on its most important assets and implementing cost reduction measures accordingly. As a result of the initiatives announced in September 2025, the Company recorded CHF 0.4 million of net restructuring expenses in the period ended September 30, 2025 comprising CHF 2.1 million of termination benefits to be paid to the employees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8" w:name="page19"/>
    <w:bookmarkEnd w:id="18"/>
    <w:p>
      <w:pPr>
        <w:ind w:left="60" w:right="279"/>
        <w:spacing w:after="0" w:line="282" w:lineRule="auto"/>
        <w:rPr>
          <w:sz w:val="20"/>
          <w:szCs w:val="20"/>
          <w:color w:val="auto"/>
        </w:rPr>
      </w:pPr>
      <w:r>
        <w:rPr>
          <w:rFonts w:ascii="Times New Roman" w:cs="Times New Roman" w:eastAsia="Times New Roman" w:hAnsi="Times New Roman"/>
          <w:sz w:val="18"/>
          <w:szCs w:val="18"/>
          <w:color w:val="auto"/>
        </w:rPr>
        <w:t>impacted by the restructuring, a CHF 1.8 million gain on curtailment related to the defined benefit liability, and less than CHF 0.1 million of expenses related to the acceleration of share-based compensation expenses.</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a provision of CHF 2.1 million for termination benefits recorded under accrued expenses, compared to a provision of CHF 0 at the beginning of the year. These costs are expected to be paid throughout the fourth quarter of 2025. The measurement of the provision involves estimates regarding the timing and amount of termination benefits.</w:t>
      </w:r>
    </w:p>
    <w:p>
      <w:pPr>
        <w:spacing w:after="0" w:line="180"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curtailment event required a remeasurement of the defined benefit liability using updated actuarial assumptions and current fair value of plan assets, in accordance with IAS 19. The impact of the curtailment is to be recognized in the same period as the restructuring. As a result of the curtailment, the Company recognized a CHF 1.8 million gain on curtailment in the three and nine months ended September 30, 2025, compared to nil in the corresponding periods for 2024. The curtailment gain is non-cash and arises due to the acceleration or elimination of future benefit accruals under the defined benefit plan. In addition to the curtailment impact, the Company remeasured the plan using current actuarial assumptions and fair value of plan assets, resulting in other comprehensive income of CHF 2.7 million recognized during the period. Including other immaterial remeasurement effects, the aggregate decrease in net employee defined benefit liabilities is CHF 4.3 million.</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71"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nine months ended September 30, 2025, included as Exhibit 99.1 to this Report on Form 6-K. We also recommend that you read our management’s discussion and analysis and our audited consolidated financial statements and the notes thereto, which appear in our Annual Report on Form 20-F for the year ended December 31, 2024 on file with the U.S. Securities and Exchange Commission (the “SEC”).</w:t>
      </w:r>
    </w:p>
    <w:p>
      <w:pPr>
        <w:spacing w:after="0" w:line="17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45"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We prepare and report our consolidated financial statements and financial information in accordance with International Financial Reporting Standards (IFRS) Accounting Standards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November 4,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179" w:firstLine="324"/>
        <w:spacing w:after="0" w:line="233"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Morphomer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to shift the treatment paradigm for neurodegenerative disease towards Precision Prevention. Our business strategy is focused on two core value drivers: (i) Active Immunotherapies being developed for the treatment and prevention of Alzheimer’s disease (AD) and Parkinson’s disease (PD); and (ii) Intracellular targeting with brain penetrant small molecule programs targeting intracellular pathologies.</w:t>
      </w:r>
    </w:p>
    <w:p>
      <w:pPr>
        <w:spacing w:after="0" w:line="18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more effectively modify the disease course. Ultimately, it is our belief that this approach will increase the chance of treatment success by enabling clinical trial participants to be better defined by their various proteinopathies, allowing for treatment with the right therapies at the right time.</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therapeutic programs targeting the key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610235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119" w:hanging="326"/>
        <w:spacing w:after="0" w:line="254"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ACI-24.060 for AD and for AD in 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ACI-24.060 is AC Immune’s anti-Abeta active immunotherapy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evaluated in patients with AD and in subjects with DS. ACI-24.060 contains Abeta unrelated T-helper cell epitopes to increase the magnitude and the boostability of the antibody response against pathological Abeta. It has demonstrated tolerability and immunogenicity in mouse and NHP studies. ACI-24.060 is currently being tested at 3 different incremental doses in the ABATE Phase 1b/2 trial (NCT05462106) and amyloid plaque reduction is being assessed using Abeta-PET imaging.</w:t>
      </w:r>
    </w:p>
    <w:p>
      <w:pPr>
        <w:spacing w:after="0" w:line="188" w:lineRule="exact"/>
        <w:rPr>
          <w:rFonts w:ascii="Times New Roman" w:cs="Times New Roman" w:eastAsia="Times New Roman" w:hAnsi="Times New Roman"/>
          <w:sz w:val="18"/>
          <w:szCs w:val="18"/>
          <w:color w:val="auto"/>
        </w:rPr>
      </w:pPr>
    </w:p>
    <w:p>
      <w:pPr>
        <w:ind w:left="700" w:right="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 ACI-24.060 has been shown to be generally well tolerated in individuals with AD and with Down syndrome, noting in particular that no case of Amyloid-Related Imaging Abnormalities-vasogenic edema (ARIA-E) has been reported at brain MRI in these two study populations. Based on data available as of September 2025, there has been no death. In subjects with AD, two serious adverse events are considered possibly related to the study treatment.</w:t>
      </w:r>
    </w:p>
    <w:p>
      <w:pPr>
        <w:spacing w:after="0" w:line="194" w:lineRule="exact"/>
        <w:rPr>
          <w:rFonts w:ascii="Times New Roman" w:cs="Times New Roman" w:eastAsia="Times New Roman" w:hAnsi="Times New Roman"/>
          <w:sz w:val="18"/>
          <w:szCs w:val="18"/>
          <w:color w:val="auto"/>
        </w:rPr>
      </w:pPr>
    </w:p>
    <w:p>
      <w:pPr>
        <w:ind w:left="700" w:right="1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insights from blinded cohorts AD1, AD2 and AD3 showed that ACI-24.060 induced immunogenicity at all tested doses in AD subjects, with higher doses showing increased anti-Abeta1-42 IgG titers and responder rates. Repeated immunizations led to a boosting effect across all dose levels and cohorts AD2 and AD3 showed a more durable and sustained immune response (Post, AD/PD 2025).</w:t>
      </w:r>
    </w:p>
    <w:p>
      <w:pPr>
        <w:spacing w:after="0" w:line="186" w:lineRule="exact"/>
        <w:rPr>
          <w:rFonts w:ascii="Times New Roman" w:cs="Times New Roman" w:eastAsia="Times New Roman" w:hAnsi="Times New Roman"/>
          <w:sz w:val="18"/>
          <w:szCs w:val="18"/>
          <w:color w:val="auto"/>
        </w:rPr>
      </w:pPr>
    </w:p>
    <w:p>
      <w:pPr>
        <w:ind w:left="700" w:right="1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1.7)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187" w:lineRule="exact"/>
        <w:rPr>
          <w:rFonts w:ascii="Times New Roman" w:cs="Times New Roman" w:eastAsia="Times New Roman" w:hAnsi="Times New Roman"/>
          <w:sz w:val="18"/>
          <w:szCs w:val="18"/>
          <w:color w:val="auto"/>
        </w:rPr>
      </w:pPr>
    </w:p>
    <w:p>
      <w:pPr>
        <w:ind w:left="700" w:right="99" w:hanging="326"/>
        <w:spacing w:after="0" w:line="25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our active immunotherapy targeting pathological a-syn, is currently being tested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Interim analyses have shown that ACI-7104.056 induces strong anti-a-synuclein antibody levels on average over 20-fold higher than placebo after 4 immunizations. ACI-7104.056 is well tolerated with no safety issues related to the study drug reported to date. Further interim results may be reported in H2 2025 including pharmacodynamic data. AC Immune may decide to initiate Part 2 of VacSYn with up to 150 patients.</w:t>
      </w:r>
    </w:p>
    <w:p>
      <w:pPr>
        <w:spacing w:after="0" w:line="189" w:lineRule="exact"/>
        <w:rPr>
          <w:rFonts w:ascii="Times New Roman" w:cs="Times New Roman" w:eastAsia="Times New Roman" w:hAnsi="Times New Roman"/>
          <w:sz w:val="18"/>
          <w:szCs w:val="18"/>
          <w:color w:val="auto"/>
        </w:rPr>
      </w:pPr>
    </w:p>
    <w:p>
      <w:pPr>
        <w:ind w:left="700" w:right="79" w:hanging="326"/>
        <w:spacing w:after="0" w:line="253"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(JNJ-64042056 also now referred to as JNJ-2056). </w:t>
      </w:r>
      <w:r>
        <w:rPr>
          <w:rFonts w:ascii="Times New Roman" w:cs="Times New Roman" w:eastAsia="Times New Roman" w:hAnsi="Times New Roman"/>
          <w:sz w:val="18"/>
          <w:szCs w:val="18"/>
          <w:color w:val="auto"/>
        </w:rPr>
        <w:t>AC Immune and Janssen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part of 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700" w:right="419"/>
        <w:spacing w:after="0" w:line="282" w:lineRule="auto"/>
        <w:rPr>
          <w:sz w:val="20"/>
          <w:szCs w:val="20"/>
          <w:color w:val="auto"/>
        </w:rPr>
      </w:pPr>
      <w:r>
        <w:rPr>
          <w:rFonts w:ascii="Times New Roman" w:cs="Times New Roman" w:eastAsia="Times New Roman" w:hAnsi="Times New Roman"/>
          <w:sz w:val="18"/>
          <w:szCs w:val="18"/>
          <w:color w:val="auto"/>
        </w:rPr>
        <w:t>against these pathological Tau species but not against non-phosphorylated Tau. Long-term maintenance of the anti-ePHF IgG titers against endogenous pathological Tau was observed at the mid- and high doses.</w:t>
      </w:r>
    </w:p>
    <w:p>
      <w:pPr>
        <w:spacing w:after="0" w:line="162" w:lineRule="exact"/>
        <w:rPr>
          <w:sz w:val="20"/>
          <w:szCs w:val="20"/>
          <w:color w:val="auto"/>
        </w:rPr>
      </w:pPr>
    </w:p>
    <w:p>
      <w:pPr>
        <w:ind w:left="700" w:right="99"/>
        <w:spacing w:after="0" w:line="254" w:lineRule="auto"/>
        <w:rPr>
          <w:sz w:val="20"/>
          <w:szCs w:val="20"/>
          <w:color w:val="auto"/>
        </w:rPr>
      </w:pPr>
      <w:r>
        <w:rPr>
          <w:rFonts w:ascii="Times New Roman" w:cs="Times New Roman" w:eastAsia="Times New Roman" w:hAnsi="Times New Roman"/>
          <w:sz w:val="18"/>
          <w:szCs w:val="18"/>
          <w:color w:val="auto"/>
        </w:rPr>
        <w:t>In the Phase 1b/2a clinical trial, ACI-35.030 showed a good safety and tolerability profile. The majority of adverse events (AEs) were of mild or moderate intensity. No death was reported. No AE led to study discontinuation or to study treatment discontinuation. Injection site reactions were the most frequently reported AEs in actively treated subjects. The frequency of serious adverse events (SAEs) observed in subjects treated with ACI-35.030 did not appear to have any particular relationship to the dose.</w:t>
      </w:r>
    </w:p>
    <w:p>
      <w:pPr>
        <w:spacing w:after="0" w:line="187" w:lineRule="exact"/>
        <w:rPr>
          <w:sz w:val="20"/>
          <w:szCs w:val="20"/>
          <w:color w:val="auto"/>
        </w:rPr>
      </w:pPr>
    </w:p>
    <w:p>
      <w:pPr>
        <w:ind w:left="700" w:right="59"/>
        <w:spacing w:after="0" w:line="253" w:lineRule="auto"/>
        <w:rPr>
          <w:sz w:val="20"/>
          <w:szCs w:val="20"/>
          <w:color w:val="auto"/>
        </w:rPr>
      </w:pPr>
      <w:r>
        <w:rPr>
          <w:rFonts w:ascii="Times New Roman" w:cs="Times New Roman" w:eastAsia="Times New Roman" w:hAnsi="Times New Roman"/>
          <w:sz w:val="18"/>
          <w:szCs w:val="18"/>
          <w:color w:val="auto"/>
        </w:rPr>
        <w:t>Consequently, ACI-35.030/JNJ-2056 is now being assessed in subjects with preclinical (i.e., pre-symptomatic) AD in the Phase 2b study ReTain (NCT06544616). The ongoing trial will randomize approximately 500 participants with confirmed early-stage Tau pathology, who will be treated over a four-year period. The trial will include interim biomarker analyses potentially allowing for acceleration towards a regulatory filing. JNJ-2056 was granted Fast Track designation by the FDA, for the treatment of AD in July 2024. In September 2024, AC Immune received a milestone payment triggered by the rapid rate of prescreening in the potentially registrational Phase 2b ReTain trial and the first patient was dosed in H2 2024.</w:t>
      </w:r>
    </w:p>
    <w:p>
      <w:pPr>
        <w:spacing w:after="0" w:line="183" w:lineRule="exact"/>
        <w:rPr>
          <w:sz w:val="20"/>
          <w:szCs w:val="20"/>
          <w:color w:val="auto"/>
        </w:rPr>
      </w:pPr>
    </w:p>
    <w:p>
      <w:pPr>
        <w:ind w:left="700" w:right="99" w:hanging="326"/>
        <w:spacing w:after="0" w:line="25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PI-2620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the Tau-PET imaging agent discovered during the collaboration of AC Immune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Molecular Imaging (LMI, recently acquired by Lantheus Holdings, Inc.). We are working with our partner,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longitudinal use of PI-2620 in 52 participants (7 with normal cognition, 28 with mild cognitive impairment (MCI), and 17 with AD) from an investigator sponsored Phase 2 trial at the Asan Medical Center (NCT03903211) were presented at the 2022 AAIC and published in 2024 in the peer-reviewed Journal of Nuclear Medicine. Following these results, LMI moved PI-2620 into late-stage clinical development in AD and made a milestone payment to AC Immune. The first Alzheimer’s patient in ADvance, the pivotal Phase 3 histopathology study in AD (NCT05641688), was imaged in January 2023. In August 2024, partner LMI has received Fast Track Designation for the diagnostic </w:t>
      </w:r>
      <w:r>
        <w:rPr>
          <w:rFonts w:ascii="Times New Roman" w:cs="Times New Roman" w:eastAsia="Times New Roman" w:hAnsi="Times New Roman"/>
          <w:sz w:val="14"/>
          <w:szCs w:val="14"/>
          <w:color w:val="auto"/>
          <w:vertAlign w:val="superscript"/>
        </w:rPr>
        <w:t>18</w:t>
      </w:r>
      <w:r>
        <w:rPr>
          <w:rFonts w:ascii="Times New Roman" w:cs="Times New Roman" w:eastAsia="Times New Roman" w:hAnsi="Times New Roman"/>
          <w:sz w:val="18"/>
          <w:szCs w:val="18"/>
          <w:color w:val="auto"/>
        </w:rPr>
        <w:t>F-PI-2620, from the U.S. FDA in three neurodegenerative conditions: AD, PSP, and CBD.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5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ACI-12589 and ACI-15916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Morphomer platform has delivered the first clinically validated a-syn-PET tracer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now can support the differential diagnosis of multiple system atrophy (MSA) from other neurodegenerative diseases and allow precision medicine approaches and biomarker-based clinical development in this indication.</w:t>
      </w:r>
    </w:p>
    <w:p>
      <w:pPr>
        <w:ind w:left="700" w:right="7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ACI-15916 were completed in H2 2024 and the Phase 1 trial in PD was initiated in Q1 2025. The readout from this study is expected in H2 2025.</w:t>
      </w:r>
    </w:p>
    <w:p>
      <w:pPr>
        <w:spacing w:after="0" w:line="187" w:lineRule="exact"/>
        <w:rPr>
          <w:rFonts w:ascii="Times New Roman" w:cs="Times New Roman" w:eastAsia="Times New Roman" w:hAnsi="Times New Roman"/>
          <w:sz w:val="18"/>
          <w:szCs w:val="18"/>
          <w:color w:val="auto"/>
        </w:rPr>
      </w:pPr>
    </w:p>
    <w:p>
      <w:pPr>
        <w:ind w:left="700" w:right="219" w:hanging="326"/>
        <w:spacing w:after="0" w:line="241"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ACI-19626, TDP-43 imaging diagnostic. </w:t>
      </w:r>
      <w:r>
        <w:rPr>
          <w:rFonts w:ascii="Times New Roman" w:cs="Times New Roman" w:eastAsia="Times New Roman" w:hAnsi="Times New Roman"/>
          <w:sz w:val="18"/>
          <w:szCs w:val="18"/>
          <w:color w:val="auto"/>
        </w:rPr>
        <w:t>Our Morphomer platform has delivered the first-in-class TDP-43 PET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entering the FiH evaluation in healthy volunteers and in patients with TDP-43 proteinopathies. ACI-19626 shows optimal binding potential in frontotemporal lobar degeneration (FTLD)-TDP brain tissue with no binding to physiological TDP-43, excellent selectivity over other aggregated proteins commonly present in neurodegenerative diseases and aging brain, excellent pharmacokinetic properties suitable for human brain imaging. This PET tracer is envisioned to enable early and differential diagnosis, improve the design and interpretation of clinical trials allowing for patient stratification, selection of optimal timing for therapeutic intervention and pharmacodynamic effect evaluation. This first-in-class molecule could have a high impact, opening new opportunities for therapeutic interventions in diseases with high unmet medical needs and huge societal burdens, such as ALS, FTD and AD. CTA enabling studies for ACI-19626 were completed in July 2024. The Phase 1 trial was initiated in Q1 2025 and the interim readout from this study is expected in H2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700" w:right="139" w:hanging="326"/>
        <w:spacing w:after="0" w:line="262"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Continued candidate characterization across the research program has also identified new and highly differentiated candidates with excellent brain exposure and selectivity for pathological aggregated Tau.</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Q3 2025 Company highlights</w:t>
      </w:r>
    </w:p>
    <w:p>
      <w:pPr>
        <w:spacing w:after="0" w:line="229" w:lineRule="exact"/>
        <w:rPr>
          <w:sz w:val="20"/>
          <w:szCs w:val="20"/>
          <w:color w:val="auto"/>
        </w:rPr>
      </w:pPr>
    </w:p>
    <w:p>
      <w:pPr>
        <w:ind w:left="700" w:right="41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strategic review by executive management, the Company sharpened its focused investment on its most important assets.</w:t>
      </w:r>
    </w:p>
    <w:p>
      <w:pPr>
        <w:spacing w:after="0" w:line="162" w:lineRule="exact"/>
        <w:rPr>
          <w:sz w:val="20"/>
          <w:szCs w:val="20"/>
          <w:color w:val="auto"/>
        </w:rPr>
      </w:pPr>
    </w:p>
    <w:p>
      <w:pPr>
        <w:ind w:left="1340" w:right="339" w:hanging="318"/>
        <w:spacing w:after="0" w:line="249" w:lineRule="auto"/>
        <w:tabs>
          <w:tab w:leader="none" w:pos="134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These include its three clinical-stage active immunotherapy programs, two of which are in ongoing pharma collaborations, and its most promising small molecule programs targeting NLRP3, Tau and a-synuclein.</w:t>
      </w:r>
    </w:p>
    <w:p>
      <w:pPr>
        <w:spacing w:after="0" w:line="204" w:lineRule="exact"/>
        <w:rPr>
          <w:rFonts w:ascii="Courier New" w:cs="Courier New" w:eastAsia="Courier New" w:hAnsi="Courier New"/>
          <w:sz w:val="18"/>
          <w:szCs w:val="18"/>
          <w:color w:val="auto"/>
        </w:rPr>
      </w:pPr>
    </w:p>
    <w:p>
      <w:pPr>
        <w:ind w:left="1340" w:right="179" w:hanging="318"/>
        <w:spacing w:after="0" w:line="248" w:lineRule="auto"/>
        <w:tabs>
          <w:tab w:leader="none" w:pos="1340"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 a result, the Company has reduced its workforce by around 30% and extended its cash for operations to the end of Q3 2027.</w:t>
      </w:r>
    </w:p>
    <w:p>
      <w:pPr>
        <w:spacing w:after="0" w:line="245" w:lineRule="exact"/>
        <w:rPr>
          <w:rFonts w:ascii="Courier New" w:cs="Courier New" w:eastAsia="Courier New" w:hAnsi="Courier New"/>
          <w:sz w:val="18"/>
          <w:szCs w:val="18"/>
          <w:color w:val="auto"/>
        </w:rPr>
      </w:pPr>
    </w:p>
    <w:p>
      <w:pPr>
        <w:ind w:left="760" w:hanging="33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groundbreaking research results published in peer-reviewed journals including:</w:t>
      </w:r>
    </w:p>
    <w:p>
      <w:pPr>
        <w:spacing w:after="0" w:line="117" w:lineRule="exact"/>
        <w:rPr>
          <w:sz w:val="20"/>
          <w:szCs w:val="20"/>
          <w:color w:val="auto"/>
        </w:rPr>
      </w:pPr>
    </w:p>
    <w:p>
      <w:pPr>
        <w:jc w:val="both"/>
        <w:ind w:left="1400" w:right="279" w:hanging="324"/>
        <w:spacing w:after="0" w:line="374" w:lineRule="auto"/>
        <w:tabs>
          <w:tab w:leader="none" w:pos="1400" w:val="left"/>
        </w:tabs>
        <w:numPr>
          <w:ilvl w:val="1"/>
          <w:numId w:val="15"/>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clinical results from the completed Phase 1b/2a trial of active immunotherapy ACI-35.030’s (JNJ-2056) partnered with Janssen Pharmaceuticals, Inc., a Johnson &amp; Johnson company, in eBioMedicine.</w:t>
      </w:r>
    </w:p>
    <w:p>
      <w:pPr>
        <w:spacing w:after="0" w:line="14" w:lineRule="exact"/>
        <w:rPr>
          <w:rFonts w:ascii="Courier New" w:cs="Courier New" w:eastAsia="Courier New" w:hAnsi="Courier New"/>
          <w:sz w:val="17"/>
          <w:szCs w:val="17"/>
          <w:color w:val="auto"/>
        </w:rPr>
      </w:pPr>
    </w:p>
    <w:p>
      <w:pPr>
        <w:ind w:left="1400" w:right="179" w:hanging="324"/>
        <w:spacing w:after="0" w:line="355" w:lineRule="auto"/>
        <w:tabs>
          <w:tab w:leader="none" w:pos="1400" w:val="left"/>
        </w:tabs>
        <w:numPr>
          <w:ilvl w:val="1"/>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 xml:space="preserve">preclinical research demonstrating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a vectorized (AAV9) anti-TDP-43 monoclonal antibody in a model of ALS/FTD, in Molecular Therapy.</w:t>
      </w:r>
    </w:p>
    <w:p>
      <w:pPr>
        <w:spacing w:after="0" w:line="15" w:lineRule="exact"/>
        <w:rPr>
          <w:rFonts w:ascii="Courier New" w:cs="Courier New" w:eastAsia="Courier New" w:hAnsi="Courier New"/>
          <w:sz w:val="18"/>
          <w:szCs w:val="18"/>
          <w:color w:val="auto"/>
        </w:rPr>
      </w:pPr>
    </w:p>
    <w:p>
      <w:pPr>
        <w:jc w:val="both"/>
        <w:ind w:left="1400" w:right="279" w:hanging="324"/>
        <w:spacing w:after="0" w:line="366" w:lineRule="auto"/>
        <w:tabs>
          <w:tab w:leader="none" w:pos="1400" w:val="left"/>
        </w:tabs>
        <w:numPr>
          <w:ilvl w:val="1"/>
          <w:numId w:val="1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first-in-class positron emission tomography (PET) tracers for imaging TDP-43 pathology in the brain, including ACI-19626, that could enable a precision medicine approach to neurodegenerative diseases which are currently difficult to diagnose, in Nature Communications.</w:t>
      </w:r>
    </w:p>
    <w:p>
      <w:pPr>
        <w:spacing w:after="0" w:line="1" w:lineRule="exact"/>
        <w:rPr>
          <w:rFonts w:ascii="Courier New" w:cs="Courier New" w:eastAsia="Courier New" w:hAnsi="Courier New"/>
          <w:sz w:val="18"/>
          <w:szCs w:val="18"/>
          <w:color w:val="auto"/>
        </w:rPr>
      </w:pPr>
    </w:p>
    <w:p>
      <w:pPr>
        <w:ind w:left="760" w:right="179" w:hanging="332"/>
        <w:spacing w:after="0" w:line="40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Prof. Catherine Mummery, a deeply experienced neurologist and expert in dementia clinical trials, as a member and Chair of its Clinical Advisory Board (CAB).</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2025 and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revenues</w:t>
      </w:r>
    </w:p>
    <w:p>
      <w:pPr>
        <w:spacing w:after="0" w:line="21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generated CHF 0.9 million in contract revenues for the three months ended September 30, 2025, compared with CHF 25.5 million contract revenues for the comparable period in 2024. This represents a decrease of CHF 24.5 million. The following table summarizes our contract revenues during the three months ended September 30, 2025 and 2024:</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60" w:type="dxa"/>
            <w:vAlign w:val="bottom"/>
          </w:tcPr>
          <w:p>
            <w:pPr>
              <w:spacing w:after="0"/>
              <w:rPr>
                <w:sz w:val="15"/>
                <w:szCs w:val="15"/>
                <w:color w:val="auto"/>
              </w:rPr>
            </w:pPr>
          </w:p>
        </w:tc>
      </w:tr>
      <w:tr>
        <w:trPr>
          <w:trHeight w:val="195"/>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tcPr>
          <w:p>
            <w:pPr>
              <w:spacing w:after="0"/>
              <w:rPr>
                <w:sz w:val="16"/>
                <w:szCs w:val="16"/>
                <w:color w:val="auto"/>
              </w:rPr>
            </w:pPr>
          </w:p>
        </w:tc>
      </w:tr>
      <w:tr>
        <w:trPr>
          <w:trHeight w:val="208"/>
        </w:trPr>
        <w:tc>
          <w:tcPr>
            <w:tcW w:w="6660" w:type="dxa"/>
            <w:vAlign w:val="bottom"/>
            <w:gridSpan w:val="2"/>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16"/>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For the three months ended September 30, 2025 the decrease of CHF 24.5 million is due to the recognition of the second ReTain-related milestone payment of CHF 24.6 million under the agreement with Janssen in Q3 2024. This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60" w:right="359"/>
        <w:spacing w:after="0" w:line="282" w:lineRule="auto"/>
        <w:rPr>
          <w:sz w:val="20"/>
          <w:szCs w:val="20"/>
          <w:color w:val="auto"/>
        </w:rPr>
      </w:pPr>
      <w:r>
        <w:rPr>
          <w:rFonts w:ascii="Times New Roman" w:cs="Times New Roman" w:eastAsia="Times New Roman" w:hAnsi="Times New Roman"/>
          <w:sz w:val="18"/>
          <w:szCs w:val="18"/>
          <w:color w:val="auto"/>
        </w:rPr>
        <w:t>milestone payment was triggered by the rapid rate of prescreening in the potentially registrational Phase 2b ReTain trial investigating active-immunotherapy candidate ACI-35.030 to treat preclinical AD.</w:t>
      </w:r>
    </w:p>
    <w:p>
      <w:pPr>
        <w:spacing w:after="0" w:line="16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generated CHF 3.2 million in contract revenues for the nine months ended September 30, 2025, compared with CHF 26.2 million contract revenues for the comparable period in 2024. This represents a decrease of CHF 22.9 million. The following table summarizes our contract revenues during the nine months ended September 30, 2025 and 2024:</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40" w:type="dxa"/>
            <w:vAlign w:val="bottom"/>
            <w:gridSpan w:val="2"/>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640" w:type="dxa"/>
            <w:vAlign w:val="bottom"/>
            <w:gridSpan w:val="2"/>
            <w:vMerge w:val="continue"/>
          </w:tcPr>
          <w:p>
            <w:pPr>
              <w:spacing w:after="0"/>
              <w:rPr>
                <w:sz w:val="15"/>
                <w:szCs w:val="15"/>
                <w:color w:val="auto"/>
              </w:rPr>
            </w:pPr>
          </w:p>
        </w:tc>
        <w:tc>
          <w:tcPr>
            <w:tcW w:w="6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the decrease of CHF 22.9 million is due to the recognition of the second ReTain-related milestone payment of CHF 24.6 million under the agreement with Janssen in Q3 2024. This milestone payment was triggered by the rapid rate of prescreening in the potentially registrational Phase 2b ReTain trial investigating active-immunotherapy candidate ACI-35.030 to treat preclinical AD. This was partially offset by an increase in Takeda revenue as a result of the efforts made under the collaboration agreement.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6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(JNJ-2056). From Phase 2b and onwards, Janssen will assume responsibility for the clinical development, manufacturing and commercialization of ACI-35.030 (JNJ-2056).</w:t>
      </w:r>
    </w:p>
    <w:p>
      <w:pPr>
        <w:spacing w:after="0" w:line="176"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and NLRP3 inhibitor programs. In addition to the collaborative arrangements and proprietarily held assets, we expect that our total future R&amp;D costs will remain at similar levels.</w:t>
      </w:r>
    </w:p>
    <w:p>
      <w:pPr>
        <w:spacing w:after="0" w:line="18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R&amp;D expenses totaled CHF 13.1 million compared with CHF 14.5 million for the comparable period in 2024. This represents a decrease of CHF 1.4 million. The following table presents the R&amp;D expenses during the three months ended September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gridSpan w:val="3"/>
            <w:vMerge w:val="continue"/>
          </w:tcPr>
          <w:p>
            <w:pPr>
              <w:spacing w:after="0"/>
              <w:rPr>
                <w:sz w:val="15"/>
                <w:szCs w:val="15"/>
                <w:color w:val="auto"/>
              </w:rPr>
            </w:pPr>
          </w:p>
        </w:tc>
        <w:tc>
          <w:tcPr>
            <w:tcW w:w="7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2" w:lineRule="exact"/>
        <w:rPr>
          <w:sz w:val="20"/>
          <w:szCs w:val="20"/>
          <w:color w:val="auto"/>
        </w:rPr>
      </w:pPr>
    </w:p>
    <w:p>
      <w:pPr>
        <w:jc w:val="both"/>
        <w:ind w:left="60" w:right="5459" w:hanging="10"/>
        <w:spacing w:after="0" w:line="409" w:lineRule="auto"/>
        <w:tabs>
          <w:tab w:leader="none" w:pos="384"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September 30, 2025:</w:t>
      </w:r>
    </w:p>
    <w:p>
      <w:pPr>
        <w:spacing w:after="0" w:line="1" w:lineRule="exact"/>
        <w:rPr>
          <w:rFonts w:ascii="Times New Roman" w:cs="Times New Roman" w:eastAsia="Times New Roman" w:hAnsi="Times New Roman"/>
          <w:sz w:val="26"/>
          <w:szCs w:val="26"/>
          <w:color w:val="auto"/>
          <w:vertAlign w:val="superscript"/>
        </w:rPr>
      </w:pPr>
    </w:p>
    <w:p>
      <w:pPr>
        <w:ind w:left="3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Discovery and preclinical expenses decreased by CHF 0.1 million, the changes were composed of:</w:t>
      </w:r>
    </w:p>
    <w:p>
      <w:pPr>
        <w:spacing w:after="0" w:line="225" w:lineRule="exact"/>
        <w:rPr>
          <w:rFonts w:ascii="Times New Roman" w:cs="Times New Roman" w:eastAsia="Times New Roman" w:hAnsi="Times New Roman"/>
          <w:sz w:val="26"/>
          <w:szCs w:val="26"/>
          <w:color w:val="auto"/>
          <w:vertAlign w:val="superscript"/>
        </w:rPr>
      </w:pPr>
    </w:p>
    <w:p>
      <w:pPr>
        <w:ind w:left="1020" w:right="99" w:hanging="322"/>
        <w:spacing w:after="0" w:line="255"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activities in early-stage programs such as our anti TDP-43 antibody and PET tracer programs, whereby the pre-clinical development activities were completed in prior periods, and reduced research activities on ACI-24.060. These changes were offset by higher costs associated with our NLRP3 inhibitor and Morphomer Tau programs.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decreased by CHF 1.0 million, primarily due to:</w:t>
      </w:r>
    </w:p>
    <w:p>
      <w:pPr>
        <w:spacing w:after="0" w:line="225" w:lineRule="exact"/>
        <w:rPr>
          <w:sz w:val="20"/>
          <w:szCs w:val="20"/>
          <w:color w:val="auto"/>
        </w:rPr>
      </w:pPr>
    </w:p>
    <w:p>
      <w:pPr>
        <w:ind w:left="1020" w:right="199" w:hanging="322"/>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activities attributed lower spend attributable to ACI-7104.056 and a decrease in manufacturing spend associated with the ACI-24.060 ABATE study. This was offset in part by increased spending on NLRP3 inhibitor studies and our PET tracer programs.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1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variances in Other non-allocated expenses relate to infrastructure and functional expenses not allocated to direct R&amp;D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380"/>
        <w:spacing w:after="0"/>
        <w:rPr>
          <w:sz w:val="20"/>
          <w:szCs w:val="20"/>
          <w:color w:val="auto"/>
        </w:rPr>
      </w:pPr>
      <w:r>
        <w:rPr>
          <w:rFonts w:ascii="Times New Roman" w:cs="Times New Roman" w:eastAsia="Times New Roman" w:hAnsi="Times New Roman"/>
          <w:sz w:val="18"/>
          <w:szCs w:val="18"/>
          <w:color w:val="auto"/>
        </w:rPr>
        <w:t>Total salaries and related costs decreased by CHF 0.4 million, primarily due to:</w:t>
      </w:r>
    </w:p>
    <w:p>
      <w:pPr>
        <w:spacing w:after="0" w:line="225" w:lineRule="exact"/>
        <w:rPr>
          <w:sz w:val="20"/>
          <w:szCs w:val="20"/>
          <w:color w:val="auto"/>
        </w:rPr>
      </w:pPr>
    </w:p>
    <w:p>
      <w:pPr>
        <w:ind w:left="1020" w:right="35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0.1 million in payroll expenses, driven by new hires during the current quarter and the annualization of 2024 hires.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jc w:val="both"/>
        <w:ind w:left="1020" w:right="439" w:hanging="322"/>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0.2 million in bonus expenses and an additional decrease of CHF 0.3 million in share-based compensation expense, mainly due to a decrease in the fair value of equity awards granted in 2025 compared to the prior year.</w:t>
      </w:r>
    </w:p>
    <w:p>
      <w:pPr>
        <w:spacing w:after="0" w:line="196"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R&amp;D expenses totaled CHF 45.8 million compared with CHF 46.8 million for the comparable period in 2024. This represents a decrease of CHF 1.0 million. The following table presents the R&amp;D expenses during the nine months ended September 30,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3"/>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4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3"/>
            <w:vMerge w:val="continue"/>
          </w:tcPr>
          <w:p>
            <w:pPr>
              <w:spacing w:after="0"/>
              <w:rPr>
                <w:sz w:val="15"/>
                <w:szCs w:val="15"/>
                <w:color w:val="auto"/>
              </w:rPr>
            </w:pPr>
          </w:p>
        </w:tc>
        <w:tc>
          <w:tcPr>
            <w:tcW w:w="660" w:type="dxa"/>
            <w:vAlign w:val="bottom"/>
            <w:tcBorders>
              <w:top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expenses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function expenses</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196"/>
        </w:trPr>
        <w:tc>
          <w:tcPr>
            <w:tcW w:w="65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Payroll expenses</w:t>
            </w: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non-allocated</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9"/>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00" w:type="dxa"/>
            <w:vAlign w:val="bottom"/>
            <w:gridSpan w:val="3"/>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20" w:type="dxa"/>
            <w:vAlign w:val="bottom"/>
          </w:tcPr>
          <w:p>
            <w:pPr>
              <w:spacing w:after="0"/>
              <w:rPr>
                <w:sz w:val="16"/>
                <w:szCs w:val="16"/>
                <w:color w:val="auto"/>
              </w:rPr>
            </w:pPr>
          </w:p>
        </w:tc>
        <w:tc>
          <w:tcPr>
            <w:tcW w:w="16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5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29,856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650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16,798</w:t>
            </w:r>
          </w:p>
        </w:tc>
        <w:tc>
          <w:tcPr>
            <w:tcW w:w="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16,929</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45,813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nine months ended September 30, 2025:</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Discovery and preclinical expenses decreased by CHF 0.8 million, primarily due to:</w:t>
      </w:r>
    </w:p>
    <w:p>
      <w:pPr>
        <w:spacing w:after="0" w:line="225" w:lineRule="exact"/>
        <w:rPr>
          <w:sz w:val="20"/>
          <w:szCs w:val="20"/>
          <w:color w:val="auto"/>
        </w:rPr>
      </w:pPr>
    </w:p>
    <w:p>
      <w:pPr>
        <w:jc w:val="both"/>
        <w:ind w:left="1020" w:right="61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activities in early-stage programs such as our anti TDP-43 antibody and PET tracer programs, whereby the pre-clinical development activities were completed in prior periods, and reduced research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1020" w:right="99"/>
        <w:spacing w:after="0" w:line="282" w:lineRule="auto"/>
        <w:rPr>
          <w:sz w:val="20"/>
          <w:szCs w:val="20"/>
          <w:color w:val="auto"/>
        </w:rPr>
      </w:pPr>
      <w:r>
        <w:rPr>
          <w:rFonts w:ascii="Times New Roman" w:cs="Times New Roman" w:eastAsia="Times New Roman" w:hAnsi="Times New Roman"/>
          <w:sz w:val="18"/>
          <w:szCs w:val="18"/>
          <w:color w:val="auto"/>
        </w:rPr>
        <w:t>activities on ACI-24.060. These changes were offset by higher costs associated with our NLRP3 inhibitor and Morphomer Tau programs.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Clinical expenses decreased by CHF 0.9 million, primarily due to:</w:t>
      </w:r>
    </w:p>
    <w:p>
      <w:pPr>
        <w:spacing w:after="0" w:line="225" w:lineRule="exact"/>
        <w:rPr>
          <w:sz w:val="20"/>
          <w:szCs w:val="20"/>
          <w:color w:val="auto"/>
        </w:rPr>
      </w:pPr>
    </w:p>
    <w:p>
      <w:pPr>
        <w:ind w:left="1020" w:right="359" w:hanging="322"/>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related to manufacturing activities for our Phase 2 VacSYn study evaluating ACI-7104.056 in early PD. These changes were offset by increased costs associated with our NLRP3 inhibitor program and higher costs associated with our PET Tracer programs.</w:t>
      </w:r>
    </w:p>
    <w:p>
      <w:pPr>
        <w:spacing w:after="0" w:line="17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variances in Group function expenses are related to regulatory and quality assurance, and intellectual property costs.</w:t>
      </w:r>
    </w:p>
    <w:p>
      <w:pPr>
        <w:spacing w:after="0" w:line="162" w:lineRule="exact"/>
        <w:rPr>
          <w:sz w:val="20"/>
          <w:szCs w:val="20"/>
          <w:color w:val="auto"/>
        </w:rPr>
      </w:pPr>
    </w:p>
    <w:p>
      <w:pPr>
        <w:ind w:left="60" w:right="699" w:firstLine="324"/>
        <w:spacing w:after="0" w:line="266" w:lineRule="auto"/>
        <w:rPr>
          <w:sz w:val="20"/>
          <w:szCs w:val="20"/>
          <w:color w:val="auto"/>
        </w:rPr>
      </w:pPr>
      <w:r>
        <w:rPr>
          <w:rFonts w:ascii="Times New Roman" w:cs="Times New Roman" w:eastAsia="Times New Roman" w:hAnsi="Times New Roman"/>
          <w:sz w:val="18"/>
          <w:szCs w:val="18"/>
          <w:color w:val="auto"/>
        </w:rPr>
        <w:t>Other non-allocated expenses are related to infrastructure and functional expenses not allocated to direct R&amp;D expenses.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40" w:lineRule="exact"/>
        <w:rPr>
          <w:sz w:val="20"/>
          <w:szCs w:val="20"/>
          <w:color w:val="auto"/>
        </w:rPr>
      </w:pPr>
    </w:p>
    <w:p>
      <w:pPr>
        <w:ind w:left="60" w:right="299" w:firstLine="324"/>
        <w:spacing w:after="0" w:line="251" w:lineRule="auto"/>
        <w:rPr>
          <w:sz w:val="20"/>
          <w:szCs w:val="20"/>
          <w:color w:val="auto"/>
        </w:rPr>
      </w:pPr>
      <w:r>
        <w:rPr>
          <w:rFonts w:ascii="Times New Roman" w:cs="Times New Roman" w:eastAsia="Times New Roman" w:hAnsi="Times New Roman"/>
          <w:sz w:val="18"/>
          <w:szCs w:val="18"/>
          <w:color w:val="auto"/>
        </w:rPr>
        <w:t>For the three months ended September 30, 2025, general and administrative expenses totaled CHF 3.6 million compared with CHF 3.8 million for the comparable period in 2024. This represents a decrease of CHF 0.2 million. The following table presents the general and administrative expenses during the three months ended September 30, 2025 and 2024:</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3"/>
            <w:vMerge w:val="continue"/>
          </w:tcPr>
          <w:p>
            <w:pPr>
              <w:spacing w:after="0"/>
              <w:rPr>
                <w:sz w:val="15"/>
                <w:szCs w:val="15"/>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9" w:lineRule="exact"/>
        <w:rPr>
          <w:sz w:val="20"/>
          <w:szCs w:val="20"/>
          <w:color w:val="auto"/>
        </w:rPr>
      </w:pPr>
    </w:p>
    <w:p>
      <w:pPr>
        <w:ind w:left="60" w:right="459" w:firstLine="324"/>
        <w:spacing w:after="0" w:line="312" w:lineRule="auto"/>
        <w:rPr>
          <w:sz w:val="20"/>
          <w:szCs w:val="20"/>
          <w:color w:val="auto"/>
        </w:rPr>
      </w:pPr>
      <w:r>
        <w:rPr>
          <w:rFonts w:ascii="Times New Roman" w:cs="Times New Roman" w:eastAsia="Times New Roman" w:hAnsi="Times New Roman"/>
          <w:sz w:val="17"/>
          <w:szCs w:val="17"/>
          <w:color w:val="auto"/>
        </w:rPr>
        <w:t>For the three months ended September 30, 2025, the decrease of CHF 0.2 million in general and administrative expenses was due to decrease of CHF 0.1 million in share-based compensation expenses, and other small fluctuations.</w:t>
      </w:r>
    </w:p>
    <w:p>
      <w:pPr>
        <w:spacing w:after="0" w:line="140"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general and administrative expenses totaled CHF 11.9 million compared with CHF 13.3 million for the comparable period in 2024. This represents a decrease of CHF 1.4 million. The following table presents the general and administrative expenses during the nine months ended September 30, 2025 and 2024:</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4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2260" w:type="dxa"/>
            <w:vAlign w:val="bottom"/>
            <w:gridSpan w:val="2"/>
          </w:tcPr>
          <w:p>
            <w:pPr>
              <w:spacing w:after="0"/>
              <w:rPr>
                <w:sz w:val="15"/>
                <w:szCs w:val="15"/>
                <w:color w:val="auto"/>
              </w:rPr>
            </w:pPr>
          </w:p>
        </w:tc>
        <w:tc>
          <w:tcPr>
            <w:tcW w:w="6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2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6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7" w:name="page28"/>
    <w:bookmarkEnd w:id="27"/>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decrease of CHF 1.4 million in general and administrative expenses. This decrease was largely driven by a CHF 1.2 million decrease in legal fees related to business development and licensing activities in the prior year, which did not recur this period.</w:t>
      </w:r>
    </w:p>
    <w:p>
      <w:pPr>
        <w:spacing w:after="0" w:line="3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 net</w:t>
      </w:r>
    </w:p>
    <w:p>
      <w:pPr>
        <w:spacing w:after="0" w:line="22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net consists primarily of income associated with foundation grants such as those from the MJFF or Target ALS.</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other operating income/(expense), net was nil compared to less than CHF 0.1 million for the comparable period in 2024. The following table presents the other operating income/(expense), net during the three months ended September 30, 2025 and 2024:</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decrease of less than CHF 0.1 million in grant income is primarily due to the completion of activities in the prior period related to our MJFF and Target ALS awards, which did not recur in the current period.</w:t>
      </w:r>
    </w:p>
    <w:p>
      <w:pPr>
        <w:spacing w:after="0" w:line="176"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other operating income/(expense), net totaled less than CHF 0.1 million compared with CHF 0.1 million for the comparable period in 2024. This represents a CHF 0.1 million decrease. The following table presents the other operating income/(expense), net during the nine months ended September 30, 2025 and 2024:</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decrease of CHF 0.1 million in grant income primarily derived from activities related to our Target ALS award that was completed prior to the start of the current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14"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CHF 0.5 million of restructuring expenses compared to nil in the corresponding prior year periods.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and Nine Months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4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240" w:type="dxa"/>
            <w:vAlign w:val="bottom"/>
            <w:gridSpan w:val="2"/>
            <w:vMerge w:val="continue"/>
          </w:tcPr>
          <w:p>
            <w:pPr>
              <w:spacing w:after="0"/>
              <w:rPr>
                <w:sz w:val="15"/>
                <w:szCs w:val="15"/>
                <w:color w:val="auto"/>
              </w:rPr>
            </w:pPr>
          </w:p>
        </w:tc>
        <w:tc>
          <w:tcPr>
            <w:tcW w:w="86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expenses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increase of restructuring expenses pertained to a Q3 2025 event, and consist of termination benefits of CHF 2.1 million to be paid to the employees impacted by the restructuring and are expected to be paid out throughout the fourth quarter of 2025. These termination benefits are offset by a CHF 1.8 million gain on curtailment of the defined benefit plan liability. The remaining balance pertains to other non-cash activities within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finance result, net totaled to CHF 0.3 million gain compared with a loss of CHF 1.8 million for the comparable period in 2024. This represents an increase of CHF 2.1 million. The following table presents the finance result, net during the three months ended September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84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0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 change in net finance result of CHF 2.1 million primarily related to a change of CHF 2.7 million driven by increased stability in foreign currency exchange differences in CHF versus foreign currencies, predominantly the U.S. Dollar. This CHF 2.7 million was partially offset by a decrease in financial income of CHF 0.6 million pertaining to interest earned on short term financial assets in deposit accounts.</w:t>
      </w:r>
    </w:p>
    <w:p>
      <w:pPr>
        <w:spacing w:after="0" w:line="180"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finance result, net totaled to CHF 1.2 million loss compared with a loss of CHF 1.4 million for the comparable period in 2024. This represents an increase in the net financial result of CHF 0.2 million. The following table presents the finance result, net during the nine months ended September 30, 2025 and 2024:</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19" w:firstLine="324"/>
        <w:spacing w:after="0" w:line="275" w:lineRule="auto"/>
        <w:rPr>
          <w:sz w:val="20"/>
          <w:szCs w:val="20"/>
          <w:color w:val="auto"/>
        </w:rPr>
      </w:pPr>
      <w:r>
        <w:rPr>
          <w:rFonts w:ascii="Times New Roman" w:cs="Times New Roman" w:eastAsia="Times New Roman" w:hAnsi="Times New Roman"/>
          <w:sz w:val="17"/>
          <w:szCs w:val="17"/>
          <w:color w:val="auto"/>
        </w:rPr>
        <w:t>For the nine months ended September 30, 2025 and 2024, the change in net finance result of CHF 0.2 million primarily related to a change of CHF 1.1 million driven by increased stability in foreign currency exchange differences in CHF versus foreign currencies, predominantly the U.S. Dollar. This CHF 1.1 million was partially offset by a decrease in financial income of CHF 0.8 million pertaining to interest earned on short term financial assets in deposit accounts.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w:t>
      </w:r>
    </w:p>
    <w:p>
      <w:pPr>
        <w:ind w:left="60" w:right="179" w:hanging="10"/>
        <w:spacing w:after="0" w:line="255" w:lineRule="auto"/>
        <w:tabs>
          <w:tab w:leader="none" w:pos="3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move its product candidates through clinical development, (iv) attract and retain key personnel and (v) acquire capital to support its operations As of September 30, 2025, we had cash and cash equivalents of CHF 27.7 million and short-term financial assets of CHF 80.7 million for a total liquidity balance of CHF 108.5 million.</w:t>
      </w:r>
    </w:p>
    <w:p>
      <w:pPr>
        <w:spacing w:after="0" w:line="18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9" w:name="page30"/>
    <w:bookmarkEnd w:id="29"/>
    <w:p>
      <w:pPr>
        <w:ind w:left="60" w:right="79"/>
        <w:spacing w:after="0" w:line="252" w:lineRule="auto"/>
        <w:rPr>
          <w:sz w:val="20"/>
          <w:szCs w:val="20"/>
          <w:color w:val="auto"/>
        </w:rPr>
      </w:pPr>
      <w:r>
        <w:rPr>
          <w:rFonts w:ascii="Times New Roman" w:cs="Times New Roman" w:eastAsia="Times New Roman" w:hAnsi="Times New Roman"/>
          <w:sz w:val="18"/>
          <w:szCs w:val="18"/>
          <w:color w:val="auto"/>
        </w:rPr>
        <w:t>stages of clinical development. In December 2023, it was announced that Janssen has programmed the launch of a Phase 2b clinical study to evaluate ACI-35.030 (JNJ-2056)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the active immunotherapies, ACI-24.060 targeting Abeta in AD and AD in DS and ACI-7104.056 targeting a-syn in PD, through clinical development, as well as through investments in our diagnostic programs.</w:t>
      </w:r>
    </w:p>
    <w:p>
      <w:pPr>
        <w:spacing w:after="0" w:line="192"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plan to continue to fund our operating and capital funding needs through proceeds received from OLCAs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64.5) million through Jefferies acting as our sales agent.</w:t>
      </w:r>
    </w:p>
    <w:p>
      <w:pPr>
        <w:spacing w:after="0" w:line="17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first replaced this Sale Agreement in Q2 2021 to continue the ATM program and have subsequently replaced this Sale Agreement on August 6, 2024 to continue the ATM program under a new Registration Statement on Form F-3. Under each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w:t>
      </w:r>
    </w:p>
    <w:p>
      <w:pPr>
        <w:spacing w:after="0" w:line="18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will pay Jefferies a commission of up to 3.0% of the gross sales proceeds of any common shares sold through Jefferies under the new Sales Agreement. We are not obligated to make any sales of common shares under the new Sales Agreement. As of September 30, 2025, no sales of our common shares had been made under the ATM program since the Sale Agreement was replaced on August 6, 2024.</w:t>
      </w:r>
    </w:p>
    <w:p>
      <w:pPr>
        <w:spacing w:after="0" w:line="180" w:lineRule="exact"/>
        <w:rPr>
          <w:sz w:val="20"/>
          <w:szCs w:val="20"/>
          <w:color w:val="auto"/>
        </w:rPr>
      </w:pPr>
    </w:p>
    <w:p>
      <w:pPr>
        <w:ind w:left="60" w:right="719" w:firstLine="324"/>
        <w:spacing w:after="0" w:line="266" w:lineRule="auto"/>
        <w:rPr>
          <w:sz w:val="20"/>
          <w:szCs w:val="20"/>
          <w:color w:val="auto"/>
        </w:rPr>
      </w:pPr>
      <w:r>
        <w:rPr>
          <w:rFonts w:ascii="Times New Roman" w:cs="Times New Roman" w:eastAsia="Times New Roman" w:hAnsi="Times New Roman"/>
          <w:sz w:val="18"/>
          <w:szCs w:val="18"/>
          <w:color w:val="auto"/>
        </w:rPr>
        <w:t>We may also consider entering into additional OLCAs and selectively partnering for clinical development and commercialization.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4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340" w:type="dxa"/>
            <w:vAlign w:val="bottom"/>
            <w:gridSpan w:val="2"/>
            <w:vMerge w:val="continue"/>
          </w:tcPr>
          <w:p>
            <w:pPr>
              <w:spacing w:after="0"/>
              <w:rPr>
                <w:sz w:val="15"/>
                <w:szCs w:val="15"/>
                <w:color w:val="auto"/>
              </w:rPr>
            </w:pPr>
          </w:p>
        </w:tc>
        <w:tc>
          <w:tcPr>
            <w:tcW w:w="6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(112,662)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149,003</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CHF 52.8 million for the nine months ended September 30, 2025, compared with net cash provided by operating activities of CHF 59.9 million for the nine months ended September 30, 2024. The change in cash for operating activities for the nine months ended September 30, 2025 was primarily due to (i) the Company’s reporting a net loss of CHF 56.1 million for the period, compared with a net loss of CHF 35.1 million for the same period in 2024 and (ii) the agreement with Takeda yielding a CHF 90.7 million cash receipt in 2024.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was CHF 47.5 million for the nine months ended September 30, 2025, compared with net cash used in investing activities of CHF 101.5 million for the nine months ended September 30, 2024. A net amount of CHF 48.5 million in short-term financial assets matured in the current period compared to a net invested amount of CHF 100.9 million in the comparable prior period. In addition, the Company paid CHF 0.8 million in fixed assets in the current period compared to CHF 0.5 million in the prior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CHF 0.8 million for the nine months ended September 30, 2025, compared with net cash used in financing activities of CHF 0.9 million for the nine months ended September 30, 2024. The change of CHF 0.1 million is predominantly related to the payment of the transaction costs and stamp duty associated with the public offerings of common shares that were paid in the prior comparable period, which were offset by an increase in lease payments in the current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collaboration partners or we obtain regulatory approval of, and successfully commercialize, our current or any future product candidates. As of September 30, 2025, we had cash and cash equivalents of CHF 27.7 million and short-term financial assets of CHF 80.7 million, resulting in CHF 108.5 million of liquidity. The decrease of CHF 57.0 million relative to December 31, 2024 was predominantly related to R&amp;D spending on our major discovery and R&amp;D programs, the strengthening of the Company’s infrastructure, systems and organization and other operating expenditures. We believe that our existing capital resources, assuming no other milestone payments, will be sufficient to meet our projected operating requirements into Q3 2027. There can be no certainty as to the exact timing of future milestone payments (including option exercise fees), or in fact, whether any of these will ever be made, given that they are contingent on clear milestones being reached.</w:t>
      </w:r>
    </w:p>
    <w:p>
      <w:pPr>
        <w:spacing w:after="0" w:line="19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sz w:val="20"/>
          <w:szCs w:val="20"/>
          <w:color w:val="auto"/>
        </w:rPr>
      </w:pPr>
    </w:p>
    <w:p>
      <w:pPr>
        <w:ind w:left="700" w:right="599" w:hanging="326"/>
        <w:spacing w:after="0" w:line="282"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For the period ended September 30, 2025, we have added a disclosure in Note 2 of the Interim Condensed Consolidated Financial Statements (Unaudited) to describe the nature of measurement for the expenses associated with the restructuring. There have been no other material changes to the material accounting policies and estimates described under the heading “Management’s Discussion and Analysis of Financial Condition and Results of Operations – Critical Judgments and Accounting Estimates” in the Annual Report on Form 20-F.</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374" w:lineRule="exact"/>
        <w:rPr>
          <w:sz w:val="20"/>
          <w:szCs w:val="20"/>
          <w:color w:val="auto"/>
        </w:rPr>
      </w:pPr>
    </w:p>
    <w:p>
      <w:pPr>
        <w:jc w:val="center"/>
        <w:ind w:left="60" w:right="59"/>
        <w:spacing w:after="0" w:line="321" w:lineRule="auto"/>
        <w:rPr>
          <w:sz w:val="20"/>
          <w:szCs w:val="20"/>
          <w:color w:val="auto"/>
        </w:rPr>
      </w:pPr>
      <w:r>
        <w:rPr>
          <w:rFonts w:ascii="Arial" w:cs="Arial" w:eastAsia="Arial" w:hAnsi="Arial"/>
          <w:sz w:val="25"/>
          <w:szCs w:val="25"/>
          <w:b w:val="1"/>
          <w:bCs w:val="1"/>
          <w:color w:val="auto"/>
        </w:rPr>
        <w:t>AC Immune Reports Third Quarter 2025 Financial Results and Provides a Corporate Update</w:t>
      </w:r>
    </w:p>
    <w:p>
      <w:pPr>
        <w:spacing w:after="0" w:line="60" w:lineRule="exact"/>
        <w:rPr>
          <w:sz w:val="20"/>
          <w:szCs w:val="20"/>
          <w:color w:val="auto"/>
        </w:rPr>
      </w:pPr>
    </w:p>
    <w:p>
      <w:pPr>
        <w:ind w:left="700" w:right="539" w:hanging="326"/>
        <w:spacing w:after="0" w:line="374" w:lineRule="auto"/>
        <w:tabs>
          <w:tab w:leader="none" w:pos="700" w:val="left"/>
        </w:tabs>
        <w:numPr>
          <w:ilvl w:val="1"/>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Sharpened investment focus on high-value assets, including three Phase 2 active immunotherapy programs and small molecule programs targeting NLRP3, Tau and a-syn</w:t>
      </w:r>
    </w:p>
    <w:p>
      <w:pPr>
        <w:spacing w:after="0" w:line="1" w:lineRule="exact"/>
        <w:rPr>
          <w:rFonts w:ascii="Times New Roman" w:cs="Times New Roman" w:eastAsia="Times New Roman" w:hAnsi="Times New Roman"/>
          <w:sz w:val="18"/>
          <w:szCs w:val="18"/>
          <w:color w:val="auto"/>
        </w:rPr>
      </w:pPr>
    </w:p>
    <w:p>
      <w:pPr>
        <w:ind w:left="680" w:right="159" w:hanging="319"/>
        <w:spacing w:after="0" w:line="374" w:lineRule="auto"/>
        <w:tabs>
          <w:tab w:leader="none" w:pos="6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Cash resources of CHF 108.5 million as of September 30, 2025, provide funding to the end of Q3 2027 excluding any income from potential milestones</w:t>
      </w:r>
    </w:p>
    <w:p>
      <w:pPr>
        <w:spacing w:after="0" w:line="1" w:lineRule="exact"/>
        <w:rPr>
          <w:rFonts w:ascii="Times New Roman" w:cs="Times New Roman" w:eastAsia="Times New Roman" w:hAnsi="Times New Roman"/>
          <w:sz w:val="18"/>
          <w:szCs w:val="18"/>
          <w:color w:val="auto"/>
        </w:rPr>
      </w:pPr>
    </w:p>
    <w:p>
      <w:pPr>
        <w:ind w:left="680" w:right="79" w:hanging="319"/>
        <w:spacing w:after="0" w:line="375" w:lineRule="auto"/>
        <w:tabs>
          <w:tab w:leader="none" w:pos="6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Peer-reviewed papers covering groundbreaking results including clinical data on ACI-35.030 (JNJ-64042056) published in </w:t>
      </w:r>
      <w:r>
        <w:rPr>
          <w:rFonts w:ascii="Arial" w:cs="Arial" w:eastAsia="Arial" w:hAnsi="Arial"/>
          <w:sz w:val="18"/>
          <w:szCs w:val="18"/>
          <w:i w:val="1"/>
          <w:iCs w:val="1"/>
          <w:color w:val="auto"/>
        </w:rPr>
        <w:t>eBioMedicine</w:t>
      </w:r>
      <w:r>
        <w:rPr>
          <w:rFonts w:ascii="Arial" w:cs="Arial" w:eastAsia="Arial" w:hAnsi="Arial"/>
          <w:sz w:val="18"/>
          <w:szCs w:val="18"/>
          <w:color w:val="auto"/>
        </w:rPr>
        <w:t xml:space="preserve"> and preclinical data on first-in-class PET tracers for imaging TDP-43 pathology published in </w:t>
      </w:r>
      <w:r>
        <w:rPr>
          <w:rFonts w:ascii="Arial" w:cs="Arial" w:eastAsia="Arial" w:hAnsi="Arial"/>
          <w:sz w:val="18"/>
          <w:szCs w:val="18"/>
          <w:i w:val="1"/>
          <w:iCs w:val="1"/>
          <w:color w:val="auto"/>
        </w:rPr>
        <w:t>Nature Communications</w:t>
      </w:r>
    </w:p>
    <w:p>
      <w:pPr>
        <w:ind w:left="680" w:right="279" w:hanging="319"/>
        <w:spacing w:after="0" w:line="411" w:lineRule="auto"/>
        <w:tabs>
          <w:tab w:leader="none" w:pos="68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IND/CTA filing for small molecule NLRP3 inhibitor ACI-19764 and the start of IND-enabling studies for Morphomer-Tau aggregation inhibitor both expected by year-end</w:t>
      </w:r>
    </w:p>
    <w:p>
      <w:pPr>
        <w:spacing w:after="0" w:line="46" w:lineRule="exact"/>
        <w:rPr>
          <w:sz w:val="20"/>
          <w:szCs w:val="20"/>
          <w:color w:val="auto"/>
        </w:rPr>
      </w:pPr>
    </w:p>
    <w:p>
      <w:pPr>
        <w:ind w:left="60" w:right="199"/>
        <w:spacing w:after="0" w:line="394" w:lineRule="auto"/>
        <w:rPr>
          <w:sz w:val="20"/>
          <w:szCs w:val="20"/>
          <w:color w:val="auto"/>
        </w:rPr>
      </w:pPr>
      <w:r>
        <w:rPr>
          <w:rFonts w:ascii="Arial" w:cs="Arial" w:eastAsia="Arial" w:hAnsi="Arial"/>
          <w:sz w:val="18"/>
          <w:szCs w:val="18"/>
          <w:b w:val="1"/>
          <w:bCs w:val="1"/>
          <w:color w:val="auto"/>
        </w:rPr>
        <w:t xml:space="preserve">Lausanne, Switzerland, November 4, 2025 -- </w:t>
      </w:r>
      <w:r>
        <w:rPr>
          <w:rFonts w:ascii="Arial" w:cs="Arial" w:eastAsia="Arial" w:hAnsi="Arial"/>
          <w:sz w:val="18"/>
          <w:szCs w:val="18"/>
          <w:color w:val="auto"/>
        </w:rPr>
        <w:t>AC Immune SA (NASDAQ: ACIU),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pioneering precision therapeutics for neurodegenerative diseases, today reported results for the quarter ended September 30, 2025, and provided a corporate update.</w:t>
      </w:r>
    </w:p>
    <w:p>
      <w:pPr>
        <w:spacing w:after="0" w:line="61" w:lineRule="exact"/>
        <w:rPr>
          <w:sz w:val="20"/>
          <w:szCs w:val="20"/>
          <w:color w:val="auto"/>
        </w:rPr>
      </w:pPr>
    </w:p>
    <w:p>
      <w:pPr>
        <w:ind w:left="60" w:right="159"/>
        <w:spacing w:after="0" w:line="378"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have sharpened our investment focus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most valuable assets following a strategic review. Our pipeline assets have the potential to transform treatment and enable prevention of neurodegenerative disease. Our active immunotherapies for precision prevention of neurodegenerative diseases continue to make strong progress through Phase 2 development in Alzheimer’s disease and Parkinson’s disease. These are complemented by novel small-molecule therapeutics targeting intracellular mechanisms of neurodegenerative diseases. Importantly, our recent pipeline prioritization has extended our cash runway to the end of Q3 2027, without including anticipated milestone payments from our existing collaborations or potential payments from new business development deals.</w:t>
      </w:r>
    </w:p>
    <w:p>
      <w:pPr>
        <w:spacing w:after="0" w:line="78" w:lineRule="exact"/>
        <w:rPr>
          <w:sz w:val="20"/>
          <w:szCs w:val="20"/>
          <w:color w:val="auto"/>
        </w:rPr>
      </w:pPr>
    </w:p>
    <w:p>
      <w:pPr>
        <w:ind w:left="60" w:right="99"/>
        <w:spacing w:after="0" w:line="403" w:lineRule="auto"/>
        <w:rPr>
          <w:sz w:val="20"/>
          <w:szCs w:val="20"/>
          <w:color w:val="auto"/>
        </w:rPr>
      </w:pPr>
      <w:r>
        <w:rPr>
          <w:rFonts w:ascii="Arial" w:cs="Arial" w:eastAsia="Arial" w:hAnsi="Arial"/>
          <w:sz w:val="17"/>
          <w:szCs w:val="17"/>
          <w:color w:val="auto"/>
        </w:rPr>
        <w:t xml:space="preserve">“We are now moving towards multiple value-inflection points. Further interim results from Part 1 of the VacSYn trial of ACI-7104.056, our wholly owned anti-alpha-synuclein active immunotherapy for Parkinson’s disease, are expected this quarter. Our two partnered active immunotherapy programs are continuing to progress according to plan. We also published data in The Lancet’s </w:t>
      </w:r>
      <w:r>
        <w:rPr>
          <w:rFonts w:ascii="Arial" w:cs="Arial" w:eastAsia="Arial" w:hAnsi="Arial"/>
          <w:sz w:val="17"/>
          <w:szCs w:val="17"/>
          <w:i w:val="1"/>
          <w:iCs w:val="1"/>
          <w:color w:val="auto"/>
        </w:rPr>
        <w:t>eBioMedicine</w:t>
      </w:r>
      <w:r>
        <w:rPr>
          <w:rFonts w:ascii="Arial" w:cs="Arial" w:eastAsia="Arial" w:hAnsi="Arial"/>
          <w:sz w:val="17"/>
          <w:szCs w:val="17"/>
          <w:color w:val="auto"/>
        </w:rPr>
        <w:t xml:space="preserve"> on ACI-35.030 (JNJ-64042056) with the first clinical demonstration that our SupraAntigen® platform generates highly differentiated active immunotherapies compared with other approaches, even with the same peptide sequence. This technology also powers our ACI-24.060 anti-Abeta active immunotherapy program, for which additional results are expected in H1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695960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Q3 2025 and Subsequent Highlights:</w:t>
      </w:r>
    </w:p>
    <w:p>
      <w:pPr>
        <w:spacing w:after="0" w:line="225" w:lineRule="exact"/>
        <w:rPr>
          <w:sz w:val="20"/>
          <w:szCs w:val="20"/>
          <w:color w:val="auto"/>
        </w:rPr>
      </w:pPr>
    </w:p>
    <w:p>
      <w:pPr>
        <w:ind w:left="760" w:right="919" w:hanging="332"/>
        <w:spacing w:after="0" w:line="366" w:lineRule="auto"/>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a strategic review by executive management, the Company sharpened its focused investment on its most important assets.</w:t>
      </w:r>
    </w:p>
    <w:p>
      <w:pPr>
        <w:ind w:left="1400" w:right="459" w:hanging="324"/>
        <w:spacing w:after="0" w:line="357"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These include its three clinical-stage active immunotherapy programs, two of which are in</w:t>
      </w:r>
      <w:r>
        <w:rPr>
          <w:rFonts w:ascii="Courier New" w:cs="Courier New" w:eastAsia="Courier New" w:hAnsi="Courier New"/>
          <w:sz w:val="18"/>
          <w:szCs w:val="18"/>
          <w:color w:val="auto"/>
        </w:rPr>
        <w:t xml:space="preserve"> </w:t>
      </w:r>
      <w:r>
        <w:rPr>
          <w:rFonts w:ascii="Arial" w:cs="Arial" w:eastAsia="Arial" w:hAnsi="Arial"/>
          <w:sz w:val="18"/>
          <w:szCs w:val="18"/>
          <w:color w:val="auto"/>
        </w:rPr>
        <w:t>ongoing pharma collaborations, and its most promising small molecule programs targeting NLRP3, Tau and a-synuclein.</w:t>
      </w:r>
    </w:p>
    <w:p>
      <w:pPr>
        <w:ind w:left="1400" w:right="179" w:hanging="324"/>
        <w:spacing w:after="0" w:line="3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As a result, the Company has reduced its workforce by around 30% and extended its cash for</w:t>
      </w:r>
      <w:r>
        <w:rPr>
          <w:rFonts w:ascii="Courier New" w:cs="Courier New" w:eastAsia="Courier New" w:hAnsi="Courier New"/>
          <w:sz w:val="18"/>
          <w:szCs w:val="18"/>
          <w:color w:val="auto"/>
        </w:rPr>
        <w:t xml:space="preserve"> </w:t>
      </w:r>
      <w:r>
        <w:rPr>
          <w:rFonts w:ascii="Arial" w:cs="Arial" w:eastAsia="Arial" w:hAnsi="Arial"/>
          <w:sz w:val="18"/>
          <w:szCs w:val="18"/>
          <w:color w:val="auto"/>
        </w:rPr>
        <w:t>operations to the end of Q3 2027.</w:t>
      </w:r>
    </w:p>
    <w:p>
      <w:pPr>
        <w:spacing w:after="0" w:line="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AC Immune groundbreaking research results published in peer-reviewed journals including:</w:t>
      </w:r>
    </w:p>
    <w:p>
      <w:pPr>
        <w:spacing w:after="0" w:line="116" w:lineRule="exact"/>
        <w:rPr>
          <w:sz w:val="20"/>
          <w:szCs w:val="20"/>
          <w:color w:val="auto"/>
        </w:rPr>
      </w:pPr>
    </w:p>
    <w:p>
      <w:pPr>
        <w:ind w:left="1400" w:right="119" w:hanging="324"/>
        <w:spacing w:after="0" w:line="360" w:lineRule="auto"/>
        <w:tabs>
          <w:tab w:leader="none" w:pos="1400" w:val="left"/>
        </w:tabs>
        <w:numPr>
          <w:ilvl w:val="1"/>
          <w:numId w:val="30"/>
        </w:numPr>
        <w:rPr>
          <w:rFonts w:ascii="Courier New" w:cs="Courier New" w:eastAsia="Courier New" w:hAnsi="Courier New"/>
          <w:sz w:val="18"/>
          <w:szCs w:val="18"/>
          <w:color w:val="auto"/>
        </w:rPr>
      </w:pPr>
      <w:r>
        <w:rPr>
          <w:rFonts w:ascii="Arial" w:cs="Arial" w:eastAsia="Arial" w:hAnsi="Arial"/>
          <w:sz w:val="18"/>
          <w:szCs w:val="18"/>
          <w:color w:val="auto"/>
        </w:rPr>
        <w:t>the clinical results from the completed Phase 1b/2a trial of active immunotherapy ACI-35.030’s (JNJ-2056) partnered with Janssen Pharmaceuticals, Inc., a Johnson &amp; Johnson company, in eBioMedicine.</w:t>
      </w:r>
    </w:p>
    <w:p>
      <w:pPr>
        <w:spacing w:after="0" w:line="16" w:lineRule="exact"/>
        <w:rPr>
          <w:rFonts w:ascii="Courier New" w:cs="Courier New" w:eastAsia="Courier New" w:hAnsi="Courier New"/>
          <w:sz w:val="18"/>
          <w:szCs w:val="18"/>
          <w:color w:val="auto"/>
        </w:rPr>
      </w:pPr>
    </w:p>
    <w:p>
      <w:pPr>
        <w:ind w:left="1400" w:right="559" w:hanging="324"/>
        <w:spacing w:after="0" w:line="353" w:lineRule="auto"/>
        <w:tabs>
          <w:tab w:leader="none" w:pos="1400" w:val="left"/>
        </w:tabs>
        <w:numPr>
          <w:ilvl w:val="1"/>
          <w:numId w:val="30"/>
        </w:numPr>
        <w:rPr>
          <w:rFonts w:ascii="Courier New" w:cs="Courier New" w:eastAsia="Courier New" w:hAnsi="Courier New"/>
          <w:sz w:val="18"/>
          <w:szCs w:val="18"/>
          <w:color w:val="auto"/>
        </w:rPr>
      </w:pPr>
      <w:r>
        <w:rPr>
          <w:rFonts w:ascii="Arial" w:cs="Arial" w:eastAsia="Arial" w:hAnsi="Arial"/>
          <w:sz w:val="18"/>
          <w:szCs w:val="18"/>
          <w:color w:val="auto"/>
        </w:rPr>
        <w:t xml:space="preserve">preclinical research demonstrating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of a vectorized (AAV9) anti-TDP-43 monoclonal antibody in a model of ALS/FTD, in Molecular Therapy.</w:t>
      </w:r>
    </w:p>
    <w:p>
      <w:pPr>
        <w:spacing w:after="0" w:line="15" w:lineRule="exact"/>
        <w:rPr>
          <w:rFonts w:ascii="Courier New" w:cs="Courier New" w:eastAsia="Courier New" w:hAnsi="Courier New"/>
          <w:sz w:val="18"/>
          <w:szCs w:val="18"/>
          <w:color w:val="auto"/>
        </w:rPr>
      </w:pPr>
    </w:p>
    <w:p>
      <w:pPr>
        <w:ind w:left="1400" w:right="159" w:hanging="324"/>
        <w:spacing w:after="0" w:line="364" w:lineRule="auto"/>
        <w:tabs>
          <w:tab w:leader="none" w:pos="1400" w:val="left"/>
        </w:tabs>
        <w:numPr>
          <w:ilvl w:val="1"/>
          <w:numId w:val="30"/>
        </w:numPr>
        <w:rPr>
          <w:rFonts w:ascii="Courier New" w:cs="Courier New" w:eastAsia="Courier New" w:hAnsi="Courier New"/>
          <w:sz w:val="18"/>
          <w:szCs w:val="18"/>
          <w:color w:val="auto"/>
        </w:rPr>
      </w:pPr>
      <w:r>
        <w:rPr>
          <w:rFonts w:ascii="Arial" w:cs="Arial" w:eastAsia="Arial" w:hAnsi="Arial"/>
          <w:sz w:val="18"/>
          <w:szCs w:val="18"/>
          <w:color w:val="auto"/>
        </w:rPr>
        <w:t>first-in-class positron emission tomography (PET) tracers for imaging TDP-43 pathology in the brain, including ACI-19626, that could enable a precision medicine approach to neurodegenerative diseases which are currently difficult to diagnose, in Nature Communications.</w:t>
      </w:r>
    </w:p>
    <w:p>
      <w:pPr>
        <w:spacing w:after="0" w:line="2" w:lineRule="exact"/>
        <w:rPr>
          <w:rFonts w:ascii="Courier New" w:cs="Courier New" w:eastAsia="Courier New" w:hAnsi="Courier New"/>
          <w:sz w:val="18"/>
          <w:szCs w:val="18"/>
          <w:color w:val="auto"/>
        </w:rPr>
      </w:pPr>
    </w:p>
    <w:p>
      <w:pPr>
        <w:ind w:left="760" w:right="139" w:hanging="332"/>
        <w:spacing w:after="0" w:line="385" w:lineRule="auto"/>
        <w:tabs>
          <w:tab w:leader="none" w:pos="7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18"/>
          <w:szCs w:val="18"/>
          <w:color w:val="auto"/>
        </w:rPr>
        <w:t>Appointed Prof. Catherine Mummery, a deeply experienced neurologist and expert in dementia clinical trials, as a member and Chair of its Clinical Advisory Board (CAB).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912495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b w:val="1"/>
          <w:bCs w:val="1"/>
          <w:color w:val="auto"/>
        </w:rPr>
        <w:t>Anticipated 2025 Milestones</w:t>
      </w: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336"/>
        </w:trPr>
        <w:tc>
          <w:tcPr>
            <w:tcW w:w="2220" w:type="dxa"/>
            <w:vAlign w:val="bottom"/>
            <w:tcBorders>
              <w:top w:val="single" w:sz="8" w:color="CCCCCC"/>
              <w:left w:val="single" w:sz="8" w:color="CCCCCC"/>
              <w:right w:val="single" w:sz="8" w:color="CCCCCC"/>
            </w:tcBorders>
          </w:tcPr>
          <w:p>
            <w:pPr>
              <w:ind w:left="80"/>
              <w:spacing w:after="0"/>
              <w:rPr>
                <w:sz w:val="20"/>
                <w:szCs w:val="20"/>
                <w:color w:val="auto"/>
              </w:rPr>
            </w:pPr>
            <w:r>
              <w:rPr>
                <w:rFonts w:ascii="Arial" w:cs="Arial" w:eastAsia="Arial" w:hAnsi="Arial"/>
                <w:sz w:val="18"/>
                <w:szCs w:val="18"/>
                <w:b w:val="1"/>
                <w:bCs w:val="1"/>
                <w:color w:val="auto"/>
              </w:rPr>
              <w:t>Program</w:t>
            </w:r>
          </w:p>
        </w:tc>
        <w:tc>
          <w:tcPr>
            <w:tcW w:w="550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b w:val="1"/>
                <w:bCs w:val="1"/>
                <w:color w:val="auto"/>
              </w:rPr>
              <w:t>Milestone</w:t>
            </w:r>
          </w:p>
        </w:tc>
        <w:tc>
          <w:tcPr>
            <w:tcW w:w="1180" w:type="dxa"/>
            <w:vAlign w:val="bottom"/>
            <w:tcBorders>
              <w:top w:val="single" w:sz="8" w:color="CCCCCC"/>
              <w:right w:val="single" w:sz="8" w:color="CCCCCC"/>
            </w:tcBorders>
          </w:tcPr>
          <w:p>
            <w:pPr>
              <w:ind w:left="60"/>
              <w:spacing w:after="0"/>
              <w:rPr>
                <w:sz w:val="20"/>
                <w:szCs w:val="20"/>
                <w:color w:val="auto"/>
              </w:rPr>
            </w:pPr>
            <w:r>
              <w:rPr>
                <w:rFonts w:ascii="Arial" w:cs="Arial" w:eastAsia="Arial" w:hAnsi="Arial"/>
                <w:sz w:val="18"/>
                <w:szCs w:val="18"/>
                <w:b w:val="1"/>
                <w:bCs w:val="1"/>
                <w:color w:val="auto"/>
              </w:rPr>
              <w:t>Expected in</w:t>
            </w:r>
          </w:p>
        </w:tc>
      </w:tr>
      <w:tr>
        <w:trPr>
          <w:trHeight w:val="177"/>
        </w:trPr>
        <w:tc>
          <w:tcPr>
            <w:tcW w:w="2220" w:type="dxa"/>
            <w:vAlign w:val="bottom"/>
            <w:tcBorders>
              <w:left w:val="single" w:sz="8" w:color="CCCCCC"/>
              <w:bottom w:val="single" w:sz="8" w:color="CCCCCC"/>
              <w:right w:val="single" w:sz="8" w:color="CCCCCC"/>
            </w:tcBorders>
          </w:tcPr>
          <w:p>
            <w:pPr>
              <w:spacing w:after="0"/>
              <w:rPr>
                <w:sz w:val="15"/>
                <w:szCs w:val="15"/>
                <w:color w:val="auto"/>
              </w:rPr>
            </w:pPr>
          </w:p>
        </w:tc>
        <w:tc>
          <w:tcPr>
            <w:tcW w:w="5500" w:type="dxa"/>
            <w:vAlign w:val="bottom"/>
            <w:tcBorders>
              <w:bottom w:val="single" w:sz="8" w:color="CCCCCC"/>
              <w:right w:val="single" w:sz="8" w:color="CCCCCC"/>
            </w:tcBorders>
          </w:tcPr>
          <w:p>
            <w:pPr>
              <w:spacing w:after="0"/>
              <w:rPr>
                <w:sz w:val="15"/>
                <w:szCs w:val="15"/>
                <w:color w:val="auto"/>
              </w:rPr>
            </w:pPr>
          </w:p>
        </w:tc>
        <w:tc>
          <w:tcPr>
            <w:tcW w:w="1180" w:type="dxa"/>
            <w:vAlign w:val="bottom"/>
            <w:tcBorders>
              <w:bottom w:val="single" w:sz="8" w:color="CCCCCC"/>
              <w:right w:val="single" w:sz="8" w:color="CCCCCC"/>
            </w:tcBorders>
          </w:tcPr>
          <w:p>
            <w:pPr>
              <w:spacing w:after="0"/>
              <w:rPr>
                <w:sz w:val="15"/>
                <w:szCs w:val="15"/>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ACI-7104.056</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Further interim results from Part 1 of Phase 2 VacSYn trial in PD,</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anti-a-syn active</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including pharmacodynamics and biomarkers</w:t>
            </w:r>
          </w:p>
        </w:tc>
        <w:tc>
          <w:tcPr>
            <w:tcW w:w="1180" w:type="dxa"/>
            <w:vAlign w:val="bottom"/>
            <w:tcBorders>
              <w:right w:val="single" w:sz="8" w:color="CCCCCC"/>
            </w:tcBorders>
          </w:tcPr>
          <w:p>
            <w:pPr>
              <w:spacing w:after="0"/>
              <w:rPr>
                <w:sz w:val="22"/>
                <w:szCs w:val="22"/>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ACI-24.060</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ABATE Phase 2 trial reaches 12-month treatment timepoint in the</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anti-Abeta active</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AD3 cohort by year end (with interim results reported thereafter)</w:t>
            </w:r>
          </w:p>
        </w:tc>
        <w:tc>
          <w:tcPr>
            <w:tcW w:w="1180" w:type="dxa"/>
            <w:vAlign w:val="bottom"/>
            <w:tcBorders>
              <w:right w:val="single" w:sz="8" w:color="CCCCCC"/>
            </w:tcBorders>
          </w:tcPr>
          <w:p>
            <w:pPr>
              <w:spacing w:after="0"/>
              <w:rPr>
                <w:sz w:val="22"/>
                <w:szCs w:val="22"/>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immunotherapy</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ACI-19764</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IND/CTA filing</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Small molecule NLRP3</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inhibitor</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Morphomer-Tau</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 and initiation of IND-enabling studies</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aggregation inhibitors</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Morphomer a-syn</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Lead declaration</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aggregation inhibitor</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TDP-43-PET tracer</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Initial Phase 1 readout in genetic frontotemporal dementia (FTD)</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r>
        <w:trPr>
          <w:trHeight w:val="308"/>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ACI-15916</w:t>
            </w:r>
          </w:p>
        </w:tc>
        <w:tc>
          <w:tcPr>
            <w:tcW w:w="550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Phase 1 readout in Parkinson’s disease (PD)</w:t>
            </w:r>
          </w:p>
        </w:tc>
        <w:tc>
          <w:tcPr>
            <w:tcW w:w="1180" w:type="dxa"/>
            <w:vAlign w:val="bottom"/>
            <w:tcBorders>
              <w:right w:val="single" w:sz="8" w:color="CCCCCC"/>
            </w:tcBorders>
          </w:tcPr>
          <w:p>
            <w:pPr>
              <w:ind w:left="60"/>
              <w:spacing w:after="0"/>
              <w:rPr>
                <w:sz w:val="20"/>
                <w:szCs w:val="20"/>
                <w:color w:val="auto"/>
              </w:rPr>
            </w:pPr>
            <w:r>
              <w:rPr>
                <w:rFonts w:ascii="Arial" w:cs="Arial" w:eastAsia="Arial" w:hAnsi="Arial"/>
                <w:sz w:val="18"/>
                <w:szCs w:val="18"/>
                <w:color w:val="auto"/>
              </w:rPr>
              <w:t>Q4 2025</w:t>
            </w: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Arial" w:cs="Arial" w:eastAsia="Arial" w:hAnsi="Arial"/>
                <w:sz w:val="18"/>
                <w:szCs w:val="18"/>
                <w:color w:val="auto"/>
              </w:rPr>
              <w:t>a-syn-PET tracer</w:t>
            </w:r>
          </w:p>
        </w:tc>
        <w:tc>
          <w:tcPr>
            <w:tcW w:w="5500" w:type="dxa"/>
            <w:vAlign w:val="bottom"/>
            <w:tcBorders>
              <w:right w:val="single" w:sz="8" w:color="CCCCCC"/>
            </w:tcBorders>
          </w:tcPr>
          <w:p>
            <w:pPr>
              <w:spacing w:after="0"/>
              <w:rPr>
                <w:sz w:val="22"/>
                <w:szCs w:val="22"/>
                <w:color w:val="auto"/>
              </w:rPr>
            </w:pPr>
          </w:p>
        </w:tc>
        <w:tc>
          <w:tcPr>
            <w:tcW w:w="1180" w:type="dxa"/>
            <w:vAlign w:val="bottom"/>
            <w:tcBorders>
              <w:right w:val="single" w:sz="8" w:color="CCCCCC"/>
            </w:tcBorders>
          </w:tcPr>
          <w:p>
            <w:pPr>
              <w:spacing w:after="0"/>
              <w:rPr>
                <w:sz w:val="22"/>
                <w:szCs w:val="22"/>
                <w:color w:val="auto"/>
              </w:rPr>
            </w:pPr>
          </w:p>
        </w:tc>
      </w:tr>
      <w:tr>
        <w:trPr>
          <w:trHeight w:val="77"/>
        </w:trPr>
        <w:tc>
          <w:tcPr>
            <w:tcW w:w="2220" w:type="dxa"/>
            <w:vAlign w:val="bottom"/>
            <w:tcBorders>
              <w:left w:val="single" w:sz="8" w:color="CCCCCC"/>
              <w:bottom w:val="single" w:sz="8" w:color="CCCCCC"/>
              <w:right w:val="single" w:sz="8" w:color="CCCCCC"/>
            </w:tcBorders>
          </w:tcPr>
          <w:p>
            <w:pPr>
              <w:spacing w:after="0"/>
              <w:rPr>
                <w:sz w:val="6"/>
                <w:szCs w:val="6"/>
                <w:color w:val="auto"/>
              </w:rPr>
            </w:pPr>
          </w:p>
        </w:tc>
        <w:tc>
          <w:tcPr>
            <w:tcW w:w="5500" w:type="dxa"/>
            <w:vAlign w:val="bottom"/>
            <w:tcBorders>
              <w:bottom w:val="single" w:sz="8" w:color="CCCCCC"/>
              <w:right w:val="single" w:sz="8" w:color="CCCCCC"/>
            </w:tcBorders>
          </w:tcPr>
          <w:p>
            <w:pPr>
              <w:spacing w:after="0"/>
              <w:rPr>
                <w:sz w:val="6"/>
                <w:szCs w:val="6"/>
                <w:color w:val="auto"/>
              </w:rPr>
            </w:pPr>
          </w:p>
        </w:tc>
        <w:tc>
          <w:tcPr>
            <w:tcW w:w="1180" w:type="dxa"/>
            <w:vAlign w:val="bottom"/>
            <w:tcBorders>
              <w:bottom w:val="single" w:sz="8" w:color="CCCCCC"/>
              <w:right w:val="single" w:sz="8" w:color="CCCCCC"/>
            </w:tcBorders>
          </w:tcPr>
          <w:p>
            <w:pPr>
              <w:spacing w:after="0"/>
              <w:rPr>
                <w:sz w:val="6"/>
                <w:szCs w:val="6"/>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Financial Statements for the Quarter Ended September 30, 2025</w:t>
      </w:r>
    </w:p>
    <w:p>
      <w:pPr>
        <w:spacing w:after="0" w:line="212" w:lineRule="exact"/>
        <w:rPr>
          <w:sz w:val="20"/>
          <w:szCs w:val="20"/>
          <w:color w:val="auto"/>
        </w:rPr>
      </w:pPr>
    </w:p>
    <w:p>
      <w:pPr>
        <w:ind w:left="700" w:right="79" w:hanging="326"/>
        <w:spacing w:after="0" w:line="387" w:lineRule="auto"/>
        <w:tabs>
          <w:tab w:leader="none" w:pos="7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total cash resources of CHF 108.5 million (CHF 165.5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 composed of CHF 27.7 million in cash and cash equivalents and CHF 80.7 million in short-term financial assets. The Company’s cash balance is expected to provide sufficient capital resources to the end of Q3 2027, excluding potential milestone payments.</w:t>
      </w:r>
    </w:p>
    <w:p>
      <w:pPr>
        <w:spacing w:after="0" w:line="54" w:lineRule="exact"/>
        <w:rPr>
          <w:rFonts w:ascii="Times New Roman" w:cs="Times New Roman" w:eastAsia="Times New Roman" w:hAnsi="Times New Roman"/>
          <w:sz w:val="18"/>
          <w:szCs w:val="18"/>
          <w:color w:val="auto"/>
        </w:rPr>
      </w:pPr>
    </w:p>
    <w:p>
      <w:pPr>
        <w:ind w:left="700" w:right="119" w:hanging="326"/>
        <w:spacing w:after="0" w:line="372" w:lineRule="auto"/>
        <w:tabs>
          <w:tab w:leader="none" w:pos="7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for the three months ended September 30, 2025, were CHF 13.1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with CHF 14.5 million for the comparable period in 2024. The decrease was primarily due to lower spend associated with the ACI-24.060 ABATE study during the period, as well as lower expenses incurred on ACI-7104.056. These reductions were offset by higher costs in our NLRP3 inhibitor program (ACI-19764).</w:t>
      </w:r>
    </w:p>
    <w:p>
      <w:pPr>
        <w:spacing w:after="0" w:line="1" w:lineRule="exact"/>
        <w:rPr>
          <w:rFonts w:ascii="Times New Roman" w:cs="Times New Roman" w:eastAsia="Times New Roman" w:hAnsi="Times New Roman"/>
          <w:sz w:val="18"/>
          <w:szCs w:val="18"/>
          <w:color w:val="auto"/>
        </w:rPr>
      </w:pPr>
    </w:p>
    <w:p>
      <w:pPr>
        <w:ind w:left="700" w:right="139" w:hanging="326"/>
        <w:spacing w:after="0" w:line="374" w:lineRule="auto"/>
        <w:tabs>
          <w:tab w:leader="none" w:pos="7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G&amp;A expenses in the period were CHF 3.6 million, compared with CHF 3.8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comparable period in 2024.</w:t>
      </w:r>
    </w:p>
    <w:p>
      <w:pPr>
        <w:spacing w:after="0" w:line="1" w:lineRule="exact"/>
        <w:rPr>
          <w:rFonts w:ascii="Times New Roman" w:cs="Times New Roman" w:eastAsia="Times New Roman" w:hAnsi="Times New Roman"/>
          <w:sz w:val="18"/>
          <w:szCs w:val="18"/>
          <w:color w:val="auto"/>
        </w:rPr>
      </w:pPr>
    </w:p>
    <w:p>
      <w:pPr>
        <w:ind w:left="700" w:right="299" w:hanging="326"/>
        <w:spacing w:after="0" w:line="387" w:lineRule="auto"/>
        <w:tabs>
          <w:tab w:leader="none" w:pos="7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Restructuring expenses: </w:t>
      </w:r>
      <w:r>
        <w:rPr>
          <w:rFonts w:ascii="Arial" w:cs="Arial" w:eastAsia="Arial" w:hAnsi="Arial"/>
          <w:sz w:val="18"/>
          <w:szCs w:val="18"/>
          <w:color w:val="auto"/>
        </w:rPr>
        <w:t>Expenses recognized as a result of the restructuring were CHF 0.5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nil for the comparable period in 2024. These expenses include CHF 2.1 million of termination benefits, offset by a CHF 1.8 million gain on curtailment in the defined benefit pension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697865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5" w:name="page36"/>
    <w:bookmarkEnd w:id="35"/>
    <w:p>
      <w:pPr>
        <w:ind w:left="700" w:right="479" w:hanging="326"/>
        <w:spacing w:after="0" w:line="371" w:lineRule="auto"/>
        <w:tabs>
          <w:tab w:leader="none" w:pos="7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Financial result: </w:t>
      </w:r>
      <w:r>
        <w:rPr>
          <w:rFonts w:ascii="Arial" w:cs="Arial" w:eastAsia="Arial" w:hAnsi="Arial"/>
          <w:sz w:val="18"/>
          <w:szCs w:val="18"/>
          <w:color w:val="auto"/>
        </w:rPr>
        <w:t>The financial result, net was a CHF 0.3 million gain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2025, compared to a CHF 1.8 million loss for the comparable period in 2024. This change was primarily driven by increased stability in foreign currency exchange differences in CHF versus foreign currencies, predominantly the U.S. Dollar.</w:t>
      </w:r>
    </w:p>
    <w:p>
      <w:pPr>
        <w:spacing w:after="0" w:line="1" w:lineRule="exact"/>
        <w:rPr>
          <w:rFonts w:ascii="Times New Roman" w:cs="Times New Roman" w:eastAsia="Times New Roman" w:hAnsi="Times New Roman"/>
          <w:sz w:val="18"/>
          <w:szCs w:val="18"/>
          <w:color w:val="auto"/>
        </w:rPr>
      </w:pPr>
    </w:p>
    <w:p>
      <w:pPr>
        <w:ind w:left="700" w:right="299" w:hanging="326"/>
        <w:spacing w:after="0" w:line="387" w:lineRule="auto"/>
        <w:tabs>
          <w:tab w:leader="none" w:pos="7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15.9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September 30, 2025, compared with a net income of CHF 5.5 million for the comparable period in 2024. The change period over period derives primarily from the recognition of a CHF 24.6 million milestone in Q3 2024 under the collaboration with Janssen Pharmaceuticals, Inc.</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43" w:lineRule="exact"/>
        <w:rPr>
          <w:sz w:val="20"/>
          <w:szCs w:val="20"/>
          <w:color w:val="auto"/>
        </w:rPr>
      </w:pPr>
    </w:p>
    <w:p>
      <w:pPr>
        <w:ind w:left="60" w:right="139"/>
        <w:spacing w:after="0" w:line="29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14" w:lineRule="exact"/>
        <w:rPr>
          <w:sz w:val="20"/>
          <w:szCs w:val="20"/>
          <w:color w:val="auto"/>
        </w:rPr>
      </w:pPr>
    </w:p>
    <w:p>
      <w:pPr>
        <w:ind w:left="60" w:right="99"/>
        <w:spacing w:after="0" w:line="313"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EU, GB, JP, KR, NO, RU and SG.</w:t>
      </w:r>
    </w:p>
    <w:p>
      <w:pPr>
        <w:spacing w:after="0" w:line="95" w:lineRule="exact"/>
        <w:rPr>
          <w:sz w:val="20"/>
          <w:szCs w:val="20"/>
          <w:color w:val="auto"/>
        </w:rPr>
      </w:pPr>
    </w:p>
    <w:p>
      <w:pPr>
        <w:ind w:left="60" w:right="279"/>
        <w:spacing w:after="0" w:line="313"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 Immune</w:t>
      </w:r>
    </w:p>
    <w:p>
      <w:pPr>
        <w:ind w:left="140"/>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Email: gary.waanders@acimmune.com</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International Media</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Chris Maggos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Cohesion Bureau</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Phone: +41 79 367 62 54</w:t>
      </w:r>
    </w:p>
    <w:p>
      <w:pPr>
        <w:ind w:left="140"/>
        <w:spacing w:after="0"/>
        <w:rPr>
          <w:sz w:val="20"/>
          <w:szCs w:val="20"/>
          <w:color w:val="auto"/>
        </w:rPr>
      </w:pPr>
      <w:r>
        <w:rPr>
          <w:rFonts w:ascii="Times New Roman" w:cs="Times New Roman" w:eastAsia="Times New Roman" w:hAnsi="Times New Roman"/>
          <w:sz w:val="18"/>
          <w:szCs w:val="18"/>
          <w:color w:val="auto"/>
        </w:rPr>
        <w:t>Email: 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65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r>
      <w:tr>
        <w:trPr>
          <w:trHeight w:val="195"/>
        </w:trPr>
        <w:tc>
          <w:tcPr>
            <w:tcW w:w="65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2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19"/>
                <w:szCs w:val="19"/>
                <w:color w:val="auto"/>
              </w:rPr>
            </w:pPr>
          </w:p>
        </w:tc>
      </w:tr>
      <w:tr>
        <w:trPr>
          <w:trHeight w:val="22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30"/>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57,861</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r>
      <w:tr>
        <w:trPr>
          <w:trHeight w:val="229"/>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r>
      <w:tr>
        <w:trPr>
          <w:trHeight w:val="230"/>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0" w:type="dxa"/>
            <w:vAlign w:val="bottom"/>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113,746</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20" w:type="dxa"/>
            <w:vAlign w:val="bottom"/>
          </w:tcPr>
          <w:p>
            <w:pPr>
              <w:spacing w:after="0"/>
              <w:rPr>
                <w:sz w:val="19"/>
                <w:szCs w:val="19"/>
                <w:color w:val="auto"/>
              </w:rPr>
            </w:pPr>
          </w:p>
        </w:tc>
      </w:tr>
      <w:tr>
        <w:trPr>
          <w:trHeight w:val="26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171,607</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22"/>
                <w:szCs w:val="22"/>
                <w:color w:val="auto"/>
              </w:rPr>
            </w:pPr>
          </w:p>
        </w:tc>
      </w:tr>
      <w:tr>
        <w:trPr>
          <w:trHeight w:val="210"/>
        </w:trPr>
        <w:tc>
          <w:tcPr>
            <w:tcW w:w="6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(419,751)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20" w:type="dxa"/>
            <w:vAlign w:val="bottom"/>
          </w:tcPr>
          <w:p>
            <w:pPr>
              <w:spacing w:after="0"/>
              <w:rPr>
                <w:sz w:val="19"/>
                <w:szCs w:val="19"/>
                <w:color w:val="auto"/>
              </w:rPr>
            </w:pPr>
          </w:p>
        </w:tc>
      </w:tr>
      <w:tr>
        <w:trPr>
          <w:trHeight w:val="26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62,444</w:t>
            </w:r>
          </w:p>
        </w:tc>
        <w:tc>
          <w:tcPr>
            <w:tcW w:w="24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20" w:type="dxa"/>
            <w:vAlign w:val="bottom"/>
          </w:tcPr>
          <w:p>
            <w:pPr>
              <w:spacing w:after="0"/>
              <w:rPr>
                <w:sz w:val="22"/>
                <w:szCs w:val="22"/>
                <w:color w:val="auto"/>
              </w:rPr>
            </w:pPr>
          </w:p>
        </w:tc>
      </w:tr>
      <w:tr>
        <w:trPr>
          <w:trHeight w:val="210"/>
        </w:trPr>
        <w:tc>
          <w:tcPr>
            <w:tcW w:w="6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 w:type="dxa"/>
            <w:vAlign w:val="bottom"/>
          </w:tcPr>
          <w:p>
            <w:pPr>
              <w:spacing w:after="0"/>
              <w:rPr>
                <w:sz w:val="19"/>
                <w:szCs w:val="19"/>
                <w:color w:val="auto"/>
              </w:rPr>
            </w:pPr>
          </w:p>
        </w:tc>
      </w:tr>
      <w:tr>
        <w:trPr>
          <w:trHeight w:val="26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0" w:type="dxa"/>
            <w:vAlign w:val="bottom"/>
          </w:tcPr>
          <w:p>
            <w:pPr>
              <w:spacing w:after="0"/>
              <w:rPr>
                <w:sz w:val="22"/>
                <w:szCs w:val="22"/>
                <w:color w:val="auto"/>
              </w:rPr>
            </w:pPr>
          </w:p>
        </w:tc>
      </w:tr>
      <w:tr>
        <w:trPr>
          <w:trHeight w:val="210"/>
        </w:trPr>
        <w:tc>
          <w:tcPr>
            <w:tcW w:w="6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19"/>
                <w:szCs w:val="19"/>
                <w:color w:val="auto"/>
              </w:rPr>
            </w:pPr>
          </w:p>
        </w:tc>
      </w:tr>
      <w:tr>
        <w:trPr>
          <w:trHeight w:val="230"/>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20" w:type="dxa"/>
            <w:vAlign w:val="bottom"/>
          </w:tcPr>
          <w:p>
            <w:pPr>
              <w:spacing w:after="0"/>
              <w:rPr>
                <w:sz w:val="19"/>
                <w:szCs w:val="19"/>
                <w:color w:val="auto"/>
              </w:rPr>
            </w:pPr>
          </w:p>
        </w:tc>
      </w:tr>
      <w:tr>
        <w:trPr>
          <w:trHeight w:val="230"/>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98,286</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109,163</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20" w:type="dxa"/>
            <w:vAlign w:val="bottom"/>
          </w:tcPr>
          <w:p>
            <w:pPr>
              <w:spacing w:after="0"/>
              <w:rPr>
                <w:sz w:val="19"/>
                <w:szCs w:val="19"/>
                <w:color w:val="auto"/>
              </w:rPr>
            </w:pPr>
          </w:p>
        </w:tc>
      </w:tr>
      <w:tr>
        <w:trPr>
          <w:trHeight w:val="22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171,607</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8"/>
        </w:trPr>
        <w:tc>
          <w:tcPr>
            <w:tcW w:w="6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Contract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(13,071)</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(14,482)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(3,567)</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expenses, net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(58,159)</w:t>
            </w:r>
          </w:p>
        </w:tc>
        <w:tc>
          <w:tcPr>
            <w:tcW w:w="18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(54,924)</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differences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(56,074)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8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Income/(loss) per share: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income/(loss) per share for the period attributable to equity</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(0.56)</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5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income/(loss) for the period attributable to equity holders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3"/>
        </w:trPr>
        <w:tc>
          <w:tcPr>
            <w:tcW w:w="8160" w:type="dxa"/>
            <w:vAlign w:val="bottom"/>
            <w:gridSpan w:val="7"/>
          </w:tcPr>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periods (net of tax):</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5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lowerRoman"/>
      <w:start w:val="2"/>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5"/>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8"/>
    </w:lvl>
  </w:abstractNum>
  <w:abstractNum w:abstractNumId="7">
    <w:nsid w:val="62BBD95A"/>
    <w:multiLevelType w:val="hybridMultilevel"/>
    <w:lvl w:ilvl="0">
      <w:lvlJc w:val="left"/>
      <w:lvlText w:val="%1."/>
      <w:numFmt w:val="decimal"/>
      <w:start w:val="9"/>
    </w:lvl>
  </w:abstractNum>
  <w:abstractNum w:abstractNumId="8">
    <w:nsid w:val="436C6125"/>
    <w:multiLevelType w:val="hybridMultilevel"/>
    <w:lvl w:ilvl="0">
      <w:lvlJc w:val="left"/>
      <w:lvlText w:val="%1."/>
      <w:numFmt w:val="decimal"/>
      <w:start w:val="12"/>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o"/>
      <w:numFmt w:val="bullet"/>
      <w:start w:val="1"/>
    </w:lvl>
  </w:abstractNum>
  <w:abstractNum w:abstractNumId="14">
    <w:nsid w:val="6763845E"/>
    <w:multiLevelType w:val="hybridMultilevel"/>
    <w:lvl w:ilvl="0">
      <w:lvlJc w:val="left"/>
      <w:lvlText w:val="●"/>
      <w:numFmt w:val="bullet"/>
      <w:start w:val="1"/>
    </w:lvl>
    <w:lvl w:ilvl="1">
      <w:lvlJc w:val="left"/>
      <w:lvlText w:val="o"/>
      <w:numFmt w:val="bullet"/>
      <w:start w:val="1"/>
    </w:lvl>
  </w:abstractNum>
  <w:abstractNum w:abstractNumId="15">
    <w:nsid w:val="75A2A8D4"/>
    <w:multiLevelType w:val="hybridMultilevel"/>
    <w:lvl w:ilvl="0">
      <w:lvlJc w:val="left"/>
      <w:lvlText w:val="1"/>
      <w:numFmt w:val="bullet"/>
      <w:start w:val="1"/>
    </w:lvl>
  </w:abstractNum>
  <w:abstractNum w:abstractNumId="16">
    <w:nsid w:val="8EDBDAB"/>
    <w:multiLevelType w:val="hybridMultilevel"/>
    <w:lvl w:ilvl="0">
      <w:lvlJc w:val="left"/>
      <w:lvlText w:val="2"/>
      <w:numFmt w:val="bullet"/>
      <w:start w:val="1"/>
    </w:lvl>
    <w:lvl w:ilvl="1">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2"/>
      <w:numFmt w:val="bullet"/>
      <w:start w:val="1"/>
    </w:lvl>
  </w:abstractNum>
  <w:abstractNum w:abstractNumId="24">
    <w:nsid w:val="836C40E"/>
    <w:multiLevelType w:val="hybridMultilevel"/>
    <w:lvl w:ilvl="0">
      <w:lvlJc w:val="left"/>
      <w:lvlText w:val="(%1)"/>
      <w:numFmt w:val="lowerRoman"/>
      <w:start w:val="3"/>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lvl w:ilvl="1">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lvl w:ilvl="1">
      <w:lvlJc w:val="left"/>
      <w:lvlText w:val="o"/>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2025-11-04T06:17:17Z</dcterms:created>
  <dcterms:modified xsi:type="dcterms:W3CDTF">2025-11-04T06:17:17Z</dcterms:modified>
</cp:coreProperties>
</file>