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4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240"/>
        <w:spacing w:after="0" w:line="207" w:lineRule="exact"/>
        <w:tabs>
          <w:tab w:leader="none" w:pos="3820" w:val="left"/>
          <w:tab w:leader="none" w:pos="540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ind w:left="2500"/>
        <w:spacing w:after="0" w:line="207" w:lineRule="exact"/>
        <w:tabs>
          <w:tab w:leader="none" w:pos="3840" w:val="left"/>
          <w:tab w:leader="none" w:pos="56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875665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AC IMMUNE SA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198755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 w:name="page3"/>
    <w:bookmarkEnd w:id="2"/>
    <w:p>
      <w:pPr>
        <w:ind w:firstLine="324"/>
        <w:spacing w:after="0" w:line="273" w:lineRule="auto"/>
        <w:rPr>
          <w:sz w:val="20"/>
          <w:szCs w:val="20"/>
          <w:color w:val="auto"/>
        </w:rPr>
      </w:pPr>
      <w:r>
        <w:rPr>
          <w:rFonts w:ascii="Arial" w:cs="Arial" w:eastAsia="Arial" w:hAnsi="Arial"/>
          <w:sz w:val="17"/>
          <w:szCs w:val="17"/>
          <w:color w:val="auto"/>
        </w:rPr>
        <w:t>On May 5, 2021, AC Immune SA (the “Company”), entered into an Open Market Sales Agreement (the “Open Market Sales Agreement”) with Jefferies LLC (the “Agent”) to replace its existing "at the market" program with the Agent. Pursuant to the terms of the Open Market Sales Agreement, the Company may sell from time to time through or to the Agent, as the Company’s sales agent, shares of the Company’s common shares, nominal value CHF 0.02, having the same aggregate offering price as the Company's existing "at the market" program, of up to $80,000,000 (the “Shares”). The sales, if any, of the Shares under the Open Market Sales Agreement will be made by any method permitted by law deemed to be an “at the market offering” as defined in Rule 415 promulgated under the Securities Act of 1933, as amended (the “Securities Act”).</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the sales of Shares through the Agent, as the Company’s sales agent, the Company will pay the Agent a commission at a mutually agreed rate of 3.0% of the gross sales price per Share. In addition, the Company has agreed to pay certain expenses incurred by the Agent in connection with the offering. The Company may also sell Shares to the Agent as principal for such Agent’s own account at a price agreed upon at the time of sale. The Company has no obligation to sell any shares under the Open Market Sales Agreement, and may at any time suspend the offering of shares under the Open Market Sales Agreement.</w:t>
      </w:r>
    </w:p>
    <w:p>
      <w:pPr>
        <w:spacing w:after="0" w:line="188"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The Open Market Sales Agreement contains customary representations and warranties of the parties and indemnification and contribution provisions under which the Company and the Agent have agreed to indemnify each other against certain liabilities, including liabilities under the Securities Act. The Company expects to use the net proceeds from sales, if any, under the Open Market Sales Agreement of the Shares, for research and clinical development of current and/or additional pipeline candidates, our technology platforms, working capital, capital expenditures and general corporate purposes.</w:t>
      </w:r>
    </w:p>
    <w:p>
      <w:pPr>
        <w:spacing w:after="0" w:line="15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representations, warranties and covenants contained in the Open Market Sales Agreement were made only for purposes of that agreement and as of specific dates, were solely for the benefit of the parties to the Open Market Sales Agreement and may be subject to limitations agreed upon by the parties, including being qualified by confidential disclosures made by each contracting party to the other as a way of allocating contractual risk between them that differ from those applicable to investors. Moreover, the subject matter of the representations and warranties are subject to more recent developments. Accordingly, investors should be aware that these representations, warranties and covenants or any description thereof alone may not describe the actual state of affairs of the Company or its subsidiaries, affiliates, businesses or shareholders as of the date they were made or at any other time.</w:t>
      </w:r>
    </w:p>
    <w:p>
      <w:pPr>
        <w:spacing w:after="0" w:line="1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Shares will be issued pursuant to the Company’s shelf registration statement on Form F-3 (File No. 333-255576). The Company filed a prospectus supplement, dated May 5, 2021, with the Securities and Exchange Commission in connection with the offer and sale of the Shares pursuant to the Open Market Sales Agreement.</w:t>
      </w:r>
    </w:p>
    <w:p>
      <w:pPr>
        <w:spacing w:after="0" w:line="184"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foregoing description of the Open Market Sales Agreement is not complete and is qualified in its entirety by reference to the full text of such agreement, a copy of which is filed herewith as Exhibit 1.1 to this Current Report on Form 6-K and is incorporated herein by reference.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legal opinion of Bär &amp; Karrer Ltd. relating to the common shares being offered is filed as Exhibit 5.1 to this Current Report on Form 6-K.</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339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70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339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70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2021</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320" w:type="dxa"/>
            <w:vAlign w:val="bottom"/>
          </w:tcPr>
          <w:p>
            <w:pPr>
              <w:jc w:val="center"/>
              <w:ind w:right="83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Exhibit</w:t>
            </w:r>
          </w:p>
        </w:tc>
        <w:tc>
          <w:tcPr>
            <w:tcW w:w="1032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32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7"/>
        </w:trPr>
        <w:tc>
          <w:tcPr>
            <w:tcW w:w="920" w:type="dxa"/>
            <w:vAlign w:val="bottom"/>
          </w:tcPr>
          <w:p>
            <w:pPr>
              <w:jc w:val="center"/>
              <w:ind w:left="10"/>
              <w:spacing w:after="0"/>
              <w:rPr>
                <w:sz w:val="20"/>
                <w:szCs w:val="20"/>
                <w:color w:val="auto"/>
              </w:rPr>
            </w:pPr>
            <w:r>
              <w:rPr>
                <w:rFonts w:ascii="Arial" w:cs="Arial" w:eastAsia="Arial" w:hAnsi="Arial"/>
                <w:sz w:val="18"/>
                <w:szCs w:val="18"/>
                <w:color w:val="auto"/>
                <w:w w:val="87"/>
              </w:rPr>
              <w:t>1.1</w:t>
            </w:r>
          </w:p>
        </w:tc>
        <w:tc>
          <w:tcPr>
            <w:tcW w:w="10320" w:type="dxa"/>
            <w:vAlign w:val="bottom"/>
          </w:tcPr>
          <w:p>
            <w:pPr>
              <w:ind w:left="100"/>
              <w:spacing w:after="0"/>
              <w:rPr>
                <w:sz w:val="20"/>
                <w:szCs w:val="20"/>
                <w:color w:val="auto"/>
              </w:rPr>
            </w:pPr>
            <w:r>
              <w:rPr>
                <w:rFonts w:ascii="Arial" w:cs="Arial" w:eastAsia="Arial" w:hAnsi="Arial"/>
                <w:sz w:val="18"/>
                <w:szCs w:val="18"/>
                <w:color w:val="auto"/>
              </w:rPr>
              <w:t>Open Market Sales Agreement, dated as of May 5, 2021, between AC Immune SA and Jefferies LLC.</w:t>
            </w:r>
          </w:p>
        </w:tc>
      </w:tr>
      <w:tr>
        <w:trPr>
          <w:trHeight w:val="459"/>
        </w:trPr>
        <w:tc>
          <w:tcPr>
            <w:tcW w:w="920" w:type="dxa"/>
            <w:vAlign w:val="bottom"/>
          </w:tcPr>
          <w:p>
            <w:pPr>
              <w:jc w:val="center"/>
              <w:ind w:left="10"/>
              <w:spacing w:after="0"/>
              <w:rPr>
                <w:sz w:val="20"/>
                <w:szCs w:val="20"/>
                <w:color w:val="auto"/>
              </w:rPr>
            </w:pPr>
            <w:r>
              <w:rPr>
                <w:rFonts w:ascii="Arial" w:cs="Arial" w:eastAsia="Arial" w:hAnsi="Arial"/>
                <w:sz w:val="18"/>
                <w:szCs w:val="18"/>
                <w:color w:val="auto"/>
                <w:w w:val="87"/>
              </w:rPr>
              <w:t>5.1</w:t>
            </w:r>
          </w:p>
        </w:tc>
        <w:tc>
          <w:tcPr>
            <w:tcW w:w="10320" w:type="dxa"/>
            <w:vAlign w:val="bottom"/>
          </w:tcPr>
          <w:p>
            <w:pPr>
              <w:ind w:left="100"/>
              <w:spacing w:after="0"/>
              <w:rPr>
                <w:sz w:val="20"/>
                <w:szCs w:val="20"/>
                <w:color w:val="auto"/>
              </w:rPr>
            </w:pPr>
            <w:r>
              <w:rPr>
                <w:rFonts w:ascii="Arial" w:cs="Arial" w:eastAsia="Arial" w:hAnsi="Arial"/>
                <w:sz w:val="18"/>
                <w:szCs w:val="18"/>
                <w:color w:val="auto"/>
              </w:rPr>
              <w:t>Opinion of Bär &amp; Karrer Ltd.</w:t>
            </w:r>
          </w:p>
        </w:tc>
      </w:tr>
      <w:tr>
        <w:trPr>
          <w:trHeight w:val="459"/>
        </w:trPr>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23.1</w:t>
            </w:r>
          </w:p>
        </w:tc>
        <w:tc>
          <w:tcPr>
            <w:tcW w:w="10320" w:type="dxa"/>
            <w:vAlign w:val="bottom"/>
          </w:tcPr>
          <w:p>
            <w:pPr>
              <w:ind w:left="100"/>
              <w:spacing w:after="0"/>
              <w:rPr>
                <w:sz w:val="20"/>
                <w:szCs w:val="20"/>
                <w:color w:val="auto"/>
              </w:rPr>
            </w:pPr>
            <w:r>
              <w:rPr>
                <w:rFonts w:ascii="Arial" w:cs="Arial" w:eastAsia="Arial" w:hAnsi="Arial"/>
                <w:sz w:val="18"/>
                <w:szCs w:val="18"/>
                <w:color w:val="auto"/>
              </w:rPr>
              <w:t>Consent of Bär &amp; Karrer Ltd. (included in Exhibit 5.1).</w:t>
            </w:r>
          </w:p>
        </w:tc>
      </w:tr>
      <w:tr>
        <w:trPr>
          <w:trHeight w:val="756"/>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79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 Immune SA, a company limited by shares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Switzerland, with registered seat in Ecublens (VD), Switzerland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conditions stated herein, to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the Company’s common shares, nominal value CHF 0.02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$80.0 million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firstLine="656"/>
        <w:spacing w:after="0" w:line="277" w:lineRule="auto"/>
        <w:tabs>
          <w:tab w:leader="none" w:pos="1284"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Fiduciary</w:t>
      </w:r>
      <w:r>
        <w:rPr>
          <w:rFonts w:ascii="Arial" w:cs="Arial" w:eastAsia="Arial" w:hAnsi="Arial"/>
          <w:sz w:val="18"/>
          <w:szCs w:val="18"/>
          <w:color w:val="auto"/>
        </w:rPr>
        <w:t>” means Treuco AG, Claridenstrasse 25, 8002 Zurich, Switzerland.</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 Price</w:t>
      </w:r>
      <w:r>
        <w:rPr>
          <w:rFonts w:ascii="Arial" w:cs="Arial" w:eastAsia="Arial" w:hAnsi="Arial"/>
          <w:sz w:val="17"/>
          <w:szCs w:val="17"/>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Notice by delivering written notice of such change to the Agent and which in no event shall be less than $1.00 without the prior written consent of the Agent, which may be withheld in the Agent’s sole discretion.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share capital), (c) the number or dollar amount of Common Shares permitted to be sold under Form F-3 (including General Instruction I.B.5 thereof, if applicable), or (d) the number or dollar amount of Common Shares for which the Company has filed a Prospectus (defined below).</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Date</w:t>
      </w:r>
      <w:r>
        <w:rPr>
          <w:rFonts w:ascii="Arial" w:cs="Arial" w:eastAsia="Arial" w:hAnsi="Arial"/>
          <w:sz w:val="17"/>
          <w:szCs w:val="17"/>
          <w:color w:val="auto"/>
        </w:rPr>
        <w:t>” means the second business day following each Trading Day during the period set forth in the Issuance Notice on which Shares are sold pursuant to this Agreement, when the Company or any third party designated by the Company shall deliver to the Agent the amount of Shares sold on such Trading Day and the Agent shall deliver to the Company the Issuance Price received on such sales</w:t>
      </w:r>
      <w:r>
        <w:rPr>
          <w:rFonts w:ascii="Arial" w:cs="Arial" w:eastAsia="Arial" w:hAnsi="Arial"/>
          <w:sz w:val="17"/>
          <w:szCs w:val="17"/>
          <w:u w:val="single" w:color="auto"/>
          <w:color w:val="auto"/>
        </w:rPr>
        <w:t>.</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to be delivered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represents and warrants to, and agrees with, the Agent that as of (1) the date of this Agreement, (2) each Issuance Notice Date, (3) each Settlement Date, (4) each Triggering Event Date and (5) as of each Time of Sale (as defined below)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87" w:lineRule="exact"/>
        <w:rPr>
          <w:sz w:val="20"/>
          <w:szCs w:val="20"/>
          <w:color w:val="auto"/>
        </w:rPr>
      </w:pPr>
    </w:p>
    <w:p>
      <w:pPr>
        <w:jc w:val="both"/>
        <w:ind w:firstLine="656"/>
        <w:spacing w:after="0" w:line="285" w:lineRule="auto"/>
        <w:tabs>
          <w:tab w:leader="none" w:pos="133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Commission a shelf registration statement on Form F-3 (File No. 333-255576)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3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meet the then-applicable requirements for use of Form F-3 under the Securities Act.</w:t>
      </w:r>
    </w:p>
    <w:p>
      <w:pPr>
        <w:spacing w:after="0" w:line="187" w:lineRule="exact"/>
        <w:rPr>
          <w:sz w:val="20"/>
          <w:szCs w:val="20"/>
          <w:color w:val="auto"/>
        </w:rPr>
      </w:pPr>
    </w:p>
    <w:p>
      <w:pPr>
        <w:jc w:val="both"/>
        <w:ind w:firstLine="656"/>
        <w:spacing w:after="0" w:line="257" w:lineRule="auto"/>
        <w:tabs>
          <w:tab w:leader="none" w:pos="122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(except as may be permitted by Regulation S-T under the Securities Act), was identical to the copy thereof delivered to the Agent for use in connection with the sale of the Shares at each Settlement Date. Each of the Registration Statement, any Rule 462(b)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both"/>
        <w:ind w:firstLine="656"/>
        <w:spacing w:after="0" w:line="253" w:lineRule="auto"/>
        <w:tabs>
          <w:tab w:leader="none" w:pos="117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Ineligible Issuer Status</w:t>
      </w:r>
      <w:r>
        <w:rPr>
          <w:rFonts w:ascii="Arial" w:cs="Arial" w:eastAsia="Arial" w:hAnsi="Arial"/>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Settlement Date,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or any Free Writing Prospectus.</w:t>
      </w:r>
    </w:p>
    <w:p>
      <w:pPr>
        <w:spacing w:after="0" w:line="194" w:lineRule="exact"/>
        <w:rPr>
          <w:rFonts w:ascii="Arial" w:cs="Arial" w:eastAsia="Arial" w:hAnsi="Arial"/>
          <w:sz w:val="18"/>
          <w:szCs w:val="18"/>
          <w:color w:val="auto"/>
        </w:rPr>
      </w:pPr>
    </w:p>
    <w:p>
      <w:pPr>
        <w:jc w:val="both"/>
        <w:ind w:firstLine="656"/>
        <w:spacing w:after="0" w:line="301" w:lineRule="auto"/>
        <w:tabs>
          <w:tab w:leader="none" w:pos="126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jc w:val="both"/>
        <w:ind w:firstLine="656"/>
        <w:spacing w:after="0" w:line="293" w:lineRule="auto"/>
        <w:tabs>
          <w:tab w:leader="none" w:pos="116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29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Authorization of the Shares</w:t>
      </w:r>
      <w:r>
        <w:rPr>
          <w:rFonts w:ascii="Arial" w:cs="Arial" w:eastAsia="Arial" w:hAnsi="Arial"/>
          <w:sz w:val="18"/>
          <w:szCs w:val="18"/>
          <w:color w:val="auto"/>
        </w:rPr>
        <w:t>. The Company has sufficient authorized capital to issue shares to fulfill its delivery obligations under this Agreement and the Shares, when an Issuance Notice is delivered to the Agent, will have been duly authorized for sale pursuant to this Agreement and, when registered with the Commercial Register and issued and delivered by the Company or any third party designated by the Company against payment therefor pursuant to this Agreement, will be validly issued, fully paid and nonassessable, and, other than as expressly set forth in this Agreement or the Prospectus, the issuance and sale of the Shares is not subject to any preemptive rights, rights of first refusal or other similar rights to subscribe for or purchase the Shares that will not have been validly waived or excluded.</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both"/>
        <w:ind w:firstLine="656"/>
        <w:spacing w:after="0" w:line="257" w:lineRule="auto"/>
        <w:tabs>
          <w:tab w:leader="none" w:pos="138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Rights or Similar Rights</w:t>
      </w:r>
      <w:r>
        <w:rPr>
          <w:rFonts w:ascii="Arial" w:cs="Arial" w:eastAsia="Arial" w:hAnsi="Arial"/>
          <w:sz w:val="18"/>
          <w:szCs w:val="18"/>
          <w:color w:val="auto"/>
        </w:rPr>
        <w:t>. Except as disclosed in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spacing w:after="0" w:line="187" w:lineRule="exact"/>
        <w:rPr>
          <w:rFonts w:ascii="Arial" w:cs="Arial" w:eastAsia="Arial" w:hAnsi="Arial"/>
          <w:sz w:val="18"/>
          <w:szCs w:val="18"/>
          <w:color w:val="auto"/>
        </w:rPr>
      </w:pPr>
    </w:p>
    <w:p>
      <w:pPr>
        <w:jc w:val="both"/>
        <w:ind w:firstLine="656"/>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Except as disclosed in the Registration Statement and the Prospectus, since the end of the period covered by the latest audited financial statements included in the Registration Statement and the Prospectus,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share capital and (iii) there has been no material adverse change in the share capital, short-term indebtedness, long-term indebtedness, net current assets or net assets of the Company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1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PricewaterhouseCoopers SA, which has expressed its opinion with respect to certain financial statements (which term as used in this Agreement includes the related notes thereto) filed with the Commission as a part of the Registration Statement and the Prospectus, was, at the time of expressing such opinion, (i) an independent registered public accounting firm as required by the Securities Act, the Exchange Act, and the rules of the Public Company Accounting Oversight Board (“PCAOB”),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CO, the Swiss Audit Supervision Act (</w:t>
      </w:r>
      <w:r>
        <w:rPr>
          <w:rFonts w:ascii="Arial" w:cs="Arial" w:eastAsia="Arial" w:hAnsi="Arial"/>
          <w:sz w:val="18"/>
          <w:szCs w:val="18"/>
          <w:i w:val="1"/>
          <w:iCs w:val="1"/>
          <w:color w:val="auto"/>
        </w:rPr>
        <w:t>Revisionsaufsichtsgesetz</w:t>
      </w:r>
      <w:r>
        <w:rPr>
          <w:rFonts w:ascii="Arial" w:cs="Arial" w:eastAsia="Arial" w:hAnsi="Arial"/>
          <w:sz w:val="18"/>
          <w:szCs w:val="18"/>
          <w:color w:val="auto"/>
        </w:rPr>
        <w:t>) and any ordinances promulgated thereunder.</w:t>
      </w:r>
    </w:p>
    <w:p>
      <w:pPr>
        <w:spacing w:after="0" w:line="191" w:lineRule="exact"/>
        <w:rPr>
          <w:rFonts w:ascii="Arial" w:cs="Arial" w:eastAsia="Arial" w:hAnsi="Arial"/>
          <w:sz w:val="18"/>
          <w:szCs w:val="18"/>
          <w:color w:val="auto"/>
        </w:rPr>
      </w:pPr>
    </w:p>
    <w:p>
      <w:pPr>
        <w:jc w:val="both"/>
        <w:ind w:firstLine="656"/>
        <w:spacing w:after="0" w:line="254" w:lineRule="auto"/>
        <w:tabs>
          <w:tab w:leader="none" w:pos="126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or incorporated by reference in each Registration Statement and the Prospectus (including the statutory financial statements of the Company included or incorporated by reference in the Prospectus)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w:t>
      </w:r>
      <w:r>
        <w:rPr>
          <w:rFonts w:ascii="Arial" w:cs="Arial" w:eastAsia="Arial" w:hAnsi="Arial"/>
          <w:sz w:val="18"/>
          <w:szCs w:val="18"/>
          <w:b w:val="1"/>
          <w:bCs w:val="1"/>
          <w:color w:val="auto"/>
        </w:rPr>
        <w:t>IFRS</w:t>
      </w:r>
      <w:r>
        <w:rPr>
          <w:rFonts w:ascii="Arial" w:cs="Arial" w:eastAsia="Arial" w:hAnsi="Arial"/>
          <w:sz w:val="18"/>
          <w:szCs w:val="18"/>
          <w:color w:val="auto"/>
        </w:rPr>
        <w:t>”) as issued by the International Accounting Standards Board (the “</w:t>
      </w:r>
      <w:r>
        <w:rPr>
          <w:rFonts w:ascii="Arial" w:cs="Arial" w:eastAsia="Arial" w:hAnsi="Arial"/>
          <w:sz w:val="18"/>
          <w:szCs w:val="18"/>
          <w:b w:val="1"/>
          <w:bCs w:val="1"/>
          <w:color w:val="auto"/>
        </w:rPr>
        <w:t>IASB</w:t>
      </w:r>
      <w:r>
        <w:rPr>
          <w:rFonts w:ascii="Arial" w:cs="Arial" w:eastAsia="Arial" w:hAnsi="Arial"/>
          <w:sz w:val="18"/>
          <w:szCs w:val="18"/>
          <w:color w:val="auto"/>
        </w:rPr>
        <w:t>”) applied on a consistent basis, or in the case of the statutory financial statement of the Company, have been prepared in accordance with Swiss law, and the schedules included in each of the Registration Statement and the Prospectus present fairly in all material respects the information required to be stated therein.</w:t>
      </w:r>
    </w:p>
    <w:p>
      <w:pPr>
        <w:spacing w:after="0" w:line="190" w:lineRule="exact"/>
        <w:rPr>
          <w:rFonts w:ascii="Arial" w:cs="Arial" w:eastAsia="Arial" w:hAnsi="Arial"/>
          <w:sz w:val="18"/>
          <w:szCs w:val="18"/>
          <w:color w:val="auto"/>
        </w:rPr>
      </w:pPr>
    </w:p>
    <w:p>
      <w:pPr>
        <w:jc w:val="both"/>
        <w:ind w:firstLine="656"/>
        <w:spacing w:after="0" w:line="261"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Company’s Accounting System</w:t>
      </w:r>
      <w:r>
        <w:rPr>
          <w:rFonts w:ascii="Arial" w:cs="Arial" w:eastAsia="Arial" w:hAnsi="Arial"/>
          <w:sz w:val="18"/>
          <w:szCs w:val="18"/>
          <w:color w:val="auto"/>
        </w:rPr>
        <w:t>. Except as set forth in the Prospectus, the Company and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are in compliance with the applicable provisions of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and the Exchange Act. The Company maintains a system of internal controls, including, but not limited to, disclosure controls and procedures, internal controls over accounting matters and financial reporting, an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internal audit function and legal and regulatory compliance controls (collectively, “</w:t>
      </w:r>
      <w:r>
        <w:rPr>
          <w:rFonts w:ascii="Arial" w:cs="Arial" w:eastAsia="Arial" w:hAnsi="Arial"/>
          <w:sz w:val="17"/>
          <w:szCs w:val="17"/>
          <w:b w:val="1"/>
          <w:bCs w:val="1"/>
          <w:color w:val="auto"/>
        </w:rPr>
        <w:t>Internal Controls</w:t>
      </w:r>
      <w:r>
        <w:rPr>
          <w:rFonts w:ascii="Arial" w:cs="Arial" w:eastAsia="Arial" w:hAnsi="Arial"/>
          <w:sz w:val="17"/>
          <w:szCs w:val="17"/>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IFRS as issued by the ISAB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and the Prospectus fairly presents the information called for in all material respects and is prepared in accordance with the Commission’s rules and guidelines thereto. The Internal Controls are, or upon consummation of the offering of the Shares will be, overseen by the Audit &amp; Finance Committee (the “</w:t>
      </w:r>
      <w:r>
        <w:rPr>
          <w:rFonts w:ascii="Arial" w:cs="Arial" w:eastAsia="Arial" w:hAnsi="Arial"/>
          <w:sz w:val="17"/>
          <w:szCs w:val="17"/>
          <w:b w:val="1"/>
          <w:bCs w:val="1"/>
          <w:color w:val="auto"/>
        </w:rPr>
        <w:t>Audit &amp; Finance Committee</w:t>
      </w:r>
      <w:r>
        <w:rPr>
          <w:rFonts w:ascii="Arial" w:cs="Arial" w:eastAsia="Arial" w:hAnsi="Arial"/>
          <w:sz w:val="17"/>
          <w:szCs w:val="17"/>
          <w:color w:val="auto"/>
        </w:rPr>
        <w:t>”) of the Board in accordance with Exchange Act. Except as disclosed in the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any violation of, or failure to comply with, Sarbanes-Oxley, the Exchange Act and the rules of the Principal Market, or any matter which, if determined adversely, would have a Material Adverse Change.</w:t>
      </w:r>
    </w:p>
    <w:p>
      <w:pPr>
        <w:spacing w:after="0" w:line="180" w:lineRule="exact"/>
        <w:rPr>
          <w:sz w:val="20"/>
          <w:szCs w:val="20"/>
          <w:color w:val="auto"/>
        </w:rPr>
      </w:pPr>
    </w:p>
    <w:p>
      <w:pPr>
        <w:jc w:val="both"/>
        <w:ind w:firstLine="656"/>
        <w:spacing w:after="0" w:line="263" w:lineRule="auto"/>
        <w:tabs>
          <w:tab w:leader="none" w:pos="127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been duly incorporated and is duly organized and validly existing under the laws of Switzerland, with full power and authority (corporate and other) to own its properties and conduct its business as described in the Registration Statement and the Prospectus.</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Company has no subsidiaries (as defined in Rule 405 under the Securities Act).</w:t>
      </w:r>
    </w:p>
    <w:p>
      <w:pPr>
        <w:spacing w:after="0" w:line="225" w:lineRule="exact"/>
        <w:rPr>
          <w:rFonts w:ascii="Arial" w:cs="Arial" w:eastAsia="Arial" w:hAnsi="Arial"/>
          <w:sz w:val="18"/>
          <w:szCs w:val="18"/>
          <w:color w:val="auto"/>
        </w:rPr>
      </w:pPr>
    </w:p>
    <w:p>
      <w:pPr>
        <w:jc w:val="both"/>
        <w:ind w:firstLine="656"/>
        <w:spacing w:after="0" w:line="287" w:lineRule="auto"/>
        <w:tabs>
          <w:tab w:leader="none" w:pos="125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issued and outstanding share capital and the authorized share capital as well as the conditional share capital of the Company are as set forth in the Registration Statement and the Prospectus under the caption “Description of Share Capital and Articles of Incorporation” (other than for subsequent issuances, if any, pursuant to employee benefit plans,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and the CO.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or other rights convertible into or exchangeable or exercisable for, any capital stock of the Company other than those described in the Registration Statement and the Prospectus. The descriptions of the Company’s stock option, stock bonus and other stock plans or similar arrangements, and the options or other rights granted thereunder, set forth in the Registration Statement and the</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Prospectus accurately and fairly presents the information required to be shown with respect to such plans, arrangements, options and rights.</w:t>
      </w:r>
    </w:p>
    <w:p>
      <w:pPr>
        <w:spacing w:after="0" w:line="225" w:lineRule="exact"/>
        <w:rPr>
          <w:sz w:val="20"/>
          <w:szCs w:val="20"/>
          <w:color w:val="auto"/>
        </w:rPr>
      </w:pPr>
    </w:p>
    <w:p>
      <w:pPr>
        <w:jc w:val="both"/>
        <w:ind w:firstLine="656"/>
        <w:spacing w:after="0" w:line="257" w:lineRule="auto"/>
        <w:tabs>
          <w:tab w:leader="none" w:pos="12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37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Absence of Further Requirements</w:t>
      </w:r>
      <w:r>
        <w:rPr>
          <w:rFonts w:ascii="Arial" w:cs="Arial" w:eastAsia="Arial" w:hAnsi="Arial"/>
          <w:sz w:val="17"/>
          <w:szCs w:val="17"/>
          <w:color w:val="auto"/>
        </w:rPr>
        <w:t>. Other than (a) the issuance of the Shares to the Fiduciary in one or more installments and the registration of the Shares with the commercial register of the Canton of Vaud, the registration of the Fiduciary in the Company’s book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as first holder of the Shares and in the Company's share register and the subsequent assignment and transfer of the Shares from the Fiduciary to the Agent and the registration of the Agent in the Company’s share register, and (b) the implementing and declaratory resolutions (</w:t>
      </w:r>
      <w:r>
        <w:rPr>
          <w:rFonts w:ascii="Arial" w:cs="Arial" w:eastAsia="Arial" w:hAnsi="Arial"/>
          <w:sz w:val="17"/>
          <w:szCs w:val="17"/>
          <w:i w:val="1"/>
          <w:iCs w:val="1"/>
          <w:color w:val="auto"/>
        </w:rPr>
        <w:t>Durchführungs- und Feststellungsbeschlüsse</w:t>
      </w:r>
      <w:r>
        <w:rPr>
          <w:rFonts w:ascii="Arial" w:cs="Arial" w:eastAsia="Arial" w:hAnsi="Arial"/>
          <w:sz w:val="17"/>
          <w:szCs w:val="17"/>
          <w:color w:val="auto"/>
        </w:rPr>
        <w:t>) of the Board required in connection with the authorized capital increase(s) of the Company in order to create the Shares, no consent, approval, authorization, or order of, or filing or registration with, any person (including any governmental agency or body or any court) is required for the consummation of the transactions contemplated by this Agreement in connection with the offering, issuance and sale of the Shares by the Company, except such as have been obtained or made or will be obtained or made at the Settlement Date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169"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Non-Contravention of Existing Instruments</w:t>
      </w:r>
      <w:r>
        <w:rPr>
          <w:rFonts w:ascii="Arial" w:cs="Arial" w:eastAsia="Arial" w:hAnsi="Arial"/>
          <w:sz w:val="17"/>
          <w:szCs w:val="17"/>
          <w:color w:val="auto"/>
        </w:rPr>
        <w:t>.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pursuant to, (i) the Articles of Association of the Company, (ii) the terms of any indenture, contract, lease, mortgage, deed of trust, note agreement, loan agreement or other agreement, obligation, condition, covenant or instrument to which the Company is a party or bound or to which its property is subject, or (iii) any statute, rule, regulation or order of any governmental agency or body or any court, domestic or foreign, having jurisdiction over the Company or any of its properties, except in the cases of clauses (ii) and (iii) for such breach, violation or imposition as would not reasonably be expected to have a Material Adverse Effect.</w:t>
      </w:r>
    </w:p>
    <w:p>
      <w:pPr>
        <w:spacing w:after="0" w:line="177" w:lineRule="exact"/>
        <w:rPr>
          <w:rFonts w:ascii="Arial" w:cs="Arial" w:eastAsia="Arial" w:hAnsi="Arial"/>
          <w:sz w:val="17"/>
          <w:szCs w:val="17"/>
          <w:color w:val="auto"/>
        </w:rPr>
      </w:pPr>
    </w:p>
    <w:p>
      <w:pPr>
        <w:jc w:val="both"/>
        <w:ind w:firstLine="656"/>
        <w:spacing w:after="0" w:line="301" w:lineRule="auto"/>
        <w:tabs>
          <w:tab w:leader="none" w:pos="134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Absence of Existing Defaults and Conflicts</w:t>
      </w:r>
      <w:r>
        <w:rPr>
          <w:rFonts w:ascii="Arial" w:cs="Arial" w:eastAsia="Arial" w:hAnsi="Arial"/>
          <w:sz w:val="16"/>
          <w:szCs w:val="16"/>
          <w:color w:val="auto"/>
        </w:rPr>
        <w:t>. The Company is not in violation of its articles of association or similar organizational documents 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firstLine="656"/>
        <w:spacing w:after="0" w:line="277" w:lineRule="auto"/>
        <w:tabs>
          <w:tab w:leader="none" w:pos="113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has been and is in compliance with all applicable laws, rules and regulations, except where failure to be so in compliance could not be expected, individually or in the aggregate, to have a Material Adverse Effect.</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38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disclosed in the Registration Statement or the Prospectus,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177" w:lineRule="exact"/>
        <w:rPr>
          <w:rFonts w:ascii="Arial" w:cs="Arial" w:eastAsia="Arial" w:hAnsi="Arial"/>
          <w:sz w:val="17"/>
          <w:szCs w:val="17"/>
          <w:color w:val="auto"/>
        </w:rPr>
      </w:pPr>
    </w:p>
    <w:p>
      <w:pPr>
        <w:ind w:firstLine="656"/>
        <w:spacing w:after="0" w:line="277" w:lineRule="auto"/>
        <w:tabs>
          <w:tab w:leader="none" w:pos="11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Absence of Labor Disputes</w:t>
      </w:r>
      <w:r>
        <w:rPr>
          <w:rFonts w:ascii="Arial" w:cs="Arial" w:eastAsia="Arial" w:hAnsi="Arial"/>
          <w:sz w:val="18"/>
          <w:szCs w:val="18"/>
          <w:color w:val="auto"/>
        </w:rPr>
        <w:t>. No labor dispute with the employees of the Company exists or, to the knowledge of the Company, is imminent that would reasonably be expected to have a Material Adverse Effect.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3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owns, possesses or can acquire on reasonable terms all trademarks, trade names, patent rights, copyrights, domain names, licenses, trade secrets, inventions, technology, know-how and other intellectual property and similar proprietary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Prospectus and, to the knowledge of the Company and except as disclosed in the Prospectus, owns all Intellectual Property Rights necessary or material to the conduct of the business now conducted or proposed in the Prospectus to be conducted by it. Except as disclosed in the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(i)–(iv) as would not, individually or in the aggregate, reasonably be expected to have a Material Adverse Effect.</w:t>
      </w:r>
    </w:p>
    <w:p>
      <w:pPr>
        <w:spacing w:after="0" w:line="167" w:lineRule="exact"/>
        <w:rPr>
          <w:rFonts w:ascii="Arial" w:cs="Arial" w:eastAsia="Arial" w:hAnsi="Arial"/>
          <w:sz w:val="16"/>
          <w:szCs w:val="16"/>
          <w:color w:val="auto"/>
        </w:rPr>
      </w:pPr>
    </w:p>
    <w:p>
      <w:pPr>
        <w:ind w:firstLine="656"/>
        <w:spacing w:after="0" w:line="342" w:lineRule="auto"/>
        <w:tabs>
          <w:tab w:leader="none" w:pos="130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The Company possesses, and is in compliance with the terms of, all adequate certificates, authorizations, franchises, licenses and permits, including, without limitation, from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and equivalent foreign</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314" w:lineRule="auto"/>
        <w:rPr>
          <w:sz w:val="20"/>
          <w:szCs w:val="20"/>
          <w:color w:val="auto"/>
        </w:rPr>
      </w:pPr>
      <w:r>
        <w:rPr>
          <w:rFonts w:ascii="Arial" w:cs="Arial" w:eastAsia="Arial" w:hAnsi="Arial"/>
          <w:sz w:val="16"/>
          <w:szCs w:val="16"/>
          <w:color w:val="auto"/>
        </w:rPr>
        <w:t>regulatory authorities (“</w:t>
      </w:r>
      <w:r>
        <w:rPr>
          <w:rFonts w:ascii="Arial" w:cs="Arial" w:eastAsia="Arial" w:hAnsi="Arial"/>
          <w:sz w:val="16"/>
          <w:szCs w:val="16"/>
          <w:b w:val="1"/>
          <w:bCs w:val="1"/>
          <w:color w:val="auto"/>
        </w:rPr>
        <w:t>Licenses</w:t>
      </w:r>
      <w:r>
        <w:rPr>
          <w:rFonts w:ascii="Arial" w:cs="Arial" w:eastAsia="Arial" w:hAnsi="Arial"/>
          <w:sz w:val="16"/>
          <w:szCs w:val="16"/>
          <w:color w:val="auto"/>
        </w:rPr>
        <w:t>”) necessary or material to the conduct of the business now conducted or proposed in the Registration Statement or the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146" w:lineRule="exact"/>
        <w:rPr>
          <w:sz w:val="20"/>
          <w:szCs w:val="20"/>
          <w:color w:val="auto"/>
        </w:rPr>
      </w:pPr>
    </w:p>
    <w:p>
      <w:pPr>
        <w:jc w:val="both"/>
        <w:ind w:firstLine="656"/>
        <w:spacing w:after="0" w:line="25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does not own any real property. Except as disclosed in the Registration Statement or the Prospectus, the Company has good and marketable title to all other material properties and assets owned by it, in each case free from liens, charges, encumbrances and defects that would reasonably be expected to have a Material Adverse Effect and, except as disclosed in the Registration Statement or the Prospectus, the Company holds any leased real or personal property under valid and enforceable leases with no terms or provisions that would reasonably be expected to have a Material Adverse Effect.</w:t>
      </w:r>
    </w:p>
    <w:p>
      <w:pPr>
        <w:spacing w:after="0" w:line="187" w:lineRule="exact"/>
        <w:rPr>
          <w:rFonts w:ascii="Arial" w:cs="Arial" w:eastAsia="Arial" w:hAnsi="Arial"/>
          <w:sz w:val="18"/>
          <w:szCs w:val="18"/>
          <w:color w:val="auto"/>
        </w:rPr>
      </w:pPr>
    </w:p>
    <w:p>
      <w:pPr>
        <w:jc w:val="both"/>
        <w:ind w:firstLine="656"/>
        <w:spacing w:after="0" w:line="301" w:lineRule="auto"/>
        <w:tabs>
          <w:tab w:leader="none" w:pos="125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The Company has filed all federal, state, local and non-U.S. tax returns that are required to be filed by it or has requested extensions thereof (except in any case in which the failure so to file would not have a Material Adverse Effect); and except as disclosed in the Prospectus, the Company has paid all taxes (including any assessments, fines or penalties) shown as due thereon, except for any such taxes, assessments, fines or penalties currently being contested in good faith or as would not, individually or in the aggregate, have a Material Adverse Effect.</w:t>
      </w:r>
    </w:p>
    <w:p>
      <w:pPr>
        <w:spacing w:after="0" w:line="157" w:lineRule="exact"/>
        <w:rPr>
          <w:sz w:val="20"/>
          <w:szCs w:val="20"/>
          <w:color w:val="auto"/>
        </w:rPr>
      </w:pPr>
    </w:p>
    <w:p>
      <w:pPr>
        <w:jc w:val="both"/>
        <w:ind w:firstLine="656"/>
        <w:spacing w:after="0" w:line="271" w:lineRule="auto"/>
        <w:tabs>
          <w:tab w:leader="none" w:pos="98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is insured by insurers with appropriately rated claims paying abilities against such losses and risks and in such 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Prospectus.</w:t>
      </w:r>
    </w:p>
    <w:p>
      <w:pPr>
        <w:spacing w:after="0" w:line="178" w:lineRule="exact"/>
        <w:rPr>
          <w:rFonts w:ascii="Arial" w:cs="Arial" w:eastAsia="Arial" w:hAnsi="Arial"/>
          <w:sz w:val="17"/>
          <w:szCs w:val="17"/>
          <w:color w:val="auto"/>
        </w:rPr>
      </w:pPr>
    </w:p>
    <w:p>
      <w:pPr>
        <w:jc w:val="both"/>
        <w:ind w:firstLine="656"/>
        <w:spacing w:after="0" w:line="25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Except as disclosed in the Prospectus, 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56"/>
        <w:spacing w:after="0" w:line="263" w:lineRule="auto"/>
        <w:tabs>
          <w:tab w:leader="none" w:pos="9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xml:space="preserve"> The Company is not and, after giving effect to the offering and sale of the Shares and the application of the proceeds thereof as described in the Registration Statement or the Prospectus, will not be an “investment company” as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0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Shares.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97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Absence of Market Abuse</w:t>
      </w:r>
      <w:r>
        <w:rPr>
          <w:rFonts w:ascii="Arial" w:cs="Arial" w:eastAsia="Arial" w:hAnsi="Arial"/>
          <w:sz w:val="17"/>
          <w:szCs w:val="17"/>
          <w:color w:val="auto"/>
        </w:rPr>
        <w:t>. The Company has not taken, directly or indirectly, in relation to the offering of the Shares or otherwise, any action or engaged in any course of conduct in breach of, and has taken adequate measures and has adequate procedures in place in order to ensure compliance with, and none of the issue of the Share, the sale of the Shares and the consummation of the transactions contemplated by this Agreement will constitute a violation by the Company of, any applicable European Union, Swiss, United States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or any other authority. Neither the Company nor any person acting on its or their behalf (which, for the avoidance of doubt, shall not include the Agent or its affiliates or persons acting on their behalf, as to whom no representation, warranty or undertaking is given), has taken or omitted to take any action nor will take any action or omit to take any action which may result in the loss by any of the Agent of the ability to rely on any stabilization safe harbor with regard to regulatory technical standards for the conditions applicable to buy-back programmes and stabilization measures.</w:t>
      </w:r>
    </w:p>
    <w:p>
      <w:pPr>
        <w:spacing w:after="0" w:line="185" w:lineRule="exact"/>
        <w:rPr>
          <w:rFonts w:ascii="Arial" w:cs="Arial" w:eastAsia="Arial" w:hAnsi="Arial"/>
          <w:sz w:val="17"/>
          <w:szCs w:val="17"/>
          <w:color w:val="auto"/>
        </w:rPr>
      </w:pPr>
    </w:p>
    <w:p>
      <w:pPr>
        <w:ind w:firstLine="656"/>
        <w:spacing w:after="0" w:line="277" w:lineRule="auto"/>
        <w:tabs>
          <w:tab w:leader="none" w:pos="95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related-party transactions involving the Company or any other person required to be described in the Registration Statement or the Prospectus which have not been described as required.</w:t>
      </w:r>
    </w:p>
    <w:p>
      <w:pPr>
        <w:spacing w:after="0" w:line="170" w:lineRule="exact"/>
        <w:rPr>
          <w:rFonts w:ascii="Arial" w:cs="Arial" w:eastAsia="Arial" w:hAnsi="Arial"/>
          <w:sz w:val="18"/>
          <w:szCs w:val="18"/>
          <w:color w:val="auto"/>
        </w:rPr>
      </w:pPr>
    </w:p>
    <w:p>
      <w:pPr>
        <w:jc w:val="both"/>
        <w:ind w:firstLine="656"/>
        <w:spacing w:after="0" w:line="301" w:lineRule="auto"/>
        <w:tabs>
          <w:tab w:leader="none" w:pos="99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FINRA Matters</w:t>
      </w:r>
      <w:r>
        <w:rPr>
          <w:rFonts w:ascii="Arial" w:cs="Arial" w:eastAsia="Arial" w:hAnsi="Arial"/>
          <w:sz w:val="16"/>
          <w:szCs w:val="16"/>
          <w:color w:val="auto"/>
        </w:rPr>
        <w:t>. All of the information provided to the Agent or to counsel for the Agent by the Company and, to the Company’s knowledge, its counsel,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16"/>
          <w:szCs w:val="16"/>
          <w:b w:val="1"/>
          <w:bCs w:val="1"/>
          <w:color w:val="auto"/>
        </w:rPr>
        <w:t>FINRA</w:t>
      </w:r>
      <w:r>
        <w:rPr>
          <w:rFonts w:ascii="Arial" w:cs="Arial" w:eastAsia="Arial" w:hAnsi="Arial"/>
          <w:sz w:val="16"/>
          <w:szCs w:val="16"/>
          <w:color w:val="auto"/>
        </w:rPr>
        <w:t>”) rules and any letters, filings or other supplemental information provided to FINRA pursuant to FINRA Rules or NASD Conduct Rules is true, complete and correct.</w:t>
      </w:r>
    </w:p>
    <w:p>
      <w:pPr>
        <w:spacing w:after="0" w:line="157" w:lineRule="exact"/>
        <w:rPr>
          <w:rFonts w:ascii="Arial" w:cs="Arial" w:eastAsia="Arial" w:hAnsi="Arial"/>
          <w:sz w:val="16"/>
          <w:szCs w:val="16"/>
          <w:color w:val="auto"/>
        </w:rPr>
      </w:pPr>
    </w:p>
    <w:p>
      <w:pPr>
        <w:ind w:firstLine="656"/>
        <w:spacing w:after="0" w:line="342" w:lineRule="auto"/>
        <w:tabs>
          <w:tab w:leader="none" w:pos="103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Statistical and Market Related Data</w:t>
      </w:r>
      <w:r>
        <w:rPr>
          <w:rFonts w:ascii="Arial" w:cs="Arial" w:eastAsia="Arial" w:hAnsi="Arial"/>
          <w:sz w:val="16"/>
          <w:szCs w:val="16"/>
          <w:color w:val="auto"/>
        </w:rPr>
        <w:t>. Any third-party statistical and market-related data included in the Registration Statement or the Prospectus or any written testing-the-waters communication are based on or derived from sources that the Company believes to be reliable and accurate.</w:t>
      </w:r>
    </w:p>
    <w:p>
      <w:pPr>
        <w:spacing w:after="0" w:line="123" w:lineRule="exact"/>
        <w:rPr>
          <w:rFonts w:ascii="Arial" w:cs="Arial" w:eastAsia="Arial" w:hAnsi="Arial"/>
          <w:sz w:val="16"/>
          <w:szCs w:val="16"/>
          <w:color w:val="auto"/>
        </w:rPr>
      </w:pPr>
    </w:p>
    <w:p>
      <w:pPr>
        <w:ind w:firstLine="656"/>
        <w:spacing w:after="0" w:line="308" w:lineRule="auto"/>
        <w:tabs>
          <w:tab w:leader="none" w:pos="11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Unlawful Contributions or Other Payments</w:t>
      </w:r>
      <w:r>
        <w:rPr>
          <w:rFonts w:ascii="Arial" w:cs="Arial" w:eastAsia="Arial" w:hAnsi="Arial"/>
          <w:sz w:val="17"/>
          <w:szCs w:val="17"/>
          <w:color w:val="auto"/>
        </w:rPr>
        <w:t>. Neither the Company nor, to the best of the Company’s knowledge, any employee or agent of the Company, has made any contribution or other payment to any official of, or candidate for, any federal, state or foreign office</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 violation of any law or of the character required to be disclosed in the Registration Statement or the Prospectus.</w:t>
      </w:r>
    </w:p>
    <w:p>
      <w:pPr>
        <w:spacing w:after="0" w:line="225" w:lineRule="exact"/>
        <w:rPr>
          <w:sz w:val="20"/>
          <w:szCs w:val="20"/>
          <w:color w:val="auto"/>
        </w:rPr>
      </w:pPr>
    </w:p>
    <w:p>
      <w:pPr>
        <w:jc w:val="both"/>
        <w:ind w:firstLine="656"/>
        <w:spacing w:after="0" w:line="288" w:lineRule="auto"/>
        <w:tabs>
          <w:tab w:leader="none" w:pos="91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to the knowledge of the Company, any director, officer, agent, employee, affiliate or other person acting on behalf of the Company (which, for the avoidance of doubt, shall not include the Agent or its affiliates or persons acting on their behalf, as to whom no representation, warranty or undertaking is given)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68" w:lineRule="exact"/>
        <w:rPr>
          <w:rFonts w:ascii="Arial" w:cs="Arial" w:eastAsia="Arial" w:hAnsi="Arial"/>
          <w:sz w:val="16"/>
          <w:szCs w:val="16"/>
          <w:color w:val="auto"/>
        </w:rPr>
      </w:pPr>
    </w:p>
    <w:p>
      <w:pPr>
        <w:jc w:val="both"/>
        <w:ind w:firstLine="656"/>
        <w:spacing w:after="0" w:line="255" w:lineRule="auto"/>
        <w:tabs>
          <w:tab w:leader="none" w:pos="99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92" w:lineRule="exact"/>
        <w:rPr>
          <w:rFonts w:ascii="Arial" w:cs="Arial" w:eastAsia="Arial" w:hAnsi="Arial"/>
          <w:sz w:val="18"/>
          <w:szCs w:val="18"/>
          <w:color w:val="auto"/>
        </w:rPr>
      </w:pPr>
    </w:p>
    <w:p>
      <w:pPr>
        <w:jc w:val="both"/>
        <w:ind w:firstLine="656"/>
        <w:spacing w:after="0" w:line="254" w:lineRule="auto"/>
        <w:tabs>
          <w:tab w:leader="none" w:pos="92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Company nor, to the knowledge of the Company, after due inquiry, any director, officer, agent, employee, affiliate or person 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09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disclosed in the Registration Statement or the Prospectus, there are no contracts, agreements or understandings between the Company and any person that would give rise to a valid claim against the Company or the Agent for a brokerage commission, finder’s fee or other like payment as a result of any transactions contemplated by this Agreement.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right="20" w:firstLine="656"/>
        <w:spacing w:after="0" w:line="342" w:lineRule="auto"/>
        <w:tabs>
          <w:tab w:leader="none" w:pos="99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Emerging Growth Company Status</w:t>
      </w:r>
      <w:r>
        <w:rPr>
          <w:rFonts w:ascii="Arial" w:cs="Arial" w:eastAsia="Arial" w:hAnsi="Arial"/>
          <w:sz w:val="16"/>
          <w:szCs w:val="16"/>
          <w:color w:val="auto"/>
        </w:rPr>
        <w:t>. From the time of initial filing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jc w:val="both"/>
        <w:ind w:firstLine="656"/>
        <w:spacing w:after="0" w:line="266" w:lineRule="auto"/>
        <w:tabs>
          <w:tab w:leader="none" w:pos="9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PFIC Status</w:t>
      </w:r>
      <w:r>
        <w:rPr>
          <w:rFonts w:ascii="Arial" w:cs="Arial" w:eastAsia="Arial" w:hAnsi="Arial"/>
          <w:sz w:val="18"/>
          <w:szCs w:val="18"/>
          <w:color w:val="auto"/>
        </w:rPr>
        <w:t>. The Company believes it is likely that it was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United States Internal Revenue Code of 1986, as amended, for its most recently completed taxable year and the Company may also be classified as a PFIC in its current taxable year or one or more future taxable years.</w:t>
      </w:r>
    </w:p>
    <w:p>
      <w:pPr>
        <w:spacing w:after="0" w:line="179" w:lineRule="exact"/>
        <w:rPr>
          <w:rFonts w:ascii="Arial" w:cs="Arial" w:eastAsia="Arial" w:hAnsi="Arial"/>
          <w:sz w:val="18"/>
          <w:szCs w:val="18"/>
          <w:color w:val="auto"/>
        </w:rPr>
      </w:pPr>
    </w:p>
    <w:p>
      <w:pPr>
        <w:jc w:val="both"/>
        <w:ind w:firstLine="656"/>
        <w:spacing w:after="0" w:line="287" w:lineRule="auto"/>
        <w:tabs>
          <w:tab w:leader="none" w:pos="100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Clinical Trials</w:t>
      </w:r>
      <w:r>
        <w:rPr>
          <w:rFonts w:ascii="Arial" w:cs="Arial" w:eastAsia="Arial" w:hAnsi="Arial"/>
          <w:sz w:val="16"/>
          <w:szCs w:val="16"/>
          <w:color w:val="auto"/>
        </w:rPr>
        <w:t>. The preclinical and clinical studies conducted by the Company, and to the knowledge of the Company, the preclinical and clinical studies conducted on behalf of or sponsored by the Company, that are described in, or the results of which are referred to in, the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Prospectus; the Company has not received any notices or other correspondence from the FDA or any committee thereof or from any other U.S. or foreign government or regulatory authority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requiring the termination, suspension or material modification of any preclinical or clinical studies that are described or referred to in the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167" w:lineRule="exact"/>
        <w:rPr>
          <w:rFonts w:ascii="Arial" w:cs="Arial" w:eastAsia="Arial" w:hAnsi="Arial"/>
          <w:sz w:val="16"/>
          <w:szCs w:val="16"/>
          <w:color w:val="auto"/>
        </w:rPr>
      </w:pPr>
    </w:p>
    <w:p>
      <w:pPr>
        <w:ind w:firstLine="656"/>
        <w:spacing w:after="0" w:line="277" w:lineRule="auto"/>
        <w:tabs>
          <w:tab w:leader="none" w:pos="9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Overindebtedness or Capital Loss</w:t>
      </w:r>
      <w:r>
        <w:rPr>
          <w:rFonts w:ascii="Arial" w:cs="Arial" w:eastAsia="Arial" w:hAnsi="Arial"/>
          <w:sz w:val="18"/>
          <w:szCs w:val="18"/>
          <w:color w:val="auto"/>
        </w:rPr>
        <w:t>. The Company is not overindebted within the meaning of article 725 para 2 CO. The Company is not suffering from capital loss within the meaning of article 725 para 1 CO.</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3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Commercial Registry</w:t>
      </w:r>
      <w:r>
        <w:rPr>
          <w:rFonts w:ascii="Arial" w:cs="Arial" w:eastAsia="Arial" w:hAnsi="Arial"/>
          <w:sz w:val="16"/>
          <w:szCs w:val="16"/>
          <w:color w:val="auto"/>
        </w:rPr>
        <w:t>. On the date hereof, the Commercial Register has not been blocked and no challenge of the resolutions of the Company’s Board of Directors and no other action, complaint or dispute (each, an “</w:t>
      </w:r>
      <w:r>
        <w:rPr>
          <w:rFonts w:ascii="Arial" w:cs="Arial" w:eastAsia="Arial" w:hAnsi="Arial"/>
          <w:sz w:val="16"/>
          <w:szCs w:val="16"/>
          <w:b w:val="1"/>
          <w:bCs w:val="1"/>
          <w:color w:val="auto"/>
        </w:rPr>
        <w:t>Action</w:t>
      </w:r>
      <w:r>
        <w:rPr>
          <w:rFonts w:ascii="Arial" w:cs="Arial" w:eastAsia="Arial" w:hAnsi="Arial"/>
          <w:sz w:val="16"/>
          <w:szCs w:val="16"/>
          <w:color w:val="auto"/>
        </w:rPr>
        <w:t>”) is pending and, to the best of the Company's knowledge, no Action has been publicly announced or credibly threatened, in each case against or in connection with the transactions contemplated under this Agreement or their consummation; and no laws or regulations and no decision, order, injunction or decree of any court, arbitral tribunal, authority or administrative or regulatory body or commission or exchange exists that has or may have the effect of making illegal or otherwise preventing or prohibiting, or that seeks to enjoin, restrain, impede or levy a substantial difficulty on the transactions contemplated under this Agreement or their consummation.</w:t>
      </w:r>
    </w:p>
    <w:p>
      <w:pPr>
        <w:spacing w:after="0" w:line="164" w:lineRule="exact"/>
        <w:rPr>
          <w:rFonts w:ascii="Arial" w:cs="Arial" w:eastAsia="Arial" w:hAnsi="Arial"/>
          <w:sz w:val="16"/>
          <w:szCs w:val="16"/>
          <w:color w:val="auto"/>
        </w:rPr>
      </w:pPr>
    </w:p>
    <w:p>
      <w:pPr>
        <w:ind w:firstLine="656"/>
        <w:spacing w:after="0" w:line="277" w:lineRule="auto"/>
        <w:tabs>
          <w:tab w:leader="none" w:pos="96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xml:space="preserve"> No stamp or other issuance or transfer taxes or duties are payable by the Agent in the United States or any political subdivision or taxing authority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thereof or therein in connection with the execution, delivery or performance of this Agreement by the Company or the sale and delivery by the Company of the Shares.</w:t>
      </w:r>
    </w:p>
    <w:p>
      <w:pPr>
        <w:spacing w:after="0" w:line="170" w:lineRule="exact"/>
        <w:rPr>
          <w:sz w:val="20"/>
          <w:szCs w:val="20"/>
          <w:color w:val="auto"/>
        </w:rPr>
      </w:pPr>
    </w:p>
    <w:p>
      <w:pPr>
        <w:jc w:val="both"/>
        <w:ind w:firstLine="656"/>
        <w:spacing w:after="0" w:line="285"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Except as would not, individually or in the aggregate, reasonably be expected to have a Material Adverse Effect: (i) the Company’s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respects as required in connection with the operation of the business of the Company as currently conducted, free and clear of all bugs, errors, defects, Trojan horses, time bombs, malware and other corruptants; (ii) the Company has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2016/679; or (D) any information which would qualify as “protected health information” under the Health Insurance Portability and Accountability Act of 1996, as amended by the Health Information Technology for Economic and Clinical Health Act; and (E) any other piece of information that allows the identification of such natural person, including an identified person’s health or sexual orientation); (iii) there have been no breaches, violations, outages or unauthorized uses of or accesses to same, except for those that have been remedied without cost or liability or the duty to notify any other person, nor any incidents under internal review or investigations relating to the same; and (iv) the Company is presently in compliance with all applicable laws or statutes, including all applicable state and federal data privacy and security laws and regulations,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1" w:lineRule="exact"/>
        <w:rPr>
          <w:rFonts w:ascii="Arial" w:cs="Arial" w:eastAsia="Arial" w:hAnsi="Arial"/>
          <w:sz w:val="16"/>
          <w:szCs w:val="16"/>
          <w:color w:val="auto"/>
        </w:rPr>
      </w:pPr>
    </w:p>
    <w:p>
      <w:pPr>
        <w:ind w:firstLine="656"/>
        <w:spacing w:after="0" w:line="277" w:lineRule="auto"/>
        <w:tabs>
          <w:tab w:leader="none" w:pos="99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certificate signed by any officer or representative of the Company and delivered to the Agent or counsel for the Agent in connection with the sale of Shares shall be deemed a representation and warranty by the Company to the Agent as to the matters covered thereby on the date of such certificate.</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9" w:lineRule="auto"/>
        <w:tabs>
          <w:tab w:leader="none" w:pos="118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Upon the terms and subject to the conditions set forth herein, on any Trading Day during the Agency Period on which the conditions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have been satisfied, the Company may exercise its right to request a delivery of Shares by delivering to the Agent an Issuance Notice;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in no event may the Company deliver an Issuance Notice to the extent that (I) the sum of (x) the aggregate Sales Price of the requested Issuance Amount, plus (y) the aggregate Sales Price of all Shares delivered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96" w:lineRule="exact"/>
        <w:rPr>
          <w:rFonts w:ascii="Arial" w:cs="Arial" w:eastAsia="Arial" w:hAnsi="Arial"/>
          <w:sz w:val="18"/>
          <w:szCs w:val="18"/>
          <w:color w:val="auto"/>
        </w:rPr>
      </w:pPr>
    </w:p>
    <w:p>
      <w:pPr>
        <w:jc w:val="both"/>
        <w:ind w:firstLine="656"/>
        <w:spacing w:after="0" w:line="275" w:lineRule="auto"/>
        <w:tabs>
          <w:tab w:leader="none" w:pos="121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Agent Efforts</w:t>
      </w:r>
      <w:r>
        <w:rPr>
          <w:rFonts w:ascii="Arial" w:cs="Arial" w:eastAsia="Arial" w:hAnsi="Arial"/>
          <w:sz w:val="17"/>
          <w:szCs w:val="17"/>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6" w:lineRule="exact"/>
        <w:rPr>
          <w:rFonts w:ascii="Arial" w:cs="Arial" w:eastAsia="Arial" w:hAnsi="Arial"/>
          <w:sz w:val="17"/>
          <w:szCs w:val="17"/>
          <w:color w:val="auto"/>
        </w:rPr>
      </w:pPr>
    </w:p>
    <w:p>
      <w:pPr>
        <w:ind w:left="1260" w:hanging="604"/>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jc w:val="both"/>
        <w:ind w:firstLine="8"/>
        <w:spacing w:after="0" w:line="273" w:lineRule="auto"/>
        <w:tabs>
          <w:tab w:leader="none" w:pos="2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6" w:lineRule="exact"/>
        <w:rPr>
          <w:rFonts w:ascii="Arial" w:cs="Arial" w:eastAsia="Arial" w:hAnsi="Arial"/>
          <w:sz w:val="17"/>
          <w:szCs w:val="17"/>
          <w:color w:val="auto"/>
        </w:rPr>
      </w:pPr>
    </w:p>
    <w:p>
      <w:pPr>
        <w:ind w:firstLine="656"/>
        <w:spacing w:after="0" w:line="308" w:lineRule="auto"/>
        <w:tabs>
          <w:tab w:leader="none" w:pos="1304"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shares sold on such Trading Day, the corresponding Sales Price and the Issuance Price payable to the Company in respect thereof.</w:t>
      </w:r>
    </w:p>
    <w:p>
      <w:pPr>
        <w:spacing w:after="0" w:line="225" w:lineRule="exact"/>
        <w:rPr>
          <w:sz w:val="20"/>
          <w:szCs w:val="20"/>
          <w:color w:val="auto"/>
        </w:rPr>
      </w:pPr>
    </w:p>
    <w:p>
      <w:pPr>
        <w:jc w:val="both"/>
        <w:ind w:firstLine="656"/>
        <w:spacing w:after="0" w:line="273" w:lineRule="auto"/>
        <w:tabs>
          <w:tab w:leader="none" w:pos="128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Each delivery of Shares will be settled on the applicable Settlement Date for such Shares and, 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on or before each Settlement Date, the Company will cause the Fiduciary to assign and transfer the Shares being sold to the Agent,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7"/>
          <w:szCs w:val="17"/>
          <w:b w:val="1"/>
          <w:bCs w:val="1"/>
          <w:color w:val="auto"/>
        </w:rPr>
        <w:t>Time of Sale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69" w:lineRule="auto"/>
        <w:tabs>
          <w:tab w:leader="none" w:pos="125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Suspension or Termination of Sales</w:t>
      </w:r>
      <w:r>
        <w:rPr>
          <w:rFonts w:ascii="Arial" w:cs="Arial" w:eastAsia="Arial" w:hAnsi="Arial"/>
          <w:sz w:val="17"/>
          <w:szCs w:val="17"/>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set forth in Schedule A hereto.</w:t>
      </w:r>
    </w:p>
    <w:p>
      <w:pPr>
        <w:spacing w:after="0" w:line="181" w:lineRule="exact"/>
        <w:rPr>
          <w:rFonts w:ascii="Arial" w:cs="Arial" w:eastAsia="Arial" w:hAnsi="Arial"/>
          <w:sz w:val="17"/>
          <w:szCs w:val="17"/>
          <w:color w:val="auto"/>
        </w:rPr>
      </w:pPr>
    </w:p>
    <w:p>
      <w:pPr>
        <w:jc w:val="both"/>
        <w:ind w:firstLine="656"/>
        <w:spacing w:after="0" w:line="259" w:lineRule="auto"/>
        <w:tabs>
          <w:tab w:leader="none" w:pos="140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213" w:lineRule="exact"/>
        <w:rPr>
          <w:rFonts w:ascii="Arial" w:cs="Arial" w:eastAsia="Arial" w:hAnsi="Arial"/>
          <w:sz w:val="18"/>
          <w:szCs w:val="18"/>
          <w:color w:val="auto"/>
        </w:rPr>
      </w:pPr>
    </w:p>
    <w:p>
      <w:pPr>
        <w:jc w:val="both"/>
        <w:ind w:firstLine="656"/>
        <w:spacing w:after="0" w:line="263" w:lineRule="auto"/>
        <w:tabs>
          <w:tab w:leader="none" w:pos="140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firstLine="656"/>
        <w:spacing w:after="0" w:line="263" w:lineRule="auto"/>
        <w:tabs>
          <w:tab w:leader="none" w:pos="136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656"/>
        <w:spacing w:after="0" w:line="283" w:lineRule="auto"/>
        <w:tabs>
          <w:tab w:leader="none" w:pos="1375"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 Survey</w:t>
      </w:r>
      <w:r>
        <w:rPr>
          <w:rFonts w:ascii="Arial" w:cs="Arial" w:eastAsia="Arial" w:hAnsi="Arial"/>
          <w:sz w:val="16"/>
          <w:szCs w:val="16"/>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w:t>
      </w:r>
    </w:p>
    <w:p>
      <w:pPr>
        <w:spacing w:after="0" w:line="1" w:lineRule="exact"/>
        <w:rPr>
          <w:rFonts w:ascii="Arial" w:cs="Arial" w:eastAsia="Arial" w:hAnsi="Arial"/>
          <w:sz w:val="16"/>
          <w:szCs w:val="16"/>
          <w:color w:val="auto"/>
        </w:rPr>
      </w:pPr>
    </w:p>
    <w:p>
      <w:pPr>
        <w:jc w:val="both"/>
        <w:ind w:firstLine="8"/>
        <w:spacing w:after="0" w:line="268" w:lineRule="auto"/>
        <w:tabs>
          <w:tab w:leader="none" w:pos="3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the first Issuance Notice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656"/>
        <w:spacing w:after="0" w:line="296" w:lineRule="auto"/>
        <w:tabs>
          <w:tab w:leader="none" w:pos="121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financial statements on Form 6-K and its annual reports on Form 20-F,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line="347" w:lineRule="auto"/>
        <w:rPr>
          <w:sz w:val="20"/>
          <w:szCs w:val="20"/>
          <w:color w:val="auto"/>
        </w:rPr>
      </w:pPr>
      <w:r>
        <w:rPr>
          <w:rFonts w:ascii="Arial" w:cs="Arial" w:eastAsia="Arial" w:hAnsi="Arial"/>
          <w:sz w:val="16"/>
          <w:szCs w:val="16"/>
          <w:b w:val="1"/>
          <w:bCs w:val="1"/>
          <w:color w:val="auto"/>
        </w:rPr>
        <w:t>Prospectus Supplement”)</w:t>
      </w:r>
      <w:r>
        <w:rPr>
          <w:rFonts w:ascii="Arial" w:cs="Arial" w:eastAsia="Arial" w:hAnsi="Arial"/>
          <w:sz w:val="16"/>
          <w:szCs w:val="16"/>
          <w:color w:val="auto"/>
        </w:rPr>
        <w:t>, such summary information and, at least once a quarter and subject to this Section 4, file such Interim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Rule 424(b) under the Securities Act (and within the time periods required by Rule 424(b) and Rule 430B under the Securities Act).</w:t>
      </w:r>
    </w:p>
    <w:p>
      <w:pPr>
        <w:spacing w:after="0" w:line="120" w:lineRule="exact"/>
        <w:rPr>
          <w:sz w:val="20"/>
          <w:szCs w:val="20"/>
          <w:color w:val="auto"/>
        </w:rPr>
      </w:pPr>
    </w:p>
    <w:p>
      <w:pPr>
        <w:jc w:val="both"/>
        <w:ind w:firstLine="656"/>
        <w:spacing w:after="0" w:line="287"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17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only remedy the Agent shall have with respect to the failure by the Company to make such filing (other than the Agent’s rights under Section 3(d) or Section 6 hereof) shall be to cease making sales under this Agreement until such amendment or supplement is filed. Notwithstanding the foregoing, the Company shall not be required to file such amendment or supplement if there is no pending Issuance Notice and the Company believes that it is in its best interest not to file such amendment or supplement.</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56"/>
        <w:spacing w:after="0" w:line="272" w:lineRule="auto"/>
        <w:tabs>
          <w:tab w:leader="none" w:pos="118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During any period in which an Issuance Notice is pending,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or the transactions contemplated hereby,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25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67" w:lineRule="auto"/>
        <w:tabs>
          <w:tab w:leader="none" w:pos="114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During any period in which an Issuance Notice is pending,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amendment or supplement relates to the Shares or the transactions contemplated hereby,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insofar as such proposed amendment or supplement relates to the Shares or the transactions contemplated hereby,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ind w:firstLine="656"/>
        <w:spacing w:after="0" w:line="263"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jc w:val="both"/>
        <w:ind w:firstLine="656"/>
        <w:spacing w:after="0" w:line="285" w:lineRule="auto"/>
        <w:tabs>
          <w:tab w:leader="none" w:pos="117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3" w:lineRule="exact"/>
        <w:rPr>
          <w:rFonts w:ascii="Arial" w:cs="Arial" w:eastAsia="Arial" w:hAnsi="Arial"/>
          <w:sz w:val="16"/>
          <w:szCs w:val="16"/>
          <w:color w:val="auto"/>
        </w:rPr>
      </w:pPr>
    </w:p>
    <w:p>
      <w:pPr>
        <w:jc w:val="both"/>
        <w:ind w:firstLine="656"/>
        <w:spacing w:after="0" w:line="253" w:lineRule="auto"/>
        <w:tabs>
          <w:tab w:leader="none" w:pos="121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ind w:firstLine="656"/>
        <w:spacing w:after="0" w:line="311" w:lineRule="auto"/>
        <w:tabs>
          <w:tab w:leader="none" w:pos="1146"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30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Company will maintain the listing of the Shares on the Principal Market; and (b) the Company will at the time of each Issuance Notice, directly or through a fiduciary, keep available at all times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1140" w:hanging="484"/>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3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25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w:t>
      </w:r>
    </w:p>
    <w:p>
      <w:pPr>
        <w:spacing w:after="0" w:line="1" w:lineRule="exact"/>
        <w:rPr>
          <w:rFonts w:ascii="Arial" w:cs="Arial" w:eastAsia="Arial" w:hAnsi="Arial"/>
          <w:sz w:val="16"/>
          <w:szCs w:val="16"/>
          <w:color w:val="auto"/>
        </w:rPr>
      </w:pPr>
    </w:p>
    <w:p>
      <w:pPr>
        <w:jc w:val="both"/>
        <w:ind w:firstLine="8"/>
        <w:spacing w:after="0" w:line="277" w:lineRule="auto"/>
        <w:tabs>
          <w:tab w:leader="none" w:pos="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2" w:lineRule="exact"/>
        <w:rPr>
          <w:rFonts w:ascii="Arial" w:cs="Arial" w:eastAsia="Arial" w:hAnsi="Arial"/>
          <w:sz w:val="17"/>
          <w:szCs w:val="17"/>
          <w:color w:val="auto"/>
        </w:rPr>
      </w:pPr>
    </w:p>
    <w:p>
      <w:pPr>
        <w:ind w:firstLine="656"/>
        <w:spacing w:after="0" w:line="277" w:lineRule="auto"/>
        <w:tabs>
          <w:tab w:leader="none" w:pos="128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872"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20-F or a quarterly report on Form 6-K (including any Form 20-F/A or Form 6-K/A containing amended financial information or a material amendment to the previously filed annual report on Form 20-F or quarterly report on Form 6-K), in each case, of the Company; or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ind w:firstLine="1304"/>
        <w:spacing w:after="0" w:line="268" w:lineRule="auto"/>
        <w:tabs>
          <w:tab w:leader="none" w:pos="1907"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filing with the Commission of a Form 6-K of the Company containing amended financial information that is material to the offering of securities of the Company in the Agent’s reasonable discretion; (any such event, a “Triggering Event Date”), the Company shall furnish the Agent (but in the case of clause (C) above only if the Agent reasonably determines that the information contained in such Form 6-K of the Company is material to a holder of Common Shares and the Agent requests such certification after the filing of such amendment or Form 6-K with the Commission)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Section 5(a)(iii) hereof, and (C) containing any other certification that the Agent shall reasonably request. The requirement to provide a certificate under this Section 4(o)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79" w:lineRule="exact"/>
        <w:rPr>
          <w:rFonts w:ascii="Arial" w:cs="Arial" w:eastAsia="Arial" w:hAnsi="Arial"/>
          <w:sz w:val="17"/>
          <w:szCs w:val="17"/>
          <w:color w:val="auto"/>
        </w:rPr>
      </w:pPr>
    </w:p>
    <w:p>
      <w:pPr>
        <w:jc w:val="both"/>
        <w:ind w:firstLine="656"/>
        <w:spacing w:after="0" w:line="284" w:lineRule="auto"/>
        <w:tabs>
          <w:tab w:leader="none" w:pos="1186"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(i) a negative assurances letter and the written legal opinion of Davis Polk &amp; Wardwell LLP, U.S. counsel to the Company, (ii) a capacity opinion of Bär &amp; Karrer, Swiss counsel to the Company, regarding, inter alia, the execution of this agreement and a technical legal opinion confirming, inter alia, the valid issuance of a certain number of new shares required for such Issuance Notice, (iii) the written legal opinion of each of McNeill Baur PLLC, Johnson, Marcou &amp; Isaacs LLP, Ice Miller LLP and Vossius &amp; Partner Patentanwaelte Rechtsanwaelte mbB, each intellectual property counsel to the Company and</w:t>
      </w:r>
    </w:p>
    <w:p>
      <w:pPr>
        <w:spacing w:after="0" w:line="4" w:lineRule="exact"/>
        <w:rPr>
          <w:rFonts w:ascii="Arial" w:cs="Arial" w:eastAsia="Arial" w:hAnsi="Arial"/>
          <w:sz w:val="16"/>
          <w:szCs w:val="16"/>
          <w:color w:val="auto"/>
        </w:rPr>
      </w:pPr>
    </w:p>
    <w:p>
      <w:pPr>
        <w:jc w:val="both"/>
        <w:ind w:firstLine="8"/>
        <w:spacing w:after="0" w:line="290"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negative assurances letter and the written legal opinion of Goodwin Procter LLP, US counsel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63" w:lineRule="exact"/>
        <w:rPr>
          <w:rFonts w:ascii="Arial" w:cs="Arial" w:eastAsia="Arial" w:hAnsi="Arial"/>
          <w:sz w:val="16"/>
          <w:szCs w:val="16"/>
          <w:color w:val="auto"/>
        </w:rPr>
      </w:pPr>
    </w:p>
    <w:p>
      <w:pPr>
        <w:ind w:firstLine="656"/>
        <w:spacing w:after="0" w:line="277"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On or prior to the date of the first Issuance Notice and on or prior to each Triggering Event Date with respect to which the Company is obligated to deliver a</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certificate pursuant to Section 4(o) for which no waiver is applicable and excluding the date of this Agreement, the Company shall cause PricewaterhouseCoopers SA,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Form 6-K containing material amended financial information of the Company, including the restatement of the Company’s financial statements. The Company shall be required to furnish no more than one comfort letter hereunder per calendar quarter.</w:t>
      </w:r>
    </w:p>
    <w:p>
      <w:pPr>
        <w:spacing w:after="0" w:line="181" w:lineRule="exact"/>
        <w:rPr>
          <w:sz w:val="20"/>
          <w:szCs w:val="20"/>
          <w:color w:val="auto"/>
        </w:rPr>
      </w:pPr>
    </w:p>
    <w:p>
      <w:pPr>
        <w:jc w:val="both"/>
        <w:ind w:firstLine="656"/>
        <w:spacing w:after="0" w:line="254" w:lineRule="auto"/>
        <w:tabs>
          <w:tab w:leader="none" w:pos="114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On or prior to the date of the first Issuance Notice and on or prior to each Triggering Event Date, the Company shall furnish the Agent a certificate executed by the Chief Financial Officer of the Company, signing in such capacity, dated the date of delivery, with respect to certain financial data contained in the Registration Statement and the Prospectus, providing “management comfort” with respect to such information, in form and substance reasonably satisfactory to the Agent.</w:t>
      </w:r>
    </w:p>
    <w:p>
      <w:pPr>
        <w:spacing w:after="0" w:line="186" w:lineRule="exact"/>
        <w:rPr>
          <w:rFonts w:ascii="Arial" w:cs="Arial" w:eastAsia="Arial" w:hAnsi="Arial"/>
          <w:sz w:val="18"/>
          <w:szCs w:val="18"/>
          <w:color w:val="auto"/>
        </w:rPr>
      </w:pPr>
    </w:p>
    <w:p>
      <w:pPr>
        <w:ind w:right="20" w:firstLine="656"/>
        <w:spacing w:after="0" w:line="342"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firstLine="656"/>
        <w:spacing w:after="0" w:line="277" w:lineRule="auto"/>
        <w:tabs>
          <w:tab w:leader="none" w:pos="121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Investment Limitation</w:t>
      </w:r>
      <w:r>
        <w:rPr>
          <w:rFonts w:ascii="Arial" w:cs="Arial" w:eastAsia="Arial" w:hAnsi="Arial"/>
          <w:sz w:val="18"/>
          <w:szCs w:val="18"/>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9" w:lineRule="exact"/>
        <w:rPr>
          <w:sz w:val="20"/>
          <w:szCs w:val="20"/>
          <w:color w:val="auto"/>
        </w:rPr>
      </w:pPr>
    </w:p>
    <w:p>
      <w:pPr>
        <w:jc w:val="both"/>
        <w:ind w:firstLine="656"/>
        <w:spacing w:after="0" w:line="283" w:lineRule="auto"/>
        <w:tabs>
          <w:tab w:leader="none" w:pos="125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if no Shares were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as in effect on the date of this Agreement,</w:t>
      </w:r>
    </w:p>
    <w:p>
      <w:pPr>
        <w:spacing w:after="0" w:line="2" w:lineRule="exact"/>
        <w:rPr>
          <w:rFonts w:ascii="Arial" w:cs="Arial" w:eastAsia="Arial" w:hAnsi="Arial"/>
          <w:sz w:val="16"/>
          <w:szCs w:val="16"/>
          <w:color w:val="auto"/>
        </w:rPr>
      </w:pPr>
    </w:p>
    <w:p>
      <w:pPr>
        <w:jc w:val="both"/>
        <w:ind w:firstLine="8"/>
        <w:spacing w:after="0" w:line="281" w:lineRule="auto"/>
        <w:tabs>
          <w:tab w:leader="none" w:pos="2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of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provided that the aggregate number of shares issued pursuant to clause</w:t>
      </w:r>
    </w:p>
    <w:p>
      <w:pPr>
        <w:spacing w:after="0" w:line="2" w:lineRule="exact"/>
        <w:rPr>
          <w:rFonts w:ascii="Arial" w:cs="Arial" w:eastAsia="Arial" w:hAnsi="Arial"/>
          <w:sz w:val="16"/>
          <w:szCs w:val="16"/>
          <w:color w:val="auto"/>
        </w:rPr>
      </w:pPr>
    </w:p>
    <w:p>
      <w:pPr>
        <w:ind w:firstLine="8"/>
        <w:spacing w:after="0" w:line="260" w:lineRule="auto"/>
        <w:tabs>
          <w:tab w:leader="none" w:pos="3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above shall not exceed 5.0% of the total number of outstanding shares of Common Shares immediately following the issuance and sale of the Common Shares issued pursuant to clause (iv).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59" w:lineRule="auto"/>
        <w:tabs>
          <w:tab w:leader="none" w:pos="118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Right of the Company to Deliver an Issuance Notice and the Obligation of the Agent to Sell Shares</w:t>
      </w:r>
      <w:r>
        <w:rPr>
          <w:rFonts w:ascii="Arial" w:cs="Arial" w:eastAsia="Arial" w:hAnsi="Arial"/>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Day during the applicable period set forth in the Issuance Notice, of each of the following conditions:</w:t>
      </w:r>
    </w:p>
    <w:p>
      <w:pPr>
        <w:spacing w:after="0" w:line="225" w:lineRule="exact"/>
        <w:rPr>
          <w:sz w:val="20"/>
          <w:szCs w:val="20"/>
          <w:color w:val="auto"/>
        </w:rPr>
      </w:pPr>
    </w:p>
    <w:p>
      <w:pPr>
        <w:jc w:val="both"/>
        <w:ind w:left="1300" w:hanging="644"/>
        <w:spacing w:after="0" w:line="275"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Accuracy of the Company’s Representations and Warranties; Performance by the Company</w:t>
      </w:r>
      <w:r>
        <w:rPr>
          <w:rFonts w:ascii="Arial" w:cs="Arial" w:eastAsia="Arial" w:hAnsi="Arial"/>
          <w:sz w:val="17"/>
          <w:szCs w:val="17"/>
          <w:color w:val="auto"/>
        </w:rPr>
        <w:t xml:space="preserve">. The Company shall have delivered the certificate required to be delivered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on or before the date on which delivery of such certificate is required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176" w:lineRule="exact"/>
        <w:rPr>
          <w:rFonts w:ascii="Arial" w:cs="Arial" w:eastAsia="Arial" w:hAnsi="Arial"/>
          <w:sz w:val="17"/>
          <w:szCs w:val="17"/>
          <w:color w:val="auto"/>
        </w:rPr>
      </w:pPr>
    </w:p>
    <w:p>
      <w:pPr>
        <w:jc w:val="both"/>
        <w:ind w:left="1300" w:hanging="644"/>
        <w:spacing w:after="0" w:line="269"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ind w:left="1300"/>
        <w:spacing w:after="0" w:line="263" w:lineRule="auto"/>
        <w:rPr>
          <w:sz w:val="20"/>
          <w:szCs w:val="20"/>
          <w:color w:val="auto"/>
        </w:rPr>
      </w:pPr>
      <w:r>
        <w:rPr>
          <w:rFonts w:ascii="Arial" w:cs="Arial" w:eastAsia="Arial" w:hAnsi="Arial"/>
          <w:sz w:val="18"/>
          <w:szCs w:val="18"/>
          <w:color w:val="auto"/>
        </w:rPr>
        <w:t>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4" w:lineRule="exact"/>
        <w:rPr>
          <w:sz w:val="20"/>
          <w:szCs w:val="20"/>
          <w:color w:val="auto"/>
        </w:rPr>
      </w:pPr>
    </w:p>
    <w:p>
      <w:pPr>
        <w:jc w:val="both"/>
        <w:ind w:firstLine="656"/>
        <w:spacing w:after="0" w:line="257" w:lineRule="auto"/>
        <w:tabs>
          <w:tab w:leader="none" w:pos="122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68" w:lineRule="auto"/>
        <w:tabs>
          <w:tab w:leader="none" w:pos="118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Indemnification of the Agent</w:t>
      </w:r>
      <w:r>
        <w:rPr>
          <w:rFonts w:ascii="Arial" w:cs="Arial" w:eastAsia="Arial" w:hAnsi="Arial"/>
          <w:sz w:val="17"/>
          <w:szCs w:val="17"/>
          <w:color w:val="auto"/>
        </w:rPr>
        <w:t>. The Company agrees to indemnify and hold harmless the Agent, its affiliates, directors, officers, employees and agents, and each person, if any, who controls the Agent within the meaning of the Securities Act or the Exchange Act against any loss, claim, damage, liability or expense, as incurred, to which the Agent or such affiliate, director, officer, employee, agent or controlling person may become subject, under the Securities Act, the Exchange Act, other federal or state statutory law or regulation, or the laws or regulations of Switzerland or of foreign jurisdictions where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(ii) any untrue statement or alleged untrue statement of a material fact included in the Prospectus or any free writing prospectus that the Company has used, referred to or filed, or is required to file, pursuant to Rule 433(d) of the Securities Act (or any amendment or supplement to the foregoing), (iii) any act or failure to act or any alleged act or failure to act by the Agent in connection with, or relating in any manner to, the Shares or the offering contemplated hereby, and which is included as part of or referred to in any loss, claim, damage, liability or action arising out of or based upon any matter covered by clause (i) or (ii) above; or the omission or alleged omission to state therein a material fact necessary in order to make the statements, in the light of the circumstances under which they were made, not misleading; and to reimburse the Agent and its affiliates, directors, officers, employees, agents and controlling persons for any and all reasonable expenses (including the reasonable fees and disbursements of counsel) as such expenses are incurred by the Agent or any</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color w:val="auto"/>
        </w:rPr>
        <w:t>of its affiliates, directors, officers, employees, agents or controlling persons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the Agent furnished to representatives of the Company in writing expressly for use in the Registration Statement, the Prospectus or any such free writing prospectus (or any amendment or supplement thereto), it being understood and agreed that the only such information consists of the information described in Section 6(b) below. The indemnity agreement and the obligations and liabilities of the Company set forth in this Section 6(a) shall be in addition to any liabilities that the Company may otherwise have.</w:t>
      </w:r>
    </w:p>
    <w:p>
      <w:pPr>
        <w:spacing w:after="0" w:line="166" w:lineRule="exact"/>
        <w:rPr>
          <w:sz w:val="20"/>
          <w:szCs w:val="20"/>
          <w:color w:val="auto"/>
        </w:rPr>
      </w:pPr>
    </w:p>
    <w:p>
      <w:pPr>
        <w:jc w:val="both"/>
        <w:ind w:firstLine="656"/>
        <w:spacing w:after="0" w:line="284" w:lineRule="auto"/>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the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the Prospectus or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the Prospectus, or such free writing prospectus (or any such amendment or supplement), in reliance upon and in conformity with information relating to the Agent furnished to the Company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Agent has furnished to the Company expressly for use in the Registration Statement, Prospectus, or any free writing prospectus that the Company has filed, or is required to file, pursuant to Rule 433(d) of the Securities Act (or any amendment or supplement to the foregoing) are set forth in the tenth paragraph under the caption “Plan of Distribution”. The indemnity agreement set forth in this Section 6(b) shall be in addition to any liabilities that the Agent may otherwise have.</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firstLine="656"/>
        <w:spacing w:after="0" w:line="284" w:lineRule="auto"/>
        <w:tabs>
          <w:tab w:leader="none" w:pos="123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by the Company (in the case of counsel for the indemnified parties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w:t>
      </w:r>
    </w:p>
    <w:p>
      <w:pPr>
        <w:spacing w:after="0" w:line="392" w:lineRule="exact"/>
        <w:rPr>
          <w:rFonts w:ascii="Arial" w:cs="Arial" w:eastAsia="Arial" w:hAnsi="Arial"/>
          <w:sz w:val="16"/>
          <w:szCs w:val="16"/>
          <w:color w:val="auto"/>
        </w:rPr>
      </w:pPr>
    </w:p>
    <w:p>
      <w:pPr>
        <w:jc w:val="both"/>
        <w:ind w:firstLine="656"/>
        <w:spacing w:after="0" w:line="255"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Settlements</w:t>
      </w:r>
      <w:r>
        <w:rPr>
          <w:rFonts w:ascii="Arial" w:cs="Arial" w:eastAsia="Arial" w:hAnsi="Arial"/>
          <w:sz w:val="18"/>
          <w:szCs w:val="18"/>
          <w:color w:val="auto"/>
        </w:rPr>
        <w:t xml:space="preserve">. The indemnifying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4" w:lineRule="exact"/>
        <w:rPr>
          <w:sz w:val="20"/>
          <w:szCs w:val="20"/>
          <w:color w:val="auto"/>
        </w:rPr>
      </w:pPr>
    </w:p>
    <w:p>
      <w:pPr>
        <w:jc w:val="both"/>
        <w:ind w:firstLine="656"/>
        <w:spacing w:after="0" w:line="268" w:lineRule="auto"/>
        <w:tabs>
          <w:tab w:leader="none" w:pos="121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proceeds from the offering of the Shares pursuant to this Agreement (before deducting expenses) received by the Company, and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properly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-315595</wp:posOffset>
            </wp:positionV>
            <wp:extent cx="581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02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6(e),</w:t>
      </w:r>
      <w:r>
        <w:rPr>
          <w:rFonts w:ascii="Arial" w:cs="Arial" w:eastAsia="Arial" w:hAnsi="Arial"/>
          <w:sz w:val="18"/>
          <w:szCs w:val="18"/>
          <w:color w:val="auto"/>
        </w:rPr>
        <w:t xml:space="preserve"> each</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firstLine="656"/>
        <w:spacing w:after="0" w:line="277"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Section 7, the term of this Agreement shall continue from the date of this Agreement until the end of the Agency Period, unless earlier terminated by the parties to this Agreement pursuant to this Section 7.</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96"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Section 7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61" w:lineRule="exact"/>
        <w:rPr>
          <w:rFonts w:ascii="Arial" w:cs="Arial" w:eastAsia="Arial" w:hAnsi="Arial"/>
          <w:sz w:val="16"/>
          <w:szCs w:val="16"/>
          <w:color w:val="auto"/>
        </w:rPr>
      </w:pPr>
    </w:p>
    <w:p>
      <w:pPr>
        <w:ind w:left="1300" w:right="80" w:hanging="320"/>
        <w:spacing w:after="0" w:line="25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jc w:val="both"/>
        <w:ind w:firstLine="656"/>
        <w:spacing w:after="0" w:line="271" w:lineRule="auto"/>
        <w:tabs>
          <w:tab w:leader="none" w:pos="127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on Form 6-K,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11" w:lineRule="exact"/>
        <w:rPr>
          <w:sz w:val="20"/>
          <w:szCs w:val="20"/>
          <w:color w:val="auto"/>
        </w:rPr>
      </w:pPr>
    </w:p>
    <w:p>
      <w:pPr>
        <w:jc w:val="both"/>
        <w:ind w:firstLine="656"/>
        <w:spacing w:after="0" w:line="289" w:lineRule="auto"/>
        <w:tabs>
          <w:tab w:leader="none" w:pos="12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jc w:val="both"/>
        <w:ind w:firstLine="656"/>
        <w:spacing w:after="0" w:line="254" w:lineRule="auto"/>
        <w:tabs>
          <w:tab w:leader="none" w:pos="120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firstLine="656"/>
        <w:spacing w:after="0" w:line="277" w:lineRule="auto"/>
        <w:tabs>
          <w:tab w:leader="none" w:pos="122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620 8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980"/>
        <w:spacing w:after="0"/>
        <w:rPr>
          <w:sz w:val="20"/>
          <w:szCs w:val="20"/>
          <w:color w:val="auto"/>
        </w:rPr>
      </w:pPr>
      <w:r>
        <w:rPr>
          <w:rFonts w:ascii="Arial" w:cs="Arial" w:eastAsia="Arial" w:hAnsi="Arial"/>
          <w:sz w:val="18"/>
          <w:szCs w:val="18"/>
          <w:color w:val="auto"/>
        </w:rPr>
        <w:t>New York, NY 10018</w:t>
      </w:r>
    </w:p>
    <w:p>
      <w:pPr>
        <w:spacing w:after="0" w:line="200" w:lineRule="exact"/>
        <w:rPr>
          <w:sz w:val="20"/>
          <w:szCs w:val="20"/>
          <w:color w:val="auto"/>
        </w:rPr>
      </w:pPr>
    </w:p>
    <w:p>
      <w:pPr>
        <w:spacing w:after="0" w:line="2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Seo Salimi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Homburger AG</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Prime Tower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Hardstrasse 201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CH-8005 Zurich, Switzerland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+41 (0)43 222 15 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Dr. iur. Dieter Gericke and Dr. iur. Benjamin Leisinger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EPFL Innovation Park Building 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1050 Lausanne, Switzerland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+41 21 345 91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Bär &amp; Karrer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Brandschenkestrasse 90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CH-8027 Zurich, Switzerland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+41 58 261 50 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Prof. Dr. iur. Rolf Watter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jc w:val="both"/>
        <w:ind w:left="980" w:right="8340"/>
        <w:spacing w:after="0" w:line="295" w:lineRule="auto"/>
        <w:tabs>
          <w:tab w:leader="none" w:pos="12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Lexington Avenue New York, NY 10017 Facsimile: (212) 701-5322 Attention: Derek Dostal</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firstLine="656"/>
        <w:spacing w:after="0" w:line="311"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26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to be made such minor changes (and only such minor changes) as are necessary to make it valid and enforceable.</w:t>
      </w:r>
    </w:p>
    <w:p>
      <w:pPr>
        <w:spacing w:after="0" w:line="252" w:lineRule="exact"/>
        <w:rPr>
          <w:sz w:val="20"/>
          <w:szCs w:val="20"/>
          <w:color w:val="auto"/>
        </w:rPr>
      </w:pPr>
    </w:p>
    <w:p>
      <w:pPr>
        <w:jc w:val="both"/>
        <w:ind w:firstLine="656"/>
        <w:spacing w:after="0" w:line="288" w:lineRule="auto"/>
        <w:tabs>
          <w:tab w:leader="none" w:pos="121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5" w:lineRule="exact"/>
        <w:rPr>
          <w:rFonts w:ascii="Arial" w:cs="Arial" w:eastAsia="Arial" w:hAnsi="Arial"/>
          <w:sz w:val="16"/>
          <w:szCs w:val="16"/>
          <w:color w:val="auto"/>
        </w:rPr>
      </w:pPr>
    </w:p>
    <w:p>
      <w:pPr>
        <w:jc w:val="both"/>
        <w:ind w:firstLine="656"/>
        <w:spacing w:after="0" w:line="272"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060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Magarro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Magarro</w:t>
            </w:r>
          </w:p>
        </w:tc>
        <w:tc>
          <w:tcPr>
            <w:tcW w:w="708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160"/>
              <w:spacing w:after="0"/>
              <w:rPr>
                <w:sz w:val="20"/>
                <w:szCs w:val="20"/>
                <w:color w:val="auto"/>
              </w:rPr>
            </w:pPr>
            <w:r>
              <w:rPr>
                <w:rFonts w:ascii="Arial" w:cs="Arial" w:eastAsia="Arial" w:hAnsi="Arial"/>
                <w:sz w:val="18"/>
                <w:szCs w:val="18"/>
                <w:color w:val="auto"/>
              </w:rPr>
              <w:t>Managing Director</w:t>
            </w:r>
          </w:p>
        </w:tc>
        <w:tc>
          <w:tcPr>
            <w:tcW w:w="7080" w:type="dxa"/>
            <w:vAlign w:val="bottom"/>
          </w:tcPr>
          <w:p>
            <w:pPr>
              <w:spacing w:after="0"/>
              <w:rPr>
                <w:sz w:val="20"/>
                <w:szCs w:val="20"/>
                <w:color w:val="auto"/>
              </w:rPr>
            </w:pPr>
          </w:p>
        </w:tc>
      </w:tr>
      <w:tr>
        <w:trPr>
          <w:trHeight w:val="783"/>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Reference is made to the Open Market Sale Agreement between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and Jefferies LLC (the “</w:t>
      </w:r>
      <w:r>
        <w:rPr>
          <w:rFonts w:ascii="Arial" w:cs="Arial" w:eastAsia="Arial" w:hAnsi="Arial"/>
          <w:sz w:val="18"/>
          <w:szCs w:val="18"/>
          <w:b w:val="1"/>
          <w:bCs w:val="1"/>
          <w:color w:val="auto"/>
        </w:rPr>
        <w:t>Agent</w:t>
      </w:r>
      <w:r>
        <w:rPr>
          <w:rFonts w:ascii="Arial" w:cs="Arial" w:eastAsia="Arial" w:hAnsi="Arial"/>
          <w:sz w:val="18"/>
          <w:szCs w:val="18"/>
          <w:color w:val="auto"/>
        </w:rPr>
        <w:t>”) dated as of April [●], 2021. The Company confirms that all conditions to the delivery of this Issuance Notice are satisfied as of the date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jc w:val="center"/>
        <w:ind w:right="6560"/>
        <w:spacing w:after="0"/>
        <w:rPr>
          <w:sz w:val="20"/>
          <w:szCs w:val="20"/>
          <w:color w:val="auto"/>
        </w:rPr>
      </w:pPr>
      <w:r>
        <w:rPr>
          <w:rFonts w:ascii="Arial" w:cs="Arial" w:eastAsia="Arial" w:hAnsi="Arial"/>
          <w:sz w:val="16"/>
          <w:szCs w:val="16"/>
          <w:color w:val="auto"/>
        </w:rPr>
        <w:t>Issuance Amount (equal to the total Sales Price for such Shares):</w:t>
      </w:r>
    </w:p>
    <w:p>
      <w:pPr>
        <w:spacing w:after="0" w:line="24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14605</wp:posOffset>
            </wp:positionV>
            <wp:extent cx="4200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5715</wp:posOffset>
            </wp:positionV>
            <wp:extent cx="4200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date of selling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22860</wp:posOffset>
            </wp:positionV>
            <wp:extent cx="4200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-121920</wp:posOffset>
            </wp:positionV>
            <wp:extent cx="4200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709295</wp:posOffset>
            </wp:positionV>
            <wp:extent cx="1491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6350</wp:posOffset>
            </wp:positionV>
            <wp:extent cx="3060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center"/>
        <w:ind w:right="-11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Andrea Pfeifer (andrea.pfeifer@acimmune.com)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Joerg Hornstein (joerg.hornstein@acimmune.com)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(mmagarro@jefferies.com)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 Fabbri (jfabbri@jefferies.com)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999999"/>
        </w:rPr>
        <w:t>Prof. Dr. Rolf Watter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999999"/>
        </w:rPr>
        <w:t>Rechtsanwalt, LL.M.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999999"/>
        </w:rPr>
        <w:t>+41 58 261 52 80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999999"/>
        </w:rPr>
        <w:t>rolf.watter@baerkarrer.ch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Postfach 1548 | CH-8002 Zürich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234" w:lineRule="auto"/>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Zurich, 5 May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 Technical Legal Opinion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Gentlemen</w:t>
      </w:r>
    </w:p>
    <w:p>
      <w:pPr>
        <w:spacing w:after="0" w:line="198"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We have acted as Swiss legal counsel to AC Immune SA (the "</w:t>
      </w:r>
      <w:r>
        <w:rPr>
          <w:rFonts w:ascii="Arial" w:cs="Arial" w:eastAsia="Arial" w:hAnsi="Arial"/>
          <w:sz w:val="18"/>
          <w:szCs w:val="18"/>
          <w:b w:val="1"/>
          <w:bCs w:val="1"/>
          <w:color w:val="auto"/>
        </w:rPr>
        <w:t>Issuer</w:t>
      </w:r>
      <w:r>
        <w:rPr>
          <w:rFonts w:ascii="Arial" w:cs="Arial" w:eastAsia="Arial" w:hAnsi="Arial"/>
          <w:sz w:val="18"/>
          <w:szCs w:val="18"/>
          <w:color w:val="auto"/>
        </w:rPr>
        <w:t>") in connection with the open market sale agreement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dated 5 May 2021 between the Issuer and Jefferies LLC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technical legal opinion is rendered to you pursuant to section 4 p) of the Agreement. Capitalized terms used but not otherwise defined herein shall have the meaning ascribed to them in the Agreement.</w:t>
      </w:r>
    </w:p>
    <w:p>
      <w:pPr>
        <w:spacing w:after="0" w:line="16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arriving at the opinions expressed in Section 3 below, we have exclusively examined and relied on the following documents:</w:t>
      </w:r>
    </w:p>
    <w:p>
      <w:pPr>
        <w:spacing w:after="0" w:line="198"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pdf copy of the executed Agreement;</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pdf copy of the registration statement on Form F-3 filed on 28 April 2021 under the United States Securities Act of 1933, as amended, relating to the registration of certain securities of the Issuer, including common shares, each with a nominal value of CHF 0.02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pdf copy of the prospectus supplement relating to the transactions contemplated by the Agreement dated 5 May 2021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1703070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502920</wp:posOffset>
            </wp:positionV>
            <wp:extent cx="5991860" cy="694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1860" cy="6940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88" w:lineRule="exact"/>
        <w:rPr>
          <w:sz w:val="20"/>
          <w:szCs w:val="20"/>
          <w:color w:val="auto"/>
        </w:rPr>
      </w:pPr>
    </w:p>
    <w:p>
      <w:pPr>
        <w:ind w:left="540" w:hanging="532"/>
        <w:spacing w:after="0" w:line="246"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pdf copy of an extract from the Commercial Register of the Canton of Vaud in respect of the Issuer, certified by such Commercial Register as of 29 April 2021 (the "</w:t>
      </w:r>
      <w:r>
        <w:rPr>
          <w:rFonts w:ascii="Arial" w:cs="Arial" w:eastAsia="Arial" w:hAnsi="Arial"/>
          <w:sz w:val="18"/>
          <w:szCs w:val="18"/>
          <w:b w:val="1"/>
          <w:bCs w:val="1"/>
          <w:color w:val="auto"/>
        </w:rPr>
        <w:t>Extract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pdf copy of the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Issuer dated 23 February 2021 and certified on 29 April 2021, to correspond to the latest version filed with the Commercial Register of the Canton of Vaud (the "</w:t>
      </w:r>
      <w:r>
        <w:rPr>
          <w:rFonts w:ascii="Arial" w:cs="Arial" w:eastAsia="Arial" w:hAnsi="Arial"/>
          <w:sz w:val="18"/>
          <w:szCs w:val="18"/>
          <w:b w:val="1"/>
          <w:bCs w:val="1"/>
          <w:color w:val="auto"/>
        </w:rPr>
        <w:t>Articles</w:t>
      </w:r>
      <w:r>
        <w:rPr>
          <w:rFonts w:ascii="Arial" w:cs="Arial" w:eastAsia="Arial" w:hAnsi="Arial"/>
          <w:sz w:val="18"/>
          <w:szCs w:val="18"/>
          <w:color w:val="auto"/>
        </w:rPr>
        <w:t>"); and</w:t>
      </w:r>
    </w:p>
    <w:p>
      <w:pPr>
        <w:spacing w:after="0" w:line="142" w:lineRule="exact"/>
        <w:rPr>
          <w:rFonts w:ascii="Arial" w:cs="Arial" w:eastAsia="Arial" w:hAnsi="Arial"/>
          <w:sz w:val="18"/>
          <w:szCs w:val="18"/>
          <w:color w:val="auto"/>
        </w:rPr>
      </w:pPr>
    </w:p>
    <w:p>
      <w:pPr>
        <w:ind w:left="540" w:hanging="532"/>
        <w:spacing w:after="0" w:line="271"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pdf copy of the organizational regulations of the Issuer's board of directors, dated as of 19 March 2020 (the "</w:t>
      </w:r>
      <w:r>
        <w:rPr>
          <w:rFonts w:ascii="Arial" w:cs="Arial" w:eastAsia="Arial" w:hAnsi="Arial"/>
          <w:sz w:val="18"/>
          <w:szCs w:val="18"/>
          <w:b w:val="1"/>
          <w:bCs w:val="1"/>
          <w:color w:val="auto"/>
        </w:rPr>
        <w:t>Organizational</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as available on the website of the Issuer;</w:t>
      </w:r>
    </w:p>
    <w:p>
      <w:pPr>
        <w:spacing w:after="0" w:line="140" w:lineRule="exact"/>
        <w:rPr>
          <w:rFonts w:ascii="Arial" w:cs="Arial" w:eastAsia="Arial" w:hAnsi="Arial"/>
          <w:sz w:val="18"/>
          <w:szCs w:val="18"/>
          <w:color w:val="auto"/>
        </w:rPr>
      </w:pPr>
    </w:p>
    <w:p>
      <w:pPr>
        <w:jc w:val="both"/>
        <w:ind w:left="540" w:hanging="532"/>
        <w:spacing w:after="0" w:line="25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pdf copy of an extract from the minutes of the meeting of the Issuer's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xml:space="preserve">") dated 17 August 2020 resolving, </w:t>
      </w:r>
      <w:r>
        <w:rPr>
          <w:rFonts w:ascii="Arial" w:cs="Arial" w:eastAsia="Arial" w:hAnsi="Arial"/>
          <w:sz w:val="18"/>
          <w:szCs w:val="18"/>
          <w:i w:val="1"/>
          <w:iCs w:val="1"/>
          <w:color w:val="auto"/>
        </w:rPr>
        <w:t>inter alia</w:t>
      </w:r>
      <w:r>
        <w:rPr>
          <w:rFonts w:ascii="Arial" w:cs="Arial" w:eastAsia="Arial" w:hAnsi="Arial"/>
          <w:sz w:val="18"/>
          <w:szCs w:val="18"/>
          <w:color w:val="auto"/>
        </w:rPr>
        <w:t>, on the establishment of a transaction committee for the implementation of an at-the-market-offering (the "</w:t>
      </w:r>
      <w:r>
        <w:rPr>
          <w:rFonts w:ascii="Arial" w:cs="Arial" w:eastAsia="Arial" w:hAnsi="Arial"/>
          <w:sz w:val="18"/>
          <w:szCs w:val="18"/>
          <w:b w:val="1"/>
          <w:bCs w:val="1"/>
          <w:color w:val="auto"/>
        </w:rPr>
        <w:t>Transaction Committee</w:t>
      </w:r>
      <w:r>
        <w:rPr>
          <w:rFonts w:ascii="Arial" w:cs="Arial" w:eastAsia="Arial" w:hAnsi="Arial"/>
          <w:sz w:val="18"/>
          <w:szCs w:val="18"/>
          <w:color w:val="auto"/>
        </w:rPr>
        <w:t>" and such resolution, the "</w:t>
      </w:r>
      <w:r>
        <w:rPr>
          <w:rFonts w:ascii="Arial" w:cs="Arial" w:eastAsia="Arial" w:hAnsi="Arial"/>
          <w:sz w:val="18"/>
          <w:szCs w:val="18"/>
          <w:b w:val="1"/>
          <w:bCs w:val="1"/>
          <w:color w:val="auto"/>
        </w:rPr>
        <w:t>Board Resolution</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pdf copy of the circular resolution of the Transaction Committee dated 3 September 2020 approving, </w:t>
      </w:r>
      <w:r>
        <w:rPr>
          <w:rFonts w:ascii="Arial" w:cs="Arial" w:eastAsia="Arial" w:hAnsi="Arial"/>
          <w:sz w:val="18"/>
          <w:szCs w:val="18"/>
          <w:i w:val="1"/>
          <w:iCs w:val="1"/>
          <w:color w:val="auto"/>
        </w:rPr>
        <w:t>inter alia</w:t>
      </w:r>
      <w:r>
        <w:rPr>
          <w:rFonts w:ascii="Arial" w:cs="Arial" w:eastAsia="Arial" w:hAnsi="Arial"/>
          <w:sz w:val="18"/>
          <w:szCs w:val="18"/>
          <w:color w:val="auto"/>
        </w:rPr>
        <w:t>, the execution of the Agreement and the publication of the Prospectus Supplement (the "</w:t>
      </w:r>
      <w:r>
        <w:rPr>
          <w:rFonts w:ascii="Arial" w:cs="Arial" w:eastAsia="Arial" w:hAnsi="Arial"/>
          <w:sz w:val="18"/>
          <w:szCs w:val="18"/>
          <w:b w:val="1"/>
          <w:bCs w:val="1"/>
          <w:color w:val="auto"/>
        </w:rPr>
        <w:t>TC Resolution</w:t>
      </w:r>
      <w:r>
        <w:rPr>
          <w:rFonts w:ascii="Arial" w:cs="Arial" w:eastAsia="Arial" w:hAnsi="Arial"/>
          <w:sz w:val="18"/>
          <w:szCs w:val="18"/>
          <w:color w:val="auto"/>
        </w:rPr>
        <w:t>"); and</w:t>
      </w:r>
    </w:p>
    <w:p>
      <w:pPr>
        <w:spacing w:after="0" w:line="164"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other documents as we deemed necessary to render our opinions expressed in Section 3 below.</w:t>
      </w:r>
    </w:p>
    <w:p>
      <w:pPr>
        <w:spacing w:after="0" w:line="176"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arriving at the opinions expressed in Section 3 below, we have assumed (without verification) each of the following:</w:t>
      </w:r>
    </w:p>
    <w:p>
      <w:pPr>
        <w:spacing w:after="0" w:line="198"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all documents submitted to us in a form other than an original conform to authentic and complete originals;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all signatures on documents examined are genuine;</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all representations and warranties (other than those, if any, to which our opinions expressed in Section 3 below explicitly relate) and all statements of fact set out in the agreements and other documents examined are true and accurate;</w:t>
      </w:r>
    </w:p>
    <w:p>
      <w:pPr>
        <w:spacing w:after="0" w:line="165" w:lineRule="exact"/>
        <w:rPr>
          <w:rFonts w:ascii="Arial" w:cs="Arial" w:eastAsia="Arial" w:hAnsi="Arial"/>
          <w:sz w:val="18"/>
          <w:szCs w:val="18"/>
          <w:color w:val="auto"/>
        </w:rPr>
      </w:pPr>
    </w:p>
    <w:p>
      <w:pPr>
        <w:jc w:val="both"/>
        <w:ind w:left="540" w:hanging="532"/>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that the Agreement was entered into by all parties thereto at arm's-length terms and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commercial reasons and none of the directors or officers of any such party has or had a conflict of interest with such party in respect of the Agreement or any related documents, or otherwise lacked capacity, that would preclude such director or officer from validly representing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 granting a power of attorney in respect of the Agreement or any related documents for) such party;</w:t>
      </w:r>
    </w:p>
    <w:p>
      <w:pPr>
        <w:spacing w:after="0" w:line="198" w:lineRule="exact"/>
        <w:rPr>
          <w:sz w:val="20"/>
          <w:szCs w:val="20"/>
          <w:color w:val="auto"/>
        </w:rPr>
      </w:pPr>
    </w:p>
    <w:p>
      <w:pPr>
        <w:ind w:left="540" w:hanging="532"/>
        <w:spacing w:after="0" w:line="24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Extract, the Articles and the Organizational Regulations are unchanged, correct, up-to-date and in full force and effect as of the date hereof and no changes have been made in such documents;</w:t>
      </w:r>
    </w:p>
    <w:p>
      <w:pPr>
        <w:spacing w:after="0" w:line="183"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all written agreements, resolutions, regulations and other documents examined remain in full force and effect as of the date of this letter and have not been amended, revoked, rescinded or affected by any action subsequent to their execution or taking, and that the terms of each agreement examined reflect the true intent and the entire agreement of the parties thereto in respect of its subject-matter (except as otherwise stated therein);</w:t>
      </w:r>
    </w:p>
    <w:p>
      <w:pPr>
        <w:spacing w:after="0" w:line="191"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Board Resolution is a true record of the proceedings described therein in a duly convened, quorate and constituted meeting of the Board of Directors and has not been rescinded or amended and is in full force and effect;</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TC Resolution was adopted by the board members in the form submitted to us, is valid, has not been revoked and is in full force and effect on the date hereof;</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signatures appearing on the pdf copy of the Agreement referred to in Section 1 lit. a) above for execution on behalf of the Issuer are the genuine signatures of the persons whose names appear therein, and that such copy, or a copy signed by the same persons and identical in content, was delivered to each party to the Agreement other than the Issuer after signing;</w:t>
      </w:r>
    </w:p>
    <w:p>
      <w:pPr>
        <w:spacing w:after="0" w:line="189"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each party to the Agreement, other than the Issuer, is a corporation duly organized and validly existing under all laws applicable to it, and under such laws and its constitutional documents has the necessary capacity, power and authority to enter into the Agreement and to exercise its rights and perform its obligations thereunder, and to sue and be sued in its own name, and has validly taken all necessary corporate action to authorize the execution and delivery of the Agreement;</w:t>
      </w:r>
    </w:p>
    <w:p>
      <w:pPr>
        <w:spacing w:after="0" w:line="191" w:lineRule="exact"/>
        <w:rPr>
          <w:rFonts w:ascii="Arial" w:cs="Arial" w:eastAsia="Arial" w:hAnsi="Arial"/>
          <w:sz w:val="18"/>
          <w:szCs w:val="18"/>
          <w:color w:val="auto"/>
        </w:rPr>
      </w:pPr>
    </w:p>
    <w:p>
      <w:pPr>
        <w:jc w:val="both"/>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a copy of the Agreement identical in content to the pdf copy referred to in Section 1 lit. a) above has been duly executed and delivered to the Issuer by representatives of each party thereto, other than the Issuer, who were validly authorized for such purpose, and such execution and delivery is valid under any applicable foreign laws and is binding on all parties thereto other than the Issuer;</w:t>
      </w:r>
    </w:p>
    <w:p>
      <w:pPr>
        <w:spacing w:after="0" w:line="189"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by the date of this letter, none of the parties to the Agreement is insolvent or over-indebted (in case of Swiss companies in the sense of article 725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has passed a resolution for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96"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color w:val="auto"/>
        </w:rPr>
        <w:t>dissolution, winding-up or liquidation, no petition has been presented or order made by a court or other competent authority for the dissolution, winding-up, liquidation, bankruptcy, moratorium, composition with creditors or administration of any party or for the ordering of 'measures in case of a danger of insolvency' pursuant to articles 25 et seq. of the Swiss Federal Act on Banks and Savings Institutions and no receiver, trustee in bankruptcy, administrator or similar officer has been appointed in relation to any of the parties or any of their assets or revenues;</w:t>
      </w:r>
    </w:p>
    <w:p>
      <w:pPr>
        <w:spacing w:after="0" w:line="189" w:lineRule="exact"/>
        <w:rPr>
          <w:sz w:val="20"/>
          <w:szCs w:val="20"/>
          <w:color w:val="auto"/>
        </w:rPr>
      </w:pPr>
    </w:p>
    <w:p>
      <w:pPr>
        <w:jc w:val="both"/>
        <w:ind w:left="540" w:hanging="532"/>
        <w:spacing w:after="0" w:line="238"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all authorizations, consents, licenses, exemptions, notices, filings, publications or registrations which may be necessary under any applicable laws or regulations, other than the laws of Switzerland, the Articles or the Organizational Regulations, in connection with the execution and delivery of the Agreement and the filing of the Prospectus Supplement have been or will be duly obtained or made in time, remain in full force and effect at the date of this letter and, where relevant, will be obtained and maintained in the future, and that any related conditions have been fulfilled and any related covenants will be complied with;</w:t>
      </w:r>
    </w:p>
    <w:p>
      <w:pPr>
        <w:spacing w:after="0" w:line="188"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the terms of the Agreement, including without limitation the choice of law and the submission to the federal courts of the United States of America located in the Borough of Manhattan in the City of New York or the courts of the State of New York in each case located in the Borough of Manhattan in the City of New York (the "</w:t>
      </w:r>
      <w:r>
        <w:rPr>
          <w:rFonts w:ascii="Arial" w:cs="Arial" w:eastAsia="Arial" w:hAnsi="Arial"/>
          <w:sz w:val="18"/>
          <w:szCs w:val="18"/>
          <w:b w:val="1"/>
          <w:bCs w:val="1"/>
          <w:color w:val="auto"/>
        </w:rPr>
        <w:t>NY Courts</w:t>
      </w:r>
      <w:r>
        <w:rPr>
          <w:rFonts w:ascii="Arial" w:cs="Arial" w:eastAsia="Arial" w:hAnsi="Arial"/>
          <w:sz w:val="18"/>
          <w:szCs w:val="18"/>
          <w:color w:val="auto"/>
        </w:rPr>
        <w:t>") expressed therein, constitute valid, binding and enforceable obligations and agreements of the parties thereto under the laws of the State of New York (USA) by which it is expressed to be governed, and under all other relevant laws other than the laws of Switzerland;</w:t>
      </w:r>
    </w:p>
    <w:p>
      <w:pPr>
        <w:spacing w:after="0" w:line="18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where any obligation under the Agreement is to be performed in or under the laws of a jurisdiction other than Switzerland, such performance will not be illegal or unenforceable by virtue of the laws of that jurisdiction;</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each party to the Agreement other than the Issuer has performed and will perform all of its obligations under such agreement in accordance with its terms; and</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there are no facts, circumstances or events not reflected in the text of the documents listed in Section 1 above which would be relevant to our opinions expressed herein.</w:t>
      </w:r>
    </w:p>
    <w:p>
      <w:pPr>
        <w:spacing w:after="0" w:line="161"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Based upon and subject to the foregoing assumptions, and subject to the qualifications and limitations set out below, we are of the opinion that under the laws of Switzerland as currently in force and interpreted: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78" w:lineRule="exact"/>
        <w:rPr>
          <w:sz w:val="20"/>
          <w:szCs w:val="20"/>
          <w:color w:val="auto"/>
        </w:rPr>
      </w:pPr>
    </w:p>
    <w:p>
      <w:pPr>
        <w:jc w:val="both"/>
        <w:ind w:left="540" w:hanging="532"/>
        <w:spacing w:after="0" w:line="250"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Issuer is a company limited by shares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and validly existing under Swiss law, established with unlimited duration, with the capacity to sue or be sued in its own name, and with the power to carry on business and to own property in accordance with the Articles;</w:t>
      </w:r>
    </w:p>
    <w:p>
      <w:pPr>
        <w:spacing w:after="0" w:line="181" w:lineRule="exact"/>
        <w:rPr>
          <w:rFonts w:ascii="Arial" w:cs="Arial" w:eastAsia="Arial" w:hAnsi="Arial"/>
          <w:sz w:val="18"/>
          <w:szCs w:val="18"/>
          <w:color w:val="auto"/>
        </w:rPr>
      </w:pPr>
    </w:p>
    <w:p>
      <w:pPr>
        <w:ind w:left="540" w:right="2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Issuer has the necessary corporate capacity and power to enter into the Agreement and to perform its obligations thereunder provided that the Issuer still needs to resolve on the issuance of the shares to be delivered under the Agreement;</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Agreement has been duly authorized by and executed on behalf of the Issuer;</w:t>
      </w:r>
    </w:p>
    <w:p>
      <w:pPr>
        <w:spacing w:after="0" w:line="198" w:lineRule="exact"/>
        <w:rPr>
          <w:rFonts w:ascii="Arial" w:cs="Arial" w:eastAsia="Arial" w:hAnsi="Arial"/>
          <w:sz w:val="18"/>
          <w:szCs w:val="18"/>
          <w:color w:val="auto"/>
        </w:rPr>
      </w:pPr>
    </w:p>
    <w:p>
      <w:pPr>
        <w:jc w:val="both"/>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further consent or authorization by, or filing or registration with, any court, governmental or administrative body or agency, or official in Switzerland is required to be obtained or made in connection with the execution and delivery of the Agreement and the contemplated transactions thereunder other than as provided thereunder;</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execution and delivery of the Agreement by the Issuer and the performance by the Issuer of its obligations thereunder, if conducted as described in the Agreement, do not and will not violate Swiss law or the Articles;</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publication of the Prospectus Supplement has been duly authorized by the Issuer;</w:t>
      </w:r>
    </w:p>
    <w:p>
      <w:pPr>
        <w:spacing w:after="0" w:line="198"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voluntary winding-up resolution adopted by the Issuer nor an order for winding-up, bankruptcy or administration of all assets of the Issuer (each a "</w:t>
      </w:r>
      <w:r>
        <w:rPr>
          <w:rFonts w:ascii="Arial" w:cs="Arial" w:eastAsia="Arial" w:hAnsi="Arial"/>
          <w:sz w:val="18"/>
          <w:szCs w:val="18"/>
          <w:b w:val="1"/>
          <w:bCs w:val="1"/>
          <w:color w:val="auto"/>
        </w:rPr>
        <w:t>Liquidation Event</w:t>
      </w:r>
      <w:r>
        <w:rPr>
          <w:rFonts w:ascii="Arial" w:cs="Arial" w:eastAsia="Arial" w:hAnsi="Arial"/>
          <w:sz w:val="18"/>
          <w:szCs w:val="18"/>
          <w:color w:val="auto"/>
        </w:rPr>
        <w:t>") is reflected in the Extract;</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otherwise described in the Prospectus and in the Prospectus Supplement, there are no legal restrictions on the sale, transfer or distribution of the shares to be delivered under the Agreement under the laws of Switzerland or the Articles;</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choice by the parties to the Agreement of the laws of the State of New York as expressed in section 8 g) of the Agreement, would be recognized as a valid choice of law among the parties thereto under the Federal Act on International Private Law of 18 December 1987, as amended (SR 291; "</w:t>
      </w:r>
      <w:r>
        <w:rPr>
          <w:rFonts w:ascii="Arial" w:cs="Arial" w:eastAsia="Arial" w:hAnsi="Arial"/>
          <w:sz w:val="18"/>
          <w:szCs w:val="18"/>
          <w:b w:val="1"/>
          <w:bCs w:val="1"/>
          <w:color w:val="auto"/>
        </w:rPr>
        <w:t>IPLA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submission by the parties to the Agreement to the exclusive jurisdiction of NY Courts would be recognized as a valid submission to jurisdiction in the courts of Switzerland; and</w:t>
      </w:r>
    </w:p>
    <w:p>
      <w:pPr>
        <w:spacing w:after="0" w:line="183"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final and conclusive judgment by a New York court which is enforceable in New York and which decides a dispute under the Agreement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96"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Issuer and Jefferies LLC will be amenable to enforcement against the Issuer in the courts of Switzerland subject to the conditions and limitations set out in the IPLA;</w:t>
      </w:r>
    </w:p>
    <w:p>
      <w:pPr>
        <w:spacing w:after="0" w:line="16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and Limitations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letter is subject to Swiss law. The opinions expressed herein are limited to questions arising under the laws of Switzerland, and we express no opinion as to the laws of any other jurisdiction. The opinions expressed herein are subject to the effects of Swiss laws on debt enforcement and insolvency and similar laws affecting the rights of creditors in general (including laws in respect of bankruptcy, moratoria, protective measures and composition or reconstruction proceedings, and related provisions for the avoidance of transactions made to the detriment of or creating a preference among creditors), as well as to the laws and rules of civil procedure and, as the case may be, arbitration rules as applicable to creditors or debtors and claimants and defendants generally. We express no opinion herein as to any matter of accounting or taxation, or as to any regulatory or commercial matter. Our opinions expressed in Section 3 above are further subject to the following qualifications and limitations:</w:t>
      </w:r>
    </w:p>
    <w:p>
      <w:pPr>
        <w:spacing w:after="0" w:line="194" w:lineRule="exact"/>
        <w:rPr>
          <w:sz w:val="20"/>
          <w:szCs w:val="20"/>
          <w:color w:val="auto"/>
        </w:rPr>
      </w:pPr>
    </w:p>
    <w:p>
      <w:pPr>
        <w:jc w:val="both"/>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explicitly otherwise stated in Section 3 above, we express no opinion on the accuracy of any representation, warranty, calculation, valuation, or statement of fact as may be contained in the documents examined, or any factual backgrounds therein assumed, or on the question whether any conditions therein stated have been fulfilled;</w:t>
      </w:r>
    </w:p>
    <w:p>
      <w:pPr>
        <w:spacing w:after="0" w:line="1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referring to the terms of agreements or other documents, we express no opinion on whether and to what extent these are sufficiently specific or leave room for interpretation which may become a matter of the discretion of the courts or of an arbitral tribunal;</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express no opinion on the accuracy, correctness or completeness of the Prospectus and Prospectus Supplement; in particular, we express no opinion on whether the Prospectus and Prospectus Supplement provides sufficient information for knowledgeable investors to reach an informed assessment of the Issuer and its securities;</w:t>
      </w:r>
    </w:p>
    <w:p>
      <w:pPr>
        <w:spacing w:after="0" w:line="189"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enforceability of the indemnities given by the Issuer to Jefferies LLC may be limited if a court or arbitral tribunal finds that the respective indemnity undertakings were subject to (i) articles 678 and 680 CO, or (ii) public policy considerations in connection with articles 20 and 21 CO and article 2 of the Swiss Civil Code. In view of these provisions, a Swiss corporation may not repay the nominal share capital and the general reserves in the amount of half or one fifth (in case of a holding company) of the paid in share capital to its shareholders (or to third parties affiliated with shareholders) and may not enter into transactions that are outside of its corporate scope (</w:t>
      </w:r>
      <w:r>
        <w:rPr>
          <w:rFonts w:ascii="Arial" w:cs="Arial" w:eastAsia="Arial" w:hAnsi="Arial"/>
          <w:sz w:val="18"/>
          <w:szCs w:val="18"/>
          <w:i w:val="1"/>
          <w:iCs w:val="1"/>
          <w:color w:val="auto"/>
        </w:rPr>
        <w:t>ultra vires</w:t>
      </w:r>
      <w:r>
        <w:rPr>
          <w:rFonts w:ascii="Arial" w:cs="Arial" w:eastAsia="Arial" w:hAnsi="Arial"/>
          <w:sz w:val="18"/>
          <w:szCs w:val="18"/>
          <w:color w:val="auto"/>
        </w:rPr>
        <w:t>). It is controversial, however, to what extent the prohibitions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96" w:lineRule="exact"/>
        <w:rPr>
          <w:sz w:val="20"/>
          <w:szCs w:val="20"/>
          <w:color w:val="auto"/>
        </w:rPr>
      </w:pPr>
    </w:p>
    <w:p>
      <w:pPr>
        <w:ind w:left="540"/>
        <w:spacing w:after="0" w:line="246" w:lineRule="auto"/>
        <w:rPr>
          <w:sz w:val="20"/>
          <w:szCs w:val="20"/>
          <w:color w:val="auto"/>
        </w:rPr>
      </w:pPr>
      <w:r>
        <w:rPr>
          <w:rFonts w:ascii="Arial" w:cs="Arial" w:eastAsia="Arial" w:hAnsi="Arial"/>
          <w:sz w:val="18"/>
          <w:szCs w:val="18"/>
          <w:color w:val="auto"/>
        </w:rPr>
        <w:t>expressed above also apply to indemnities given in connection with an underwriting. If the courts were to apply these provisions, certain indemnities and representations and warranties of the Issuer under the Agreement might not be enforceable;</w:t>
      </w:r>
    </w:p>
    <w:p>
      <w:pPr>
        <w:spacing w:after="0" w:line="183" w:lineRule="exact"/>
        <w:rPr>
          <w:sz w:val="20"/>
          <w:szCs w:val="20"/>
          <w:color w:val="auto"/>
        </w:rPr>
      </w:pPr>
    </w:p>
    <w:p>
      <w:pPr>
        <w:jc w:val="both"/>
        <w:ind w:left="540" w:hanging="532"/>
        <w:spacing w:after="0" w:line="23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enforceability may further be limited with respect to the indemnification undertakings provided by the Issuer if a court considers that an indemnified person has acted willfully or with gross negligence (as set out in article 100 CO) or if a court qualifies the activities conducted by Jefferies LLC as a business carried out under an official license (</w:t>
      </w:r>
      <w:r>
        <w:rPr>
          <w:rFonts w:ascii="Arial" w:cs="Arial" w:eastAsia="Arial" w:hAnsi="Arial"/>
          <w:sz w:val="18"/>
          <w:szCs w:val="18"/>
          <w:i w:val="1"/>
          <w:iCs w:val="1"/>
          <w:color w:val="auto"/>
        </w:rPr>
        <w:t>obrigkeitlich konzessioniertes Gewerbe</w:t>
      </w:r>
      <w:r>
        <w:rPr>
          <w:rFonts w:ascii="Arial" w:cs="Arial" w:eastAsia="Arial" w:hAnsi="Arial"/>
          <w:sz w:val="18"/>
          <w:szCs w:val="18"/>
          <w:color w:val="auto"/>
        </w:rPr>
        <w:t>) within the meaning of article 100 para. 2 CO;</w:t>
      </w:r>
    </w:p>
    <w:p>
      <w:pPr>
        <w:spacing w:after="0" w:line="173"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express no opinion as regards the preservation of shareholders' subscription rights (</w:t>
      </w:r>
      <w:r>
        <w:rPr>
          <w:rFonts w:ascii="Arial" w:cs="Arial" w:eastAsia="Arial" w:hAnsi="Arial"/>
          <w:sz w:val="18"/>
          <w:szCs w:val="18"/>
          <w:i w:val="1"/>
          <w:iCs w:val="1"/>
          <w:color w:val="auto"/>
        </w:rPr>
        <w:t>Bezugsrechte</w:t>
      </w:r>
      <w:r>
        <w:rPr>
          <w:rFonts w:ascii="Arial" w:cs="Arial" w:eastAsia="Arial" w:hAnsi="Arial"/>
          <w:sz w:val="18"/>
          <w:szCs w:val="18"/>
          <w:color w:val="auto"/>
        </w:rPr>
        <w:t>) in connection with the transactions contemplated by the Agreement;</w:t>
      </w:r>
    </w:p>
    <w:p>
      <w:pPr>
        <w:spacing w:after="0" w:line="164"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while any Liquidation Event (as defined above) in respect of the Issuer would be required by law to be registered in the relevant Commercial Register, some time may elapse before such registration is made, and the Liquidation Event may deploy its effects prior to and independently of such registration. The absence of registration of any Liquidation Event in the Commercial Register should therefore not be taken as a guarantee that no such event has occurred;</w:t>
      </w:r>
    </w:p>
    <w:p>
      <w:pPr>
        <w:spacing w:after="0" w:line="191" w:lineRule="exact"/>
        <w:rPr>
          <w:rFonts w:ascii="Arial" w:cs="Arial" w:eastAsia="Arial" w:hAnsi="Arial"/>
          <w:sz w:val="18"/>
          <w:szCs w:val="18"/>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Swiss substantive law:</w:t>
      </w:r>
    </w:p>
    <w:p>
      <w:pPr>
        <w:spacing w:after="0" w:line="198" w:lineRule="exact"/>
        <w:rPr>
          <w:rFonts w:ascii="Arial" w:cs="Arial" w:eastAsia="Arial" w:hAnsi="Arial"/>
          <w:sz w:val="18"/>
          <w:szCs w:val="18"/>
          <w:color w:val="auto"/>
        </w:rPr>
      </w:pPr>
    </w:p>
    <w:p>
      <w:pPr>
        <w:jc w:val="both"/>
        <w:ind w:left="1060" w:hanging="526"/>
        <w:spacing w:after="0" w:line="238" w:lineRule="auto"/>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validity, binding effect and enforceability of rights and obligations of the parties to an agreement may be or become limited by rules of civil and commercial law of general application, including rules in respect of contracting under the influence of error, fraud, misrepresentation, threat or duress, exploitation, insufficiently determined or excessive undertakings, impossibility of performance, material alteration of relevant circumstances (</w:t>
      </w:r>
      <w:r>
        <w:rPr>
          <w:rFonts w:ascii="Arial" w:cs="Arial" w:eastAsia="Arial" w:hAnsi="Arial"/>
          <w:sz w:val="18"/>
          <w:szCs w:val="18"/>
          <w:i w:val="1"/>
          <w:iCs w:val="1"/>
          <w:color w:val="auto"/>
        </w:rPr>
        <w:t>clausula rebus sic stantibus</w:t>
      </w:r>
      <w:r>
        <w:rPr>
          <w:rFonts w:ascii="Arial" w:cs="Arial" w:eastAsia="Arial" w:hAnsi="Arial"/>
          <w:sz w:val="18"/>
          <w:szCs w:val="18"/>
          <w:color w:val="auto"/>
        </w:rPr>
        <w:t xml:space="preserve"> set-off, the exercise of rights and performance of obligations in good faith (</w:t>
      </w:r>
      <w:r>
        <w:rPr>
          <w:rFonts w:ascii="Arial" w:cs="Arial" w:eastAsia="Arial" w:hAnsi="Arial"/>
          <w:sz w:val="18"/>
          <w:szCs w:val="18"/>
          <w:i w:val="1"/>
          <w:iCs w:val="1"/>
          <w:color w:val="auto"/>
        </w:rPr>
        <w:t>Treu und Glauben</w:t>
      </w:r>
      <w:r>
        <w:rPr>
          <w:rFonts w:ascii="Arial" w:cs="Arial" w:eastAsia="Arial" w:hAnsi="Arial"/>
          <w:sz w:val="18"/>
          <w:szCs w:val="18"/>
          <w:color w:val="auto"/>
        </w:rPr>
        <w:t>), and the prohibition of an abuse of rights (</w:t>
      </w:r>
      <w:r>
        <w:rPr>
          <w:rFonts w:ascii="Arial" w:cs="Arial" w:eastAsia="Arial" w:hAnsi="Arial"/>
          <w:sz w:val="18"/>
          <w:szCs w:val="18"/>
          <w:i w:val="1"/>
          <w:iCs w:val="1"/>
          <w:color w:val="auto"/>
        </w:rPr>
        <w:t>Rechtsmissbrauch</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060" w:hanging="526"/>
        <w:spacing w:after="0"/>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notwithstanding a contractual term to the contrary, any power of attorney (or similar type of authorization, power or proxy, including the appointment of a process agent) may be revoked at any time, and such power may be deemed terminated or revoked by operation of law in certain cases;</w:t>
      </w:r>
    </w:p>
    <w:p>
      <w:pPr>
        <w:spacing w:after="0" w:line="189" w:lineRule="exact"/>
        <w:rPr>
          <w:rFonts w:ascii="Arial" w:cs="Arial" w:eastAsia="Arial" w:hAnsi="Arial"/>
          <w:sz w:val="18"/>
          <w:szCs w:val="18"/>
          <w:color w:val="auto"/>
        </w:rPr>
      </w:pPr>
    </w:p>
    <w:p>
      <w:pPr>
        <w:ind w:left="1060" w:right="20" w:hanging="526"/>
        <w:spacing w:after="0" w:line="246" w:lineRule="auto"/>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where a person is bound in principle to indemnify another for a damage as a consequence of the breach or non-performance of a contract, a court may set the amount of the indemnification at part only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96" w:lineRule="exact"/>
        <w:rPr>
          <w:sz w:val="20"/>
          <w:szCs w:val="20"/>
          <w:color w:val="auto"/>
        </w:rPr>
      </w:pPr>
    </w:p>
    <w:p>
      <w:pPr>
        <w:ind w:left="1080"/>
        <w:spacing w:after="0" w:line="246" w:lineRule="auto"/>
        <w:rPr>
          <w:sz w:val="20"/>
          <w:szCs w:val="20"/>
          <w:color w:val="auto"/>
        </w:rPr>
      </w:pPr>
      <w:r>
        <w:rPr>
          <w:rFonts w:ascii="Arial" w:cs="Arial" w:eastAsia="Arial" w:hAnsi="Arial"/>
          <w:sz w:val="18"/>
          <w:szCs w:val="18"/>
          <w:color w:val="auto"/>
        </w:rPr>
        <w:t>damage, depending on considerations of the degree of fault, contributory fault, the parties' financial capacity, and other circumstances;</w:t>
      </w:r>
    </w:p>
    <w:p>
      <w:pPr>
        <w:spacing w:after="0" w:line="183" w:lineRule="exact"/>
        <w:rPr>
          <w:sz w:val="20"/>
          <w:szCs w:val="20"/>
          <w:color w:val="auto"/>
        </w:rPr>
      </w:pPr>
    </w:p>
    <w:p>
      <w:pPr>
        <w:ind w:left="1060" w:hanging="526"/>
        <w:spacing w:after="0" w:line="246" w:lineRule="auto"/>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enforcement of the obligations of a party to an agreement, whether before or after judgment, may be limited by prescription or otherwise as a consequence of the lapse of time;</w:t>
      </w:r>
    </w:p>
    <w:p>
      <w:pPr>
        <w:spacing w:after="0" w:line="183" w:lineRule="exact"/>
        <w:rPr>
          <w:rFonts w:ascii="Arial" w:cs="Arial" w:eastAsia="Arial" w:hAnsi="Arial"/>
          <w:sz w:val="18"/>
          <w:szCs w:val="18"/>
          <w:color w:val="auto"/>
        </w:rPr>
      </w:pPr>
    </w:p>
    <w:p>
      <w:pPr>
        <w:ind w:left="1060" w:hanging="526"/>
        <w:spacing w:after="0"/>
        <w:tabs>
          <w:tab w:leader="none" w:pos="1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limitations apply to the validity, binding effect and/or enforceability of contractual terms if and to the extent that they:</w:t>
      </w:r>
    </w:p>
    <w:p>
      <w:pPr>
        <w:spacing w:after="0" w:line="198" w:lineRule="exact"/>
        <w:rPr>
          <w:rFonts w:ascii="Arial" w:cs="Arial" w:eastAsia="Arial" w:hAnsi="Arial"/>
          <w:sz w:val="18"/>
          <w:szCs w:val="18"/>
          <w:color w:val="auto"/>
        </w:rPr>
      </w:pPr>
    </w:p>
    <w:p>
      <w:pPr>
        <w:jc w:val="both"/>
        <w:ind w:left="1540" w:hanging="385"/>
        <w:spacing w:after="0"/>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provide for a party's or third person's determinations to be bind ing or conclusive upon the parties, or for a party or third person to be entitled to proceed or make determinations in its sole discretion or opinion, in matters affecting the legitimate interests of other parties;</w:t>
      </w:r>
    </w:p>
    <w:p>
      <w:pPr>
        <w:spacing w:after="0" w:line="189" w:lineRule="exact"/>
        <w:rPr>
          <w:rFonts w:ascii="Arial" w:cs="Arial" w:eastAsia="Arial" w:hAnsi="Arial"/>
          <w:sz w:val="18"/>
          <w:szCs w:val="18"/>
          <w:color w:val="auto"/>
        </w:rPr>
      </w:pPr>
    </w:p>
    <w:p>
      <w:pPr>
        <w:jc w:val="both"/>
        <w:ind w:left="1540" w:hanging="385"/>
        <w:spacing w:after="0"/>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provide for the indemnification of a party, or for the exoneration of a party from liability, if a court considers that such party (or any person whose acts are for that purpose imputed to it) caused or incurred the relevant damage in a wilful or negligent manner;</w:t>
      </w:r>
    </w:p>
    <w:p>
      <w:pPr>
        <w:spacing w:after="0" w:line="189" w:lineRule="exact"/>
        <w:rPr>
          <w:rFonts w:ascii="Arial" w:cs="Arial" w:eastAsia="Arial" w:hAnsi="Arial"/>
          <w:sz w:val="18"/>
          <w:szCs w:val="18"/>
          <w:color w:val="auto"/>
        </w:rPr>
      </w:pPr>
    </w:p>
    <w:p>
      <w:pPr>
        <w:ind w:left="1540" w:hanging="385"/>
        <w:spacing w:after="0"/>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provide for an obligation of a party that the court considers to constitute a contractual penalty;</w:t>
      </w:r>
    </w:p>
    <w:p>
      <w:pPr>
        <w:spacing w:after="0" w:line="211" w:lineRule="exact"/>
        <w:rPr>
          <w:rFonts w:ascii="Arial" w:cs="Arial" w:eastAsia="Arial" w:hAnsi="Arial"/>
          <w:sz w:val="18"/>
          <w:szCs w:val="18"/>
          <w:color w:val="auto"/>
        </w:rPr>
      </w:pPr>
    </w:p>
    <w:p>
      <w:pPr>
        <w:ind w:left="1540" w:hanging="385"/>
        <w:spacing w:after="0" w:line="246" w:lineRule="auto"/>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require a party to provide information, in any instance where the disclosure of such information would be unlawful in view of its nature or the circumstances; or</w:t>
      </w:r>
    </w:p>
    <w:p>
      <w:pPr>
        <w:spacing w:after="0" w:line="183" w:lineRule="exact"/>
        <w:rPr>
          <w:rFonts w:ascii="Arial" w:cs="Arial" w:eastAsia="Arial" w:hAnsi="Arial"/>
          <w:sz w:val="18"/>
          <w:szCs w:val="18"/>
          <w:color w:val="auto"/>
        </w:rPr>
      </w:pPr>
    </w:p>
    <w:p>
      <w:pPr>
        <w:ind w:left="1540" w:hanging="385"/>
        <w:spacing w:after="0" w:line="246" w:lineRule="auto"/>
        <w:tabs>
          <w:tab w:leader="none" w:pos="1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direct that a delivery or communication shall be deemed effective, where such delivery or communication was not in fact made or received;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0F0F0F"/>
        </w:rPr>
      </w:pPr>
      <w:r>
        <w:rPr>
          <w:rFonts w:ascii="Arial" w:cs="Arial" w:eastAsia="Arial" w:hAnsi="Arial"/>
          <w:sz w:val="18"/>
          <w:szCs w:val="18"/>
          <w:color w:val="auto"/>
        </w:rPr>
        <w:t xml:space="preserve">before </w:t>
      </w:r>
      <w:r>
        <w:rPr>
          <w:rFonts w:ascii="Arial" w:cs="Arial" w:eastAsia="Arial" w:hAnsi="Arial"/>
          <w:sz w:val="18"/>
          <w:szCs w:val="18"/>
          <w:color w:val="0F0F0F"/>
        </w:rPr>
        <w:t>a</w:t>
      </w:r>
      <w:r>
        <w:rPr>
          <w:rFonts w:ascii="Arial" w:cs="Arial" w:eastAsia="Arial" w:hAnsi="Arial"/>
          <w:sz w:val="18"/>
          <w:szCs w:val="18"/>
          <w:color w:val="auto"/>
        </w:rPr>
        <w:t xml:space="preserve"> Swiss court:</w:t>
      </w:r>
    </w:p>
    <w:p>
      <w:pPr>
        <w:spacing w:after="0" w:line="198" w:lineRule="exact"/>
        <w:rPr>
          <w:rFonts w:ascii="Arial" w:cs="Arial" w:eastAsia="Arial" w:hAnsi="Arial"/>
          <w:sz w:val="18"/>
          <w:szCs w:val="18"/>
          <w:color w:val="0F0F0F"/>
        </w:rPr>
      </w:pPr>
    </w:p>
    <w:p>
      <w:pPr>
        <w:ind w:left="1060" w:hanging="526"/>
        <w:spacing w:after="0" w:line="246" w:lineRule="auto"/>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allocation of litigation costs (whether costs of the court or costs of the parties), and obligations to indemnify for such costs, may be determined independently of contractual terms;</w:t>
      </w:r>
    </w:p>
    <w:p>
      <w:pPr>
        <w:spacing w:after="0" w:line="183" w:lineRule="exact"/>
        <w:rPr>
          <w:rFonts w:ascii="Arial" w:cs="Arial" w:eastAsia="Arial" w:hAnsi="Arial"/>
          <w:sz w:val="18"/>
          <w:szCs w:val="18"/>
          <w:color w:val="auto"/>
        </w:rPr>
      </w:pPr>
    </w:p>
    <w:p>
      <w:pPr>
        <w:ind w:left="1060" w:right="20" w:hanging="526"/>
        <w:spacing w:after="0" w:line="246" w:lineRule="auto"/>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proceedings may not be commenced, or may be stayed, if their subject matter is already being considered (or has already been decided upon) by another Swiss or foreign court, or an arbitral tribunal;</w:t>
      </w:r>
    </w:p>
    <w:p>
      <w:pPr>
        <w:spacing w:after="0" w:line="165" w:lineRule="exact"/>
        <w:rPr>
          <w:rFonts w:ascii="Arial" w:cs="Arial" w:eastAsia="Arial" w:hAnsi="Arial"/>
          <w:sz w:val="18"/>
          <w:szCs w:val="18"/>
          <w:color w:val="auto"/>
        </w:rPr>
      </w:pPr>
    </w:p>
    <w:p>
      <w:pPr>
        <w:ind w:left="1060" w:right="20" w:hanging="526"/>
        <w:spacing w:after="0" w:line="267" w:lineRule="auto"/>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 contractual term to the effect that the court should accept or not accept something as evidence (or as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for a fact may not be effective;</w:t>
      </w:r>
    </w:p>
    <w:p>
      <w:pPr>
        <w:spacing w:after="0" w:line="164" w:lineRule="exact"/>
        <w:rPr>
          <w:rFonts w:ascii="Arial" w:cs="Arial" w:eastAsia="Arial" w:hAnsi="Arial"/>
          <w:sz w:val="18"/>
          <w:szCs w:val="18"/>
          <w:color w:val="auto"/>
        </w:rPr>
      </w:pPr>
    </w:p>
    <w:p>
      <w:pPr>
        <w:jc w:val="both"/>
        <w:ind w:left="1060" w:hanging="526"/>
        <w:spacing w:after="0"/>
        <w:tabs>
          <w:tab w:leader="none" w:pos="10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recognition and enforceability of a final judgement of a New York court in Switzerland is subject to the conditions and limitations set forth in the IPLA. In particular and without limitation to the foregoing, a final judgment of a New York court may not be recognized or enforced in Switzerland if the relevant Swiss authority finds that such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52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78" w:lineRule="exact"/>
        <w:rPr>
          <w:sz w:val="20"/>
          <w:szCs w:val="20"/>
          <w:color w:val="auto"/>
        </w:rPr>
      </w:pPr>
    </w:p>
    <w:p>
      <w:pPr>
        <w:jc w:val="both"/>
        <w:ind w:left="1080"/>
        <w:spacing w:after="0" w:line="245" w:lineRule="auto"/>
        <w:rPr>
          <w:sz w:val="20"/>
          <w:szCs w:val="20"/>
          <w:color w:val="auto"/>
        </w:rPr>
      </w:pPr>
      <w:r>
        <w:rPr>
          <w:rFonts w:ascii="Arial" w:cs="Arial" w:eastAsia="Arial" w:hAnsi="Arial"/>
          <w:sz w:val="18"/>
          <w:szCs w:val="18"/>
          <w:color w:val="auto"/>
        </w:rPr>
        <w:t>or enforcement would contravene Swiss public policy (</w:t>
      </w:r>
      <w:r>
        <w:rPr>
          <w:rFonts w:ascii="Arial" w:cs="Arial" w:eastAsia="Arial" w:hAnsi="Arial"/>
          <w:sz w:val="18"/>
          <w:szCs w:val="18"/>
          <w:i w:val="1"/>
          <w:iCs w:val="1"/>
          <w:color w:val="auto"/>
        </w:rPr>
        <w:t>ordre public</w:t>
      </w:r>
      <w:r>
        <w:rPr>
          <w:rFonts w:ascii="Arial" w:cs="Arial" w:eastAsia="Arial" w:hAnsi="Arial"/>
          <w:sz w:val="18"/>
          <w:szCs w:val="18"/>
          <w:color w:val="auto"/>
        </w:rPr>
        <w:t>) (art. 27 para. 1 IPLA), or that a party was not properly served with process pursuant to the law at its domicile or permanent residence, the foreign court's proceedings did not observe basic principles of due process pursuant to Swiss law, or a dispute on the same subject had been submitted to or decided by another court at an earlier time (art. 27 para. 2 IPLA);</w:t>
      </w:r>
    </w:p>
    <w:p>
      <w:pPr>
        <w:spacing w:after="0" w:line="185" w:lineRule="exact"/>
        <w:rPr>
          <w:sz w:val="20"/>
          <w:szCs w:val="20"/>
          <w:color w:val="auto"/>
        </w:rPr>
      </w:pPr>
    </w:p>
    <w:p>
      <w:pPr>
        <w:jc w:val="both"/>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transmission of judicial documents, including service of process, in a manner other than provided by the Hague Convention on the Service Abroad of Judicial and Extrajudicial Documents in Civil or Commercial Matters of 15 November 1965 could be held invalid by a court in Switzerland despite a Swiss party having consented to such service and notification;</w:t>
      </w:r>
    </w:p>
    <w:p>
      <w:pPr>
        <w:spacing w:after="0" w:line="189"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enforceability in Switzerland of a foreign judgment rendered against the Issuer is subject to the limitations set forth in (i) the revised </w:t>
      </w:r>
      <w:r>
        <w:rPr>
          <w:rFonts w:ascii="Arial" w:cs="Arial" w:eastAsia="Arial" w:hAnsi="Arial"/>
          <w:sz w:val="18"/>
          <w:szCs w:val="18"/>
          <w:color w:val="0F0F0F"/>
        </w:rPr>
        <w:t xml:space="preserve">Lugano </w:t>
      </w:r>
      <w:r>
        <w:rPr>
          <w:rFonts w:ascii="Arial" w:cs="Arial" w:eastAsia="Arial" w:hAnsi="Arial"/>
          <w:sz w:val="18"/>
          <w:szCs w:val="18"/>
          <w:color w:val="000000"/>
        </w:rPr>
        <w:t>Convention on Jurisdiction and Enforcement of Judgments in Civil and Commercial Matters of 30 October 2007, as amended,</w:t>
      </w:r>
      <w:r>
        <w:rPr>
          <w:rFonts w:ascii="Arial" w:cs="Arial" w:eastAsia="Arial" w:hAnsi="Arial"/>
          <w:sz w:val="18"/>
          <w:szCs w:val="18"/>
          <w:color w:val="0F0F0F"/>
        </w:rPr>
        <w:t xml:space="preserve"> </w:t>
      </w:r>
      <w:r>
        <w:rPr>
          <w:rFonts w:ascii="Arial" w:cs="Arial" w:eastAsia="Arial" w:hAnsi="Arial"/>
          <w:sz w:val="18"/>
          <w:szCs w:val="18"/>
          <w:color w:val="000000"/>
        </w:rPr>
        <w:t>(ii) such other international treaties under which Switzerland is bound, and (iii) the Swiss Private International Law Act of 18 December 1987, as amended;</w:t>
      </w:r>
    </w:p>
    <w:p>
      <w:pPr>
        <w:spacing w:after="0" w:line="191"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 valid choice of law by the parties to an agreement, a Swiss court will not apply a provision of foreign law if and to the extent that this would, in the court's view, lead to a result violating Swiss public policy (</w:t>
      </w:r>
      <w:r>
        <w:rPr>
          <w:rFonts w:ascii="Arial" w:cs="Arial" w:eastAsia="Arial" w:hAnsi="Arial"/>
          <w:sz w:val="18"/>
          <w:szCs w:val="18"/>
          <w:i w:val="1"/>
          <w:iCs w:val="1"/>
          <w:color w:val="auto"/>
        </w:rPr>
        <w:t>ordre public</w:t>
      </w:r>
      <w:r>
        <w:rPr>
          <w:rFonts w:ascii="Arial" w:cs="Arial" w:eastAsia="Arial" w:hAnsi="Arial"/>
          <w:sz w:val="18"/>
          <w:szCs w:val="18"/>
          <w:color w:val="auto"/>
        </w:rPr>
        <w:t>). Moreover, a Swiss court will apply, notwithstanding a valid choice of foreign law by the parties, any provisions of Swiss law (and, subject to further conditions, of another foreign law) which in the court's view imperatively demand application in view of their specific purpose (</w:t>
      </w:r>
      <w:r>
        <w:rPr>
          <w:rFonts w:ascii="Arial" w:cs="Arial" w:eastAsia="Arial" w:hAnsi="Arial"/>
          <w:sz w:val="18"/>
          <w:szCs w:val="18"/>
          <w:i w:val="1"/>
          <w:iCs w:val="1"/>
          <w:color w:val="auto"/>
        </w:rPr>
        <w:t>lois d'application immédiate</w:t>
      </w:r>
      <w:r>
        <w:rPr>
          <w:rFonts w:ascii="Arial" w:cs="Arial" w:eastAsia="Arial" w:hAnsi="Arial"/>
          <w:sz w:val="18"/>
          <w:szCs w:val="18"/>
          <w:color w:val="auto"/>
        </w:rPr>
        <w:t>). The particulars of performance or examination under an agreement may be governed by the law of the jurisdiction where they do or should occur, rather than by the law generally governing the agreement. In disputes of a commercial nature, a Swiss court may furthermore require a party invoking the applicability of foreign laws to prove their content, and in the absence of such proof apply Swiss substantive law instead;</w:t>
      </w:r>
    </w:p>
    <w:p>
      <w:pPr>
        <w:spacing w:after="0" w:line="194"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Swiss court may disregard an otherwise valid submission to jurisdiction if it considers that a party would thereby be improperly deprived of a Swiss forum;</w:t>
      </w:r>
    </w:p>
    <w:p>
      <w:pPr>
        <w:spacing w:after="0" w:line="183" w:lineRule="exact"/>
        <w:rPr>
          <w:rFonts w:ascii="Arial" w:cs="Arial" w:eastAsia="Arial" w:hAnsi="Arial"/>
          <w:sz w:val="18"/>
          <w:szCs w:val="18"/>
          <w:color w:val="auto"/>
        </w:rPr>
      </w:pPr>
    </w:p>
    <w:p>
      <w:pPr>
        <w:jc w:val="both"/>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enforceability of obligations (including judgment obligations) in Switzerland may be or become affected by rules enacted under the Swiss Federal Act on the Enforcement of International Sanctions of 22 March 2002, as amended (Embargo Act) and/or otherwise in connection with international sanction regimes;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7"/>
        </w:trPr>
        <w:tc>
          <w:tcPr>
            <w:tcW w:w="1920" w:type="dxa"/>
            <w:vAlign w:val="bottom"/>
          </w:tcPr>
          <w:p>
            <w:pPr>
              <w:spacing w:after="0"/>
              <w:rPr>
                <w:sz w:val="20"/>
                <w:szCs w:val="20"/>
                <w:color w:val="auto"/>
              </w:rPr>
            </w:pPr>
            <w:r>
              <w:rPr>
                <w:rFonts w:ascii="Arial" w:cs="Arial" w:eastAsia="Arial" w:hAnsi="Arial"/>
                <w:sz w:val="18"/>
                <w:szCs w:val="18"/>
                <w:color w:val="auto"/>
              </w:rPr>
              <w:t>Bär &amp; Karrer</w:t>
            </w:r>
          </w:p>
        </w:tc>
        <w:tc>
          <w:tcPr>
            <w:tcW w:w="5480" w:type="dxa"/>
            <w:vAlign w:val="bottom"/>
          </w:tcPr>
          <w:p>
            <w:pPr>
              <w:ind w:left="900"/>
              <w:spacing w:after="0"/>
              <w:rPr>
                <w:sz w:val="20"/>
                <w:szCs w:val="20"/>
                <w:color w:val="auto"/>
              </w:rPr>
            </w:pPr>
            <w:r>
              <w:rPr>
                <w:rFonts w:ascii="Arial" w:cs="Arial" w:eastAsia="Arial" w:hAnsi="Arial"/>
                <w:sz w:val="18"/>
                <w:szCs w:val="18"/>
                <w:color w:val="auto"/>
              </w:rPr>
              <w:t>5 May 2021</w:t>
            </w:r>
          </w:p>
        </w:tc>
        <w:tc>
          <w:tcPr>
            <w:tcW w:w="38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96" w:lineRule="exact"/>
        <w:rPr>
          <w:sz w:val="20"/>
          <w:szCs w:val="20"/>
          <w:color w:val="auto"/>
        </w:rPr>
      </w:pPr>
    </w:p>
    <w:p>
      <w:pPr>
        <w:ind w:left="540" w:hanging="532"/>
        <w:spacing w:after="0" w:line="246"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for the purposes of enforcement or insolvency proceedings in </w:t>
      </w:r>
      <w:r>
        <w:rPr>
          <w:rFonts w:ascii="Arial" w:cs="Arial" w:eastAsia="Arial" w:hAnsi="Arial"/>
          <w:sz w:val="18"/>
          <w:szCs w:val="18"/>
          <w:color w:val="0F0F0F"/>
        </w:rPr>
        <w:t>Switzerland</w:t>
      </w:r>
      <w:r>
        <w:rPr>
          <w:rFonts w:ascii="Arial" w:cs="Arial" w:eastAsia="Arial" w:hAnsi="Arial"/>
          <w:sz w:val="18"/>
          <w:szCs w:val="18"/>
          <w:color w:val="auto"/>
        </w:rPr>
        <w:t xml:space="preserve">, </w:t>
      </w:r>
      <w:r>
        <w:rPr>
          <w:rFonts w:ascii="Arial" w:cs="Arial" w:eastAsia="Arial" w:hAnsi="Arial"/>
          <w:sz w:val="18"/>
          <w:szCs w:val="18"/>
          <w:color w:val="0F0F0F"/>
        </w:rPr>
        <w:t>any</w:t>
      </w:r>
      <w:r>
        <w:rPr>
          <w:rFonts w:ascii="Arial" w:cs="Arial" w:eastAsia="Arial" w:hAnsi="Arial"/>
          <w:sz w:val="18"/>
          <w:szCs w:val="18"/>
          <w:color w:val="auto"/>
        </w:rPr>
        <w:t xml:space="preserve"> claim, judgment or arbitral award expressed in a currency other than Swiss francs will have to be converted into Swiss francs.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letter, Swiss legal concepts are expressed in English terms and not in their original terms in an official language of Switzerland. The concepts concerned may not be identical to the concepts described by the same English terms as they exist under the laws of other jurisdictions. This letter may, therefore, only be relied upon under the express condition that any issues of interpretation or liability arising hereunder will be governed by Swiss law.</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letter sets out our opinion on certain matters of Swiss law only, as it is in force, interpreted and applied by the Swiss courts (pursuant to generally accessible legal sources) at the date hereof.</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letter is confidential and rendered solely to the persons to whom it is addressed, as stated on its first page (the "</w:t>
      </w:r>
      <w:r>
        <w:rPr>
          <w:rFonts w:ascii="Arial" w:cs="Arial" w:eastAsia="Arial" w:hAnsi="Arial"/>
          <w:sz w:val="18"/>
          <w:szCs w:val="18"/>
          <w:b w:val="1"/>
          <w:bCs w:val="1"/>
          <w:color w:val="auto"/>
        </w:rPr>
        <w:t>Addressees</w:t>
      </w:r>
      <w:r>
        <w:rPr>
          <w:rFonts w:ascii="Arial" w:cs="Arial" w:eastAsia="Arial" w:hAnsi="Arial"/>
          <w:sz w:val="18"/>
          <w:szCs w:val="18"/>
          <w:color w:val="auto"/>
        </w:rPr>
        <w:t>"), and for the purpose of the transactions herein referred to. We have taken instructions solely from the Issuer, and this letter shall not give rise to an attorney-client relationship between us and any other person. This letter (or the fact of its existence) may not be disclosed to any person other than the Addressees (except, on a confidential and non-reliance basis, to the Addressees' affiliates, the Addressees' auditors and their advisors in respect of those transactions, or as required by law or regulation or order of court, or in seeking to establish a defense in any legal or regulatory proceeding or investigation relating to the matters set out herein), or quoted or referred to in any public document, and it may not be used or relied upon by any other person (including persons to whom disclosure is permitted) or for any other purpose, without our prior written consent in each instance.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letter is governed by and shall be interpreted in accordance with Swiss law. Our opinions, as set out in Section 3 of this letter, are strictly limited to the matters there explicitly stated, and do not apply by implication to any other matters. We do not assume any obligation to inform you of any facts or changes of law occurring or coming to our attention after the date of this letter, and which might have an impact on any matters addressed in our opinions.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Bär &amp; Karrer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1"/>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1)"/>
      <w:numFmt w:val="lowerLetter"/>
      <w:start w:val="2"/>
    </w:lvl>
  </w:abstractNum>
  <w:abstractNum w:abstractNumId="3">
    <w:nsid w:val="3006C83E"/>
    <w:multiLevelType w:val="hybridMultilevel"/>
    <w:lvl w:ilvl="0">
      <w:lvlJc w:val="left"/>
      <w:lvlText w:val="(%1)"/>
      <w:numFmt w:val="lowerLetter"/>
      <w:start w:val="3"/>
    </w:lvl>
  </w:abstractNum>
  <w:abstractNum w:abstractNumId="4">
    <w:nsid w:val="614FD4A1"/>
    <w:multiLevelType w:val="hybridMultilevel"/>
    <w:lvl w:ilvl="0">
      <w:lvlJc w:val="left"/>
      <w:lvlText w:val="(%1)"/>
      <w:numFmt w:val="lowerLetter"/>
      <w:start w:val="8"/>
    </w:lvl>
  </w:abstractNum>
  <w:abstractNum w:abstractNumId="5">
    <w:nsid w:val="419AC241"/>
    <w:multiLevelType w:val="hybridMultilevel"/>
    <w:lvl w:ilvl="0">
      <w:lvlJc w:val="left"/>
      <w:lvlText w:val="(%1)"/>
      <w:numFmt w:val="lowerLetter"/>
      <w:start w:val="13"/>
    </w:lvl>
  </w:abstractNum>
  <w:abstractNum w:abstractNumId="6">
    <w:nsid w:val="5577F8E1"/>
    <w:multiLevelType w:val="hybridMultilevel"/>
    <w:lvl w:ilvl="0">
      <w:lvlJc w:val="left"/>
      <w:lvlText w:val="(%1)"/>
      <w:numFmt w:val="lowerLetter"/>
      <w:start w:val="16"/>
    </w:lvl>
  </w:abstractNum>
  <w:abstractNum w:abstractNumId="7">
    <w:nsid w:val="440BADFC"/>
    <w:multiLevelType w:val="hybridMultilevel"/>
    <w:lvl w:ilvl="0">
      <w:lvlJc w:val="left"/>
      <w:lvlText w:val="(%1)"/>
      <w:numFmt w:val="lowerLetter"/>
      <w:start w:val="20"/>
    </w:lvl>
  </w:abstractNum>
  <w:abstractNum w:abstractNumId="8">
    <w:nsid w:val="5072367"/>
    <w:multiLevelType w:val="hybridMultilevel"/>
    <w:lvl w:ilvl="0">
      <w:lvlJc w:val="left"/>
      <w:lvlText w:val="(%1)"/>
      <w:numFmt w:val="lowerLetter"/>
      <w:start w:val="25"/>
    </w:lvl>
  </w:abstractNum>
  <w:abstractNum w:abstractNumId="9">
    <w:nsid w:val="3804823E"/>
    <w:multiLevelType w:val="hybridMultilevel"/>
    <w:lvl w:ilvl="0">
      <w:lvlJc w:val="left"/>
      <w:lvlText w:val="(%1)"/>
      <w:numFmt w:val="lowerLetter"/>
      <w:start w:val="27"/>
    </w:lvl>
  </w:abstractNum>
  <w:abstractNum w:abstractNumId="10">
    <w:nsid w:val="77465F01"/>
    <w:multiLevelType w:val="hybridMultilevel"/>
    <w:lvl w:ilvl="0">
      <w:lvlJc w:val="left"/>
      <w:lvlText w:val="(%1)"/>
      <w:numFmt w:val="lowerLetter"/>
      <w:start w:val="29"/>
    </w:lvl>
  </w:abstractNum>
  <w:abstractNum w:abstractNumId="11">
    <w:nsid w:val="7724C67E"/>
    <w:multiLevelType w:val="hybridMultilevel"/>
    <w:lvl w:ilvl="0">
      <w:lvlJc w:val="left"/>
      <w:lvlText w:val="(%1)"/>
      <w:numFmt w:val="lowerLetter"/>
      <w:start w:val="36"/>
    </w:lvl>
  </w:abstractNum>
  <w:abstractNum w:abstractNumId="12">
    <w:nsid w:val="5C482A97"/>
    <w:multiLevelType w:val="hybridMultilevel"/>
    <w:lvl w:ilvl="0">
      <w:lvlJc w:val="left"/>
      <w:lvlText w:val="(%1)"/>
      <w:numFmt w:val="lowerLetter"/>
      <w:start w:val="40"/>
    </w:lvl>
  </w:abstractNum>
  <w:abstractNum w:abstractNumId="13">
    <w:nsid w:val="2463B9EA"/>
    <w:multiLevelType w:val="hybridMultilevel"/>
    <w:lvl w:ilvl="0">
      <w:lvlJc w:val="left"/>
      <w:lvlText w:val="(%1)"/>
      <w:numFmt w:val="lowerLetter"/>
      <w:start w:val="46"/>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upperLetter"/>
      <w:start w:val="1"/>
    </w:lvl>
    <w:lvl w:ilvl="1">
      <w:lvlJc w:val="left"/>
      <w:lvlText w:val="(%2)"/>
      <w:numFmt w:val="lowerRoman"/>
      <w:start w:val="1"/>
    </w:lvl>
  </w:abstractNum>
  <w:abstractNum w:abstractNumId="16">
    <w:nsid w:val="2D517796"/>
    <w:multiLevelType w:val="hybridMultilevel"/>
    <w:lvl w:ilvl="0">
      <w:lvlJc w:val="left"/>
      <w:lvlText w:val="(%1)"/>
      <w:numFmt w:val="upperLetter"/>
      <w:start w:val="2"/>
    </w:lvl>
    <w:lvl w:ilvl="1">
      <w:lvlJc w:val="left"/>
      <w:lvlText w:val="(%2)"/>
      <w:numFmt w:val="lowerRoman"/>
      <w:start w:val="4"/>
    </w:lvl>
  </w:abstractNum>
  <w:abstractNum w:abstractNumId="17">
    <w:nsid w:val="580BD78F"/>
    <w:multiLevelType w:val="hybridMultilevel"/>
    <w:lvl w:ilvl="0">
      <w:lvlJc w:val="left"/>
      <w:lvlText w:val="(%1)"/>
      <w:numFmt w:val="lowerRoman"/>
      <w:start w:val="5"/>
    </w:lvl>
  </w:abstractNum>
  <w:abstractNum w:abstractNumId="18">
    <w:nsid w:val="153EA438"/>
    <w:multiLevelType w:val="hybridMultilevel"/>
    <w:lvl w:ilvl="0">
      <w:lvlJc w:val="left"/>
      <w:lvlText w:val="(%1)"/>
      <w:numFmt w:val="lowerLetter"/>
      <w:start w:val="3"/>
    </w:lvl>
  </w:abstractNum>
  <w:abstractNum w:abstractNumId="19">
    <w:nsid w:val="3855585C"/>
    <w:multiLevelType w:val="hybridMultilevel"/>
    <w:lvl w:ilvl="0">
      <w:lvlJc w:val="left"/>
      <w:lvlText w:val="%1"/>
      <w:numFmt w:val="lowerRoman"/>
      <w:start w:val="1"/>
    </w:lvl>
    <w:lvl w:ilvl="1">
      <w:lvlJc w:val="left"/>
      <w:lvlText w:val="(%2)"/>
      <w:numFmt w:val="lowerLetter"/>
      <w:start w:val="4"/>
    </w:lvl>
  </w:abstractNum>
  <w:abstractNum w:abstractNumId="20">
    <w:nsid w:val="70A64E2A"/>
    <w:multiLevelType w:val="hybridMultilevel"/>
    <w:lvl w:ilvl="0">
      <w:lvlJc w:val="left"/>
      <w:lvlText w:val="(%1)"/>
      <w:numFmt w:val="lowerRoman"/>
      <w:start w:val="9"/>
    </w:lvl>
    <w:lvl w:ilvl="1">
      <w:lvlJc w:val="left"/>
      <w:lvlText w:val="%2"/>
      <w:numFmt w:val="lowerLetter"/>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lowerLetter"/>
      <w:start w:val="2"/>
    </w:lvl>
  </w:abstractNum>
  <w:abstractNum w:abstractNumId="23">
    <w:nsid w:val="1D4ED43B"/>
    <w:multiLevelType w:val="hybridMultilevel"/>
    <w:lvl w:ilvl="0">
      <w:lvlJc w:val="left"/>
      <w:lvlText w:val="(%1)"/>
      <w:numFmt w:val="lowerLetter"/>
      <w:start w:val="4"/>
    </w:lvl>
  </w:abstractNum>
  <w:abstractNum w:abstractNumId="24">
    <w:nsid w:val="725A06FB"/>
    <w:multiLevelType w:val="hybridMultilevel"/>
    <w:lvl w:ilvl="0">
      <w:lvlJc w:val="left"/>
      <w:lvlText w:val="(%1)"/>
      <w:numFmt w:val="lowerLetter"/>
      <w:start w:val="7"/>
    </w:lvl>
  </w:abstractNum>
  <w:abstractNum w:abstractNumId="25">
    <w:nsid w:val="2CD89A32"/>
    <w:multiLevelType w:val="hybridMultilevel"/>
    <w:lvl w:ilvl="0">
      <w:lvlJc w:val="left"/>
      <w:lvlText w:val="%1"/>
      <w:numFmt w:val="lowerLetter"/>
      <w:start w:val="1"/>
    </w:lvl>
    <w:lvl w:ilvl="1">
      <w:lvlJc w:val="left"/>
      <w:lvlText w:val="(%2)"/>
      <w:numFmt w:val="lowerLetter"/>
      <w:start w:val="10"/>
    </w:lvl>
    <w:lvl w:ilvl="2">
      <w:lvlJc w:val="left"/>
      <w:lvlText w:val="%3"/>
      <w:numFmt w:val="upperLetter"/>
      <w:start w:val="1"/>
    </w:lvl>
  </w:abstractNum>
  <w:abstractNum w:abstractNumId="26">
    <w:nsid w:val="57E4CCAF"/>
    <w:multiLevelType w:val="hybridMultilevel"/>
    <w:lvl w:ilvl="0">
      <w:lvlJc w:val="left"/>
      <w:lvlText w:val="(%1)"/>
      <w:numFmt w:val="lowerLetter"/>
      <w:start w:val="35"/>
    </w:lvl>
    <w:lvl w:ilvl="1">
      <w:lvlJc w:val="left"/>
      <w:lvlText w:val="(%2)"/>
      <w:numFmt w:val="lowerLetter"/>
      <w:start w:val="15"/>
    </w:lvl>
    <w:lvl w:ilvl="2">
      <w:lvlJc w:val="left"/>
      <w:lvlText w:val="(%3)"/>
      <w:numFmt w:val="upperLetter"/>
      <w:start w:val="1"/>
    </w:lvl>
  </w:abstractNum>
  <w:abstractNum w:abstractNumId="27">
    <w:nsid w:val="7A6D8D3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28">
    <w:nsid w:val="4B588F54"/>
    <w:multiLevelType w:val="hybridMultilevel"/>
    <w:lvl w:ilvl="0">
      <w:lvlJc w:val="left"/>
      <w:lvlText w:val="%1"/>
      <w:numFmt w:val="lowerRoman"/>
      <w:start w:val="1"/>
    </w:lvl>
    <w:lvl w:ilvl="1">
      <w:lvlJc w:val="left"/>
      <w:lvlText w:val="(%2)"/>
      <w:numFmt w:val="lowerLetter"/>
      <w:start w:val="16"/>
    </w:lvl>
    <w:lvl w:ilvl="2">
      <w:lvlJc w:val="left"/>
      <w:lvlText w:val="%3"/>
      <w:numFmt w:val="upperLetter"/>
      <w:start w:val="1"/>
    </w:lvl>
  </w:abstractNum>
  <w:abstractNum w:abstractNumId="29">
    <w:nsid w:val="542289EC"/>
    <w:multiLevelType w:val="hybridMultilevel"/>
    <w:lvl w:ilvl="0">
      <w:lvlJc w:val="left"/>
      <w:lvlText w:val="(%1)"/>
      <w:numFmt w:val="lowerRoman"/>
      <w:start w:val="4"/>
    </w:lvl>
    <w:lvl w:ilvl="1">
      <w:lvlJc w:val="left"/>
      <w:lvlText w:val="(%2)"/>
      <w:numFmt w:val="lowerLetter"/>
      <w:start w:val="17"/>
    </w:lvl>
    <w:lvl w:ilvl="2">
      <w:lvlJc w:val="left"/>
      <w:lvlText w:val="%3"/>
      <w:numFmt w:val="upperLetter"/>
      <w:start w:val="1"/>
    </w:lvl>
  </w:abstractNum>
  <w:abstractNum w:abstractNumId="30">
    <w:nsid w:val="6DE91B18"/>
    <w:multiLevelType w:val="hybridMultilevel"/>
    <w:lvl w:ilvl="0">
      <w:lvlJc w:val="left"/>
      <w:lvlText w:val="(%1)"/>
      <w:numFmt w:val="lowerLetter"/>
      <w:start w:val="18"/>
    </w:lvl>
  </w:abstractNum>
  <w:abstractNum w:abstractNumId="31">
    <w:nsid w:val="38437FDB"/>
    <w:multiLevelType w:val="hybridMultilevel"/>
    <w:lvl w:ilvl="0">
      <w:lvlJc w:val="left"/>
      <w:lvlText w:val="%1"/>
      <w:numFmt w:val="lowerRoman"/>
      <w:start w:val="1"/>
    </w:lvl>
    <w:lvl w:ilvl="1">
      <w:lvlJc w:val="left"/>
      <w:lvlText w:val="(%2)"/>
      <w:numFmt w:val="lowerLetter"/>
      <w:start w:val="23"/>
    </w:lvl>
  </w:abstractNum>
  <w:abstractNum w:abstractNumId="32">
    <w:nsid w:val="7644A45C"/>
    <w:multiLevelType w:val="hybridMultilevel"/>
    <w:lvl w:ilvl="0">
      <w:lvlJc w:val="left"/>
      <w:lvlText w:val="(%1)"/>
      <w:numFmt w:val="lowerRoman"/>
      <w:start w:val="2"/>
    </w:lvl>
    <w:lvl w:ilvl="1">
      <w:lvlJc w:val="left"/>
      <w:lvlText w:val="%2"/>
      <w:numFmt w:val="lowerLetter"/>
      <w:start w:val="1"/>
    </w:lvl>
  </w:abstractNum>
  <w:abstractNum w:abstractNumId="33">
    <w:nsid w:val="32FFF902"/>
    <w:multiLevelType w:val="hybridMultilevel"/>
    <w:lvl w:ilvl="0">
      <w:lvlJc w:val="left"/>
      <w:lvlText w:val="(%1)"/>
      <w:numFmt w:val="lowerRoman"/>
      <w:start w:val="4"/>
    </w:lvl>
    <w:lvl w:ilvl="1">
      <w:lvlJc w:val="left"/>
      <w:lvlText w:val="%2"/>
      <w:numFmt w:val="lowerLetter"/>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Roman"/>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2"/>
    </w:lvl>
  </w:abstractNum>
  <w:abstractNum w:abstractNumId="39">
    <w:nsid w:val="79A1DEAA"/>
    <w:multiLevelType w:val="hybridMultilevel"/>
    <w:lvl w:ilvl="0">
      <w:lvlJc w:val="left"/>
      <w:lvlText w:val="(%1)"/>
      <w:numFmt w:val="lowerLetter"/>
      <w:start w:val="3"/>
    </w:lvl>
  </w:abstractNum>
  <w:abstractNum w:abstractNumId="40">
    <w:nsid w:val="75C6C33A"/>
    <w:multiLevelType w:val="hybridMultilevel"/>
    <w:lvl w:ilvl="0">
      <w:lvlJc w:val="left"/>
      <w:lvlText w:val="(%1)"/>
      <w:numFmt w:val="lowerLetter"/>
      <w:start w:val="5"/>
    </w:lvl>
  </w:abstractNum>
  <w:abstractNum w:abstractNumId="41">
    <w:nsid w:val="12E685FB"/>
    <w:multiLevelType w:val="hybridMultilevel"/>
    <w:lvl w:ilvl="0">
      <w:lvlJc w:val="left"/>
      <w:lvlText w:val="(%1)"/>
      <w:numFmt w:val="lowerLetter"/>
      <w:start w:val="1"/>
    </w:lvl>
    <w:lvl w:ilvl="1">
      <w:lvlJc w:val="left"/>
      <w:lvlText w:val="(%2)"/>
      <w:numFmt w:val="lowerRoman"/>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2"/>
    </w:lvl>
  </w:abstractNum>
  <w:abstractNum w:abstractNumId="44">
    <w:nsid w:val="374A3FE6"/>
    <w:multiLevelType w:val="hybridMultilevel"/>
    <w:lvl w:ilvl="0">
      <w:lvlJc w:val="left"/>
      <w:lvlText w:val="%1"/>
      <w:numFmt w:val="decimal"/>
      <w:start w:val="450"/>
    </w:lvl>
  </w:abstractNum>
  <w:abstractNum w:abstractNumId="45">
    <w:nsid w:val="4F4EF005"/>
    <w:multiLevelType w:val="hybridMultilevel"/>
    <w:lvl w:ilvl="0">
      <w:lvlJc w:val="left"/>
      <w:lvlText w:val="(%1)"/>
      <w:numFmt w:val="lowerLetter"/>
      <w:start w:val="5"/>
    </w:lvl>
  </w:abstractNum>
  <w:abstractNum w:abstractNumId="46">
    <w:nsid w:val="23F9C13C"/>
    <w:multiLevelType w:val="hybridMultilevel"/>
    <w:lvl w:ilvl="0">
      <w:lvlJc w:val="left"/>
      <w:lvlText w:val="(%1)"/>
      <w:numFmt w:val="lowerLetter"/>
      <w:start w:val="7"/>
    </w:lvl>
  </w:abstractNum>
  <w:abstractNum w:abstractNumId="47">
    <w:nsid w:val="649BB77C"/>
    <w:multiLevelType w:val="hybridMultilevel"/>
    <w:lvl w:ilvl="0">
      <w:lvlJc w:val="left"/>
      <w:lvlText w:val="1"/>
      <w:numFmt w:val="bullet"/>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2"/>
      <w:numFmt w:val="bullet"/>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5"/>
    </w:lvl>
  </w:abstractNum>
  <w:abstractNum w:abstractNumId="53">
    <w:nsid w:val="47398C89"/>
    <w:multiLevelType w:val="hybridMultilevel"/>
    <w:lvl w:ilvl="0">
      <w:lvlJc w:val="left"/>
      <w:lvlText w:val="%1)"/>
      <w:numFmt w:val="lowerLetter"/>
      <w:start w:val="13"/>
    </w:lvl>
  </w:abstractNum>
  <w:abstractNum w:abstractNumId="54">
    <w:nsid w:val="354FE9F9"/>
    <w:multiLevelType w:val="hybridMultilevel"/>
    <w:lvl w:ilvl="0">
      <w:lvlJc w:val="left"/>
      <w:lvlText w:val="3"/>
      <w:numFmt w:val="bullet"/>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4"/>
      <w:numFmt w:val="bullet"/>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5"/>
    </w:lvl>
    <w:lvl w:ilvl="1">
      <w:lvlJc w:val="left"/>
      <w:lvlText w:val="(%2)"/>
      <w:numFmt w:val="lowerRoman"/>
      <w:start w:val="1"/>
    </w:lvl>
  </w:abstractNum>
  <w:abstractNum w:abstractNumId="59">
    <w:nsid w:val="3F6AB60F"/>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60">
    <w:nsid w:val="61574095"/>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61">
    <w:nsid w:val="7E0C57B1"/>
    <w:multiLevelType w:val="hybridMultilevel"/>
    <w:lvl w:ilvl="0">
      <w:lvlJc w:val="left"/>
      <w:lvlText w:val="%1)"/>
      <w:numFmt w:val="lowerLetter"/>
      <w:start w:val="10"/>
    </w:lvl>
  </w:abstractNum>
  <w:abstractNum w:abstractNumId="62">
    <w:nsid w:val="77AE35EB"/>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2021-05-05T16:05:40Z</dcterms:created>
  <dcterms:modified xsi:type="dcterms:W3CDTF">2021-05-05T16:05:40Z</dcterms:modified>
</cp:coreProperties>
</file>