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142240</wp:posOffset>
            </wp:positionV>
            <wp:extent cx="727773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735" cy="33020"/>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181610</wp:posOffset>
            </wp:positionV>
            <wp:extent cx="72777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735" cy="6350"/>
                    </a:xfrm>
                    <a:prstGeom prst="rect">
                      <a:avLst/>
                    </a:prstGeom>
                    <a:noFill/>
                  </pic:spPr>
                </pic:pic>
              </a:graphicData>
            </a:graphic>
          </wp:anchor>
        </w:drawing>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6-K</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REPORT OF FOREIGN PRIVATE ISSUER PURSUANT TO RULE 13a-16</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 15d-16 UNDER THE SECURITIES EXCHANGE ACT OF 1934</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month of June,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1953895</wp:posOffset>
            </wp:positionH>
            <wp:positionV relativeFrom="paragraph">
              <wp:posOffset>57150</wp:posOffset>
            </wp:positionV>
            <wp:extent cx="18243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4355" cy="635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001-37891</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AC IMMUNE SA</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EPFL Innovation Park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Building B</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Indicate by check mark whether the registrant files or will file annual reports under cover of Form 20-F or Form 40-F:</w:t>
      </w:r>
    </w:p>
    <w:p>
      <w:pPr>
        <w:spacing w:after="0" w:line="185" w:lineRule="exact"/>
        <w:rPr>
          <w:sz w:val="24"/>
          <w:szCs w:val="24"/>
          <w:color w:val="auto"/>
        </w:rPr>
      </w:pPr>
    </w:p>
    <w:p>
      <w:pPr>
        <w:ind w:left="2180"/>
        <w:spacing w:after="0"/>
        <w:tabs>
          <w:tab w:leader="none" w:pos="3620" w:val="left"/>
          <w:tab w:leader="none" w:pos="5460" w:val="left"/>
        </w:tabs>
        <w:rPr>
          <w:sz w:val="20"/>
          <w:szCs w:val="20"/>
          <w:color w:val="auto"/>
        </w:rPr>
      </w:pPr>
      <w:r>
        <w:rPr>
          <w:rFonts w:ascii="Arial" w:cs="Arial" w:eastAsia="Arial" w:hAnsi="Arial"/>
          <w:sz w:val="14"/>
          <w:szCs w:val="14"/>
          <w:color w:val="auto"/>
        </w:rPr>
        <w:t>Form 20-F</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2"/>
          <w:szCs w:val="12"/>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2106930</wp:posOffset>
            </wp:positionH>
            <wp:positionV relativeFrom="paragraph">
              <wp:posOffset>10795</wp:posOffset>
            </wp:positionV>
            <wp:extent cx="5105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0540" cy="6350"/>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17145</wp:posOffset>
            </wp:positionV>
            <wp:extent cx="50419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4190" cy="6350"/>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Indicate by check mark if the registrant is submitting the Form 6-K in paper as permitted by Regulation S-T Rule 101(b)(1):</w:t>
      </w:r>
    </w:p>
    <w:p>
      <w:pPr>
        <w:spacing w:after="0" w:line="196" w:lineRule="exact"/>
        <w:rPr>
          <w:sz w:val="24"/>
          <w:szCs w:val="24"/>
          <w:color w:val="auto"/>
        </w:rPr>
      </w:pPr>
    </w:p>
    <w:p>
      <w:pPr>
        <w:ind w:left="2380"/>
        <w:spacing w:after="0"/>
        <w:tabs>
          <w:tab w:leader="none" w:pos="5680" w:val="left"/>
          <w:tab w:leader="none" w:pos="690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4183380</wp:posOffset>
            </wp:positionH>
            <wp:positionV relativeFrom="paragraph">
              <wp:posOffset>10795</wp:posOffset>
            </wp:positionV>
            <wp:extent cx="5041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4190" cy="6350"/>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17145</wp:posOffset>
            </wp:positionV>
            <wp:extent cx="5105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0540" cy="6350"/>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Indicate by check mark if the registrant is submitting the Form 6-K in paper as permitted by Regulation S-T Rule 101(b)(7):</w:t>
      </w:r>
    </w:p>
    <w:p>
      <w:pPr>
        <w:spacing w:after="0" w:line="196" w:lineRule="exact"/>
        <w:rPr>
          <w:sz w:val="24"/>
          <w:szCs w:val="24"/>
          <w:color w:val="auto"/>
        </w:rPr>
      </w:pPr>
    </w:p>
    <w:p>
      <w:pPr>
        <w:ind w:left="2380"/>
        <w:spacing w:after="0"/>
        <w:tabs>
          <w:tab w:leader="none" w:pos="5680" w:val="left"/>
          <w:tab w:leader="none" w:pos="690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4183380</wp:posOffset>
            </wp:positionH>
            <wp:positionV relativeFrom="paragraph">
              <wp:posOffset>10795</wp:posOffset>
            </wp:positionV>
            <wp:extent cx="5041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4190" cy="6350"/>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17145</wp:posOffset>
            </wp:positionV>
            <wp:extent cx="51054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0540" cy="6350"/>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282575</wp:posOffset>
            </wp:positionV>
            <wp:extent cx="727773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Annual Ordinary Shareholders’ Meeting Results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On June 28, 2017, AC Immune SA (“</w:t>
      </w:r>
      <w:r>
        <w:rPr>
          <w:rFonts w:ascii="Arial" w:cs="Arial" w:eastAsia="Arial" w:hAnsi="Arial"/>
          <w:sz w:val="12"/>
          <w:szCs w:val="12"/>
          <w:b w:val="1"/>
          <w:bCs w:val="1"/>
          <w:color w:val="auto"/>
        </w:rPr>
        <w:t>AC Immune</w:t>
      </w:r>
      <w:r>
        <w:rPr>
          <w:rFonts w:ascii="Arial" w:cs="Arial" w:eastAsia="Arial" w:hAnsi="Arial"/>
          <w:sz w:val="12"/>
          <w:szCs w:val="12"/>
          <w:color w:val="auto"/>
        </w:rPr>
        <w:t>”) held its annual Ordinary Shareholders’ Meeting. The presentation that was given at the Ordinary Shareholders’ Meeting is attached hereto as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Exhibit 99.1. The final results of each of the agenda items submitted to a vote of the shareholders are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1: Approval of the Annual Report, Annual Statutory Financial Statements and Financial Statements under IFRS of AC Immune SA for the year 2016</w:t>
      </w:r>
    </w:p>
    <w:p>
      <w:pPr>
        <w:spacing w:after="0" w:line="177" w:lineRule="exact"/>
        <w:rPr>
          <w:sz w:val="20"/>
          <w:szCs w:val="20"/>
          <w:color w:val="auto"/>
        </w:rPr>
      </w:pPr>
    </w:p>
    <w:p>
      <w:pPr>
        <w:ind w:right="100" w:firstLine="501"/>
        <w:spacing w:after="0" w:line="274" w:lineRule="auto"/>
        <w:rPr>
          <w:sz w:val="20"/>
          <w:szCs w:val="20"/>
          <w:color w:val="auto"/>
        </w:rPr>
      </w:pPr>
      <w:r>
        <w:rPr>
          <w:rFonts w:ascii="Arial" w:cs="Arial" w:eastAsia="Arial" w:hAnsi="Arial"/>
          <w:sz w:val="14"/>
          <w:szCs w:val="14"/>
          <w:color w:val="auto"/>
        </w:rPr>
        <w:t>AC Immune shareholders approved the Annual Report, the Annual Statutory Financial Statements and the Financial Statements under IFRS of AC Immune SA for the year 2016, and took note of the Reports of the Auditors.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2: Appropriation of Loss</w:t>
      </w:r>
    </w:p>
    <w:p>
      <w:pPr>
        <w:spacing w:after="0" w:line="177" w:lineRule="exact"/>
        <w:rPr>
          <w:sz w:val="20"/>
          <w:szCs w:val="20"/>
          <w:color w:val="auto"/>
        </w:rPr>
      </w:pPr>
    </w:p>
    <w:p>
      <w:pPr>
        <w:ind w:right="100" w:firstLine="501"/>
        <w:spacing w:after="0" w:line="274" w:lineRule="auto"/>
        <w:rPr>
          <w:sz w:val="20"/>
          <w:szCs w:val="20"/>
          <w:color w:val="auto"/>
        </w:rPr>
      </w:pPr>
      <w:r>
        <w:rPr>
          <w:rFonts w:ascii="Arial" w:cs="Arial" w:eastAsia="Arial" w:hAnsi="Arial"/>
          <w:sz w:val="14"/>
          <w:szCs w:val="14"/>
          <w:color w:val="auto"/>
        </w:rPr>
        <w:t>AC Immune shareholders approved the addition of the net loss for the year 2016 in the amount of KCHF 7,628 to the loss brought forward of KCHF 24,930, resulting in a reduced new balance of loss brought forward of KCHF 32,558.</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3: Discharge of the Members of the Board of Directors and the Executive Committee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 Immune shareholders approved the discharge the Board and the Executive Committee of their liabilities for their activities in the financial year 2016.</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4: Compensation for the Members of the Board of Directors and the Executive Committee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 Immune shareholders approved:</w:t>
      </w:r>
    </w:p>
    <w:p>
      <w:pPr>
        <w:spacing w:after="0" w:line="173" w:lineRule="exact"/>
        <w:rPr>
          <w:sz w:val="20"/>
          <w:szCs w:val="20"/>
          <w:color w:val="auto"/>
        </w:rPr>
      </w:pPr>
    </w:p>
    <w:p>
      <w:pPr>
        <w:ind w:left="1000" w:hanging="244"/>
        <w:spacing w:after="0" w:line="274" w:lineRule="auto"/>
        <w:tabs>
          <w:tab w:leader="none" w:pos="100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The total maximum amount of non-performance-related compensation for the members of the Board of Directors covering the period from 1 July 2017 to 30 June 2018, </w:t>
      </w:r>
      <w:r>
        <w:rPr>
          <w:rFonts w:ascii="Arial" w:cs="Arial" w:eastAsia="Arial" w:hAnsi="Arial"/>
          <w:sz w:val="14"/>
          <w:szCs w:val="14"/>
          <w:i w:val="1"/>
          <w:iCs w:val="1"/>
          <w:color w:val="auto"/>
        </w:rPr>
        <w:t>i</w:t>
      </w:r>
      <w:r>
        <w:rPr>
          <w:rFonts w:ascii="Arial" w:cs="Arial" w:eastAsia="Arial" w:hAnsi="Arial"/>
          <w:sz w:val="14"/>
          <w:szCs w:val="14"/>
          <w:color w:val="auto"/>
        </w:rPr>
        <w:t>.</w:t>
      </w:r>
      <w:r>
        <w:rPr>
          <w:rFonts w:ascii="Arial" w:cs="Arial" w:eastAsia="Arial" w:hAnsi="Arial"/>
          <w:sz w:val="14"/>
          <w:szCs w:val="14"/>
          <w:i w:val="1"/>
          <w:iCs w:val="1"/>
          <w:color w:val="auto"/>
        </w:rPr>
        <w:t>e</w:t>
      </w:r>
      <w:r>
        <w:rPr>
          <w:rFonts w:ascii="Arial" w:cs="Arial" w:eastAsia="Arial" w:hAnsi="Arial"/>
          <w:sz w:val="14"/>
          <w:szCs w:val="14"/>
          <w:color w:val="auto"/>
        </w:rPr>
        <w:t>., CHF 428,000 (cash base compensation plus social security costs);</w:t>
      </w:r>
    </w:p>
    <w:p>
      <w:pPr>
        <w:spacing w:after="0" w:line="133" w:lineRule="exact"/>
        <w:rPr>
          <w:rFonts w:ascii="Arial" w:cs="Arial" w:eastAsia="Arial" w:hAnsi="Arial"/>
          <w:sz w:val="14"/>
          <w:szCs w:val="14"/>
          <w:color w:val="auto"/>
        </w:rPr>
      </w:pPr>
    </w:p>
    <w:p>
      <w:pPr>
        <w:ind w:left="1000" w:hanging="244"/>
        <w:spacing w:after="0" w:line="274" w:lineRule="auto"/>
        <w:tabs>
          <w:tab w:leader="none" w:pos="100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maximum grant of equity or equity linked instruments for the members of the Board of Directors from 1 July 2017 to 30 June 2018 with maximum value of CHF 451,000 (equity or equity linked instruments value plus social security costs);</w:t>
      </w:r>
    </w:p>
    <w:p>
      <w:pPr>
        <w:spacing w:after="0" w:line="133" w:lineRule="exact"/>
        <w:rPr>
          <w:rFonts w:ascii="Arial" w:cs="Arial" w:eastAsia="Arial" w:hAnsi="Arial"/>
          <w:sz w:val="14"/>
          <w:szCs w:val="14"/>
          <w:color w:val="auto"/>
        </w:rPr>
      </w:pPr>
    </w:p>
    <w:p>
      <w:pPr>
        <w:ind w:left="1000" w:hanging="244"/>
        <w:spacing w:after="0" w:line="274" w:lineRule="auto"/>
        <w:tabs>
          <w:tab w:leader="none" w:pos="100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The total maximum amount of non-performance-related cash compensation for the members of the Executive Committee from 1 July 2017 to 30 June 2018, </w:t>
      </w:r>
      <w:r>
        <w:rPr>
          <w:rFonts w:ascii="Arial" w:cs="Arial" w:eastAsia="Arial" w:hAnsi="Arial"/>
          <w:sz w:val="14"/>
          <w:szCs w:val="14"/>
          <w:i w:val="1"/>
          <w:iCs w:val="1"/>
          <w:color w:val="auto"/>
        </w:rPr>
        <w:t>i</w:t>
      </w:r>
      <w:r>
        <w:rPr>
          <w:rFonts w:ascii="Arial" w:cs="Arial" w:eastAsia="Arial" w:hAnsi="Arial"/>
          <w:sz w:val="14"/>
          <w:szCs w:val="14"/>
          <w:color w:val="auto"/>
        </w:rPr>
        <w:t>.</w:t>
      </w:r>
      <w:r>
        <w:rPr>
          <w:rFonts w:ascii="Arial" w:cs="Arial" w:eastAsia="Arial" w:hAnsi="Arial"/>
          <w:sz w:val="14"/>
          <w:szCs w:val="14"/>
          <w:i w:val="1"/>
          <w:iCs w:val="1"/>
          <w:color w:val="auto"/>
        </w:rPr>
        <w:t>e</w:t>
      </w:r>
      <w:r>
        <w:rPr>
          <w:rFonts w:ascii="Arial" w:cs="Arial" w:eastAsia="Arial" w:hAnsi="Arial"/>
          <w:sz w:val="14"/>
          <w:szCs w:val="14"/>
          <w:color w:val="auto"/>
        </w:rPr>
        <w:t>., CHF 1,554,000 (cash base compensation plus social security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244475</wp:posOffset>
            </wp:positionV>
            <wp:extent cx="727773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647" w:right="219" w:bottom="1440" w:gutter="0" w:footer="0" w:header="0"/>
        </w:sectPr>
      </w:pPr>
    </w:p>
    <w:bookmarkStart w:id="2" w:name="page3"/>
    <w:bookmarkEnd w:id="2"/>
    <w:p>
      <w:pPr>
        <w:ind w:left="1000" w:hanging="244"/>
        <w:spacing w:after="0" w:line="274" w:lineRule="auto"/>
        <w:tabs>
          <w:tab w:leader="none" w:pos="100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The total maximum amount of variable compensation for the members of the Executive Committee for the current year 2017, </w:t>
      </w:r>
      <w:r>
        <w:rPr>
          <w:rFonts w:ascii="Arial" w:cs="Arial" w:eastAsia="Arial" w:hAnsi="Arial"/>
          <w:sz w:val="14"/>
          <w:szCs w:val="14"/>
          <w:i w:val="1"/>
          <w:iCs w:val="1"/>
          <w:color w:val="auto"/>
        </w:rPr>
        <w:t>i</w:t>
      </w:r>
      <w:r>
        <w:rPr>
          <w:rFonts w:ascii="Arial" w:cs="Arial" w:eastAsia="Arial" w:hAnsi="Arial"/>
          <w:sz w:val="14"/>
          <w:szCs w:val="14"/>
          <w:color w:val="auto"/>
        </w:rPr>
        <w:t>.</w:t>
      </w:r>
      <w:r>
        <w:rPr>
          <w:rFonts w:ascii="Arial" w:cs="Arial" w:eastAsia="Arial" w:hAnsi="Arial"/>
          <w:sz w:val="14"/>
          <w:szCs w:val="14"/>
          <w:i w:val="1"/>
          <w:iCs w:val="1"/>
          <w:color w:val="auto"/>
        </w:rPr>
        <w:t>e</w:t>
      </w:r>
      <w:r>
        <w:rPr>
          <w:rFonts w:ascii="Arial" w:cs="Arial" w:eastAsia="Arial" w:hAnsi="Arial"/>
          <w:sz w:val="14"/>
          <w:szCs w:val="14"/>
          <w:color w:val="auto"/>
        </w:rPr>
        <w:t>., CHF 782,000 (cash compensation plus social security costs); and</w:t>
      </w:r>
    </w:p>
    <w:p>
      <w:pPr>
        <w:spacing w:after="0" w:line="133" w:lineRule="exact"/>
        <w:rPr>
          <w:rFonts w:ascii="Arial" w:cs="Arial" w:eastAsia="Arial" w:hAnsi="Arial"/>
          <w:sz w:val="14"/>
          <w:szCs w:val="14"/>
          <w:color w:val="auto"/>
        </w:rPr>
      </w:pPr>
    </w:p>
    <w:p>
      <w:pPr>
        <w:ind w:left="1000" w:hanging="244"/>
        <w:spacing w:after="0" w:line="274" w:lineRule="auto"/>
        <w:tabs>
          <w:tab w:leader="none" w:pos="100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maximum grant of equity or equity linked instruments for the members of the Executive Committee from 1 July 2017 to 30 June 2018 with maximum value of CHF 3,472,000 (equity or equity linked instruments value plus social security costs).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5: Election of the Members of the Board</w:t>
      </w:r>
    </w:p>
    <w:p>
      <w:pPr>
        <w:spacing w:after="0" w:line="177" w:lineRule="exact"/>
        <w:rPr>
          <w:sz w:val="20"/>
          <w:szCs w:val="20"/>
          <w:color w:val="auto"/>
        </w:rPr>
      </w:pPr>
    </w:p>
    <w:p>
      <w:pPr>
        <w:ind w:firstLine="501"/>
        <w:spacing w:after="0" w:line="274" w:lineRule="auto"/>
        <w:rPr>
          <w:sz w:val="20"/>
          <w:szCs w:val="20"/>
          <w:color w:val="auto"/>
        </w:rPr>
      </w:pPr>
      <w:r>
        <w:rPr>
          <w:rFonts w:ascii="Arial" w:cs="Arial" w:eastAsia="Arial" w:hAnsi="Arial"/>
          <w:sz w:val="14"/>
          <w:szCs w:val="14"/>
          <w:color w:val="auto"/>
        </w:rPr>
        <w:t>AC Immune shareholders approved the re-election of Martin Velasco as member and as Chairman of the Board, Peter Bollmann, Friedrich von Bohlen, Andrea Pfeifer, Detlev Riesner and Thomas Graney as members of the Board of Directors, each until the end of the next Ordinary General Meeting.</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6: Election to the Compensation, Nomination &amp; Corporate Governance Committee</w:t>
      </w:r>
    </w:p>
    <w:p>
      <w:pPr>
        <w:spacing w:after="0" w:line="177" w:lineRule="exact"/>
        <w:rPr>
          <w:sz w:val="20"/>
          <w:szCs w:val="20"/>
          <w:color w:val="auto"/>
        </w:rPr>
      </w:pPr>
    </w:p>
    <w:p>
      <w:pPr>
        <w:ind w:firstLine="501"/>
        <w:spacing w:after="0" w:line="274" w:lineRule="auto"/>
        <w:rPr>
          <w:sz w:val="20"/>
          <w:szCs w:val="20"/>
          <w:color w:val="auto"/>
        </w:rPr>
      </w:pPr>
      <w:r>
        <w:rPr>
          <w:rFonts w:ascii="Arial" w:cs="Arial" w:eastAsia="Arial" w:hAnsi="Arial"/>
          <w:sz w:val="14"/>
          <w:szCs w:val="14"/>
          <w:color w:val="auto"/>
        </w:rPr>
        <w:t>AC Immune shareholders approved the re-election of Detlev Riesner, Martin Velasco and Tom Graney as members of the Compensation, Nomination &amp; Corporate Governance Committee, each until the end of the next Ordinary General Meeting.</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7: Re-Election of the independent proxy</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AC Immune shareholders approved the re-election of Bugnion Ballansat Ehrler, represented by Gérald Virieux, as AC Immune’s independent proxy until the end of the next Ordinary General</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Meeting.</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8: Re-Election of the Auditors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 Immune shareholders approved the re-election of Ernst &amp; Young SA, in Lancy, for a term of office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727773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484"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SIGNATURE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4140" w:type="dxa"/>
        <w:tblCellMar>
          <w:top w:w="0" w:type="dxa"/>
          <w:left w:w="0" w:type="dxa"/>
          <w:bottom w:w="0" w:type="dxa"/>
          <w:right w:w="0" w:type="dxa"/>
        </w:tblCellMar>
      </w:tblPr>
      <w:tr>
        <w:trPr>
          <w:trHeight w:val="182"/>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AC IMMUNE SA</w:t>
            </w:r>
          </w:p>
        </w:tc>
        <w:tc>
          <w:tcPr>
            <w:tcW w:w="5620" w:type="dxa"/>
            <w:vAlign w:val="bottom"/>
          </w:tcPr>
          <w:p>
            <w:pPr>
              <w:spacing w:after="0"/>
              <w:rPr>
                <w:sz w:val="15"/>
                <w:szCs w:val="15"/>
                <w:color w:val="auto"/>
              </w:rPr>
            </w:pPr>
          </w:p>
        </w:tc>
      </w:tr>
      <w:tr>
        <w:trPr>
          <w:trHeight w:val="334"/>
        </w:trPr>
        <w:tc>
          <w:tcPr>
            <w:tcW w:w="700" w:type="dxa"/>
            <w:vAlign w:val="bottom"/>
          </w:tcPr>
          <w:p>
            <w:pPr>
              <w:spacing w:after="0"/>
              <w:rPr>
                <w:sz w:val="20"/>
                <w:szCs w:val="20"/>
                <w:color w:val="auto"/>
              </w:rPr>
            </w:pPr>
            <w:r>
              <w:rPr>
                <w:rFonts w:ascii="Arial" w:cs="Arial" w:eastAsia="Arial" w:hAnsi="Arial"/>
                <w:sz w:val="14"/>
                <w:szCs w:val="14"/>
                <w:color w:val="auto"/>
              </w:rPr>
              <w:t>By:</w:t>
            </w: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/s/ Andrea Pfeifer</w:t>
            </w:r>
          </w:p>
        </w:tc>
        <w:tc>
          <w:tcPr>
            <w:tcW w:w="5620" w:type="dxa"/>
            <w:vAlign w:val="bottom"/>
            <w:tcBorders>
              <w:bottom w:val="single" w:sz="8" w:color="auto"/>
            </w:tcBorders>
          </w:tcPr>
          <w:p>
            <w:pPr>
              <w:spacing w:after="0"/>
              <w:rPr>
                <w:sz w:val="24"/>
                <w:szCs w:val="24"/>
                <w:color w:val="auto"/>
              </w:rPr>
            </w:pPr>
          </w:p>
        </w:tc>
      </w:tr>
      <w:tr>
        <w:trPr>
          <w:trHeight w:val="147"/>
        </w:trPr>
        <w:tc>
          <w:tcPr>
            <w:tcW w:w="70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5620" w:type="dxa"/>
            <w:vAlign w:val="bottom"/>
          </w:tcPr>
          <w:p>
            <w:pPr>
              <w:ind w:left="20"/>
              <w:spacing w:after="0" w:line="147" w:lineRule="exact"/>
              <w:rPr>
                <w:sz w:val="20"/>
                <w:szCs w:val="20"/>
                <w:color w:val="auto"/>
              </w:rPr>
            </w:pPr>
            <w:r>
              <w:rPr>
                <w:rFonts w:ascii="Arial" w:cs="Arial" w:eastAsia="Arial" w:hAnsi="Arial"/>
                <w:sz w:val="14"/>
                <w:szCs w:val="14"/>
                <w:color w:val="auto"/>
              </w:rPr>
              <w:t>Andrea Pfeifer</w:t>
            </w:r>
          </w:p>
        </w:tc>
      </w:tr>
      <w:tr>
        <w:trPr>
          <w:trHeight w:val="178"/>
        </w:trPr>
        <w:tc>
          <w:tcPr>
            <w:tcW w:w="7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Title:</w:t>
            </w:r>
          </w:p>
        </w:tc>
        <w:tc>
          <w:tcPr>
            <w:tcW w:w="562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r>
        <w:trPr>
          <w:trHeight w:val="334"/>
        </w:trPr>
        <w:tc>
          <w:tcPr>
            <w:tcW w:w="700" w:type="dxa"/>
            <w:vAlign w:val="bottom"/>
          </w:tcPr>
          <w:p>
            <w:pPr>
              <w:spacing w:after="0"/>
              <w:rPr>
                <w:sz w:val="20"/>
                <w:szCs w:val="20"/>
                <w:color w:val="auto"/>
              </w:rPr>
            </w:pPr>
            <w:r>
              <w:rPr>
                <w:rFonts w:ascii="Arial" w:cs="Arial" w:eastAsia="Arial" w:hAnsi="Arial"/>
                <w:sz w:val="14"/>
                <w:szCs w:val="14"/>
                <w:color w:val="auto"/>
              </w:rPr>
              <w:t>By:</w:t>
            </w:r>
          </w:p>
        </w:tc>
        <w:tc>
          <w:tcPr>
            <w:tcW w:w="6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Joerg Hornstein</w:t>
            </w:r>
          </w:p>
        </w:tc>
      </w:tr>
      <w:tr>
        <w:trPr>
          <w:trHeight w:val="147"/>
        </w:trPr>
        <w:tc>
          <w:tcPr>
            <w:tcW w:w="70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5620" w:type="dxa"/>
            <w:vAlign w:val="bottom"/>
          </w:tcPr>
          <w:p>
            <w:pPr>
              <w:ind w:left="20"/>
              <w:spacing w:after="0" w:line="147" w:lineRule="exact"/>
              <w:rPr>
                <w:sz w:val="20"/>
                <w:szCs w:val="20"/>
                <w:color w:val="auto"/>
              </w:rPr>
            </w:pPr>
            <w:r>
              <w:rPr>
                <w:rFonts w:ascii="Arial" w:cs="Arial" w:eastAsia="Arial" w:hAnsi="Arial"/>
                <w:sz w:val="14"/>
                <w:szCs w:val="14"/>
                <w:color w:val="auto"/>
              </w:rPr>
              <w:t>Joerg Hornstein</w:t>
            </w:r>
          </w:p>
        </w:tc>
      </w:tr>
      <w:tr>
        <w:trPr>
          <w:trHeight w:val="178"/>
        </w:trPr>
        <w:tc>
          <w:tcPr>
            <w:tcW w:w="7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Title:</w:t>
            </w:r>
          </w:p>
        </w:tc>
        <w:tc>
          <w:tcPr>
            <w:tcW w:w="562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pacing w:after="0"/>
        <w:rPr>
          <w:sz w:val="20"/>
          <w:szCs w:val="20"/>
          <w:color w:val="auto"/>
        </w:rPr>
      </w:pPr>
      <w:r>
        <w:rPr>
          <w:rFonts w:ascii="Arial" w:cs="Arial" w:eastAsia="Arial" w:hAnsi="Arial"/>
          <w:sz w:val="14"/>
          <w:szCs w:val="14"/>
          <w:color w:val="auto"/>
        </w:rPr>
        <w:t>Date: June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727773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7735" cy="6350"/>
                    </a:xfrm>
                    <a:prstGeom prst="rect">
                      <a:avLst/>
                    </a:prstGeom>
                    <a:noFill/>
                  </pic:spPr>
                </pic:pic>
              </a:graphicData>
            </a:graphic>
          </wp:anchor>
        </w:drawing>
      </w:r>
    </w:p>
    <w:p>
      <w:pPr>
        <w:sectPr>
          <w:pgSz w:w="11900" w:h="16838" w:orient="portrait"/>
          <w:cols w:equalWidth="0" w:num="1">
            <w:col w:w="11460"/>
          </w:cols>
          <w:pgMar w:left="220" w:top="480"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2"/>
        </w:trPr>
        <w:tc>
          <w:tcPr>
            <w:tcW w:w="1200" w:type="dxa"/>
            <w:vAlign w:val="bottom"/>
          </w:tcPr>
          <w:p>
            <w:pPr>
              <w:spacing w:after="0"/>
              <w:rPr>
                <w:sz w:val="15"/>
                <w:szCs w:val="15"/>
                <w:color w:val="auto"/>
              </w:rPr>
            </w:pPr>
          </w:p>
        </w:tc>
        <w:tc>
          <w:tcPr>
            <w:tcW w:w="10260" w:type="dxa"/>
            <w:vAlign w:val="bottom"/>
          </w:tcPr>
          <w:p>
            <w:pPr>
              <w:ind w:left="4000"/>
              <w:spacing w:after="0"/>
              <w:rPr>
                <w:sz w:val="20"/>
                <w:szCs w:val="20"/>
                <w:color w:val="auto"/>
              </w:rPr>
            </w:pPr>
            <w:r>
              <w:rPr>
                <w:rFonts w:ascii="Arial" w:cs="Arial" w:eastAsia="Arial" w:hAnsi="Arial"/>
                <w:sz w:val="14"/>
                <w:szCs w:val="14"/>
                <w:b w:val="1"/>
                <w:bCs w:val="1"/>
                <w:color w:val="auto"/>
              </w:rPr>
              <w:t>EXHIBIT INDEX</w:t>
            </w:r>
          </w:p>
        </w:tc>
      </w:tr>
      <w:tr>
        <w:trPr>
          <w:trHeight w:val="334"/>
        </w:trPr>
        <w:tc>
          <w:tcPr>
            <w:tcW w:w="120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2"/>
              </w:rPr>
              <w:t>Exhibit Number</w:t>
            </w:r>
          </w:p>
        </w:tc>
        <w:tc>
          <w:tcPr>
            <w:tcW w:w="10260" w:type="dxa"/>
            <w:vAlign w:val="bottom"/>
            <w:tcBorders>
              <w:bottom w:val="single" w:sz="8" w:color="auto"/>
            </w:tcBorders>
          </w:tcPr>
          <w:p>
            <w:pPr>
              <w:ind w:left="482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1200" w:type="dxa"/>
            <w:vAlign w:val="bottom"/>
          </w:tcPr>
          <w:p>
            <w:pPr>
              <w:jc w:val="right"/>
              <w:ind w:right="370"/>
              <w:spacing w:after="0"/>
              <w:rPr>
                <w:sz w:val="20"/>
                <w:szCs w:val="20"/>
                <w:color w:val="auto"/>
              </w:rPr>
            </w:pPr>
            <w:r>
              <w:rPr>
                <w:rFonts w:ascii="Arial" w:cs="Arial" w:eastAsia="Arial" w:hAnsi="Arial"/>
                <w:sz w:val="14"/>
                <w:szCs w:val="14"/>
                <w:color w:val="auto"/>
              </w:rPr>
              <w:t>99.1</w:t>
            </w:r>
          </w:p>
        </w:tc>
        <w:tc>
          <w:tcPr>
            <w:tcW w:w="10260" w:type="dxa"/>
            <w:vAlign w:val="bottom"/>
          </w:tcPr>
          <w:p>
            <w:pPr>
              <w:ind w:left="100"/>
              <w:spacing w:after="0"/>
              <w:rPr>
                <w:sz w:val="20"/>
                <w:szCs w:val="20"/>
                <w:color w:val="auto"/>
              </w:rPr>
            </w:pPr>
            <w:r>
              <w:rPr>
                <w:rFonts w:ascii="Arial" w:cs="Arial" w:eastAsia="Arial" w:hAnsi="Arial"/>
                <w:sz w:val="14"/>
                <w:szCs w:val="14"/>
                <w:color w:val="auto"/>
              </w:rPr>
              <w:t>Annual Ordinary Shareholders’ Meeting presentation</w:t>
            </w:r>
          </w:p>
        </w:tc>
      </w:tr>
      <w:tr>
        <w:trPr>
          <w:trHeight w:val="417"/>
        </w:trPr>
        <w:tc>
          <w:tcPr>
            <w:tcW w:w="120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480" w:right="219" w:bottom="1440" w:gutter="0" w:footer="0" w:header="0"/>
        </w:sectPr>
      </w:pPr>
    </w:p>
    <w:bookmarkStart w:id="5" w:name="page6"/>
    <w:bookmarkEnd w:id="5"/>
    <w:p>
      <w:pPr>
        <w:ind w:left="938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24130</wp:posOffset>
            </wp:positionV>
            <wp:extent cx="7325360" cy="5659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0" w:num="1">
            <w:col w:w="10240"/>
          </w:cols>
          <w:pgMar w:left="1440" w:top="118" w:right="2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261620</wp:posOffset>
            </wp:positionV>
            <wp:extent cx="7325360" cy="5659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325360" cy="56591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1"/>
    </w:lvl>
  </w:abstractNum>
  <w:abstractNum w:abstractNumId="1">
    <w:nsid w:val="66334873"/>
    <w:multiLevelType w:val="hybridMultilevel"/>
    <w:lvl w:ilvl="0">
      <w:lvlJc w:val="left"/>
      <w:lvlText w:val="%1."/>
      <w:numFmt w:val="upp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2019-12-08T04:25:37Z</dcterms:created>
  <dcterms:modified xsi:type="dcterms:W3CDTF">2019-12-08T04:25:37Z</dcterms:modified>
</cp:coreProperties>
</file>