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8"/>
          <w:szCs w:val="18"/>
          <w:color w:val="auto"/>
        </w:rPr>
        <w:t>Filed Pursuant to Rule 433 of the Securities Act of 1933</w:t>
      </w:r>
    </w:p>
    <w:p>
      <w:pPr>
        <w:spacing w:after="0" w:line="23" w:lineRule="exact"/>
        <w:rPr>
          <w:sz w:val="24"/>
          <w:szCs w:val="24"/>
          <w:color w:val="auto"/>
        </w:rPr>
      </w:pPr>
    </w:p>
    <w:p>
      <w:pPr>
        <w:jc w:val="right"/>
        <w:spacing w:after="0"/>
        <w:rPr>
          <w:sz w:val="20"/>
          <w:szCs w:val="20"/>
          <w:color w:val="auto"/>
        </w:rPr>
      </w:pPr>
      <w:r>
        <w:rPr>
          <w:rFonts w:ascii="Arial" w:cs="Arial" w:eastAsia="Arial" w:hAnsi="Arial"/>
          <w:sz w:val="18"/>
          <w:szCs w:val="18"/>
          <w:color w:val="auto"/>
        </w:rPr>
        <w:t>Issuer Free Writing Prospectus dated September 21, 2016</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color w:val="auto"/>
        </w:rPr>
        <w:t>Relating to Preliminary Prospectus dated September 13, 2016</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color w:val="auto"/>
        </w:rPr>
        <w:t>Registration No. 333-211714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2371725</wp:posOffset>
            </wp:positionH>
            <wp:positionV relativeFrom="paragraph">
              <wp:posOffset>314325</wp:posOffset>
            </wp:positionV>
            <wp:extent cx="2521585" cy="5829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521585" cy="58293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5" w:lineRule="exact"/>
        <w:rPr>
          <w:sz w:val="24"/>
          <w:szCs w:val="24"/>
          <w:color w:val="auto"/>
        </w:rPr>
      </w:pPr>
    </w:p>
    <w:p>
      <w:pPr>
        <w:ind w:right="40" w:firstLine="456"/>
        <w:spacing w:after="0" w:line="279" w:lineRule="auto"/>
        <w:rPr>
          <w:sz w:val="20"/>
          <w:szCs w:val="20"/>
          <w:color w:val="auto"/>
        </w:rPr>
      </w:pPr>
      <w:r>
        <w:rPr>
          <w:rFonts w:ascii="Arial" w:cs="Arial" w:eastAsia="Arial" w:hAnsi="Arial"/>
          <w:sz w:val="17"/>
          <w:szCs w:val="17"/>
          <w:color w:val="auto"/>
        </w:rPr>
        <w:t>This free writing prospectus relates only to, and should be read together with, the preliminary prospectus dated September 13, 2016 (the “Preliminary Prospectus”) that was included in Amendment No. 4 to the Registration Statement on Form F-1 (File No. 333-211714) (the “Registration Statement”) relating to the initial public offering of common shares of AC Immune SA (the “Company”), as supplemented and updated by the Company’s free writing prospectus dated September 16, 2016 relating to the Preliminary Prospectus (the “First Issuer Free Writing Prospectus”).</w:t>
      </w:r>
    </w:p>
    <w:p>
      <w:pPr>
        <w:spacing w:after="0" w:line="171" w:lineRule="exact"/>
        <w:rPr>
          <w:sz w:val="24"/>
          <w:szCs w:val="24"/>
          <w:color w:val="auto"/>
        </w:rPr>
      </w:pPr>
    </w:p>
    <w:p>
      <w:pPr>
        <w:ind w:right="200" w:firstLine="456"/>
        <w:spacing w:after="0" w:line="259" w:lineRule="auto"/>
        <w:rPr>
          <w:rFonts w:ascii="Arial" w:cs="Arial" w:eastAsia="Arial" w:hAnsi="Arial"/>
          <w:sz w:val="18"/>
          <w:szCs w:val="18"/>
          <w:color w:val="0000EE"/>
        </w:rPr>
      </w:pPr>
      <w:r>
        <w:rPr>
          <w:rFonts w:ascii="Arial" w:cs="Arial" w:eastAsia="Arial" w:hAnsi="Arial"/>
          <w:sz w:val="18"/>
          <w:szCs w:val="18"/>
          <w:color w:val="auto"/>
        </w:rPr>
        <w:t xml:space="preserve">On September 21, 2016, the Company filed Amendment No. 6 to the Registration Statement, which may be accessed through the following link: </w:t>
      </w:r>
      <w:hyperlink r:id="rId9">
        <w:r>
          <w:rPr>
            <w:rFonts w:ascii="Arial" w:cs="Arial" w:eastAsia="Arial" w:hAnsi="Arial"/>
            <w:sz w:val="18"/>
            <w:szCs w:val="18"/>
            <w:u w:val="single" w:color="auto"/>
            <w:color w:val="0000EE"/>
          </w:rPr>
          <w:t>http://www.sec.gov/Archives/edgar/data/1651625/000119312516715981/d16439df1a.htm</w:t>
        </w:r>
      </w:hyperlink>
      <w:r>
        <w:rPr>
          <w:rFonts w:ascii="Arial" w:cs="Arial" w:eastAsia="Arial" w:hAnsi="Arial"/>
          <w:sz w:val="18"/>
          <w:szCs w:val="18"/>
          <w:color w:val="000000"/>
        </w:rPr>
        <w:t>.</w:t>
      </w:r>
      <w:r>
        <w:rPr>
          <w:rFonts w:ascii="Arial" w:cs="Arial" w:eastAsia="Arial" w:hAnsi="Arial"/>
          <w:sz w:val="18"/>
          <w:szCs w:val="18"/>
          <w:color w:val="0000EE"/>
        </w:rPr>
        <w:t xml:space="preserve"> </w:t>
      </w:r>
      <w:r>
        <w:rPr>
          <w:rFonts w:ascii="Arial" w:cs="Arial" w:eastAsia="Arial" w:hAnsi="Arial"/>
          <w:sz w:val="18"/>
          <w:szCs w:val="18"/>
          <w:color w:val="000000"/>
        </w:rPr>
        <w:t>Amendment No. 6 was filed to reflect an increase in the offering</w:t>
      </w:r>
      <w:r>
        <w:rPr>
          <w:rFonts w:ascii="Arial" w:cs="Arial" w:eastAsia="Arial" w:hAnsi="Arial"/>
          <w:sz w:val="18"/>
          <w:szCs w:val="18"/>
          <w:color w:val="0000EE"/>
        </w:rPr>
        <w:t xml:space="preserve"> </w:t>
      </w:r>
      <w:r>
        <w:rPr>
          <w:rFonts w:ascii="Arial" w:cs="Arial" w:eastAsia="Arial" w:hAnsi="Arial"/>
          <w:sz w:val="18"/>
          <w:szCs w:val="18"/>
          <w:color w:val="000000"/>
        </w:rPr>
        <w:t>size to 6,000,000 of the Company’s common shares, instead of the offering size of 4,545,456 common shares as previously disclosed in the Registration Statement and the First Issuer Free Writing Prospectus.</w:t>
      </w:r>
    </w:p>
    <w:p>
      <w:pPr>
        <w:spacing w:after="0" w:line="187" w:lineRule="exact"/>
        <w:rPr>
          <w:sz w:val="24"/>
          <w:szCs w:val="24"/>
          <w:color w:val="auto"/>
        </w:rPr>
      </w:pPr>
    </w:p>
    <w:p>
      <w:pPr>
        <w:ind w:firstLine="456"/>
        <w:spacing w:after="0" w:line="257" w:lineRule="auto"/>
        <w:rPr>
          <w:sz w:val="20"/>
          <w:szCs w:val="20"/>
          <w:color w:val="auto"/>
        </w:rPr>
      </w:pPr>
      <w:r>
        <w:rPr>
          <w:rFonts w:ascii="Arial" w:cs="Arial" w:eastAsia="Arial" w:hAnsi="Arial"/>
          <w:sz w:val="18"/>
          <w:szCs w:val="18"/>
          <w:color w:val="auto"/>
        </w:rPr>
        <w:t>The updates set forth in Amendment No. 6 to the Registration Statement include those set forth below in this free writing prospectus. However, this free writing prospectus is only a summary of the changes included in Amendment No. 6 to the Registration Statement and should be read together with (i) the Preliminary Prospectus included in the Registration Statement, including the section captioned “Risk Factors” beginning on page 12 of the Preliminary Prospectus, and (ii) the First Issuer Free Writing Prospectus. Capitalized and other terms used but not defined herein have the meanings set forth in the Preliminary Prospectus and the First Issuer Free Writing Prospectus.</w:t>
      </w:r>
    </w:p>
    <w:p>
      <w:pPr>
        <w:spacing w:after="0" w:line="184" w:lineRule="exact"/>
        <w:rPr>
          <w:sz w:val="24"/>
          <w:szCs w:val="24"/>
          <w:color w:val="auto"/>
        </w:rPr>
      </w:pPr>
    </w:p>
    <w:p>
      <w:pPr>
        <w:ind w:left="460"/>
        <w:spacing w:after="0"/>
        <w:rPr>
          <w:sz w:val="20"/>
          <w:szCs w:val="20"/>
          <w:color w:val="auto"/>
        </w:rPr>
      </w:pPr>
      <w:r>
        <w:rPr>
          <w:rFonts w:ascii="Arial" w:cs="Arial" w:eastAsia="Arial" w:hAnsi="Arial"/>
          <w:sz w:val="16"/>
          <w:szCs w:val="16"/>
          <w:b w:val="1"/>
          <w:bCs w:val="1"/>
          <w:color w:val="auto"/>
        </w:rPr>
        <w:t>The Company has filed a registration statement (including a prospectus) with the SEC for the offering to which this communication relates.</w:t>
      </w:r>
    </w:p>
    <w:p>
      <w:pPr>
        <w:spacing w:after="0" w:line="50"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Before you invest, you should read the prospectus in that registration statement and other documents the Company has filed with the SEC for more</w:t>
      </w:r>
    </w:p>
    <w:p>
      <w:pPr>
        <w:spacing w:after="0" w:line="32" w:lineRule="exact"/>
        <w:rPr>
          <w:sz w:val="24"/>
          <w:szCs w:val="24"/>
          <w:color w:val="auto"/>
        </w:rPr>
      </w:pPr>
    </w:p>
    <w:p>
      <w:pPr>
        <w:spacing w:after="0"/>
        <w:rPr>
          <w:sz w:val="20"/>
          <w:szCs w:val="20"/>
          <w:color w:val="auto"/>
        </w:rPr>
      </w:pPr>
      <w:r>
        <w:rPr>
          <w:rFonts w:ascii="Arial" w:cs="Arial" w:eastAsia="Arial" w:hAnsi="Arial"/>
          <w:sz w:val="17"/>
          <w:szCs w:val="17"/>
          <w:b w:val="1"/>
          <w:bCs w:val="1"/>
          <w:color w:val="auto"/>
        </w:rPr>
        <w:t>complete information about the Company and this offering. You may get these documents for free by visiting EDGAR on the SEC Web site at</w:t>
      </w:r>
    </w:p>
    <w:p>
      <w:pPr>
        <w:spacing w:after="0" w:line="21"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www.sec.gov. Alternatively, the Company, any underwriter or any dealer participating in the offering will arrange to send you the prospectus if you</w:t>
      </w:r>
    </w:p>
    <w:p>
      <w:pPr>
        <w:spacing w:after="0" w:line="32"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request it from Credit Suisse Securities (USA) LLC, Attention: Prospectus Department, Eleven Madison Avenue, New York, NY 10010, or by calling</w:t>
      </w:r>
    </w:p>
    <w:p>
      <w:pPr>
        <w:spacing w:after="0" w:line="32"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toll-free (800) 221-1037 or emailing a request to newyork.prospectus@credit-suisse.com, Jefferies LLC, Attention: Prospectus Department, 520</w:t>
      </w:r>
    </w:p>
    <w:p>
      <w:pPr>
        <w:spacing w:after="0" w:line="32"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Madison Avenue, 2nd Floor, New York, NY 10022, or by calling toll-free 877-821-7388, or by emailing a request to</w:t>
      </w:r>
    </w:p>
    <w:p>
      <w:pPr>
        <w:spacing w:after="0" w:line="9"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prospectus_department@jefferies.com, or from Leerink Partners LLC, Attention: Syndicate Department, One Federal Street, 37th Floor, Boston,</w:t>
      </w:r>
    </w:p>
    <w:p>
      <w:pPr>
        <w:spacing w:after="0" w:line="32"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 02110, or by phone at 1-800-808-7525, ext. 6142, or by email at Syndicate@leerink.com.</w:t>
      </w:r>
    </w:p>
    <w:p>
      <w:pPr>
        <w:spacing w:after="0" w:line="211" w:lineRule="exact"/>
        <w:rPr>
          <w:sz w:val="24"/>
          <w:szCs w:val="24"/>
          <w:color w:val="auto"/>
        </w:rPr>
      </w:pPr>
    </w:p>
    <w:p>
      <w:pPr>
        <w:ind w:right="160" w:firstLine="456"/>
        <w:spacing w:after="0" w:line="308" w:lineRule="auto"/>
        <w:rPr>
          <w:sz w:val="20"/>
          <w:szCs w:val="20"/>
          <w:color w:val="auto"/>
        </w:rPr>
      </w:pPr>
      <w:r>
        <w:rPr>
          <w:rFonts w:ascii="Arial" w:cs="Arial" w:eastAsia="Arial" w:hAnsi="Arial"/>
          <w:sz w:val="17"/>
          <w:szCs w:val="17"/>
          <w:color w:val="auto"/>
        </w:rPr>
        <w:t>The following information updates and supersedes the information contained in the Preliminary Prospectus, as supplemented and updated by the First Issuer Free Writing Prospectus, to the extent that such information is affected by the increase in the offering size described herein.</w:t>
      </w:r>
    </w:p>
    <w:p>
      <w:pPr>
        <w:spacing w:after="0" w:line="147" w:lineRule="exact"/>
        <w:rPr>
          <w:sz w:val="24"/>
          <w:szCs w:val="24"/>
          <w:color w:val="auto"/>
        </w:rPr>
      </w:pPr>
    </w:p>
    <w:p>
      <w:pPr>
        <w:spacing w:after="0"/>
        <w:rPr>
          <w:sz w:val="20"/>
          <w:szCs w:val="20"/>
          <w:color w:val="auto"/>
        </w:rPr>
      </w:pPr>
      <w:r>
        <w:rPr>
          <w:rFonts w:ascii="Arial" w:cs="Arial" w:eastAsia="Arial" w:hAnsi="Arial"/>
          <w:sz w:val="18"/>
          <w:szCs w:val="18"/>
          <w:b w:val="1"/>
          <w:bCs w:val="1"/>
          <w:i w:val="1"/>
          <w:iCs w:val="1"/>
          <w:color w:val="auto"/>
        </w:rPr>
        <w:t>Updates to “Prospectus Summary—The Offering”</w:t>
      </w:r>
    </w:p>
    <w:p>
      <w:pPr>
        <w:spacing w:after="0" w:line="225" w:lineRule="exact"/>
        <w:rPr>
          <w:sz w:val="24"/>
          <w:szCs w:val="24"/>
          <w:color w:val="auto"/>
        </w:rPr>
      </w:pPr>
    </w:p>
    <w:p>
      <w:pPr>
        <w:ind w:right="500" w:firstLine="456"/>
        <w:spacing w:after="0" w:line="277" w:lineRule="auto"/>
        <w:rPr>
          <w:sz w:val="20"/>
          <w:szCs w:val="20"/>
          <w:color w:val="auto"/>
        </w:rPr>
      </w:pPr>
      <w:r>
        <w:rPr>
          <w:rFonts w:ascii="Arial" w:cs="Arial" w:eastAsia="Arial" w:hAnsi="Arial"/>
          <w:sz w:val="18"/>
          <w:szCs w:val="18"/>
          <w:color w:val="auto"/>
        </w:rPr>
        <w:t>The tabular disclosure set forth in the section of the Preliminary Prospectus captioned “Prospectus Summary—The Offering” has been revised as follows:</w:t>
      </w:r>
    </w:p>
    <w:p>
      <w:pPr>
        <w:sectPr>
          <w:pgSz w:w="11900" w:h="16838" w:orient="portrait"/>
          <w:cols w:equalWidth="0" w:num="1">
            <w:col w:w="11420"/>
          </w:cols>
          <w:pgMar w:left="240" w:top="233" w:right="239" w:bottom="1440" w:gutter="0" w:footer="0" w:header="0"/>
        </w:sectPr>
      </w:pPr>
    </w:p>
    <w:p>
      <w:pPr>
        <w:spacing w:after="0" w:line="306" w:lineRule="exact"/>
        <w:rPr>
          <w:sz w:val="24"/>
          <w:szCs w:val="24"/>
          <w:color w:val="auto"/>
        </w:rPr>
      </w:pPr>
    </w:p>
    <w:p>
      <w:pPr>
        <w:spacing w:after="0"/>
        <w:rPr>
          <w:sz w:val="20"/>
          <w:szCs w:val="20"/>
          <w:color w:val="auto"/>
        </w:rPr>
      </w:pPr>
      <w:r>
        <w:rPr>
          <w:rFonts w:ascii="Arial" w:cs="Arial" w:eastAsia="Arial" w:hAnsi="Arial"/>
          <w:sz w:val="16"/>
          <w:szCs w:val="16"/>
          <w:color w:val="auto"/>
        </w:rPr>
        <w:t>Common shares offered by us</w:t>
      </w:r>
    </w:p>
    <w:p>
      <w:pPr>
        <w:spacing w:after="0" w:line="20" w:lineRule="exact"/>
        <w:rPr>
          <w:sz w:val="24"/>
          <w:szCs w:val="24"/>
          <w:color w:val="auto"/>
        </w:rPr>
      </w:pPr>
      <w:r>
        <w:rPr>
          <w:sz w:val="24"/>
          <w:szCs w:val="24"/>
          <w:color w:val="auto"/>
        </w:rPr>
        <w:br w:type="column"/>
      </w:r>
    </w:p>
    <w:p>
      <w:pPr>
        <w:spacing w:after="0" w:line="286" w:lineRule="exact"/>
        <w:rPr>
          <w:sz w:val="24"/>
          <w:szCs w:val="24"/>
          <w:color w:val="auto"/>
        </w:rPr>
      </w:pPr>
    </w:p>
    <w:p>
      <w:pPr>
        <w:spacing w:after="0"/>
        <w:rPr>
          <w:sz w:val="20"/>
          <w:szCs w:val="20"/>
          <w:color w:val="auto"/>
        </w:rPr>
      </w:pPr>
      <w:r>
        <w:rPr>
          <w:rFonts w:ascii="Arial" w:cs="Arial" w:eastAsia="Arial" w:hAnsi="Arial"/>
          <w:sz w:val="15"/>
          <w:szCs w:val="15"/>
          <w:color w:val="auto"/>
        </w:rPr>
        <w:t>6,000,000 shares.</w:t>
      </w:r>
    </w:p>
    <w:p>
      <w:pPr>
        <w:spacing w:after="0" w:line="151" w:lineRule="exact"/>
        <w:rPr>
          <w:sz w:val="24"/>
          <w:szCs w:val="24"/>
          <w:color w:val="auto"/>
        </w:rPr>
      </w:pPr>
    </w:p>
    <w:p>
      <w:pPr>
        <w:sectPr>
          <w:pgSz w:w="11900" w:h="16838" w:orient="portrait"/>
          <w:cols w:equalWidth="0" w:num="2">
            <w:col w:w="5160" w:space="720"/>
            <w:col w:w="5540"/>
          </w:cols>
          <w:pgMar w:left="240" w:top="233" w:right="239" w:bottom="1440" w:gutter="0" w:footer="0" w:header="0"/>
          <w:type w:val="continuous"/>
        </w:sectPr>
      </w:pPr>
    </w:p>
    <w:p>
      <w:pPr>
        <w:spacing w:after="0"/>
        <w:rPr>
          <w:sz w:val="20"/>
          <w:szCs w:val="20"/>
          <w:color w:val="auto"/>
        </w:rPr>
      </w:pPr>
      <w:r>
        <w:rPr>
          <w:rFonts w:ascii="Arial" w:cs="Arial" w:eastAsia="Arial" w:hAnsi="Arial"/>
          <w:sz w:val="16"/>
          <w:szCs w:val="16"/>
          <w:color w:val="auto"/>
        </w:rPr>
        <w:t>Common shares to be outstanding immediately after this offering</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color w:val="auto"/>
        </w:rPr>
        <w:t>55,396,042 shares.</w:t>
      </w:r>
    </w:p>
    <w:p>
      <w:pPr>
        <w:spacing w:after="0" w:line="151" w:lineRule="exact"/>
        <w:rPr>
          <w:sz w:val="24"/>
          <w:szCs w:val="24"/>
          <w:color w:val="auto"/>
        </w:rPr>
      </w:pPr>
    </w:p>
    <w:p>
      <w:pPr>
        <w:sectPr>
          <w:pgSz w:w="11900" w:h="16838" w:orient="portrait"/>
          <w:cols w:equalWidth="0" w:num="2">
            <w:col w:w="5160" w:space="720"/>
            <w:col w:w="5540"/>
          </w:cols>
          <w:pgMar w:left="240" w:top="233" w:right="239" w:bottom="1440" w:gutter="0" w:footer="0" w:header="0"/>
          <w:type w:val="continuous"/>
        </w:sectPr>
      </w:pPr>
    </w:p>
    <w:p>
      <w:pPr>
        <w:spacing w:after="0"/>
        <w:rPr>
          <w:sz w:val="20"/>
          <w:szCs w:val="20"/>
          <w:color w:val="auto"/>
        </w:rPr>
      </w:pPr>
      <w:r>
        <w:rPr>
          <w:rFonts w:ascii="Arial" w:cs="Arial" w:eastAsia="Arial" w:hAnsi="Arial"/>
          <w:sz w:val="16"/>
          <w:szCs w:val="16"/>
          <w:color w:val="auto"/>
        </w:rPr>
        <w:t>Over-allotment option</w:t>
      </w:r>
    </w:p>
    <w:p>
      <w:pPr>
        <w:spacing w:after="0" w:line="20" w:lineRule="exact"/>
        <w:rPr>
          <w:sz w:val="24"/>
          <w:szCs w:val="24"/>
          <w:color w:val="auto"/>
        </w:rPr>
      </w:pPr>
      <w:r>
        <w:rPr>
          <w:sz w:val="24"/>
          <w:szCs w:val="24"/>
          <w:color w:val="auto"/>
        </w:rPr>
        <w:br w:type="column"/>
      </w:r>
    </w:p>
    <w:p>
      <w:pPr>
        <w:ind w:right="80"/>
        <w:spacing w:after="0" w:line="264" w:lineRule="auto"/>
        <w:rPr>
          <w:sz w:val="20"/>
          <w:szCs w:val="20"/>
          <w:color w:val="auto"/>
        </w:rPr>
      </w:pPr>
      <w:r>
        <w:rPr>
          <w:rFonts w:ascii="Arial" w:cs="Arial" w:eastAsia="Arial" w:hAnsi="Arial"/>
          <w:sz w:val="18"/>
          <w:szCs w:val="18"/>
          <w:color w:val="auto"/>
        </w:rPr>
        <w:t>We have granted the underwriters the option to purchase up to an additional 900,000 common shares from us within 30 days of the date of this prospectus to cover over-allotments, if any.</w:t>
      </w:r>
    </w:p>
    <w:p>
      <w:pPr>
        <w:sectPr>
          <w:pgSz w:w="11900" w:h="16838" w:orient="portrait"/>
          <w:cols w:equalWidth="0" w:num="2">
            <w:col w:w="5160" w:space="720"/>
            <w:col w:w="5540"/>
          </w:cols>
          <w:pgMar w:left="240" w:top="233" w:right="239" w:bottom="1440" w:gutter="0" w:footer="0" w:header="0"/>
          <w:type w:val="continuous"/>
        </w:sectPr>
      </w:pPr>
    </w:p>
    <w:bookmarkStart w:id="1" w:name="page2"/>
    <w:bookmarkEnd w:id="1"/>
    <w:p>
      <w:pPr>
        <w:ind w:left="180"/>
        <w:spacing w:after="0"/>
        <w:rPr>
          <w:sz w:val="20"/>
          <w:szCs w:val="20"/>
          <w:color w:val="auto"/>
        </w:rPr>
      </w:pPr>
      <w:r>
        <w:rPr>
          <w:rFonts w:ascii="Arial" w:cs="Arial" w:eastAsia="Arial" w:hAnsi="Arial"/>
          <w:sz w:val="15"/>
          <w:szCs w:val="15"/>
          <w:color w:val="auto"/>
        </w:rPr>
        <w:t>Use of proceeds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We estimate that the net proceeds to us from this offering will 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-3740785</wp:posOffset>
            </wp:positionH>
            <wp:positionV relativeFrom="paragraph">
              <wp:posOffset>-284480</wp:posOffset>
            </wp:positionV>
            <wp:extent cx="7289165"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approximately $63.4 million, assuming an initial public offering price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$12.00 per common share, which is the midpoint of the price range set forth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on the cover page of this prospectus, after deducting underwriting discounts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and commissions and estimated offering expenses payable by us. We intend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to use the net proceeds from this offering together with cash and cash</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equivalents on hand (including the Anti-Tau Antibody Phase 1 Milestone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Payment) to further the development of our therapeutic product candidates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under collaboration agreements (ACI-35 and anti-tau antibodies), advance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our other clinical and pre-clinical programs, and for research and</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development of other indications and initiatives that are complementary to</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our existing and planned research activities. See “Use of Proceeds” for a</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more complete description of the intended use of proceeds from this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offering.</w:t>
      </w:r>
    </w:p>
    <w:p>
      <w:pPr>
        <w:spacing w:after="0" w:line="200" w:lineRule="exact"/>
        <w:rPr>
          <w:sz w:val="20"/>
          <w:szCs w:val="20"/>
          <w:color w:val="auto"/>
        </w:rPr>
      </w:pPr>
    </w:p>
    <w:p>
      <w:pPr>
        <w:sectPr>
          <w:pgSz w:w="11900" w:h="16838" w:orient="portrait"/>
          <w:cols w:equalWidth="0" w:num="2">
            <w:col w:w="5160" w:space="720"/>
            <w:col w:w="5540"/>
          </w:cols>
          <w:pgMar w:left="240" w:top="382" w:right="239" w:bottom="1440" w:gutter="0" w:footer="0" w:header="0"/>
        </w:sectPr>
      </w:pPr>
    </w:p>
    <w:p>
      <w:pPr>
        <w:spacing w:after="0" w:line="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Updates to “Capitalization”</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tabular disclosure set forth in the section of the Preliminary Prospectus captioned “Capitalization” has been revised as follows: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160" w:type="dxa"/>
            <w:vAlign w:val="bottom"/>
          </w:tcPr>
          <w:p>
            <w:pPr>
              <w:spacing w:after="0"/>
              <w:rPr>
                <w:sz w:val="14"/>
                <w:szCs w:val="14"/>
                <w:color w:val="auto"/>
              </w:rPr>
            </w:pPr>
          </w:p>
        </w:tc>
        <w:tc>
          <w:tcPr>
            <w:tcW w:w="736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3"/>
          </w:tcPr>
          <w:p>
            <w:pPr>
              <w:jc w:val="center"/>
              <w:ind w:right="20"/>
              <w:spacing w:after="0"/>
              <w:rPr>
                <w:sz w:val="20"/>
                <w:szCs w:val="20"/>
                <w:color w:val="auto"/>
              </w:rPr>
            </w:pPr>
            <w:r>
              <w:rPr>
                <w:rFonts w:ascii="Arial" w:cs="Arial" w:eastAsia="Arial" w:hAnsi="Arial"/>
                <w:sz w:val="14"/>
                <w:szCs w:val="14"/>
                <w:b w:val="1"/>
                <w:bCs w:val="1"/>
                <w:color w:val="auto"/>
                <w:w w:val="92"/>
              </w:rPr>
              <w:t>As at June 30, 2016</w:t>
            </w:r>
          </w:p>
        </w:tc>
        <w:tc>
          <w:tcPr>
            <w:tcW w:w="7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1160" w:type="dxa"/>
            <w:vAlign w:val="bottom"/>
          </w:tcPr>
          <w:p>
            <w:pPr>
              <w:spacing w:after="0"/>
              <w:rPr>
                <w:sz w:val="10"/>
                <w:szCs w:val="10"/>
                <w:color w:val="auto"/>
              </w:rPr>
            </w:pPr>
          </w:p>
        </w:tc>
        <w:tc>
          <w:tcPr>
            <w:tcW w:w="7360" w:type="dxa"/>
            <w:vAlign w:val="bottom"/>
          </w:tcPr>
          <w:p>
            <w:pPr>
              <w:spacing w:after="0"/>
              <w:rPr>
                <w:sz w:val="10"/>
                <w:szCs w:val="10"/>
                <w:color w:val="auto"/>
              </w:rPr>
            </w:pPr>
          </w:p>
        </w:tc>
        <w:tc>
          <w:tcPr>
            <w:tcW w:w="760" w:type="dxa"/>
            <w:vAlign w:val="bottom"/>
            <w:gridSpan w:val="3"/>
            <w:vMerge w:val="restart"/>
          </w:tcPr>
          <w:p>
            <w:pPr>
              <w:jc w:val="right"/>
              <w:ind w:right="220"/>
              <w:spacing w:after="0"/>
              <w:rPr>
                <w:sz w:val="20"/>
                <w:szCs w:val="20"/>
                <w:color w:val="auto"/>
              </w:rPr>
            </w:pPr>
            <w:r>
              <w:rPr>
                <w:rFonts w:ascii="Arial" w:cs="Arial" w:eastAsia="Arial" w:hAnsi="Arial"/>
                <w:sz w:val="14"/>
                <w:szCs w:val="14"/>
                <w:b w:val="1"/>
                <w:bCs w:val="1"/>
                <w:color w:val="auto"/>
              </w:rPr>
              <w:t>Actual</w:t>
            </w:r>
          </w:p>
        </w:tc>
        <w:tc>
          <w:tcPr>
            <w:tcW w:w="220" w:type="dxa"/>
            <w:vAlign w:val="bottom"/>
          </w:tcPr>
          <w:p>
            <w:pPr>
              <w:spacing w:after="0"/>
              <w:rPr>
                <w:sz w:val="10"/>
                <w:szCs w:val="10"/>
                <w:color w:val="auto"/>
              </w:rPr>
            </w:pPr>
          </w:p>
        </w:tc>
        <w:tc>
          <w:tcPr>
            <w:tcW w:w="108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w w:val="90"/>
              </w:rPr>
              <w:t>As Adjusted</w:t>
            </w:r>
          </w:p>
        </w:tc>
        <w:tc>
          <w:tcPr>
            <w:tcW w:w="740" w:type="dxa"/>
            <w:vAlign w:val="bottom"/>
          </w:tcPr>
          <w:p>
            <w:pPr>
              <w:jc w:val="right"/>
              <w:spacing w:after="0" w:line="119" w:lineRule="exact"/>
              <w:rPr>
                <w:sz w:val="20"/>
                <w:szCs w:val="20"/>
                <w:color w:val="auto"/>
              </w:rPr>
            </w:pPr>
            <w:r>
              <w:rPr>
                <w:rFonts w:ascii="Arial" w:cs="Arial" w:eastAsia="Arial" w:hAnsi="Arial"/>
                <w:sz w:val="13"/>
                <w:szCs w:val="13"/>
                <w:b w:val="1"/>
                <w:bCs w:val="1"/>
                <w:color w:val="auto"/>
              </w:rPr>
              <w:t>As Further</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1160" w:type="dxa"/>
            <w:vAlign w:val="bottom"/>
          </w:tcPr>
          <w:p>
            <w:pPr>
              <w:spacing w:after="0"/>
              <w:rPr>
                <w:sz w:val="14"/>
                <w:szCs w:val="14"/>
                <w:color w:val="auto"/>
              </w:rPr>
            </w:pPr>
          </w:p>
        </w:tc>
        <w:tc>
          <w:tcPr>
            <w:tcW w:w="7360" w:type="dxa"/>
            <w:vAlign w:val="bottom"/>
          </w:tcPr>
          <w:p>
            <w:pPr>
              <w:spacing w:after="0"/>
              <w:rPr>
                <w:sz w:val="14"/>
                <w:szCs w:val="14"/>
                <w:color w:val="auto"/>
              </w:rPr>
            </w:pPr>
          </w:p>
        </w:tc>
        <w:tc>
          <w:tcPr>
            <w:tcW w:w="760" w:type="dxa"/>
            <w:vAlign w:val="bottom"/>
            <w:gridSpan w:val="3"/>
            <w:vMerge w:val="continue"/>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93"/>
              </w:rPr>
              <w:t>Adjusted(1)</w:t>
            </w:r>
          </w:p>
        </w:tc>
        <w:tc>
          <w:tcPr>
            <w:tcW w:w="0" w:type="dxa"/>
            <w:vAlign w:val="bottom"/>
          </w:tcPr>
          <w:p>
            <w:pPr>
              <w:spacing w:after="0"/>
              <w:rPr>
                <w:sz w:val="1"/>
                <w:szCs w:val="1"/>
                <w:color w:val="auto"/>
              </w:rPr>
            </w:pPr>
          </w:p>
        </w:tc>
      </w:tr>
      <w:tr>
        <w:trPr>
          <w:trHeight w:val="119"/>
        </w:trPr>
        <w:tc>
          <w:tcPr>
            <w:tcW w:w="1160" w:type="dxa"/>
            <w:vAlign w:val="bottom"/>
          </w:tcPr>
          <w:p>
            <w:pPr>
              <w:spacing w:after="0"/>
              <w:rPr>
                <w:sz w:val="10"/>
                <w:szCs w:val="10"/>
                <w:color w:val="auto"/>
              </w:rPr>
            </w:pPr>
          </w:p>
        </w:tc>
        <w:tc>
          <w:tcPr>
            <w:tcW w:w="7360" w:type="dxa"/>
            <w:vAlign w:val="bottom"/>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300" w:type="dxa"/>
            <w:vAlign w:val="bottom"/>
            <w:tcBorders>
              <w:top w:val="single" w:sz="8" w:color="auto"/>
            </w:tcBorders>
            <w:gridSpan w:val="3"/>
          </w:tcPr>
          <w:p>
            <w:pPr>
              <w:jc w:val="center"/>
              <w:ind w:right="20"/>
              <w:spacing w:after="0" w:line="119" w:lineRule="exact"/>
              <w:rPr>
                <w:sz w:val="20"/>
                <w:szCs w:val="20"/>
                <w:color w:val="auto"/>
              </w:rPr>
            </w:pPr>
            <w:r>
              <w:rPr>
                <w:rFonts w:ascii="Arial" w:cs="Arial" w:eastAsia="Arial" w:hAnsi="Arial"/>
                <w:sz w:val="13"/>
                <w:szCs w:val="13"/>
                <w:b w:val="1"/>
                <w:bCs w:val="1"/>
                <w:color w:val="auto"/>
              </w:rPr>
              <w:t>(in CHF thousands)</w:t>
            </w:r>
          </w:p>
        </w:tc>
        <w:tc>
          <w:tcPr>
            <w:tcW w:w="74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5"/>
        </w:trPr>
        <w:tc>
          <w:tcPr>
            <w:tcW w:w="1160" w:type="dxa"/>
            <w:vAlign w:val="bottom"/>
          </w:tcPr>
          <w:p>
            <w:pPr>
              <w:spacing w:after="0"/>
              <w:rPr>
                <w:sz w:val="16"/>
                <w:szCs w:val="16"/>
                <w:color w:val="auto"/>
              </w:rPr>
            </w:pPr>
          </w:p>
        </w:tc>
        <w:tc>
          <w:tcPr>
            <w:tcW w:w="73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(unaudited)</w:t>
            </w: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8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82,377</w:t>
            </w:r>
          </w:p>
        </w:tc>
        <w:tc>
          <w:tcPr>
            <w:tcW w:w="8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96,377</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160,872</w:t>
            </w:r>
          </w:p>
        </w:tc>
        <w:tc>
          <w:tcPr>
            <w:tcW w:w="0" w:type="dxa"/>
            <w:vAlign w:val="bottom"/>
          </w:tcPr>
          <w:p>
            <w:pPr>
              <w:spacing w:after="0"/>
              <w:rPr>
                <w:sz w:val="1"/>
                <w:szCs w:val="1"/>
                <w:color w:val="auto"/>
              </w:rPr>
            </w:pPr>
          </w:p>
        </w:tc>
      </w:tr>
      <w:tr>
        <w:trPr>
          <w:trHeight w:val="20"/>
        </w:trPr>
        <w:tc>
          <w:tcPr>
            <w:tcW w:w="8520" w:type="dxa"/>
            <w:vAlign w:val="bottom"/>
            <w:gridSpan w:val="2"/>
            <w:vMerge w:val="restart"/>
          </w:tcPr>
          <w:p>
            <w:pPr>
              <w:spacing w:after="0"/>
              <w:rPr>
                <w:sz w:val="20"/>
                <w:szCs w:val="20"/>
                <w:color w:val="auto"/>
              </w:rPr>
            </w:pPr>
            <w:r>
              <w:rPr>
                <w:rFonts w:ascii="Arial" w:cs="Arial" w:eastAsia="Arial" w:hAnsi="Arial"/>
                <w:sz w:val="18"/>
                <w:szCs w:val="18"/>
                <w:color w:val="auto"/>
              </w:rPr>
              <w:t>Stockholders’ equity</w:t>
            </w: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520" w:type="dxa"/>
            <w:vAlign w:val="bottom"/>
            <w:gridSpan w:val="2"/>
            <w:vMerge w:val="continue"/>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8520" w:type="dxa"/>
            <w:vAlign w:val="bottom"/>
            <w:gridSpan w:val="2"/>
            <w:shd w:val="clear" w:color="auto" w:fill="CCEEFF"/>
          </w:tcPr>
          <w:p>
            <w:pPr>
              <w:ind w:left="360"/>
              <w:spacing w:after="0" w:line="201" w:lineRule="exact"/>
              <w:rPr>
                <w:sz w:val="20"/>
                <w:szCs w:val="20"/>
                <w:color w:val="auto"/>
              </w:rPr>
            </w:pPr>
            <w:r>
              <w:rPr>
                <w:rFonts w:ascii="Arial" w:cs="Arial" w:eastAsia="Arial" w:hAnsi="Arial"/>
                <w:sz w:val="18"/>
                <w:szCs w:val="18"/>
                <w:color w:val="auto"/>
                <w:w w:val="98"/>
              </w:rPr>
              <w:t>Common shares nominal value CHF 0.02 per share, 10,814,500 shares issued and outstanding, actual;</w:t>
            </w:r>
          </w:p>
        </w:tc>
        <w:tc>
          <w:tcPr>
            <w:tcW w:w="6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52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w w:val="96"/>
              </w:rPr>
              <w:t>65,443,542 shares authorized, 49,396,042 shares issued and outstanding, as adjusted; and 65,443,542</w:t>
            </w: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52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shares authorized, 53,396,042 shares issued and outstanding, as further adjusted</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216</w:t>
            </w:r>
          </w:p>
        </w:tc>
        <w:tc>
          <w:tcPr>
            <w:tcW w:w="80" w:type="dxa"/>
            <w:vAlign w:val="bottom"/>
            <w:shd w:val="clear" w:color="auto" w:fill="CCEEFF"/>
          </w:tcPr>
          <w:p>
            <w:pPr>
              <w:spacing w:after="0"/>
              <w:rPr>
                <w:sz w:val="20"/>
                <w:szCs w:val="20"/>
                <w:color w:val="auto"/>
              </w:rPr>
            </w:pPr>
          </w:p>
        </w:tc>
        <w:tc>
          <w:tcPr>
            <w:tcW w:w="130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988</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1,108</w:t>
            </w:r>
          </w:p>
        </w:tc>
        <w:tc>
          <w:tcPr>
            <w:tcW w:w="0" w:type="dxa"/>
            <w:vAlign w:val="bottom"/>
          </w:tcPr>
          <w:p>
            <w:pPr>
              <w:spacing w:after="0"/>
              <w:rPr>
                <w:sz w:val="1"/>
                <w:szCs w:val="1"/>
                <w:color w:val="auto"/>
              </w:rPr>
            </w:pPr>
          </w:p>
        </w:tc>
      </w:tr>
      <w:tr>
        <w:trPr>
          <w:trHeight w:val="202"/>
        </w:trPr>
        <w:tc>
          <w:tcPr>
            <w:tcW w:w="8520" w:type="dxa"/>
            <w:vAlign w:val="bottom"/>
            <w:gridSpan w:val="2"/>
          </w:tcPr>
          <w:p>
            <w:pPr>
              <w:ind w:left="360"/>
              <w:spacing w:after="0" w:line="201" w:lineRule="exact"/>
              <w:rPr>
                <w:sz w:val="20"/>
                <w:szCs w:val="20"/>
                <w:color w:val="auto"/>
              </w:rPr>
            </w:pPr>
            <w:r>
              <w:rPr>
                <w:rFonts w:ascii="Arial" w:cs="Arial" w:eastAsia="Arial" w:hAnsi="Arial"/>
                <w:sz w:val="18"/>
                <w:szCs w:val="18"/>
                <w:color w:val="auto"/>
                <w:w w:val="96"/>
              </w:rPr>
              <w:t>Preferred shares nominal value CHF 0.02 per share, 38,577,042 authorized preferred shares; 38,577,042</w:t>
            </w: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520" w:type="dxa"/>
            <w:vAlign w:val="bottom"/>
            <w:gridSpan w:val="2"/>
          </w:tcPr>
          <w:p>
            <w:pPr>
              <w:ind w:left="540"/>
              <w:spacing w:after="0"/>
              <w:rPr>
                <w:sz w:val="20"/>
                <w:szCs w:val="20"/>
                <w:color w:val="auto"/>
              </w:rPr>
            </w:pPr>
            <w:r>
              <w:rPr>
                <w:rFonts w:ascii="Arial" w:cs="Arial" w:eastAsia="Arial" w:hAnsi="Arial"/>
                <w:sz w:val="18"/>
                <w:szCs w:val="18"/>
                <w:color w:val="auto"/>
                <w:w w:val="91"/>
              </w:rPr>
              <w:t>preferred shares issued and outstanding, actual; no shares authorized or issued and outstanding, as adjusted</w:t>
            </w: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520" w:type="dxa"/>
            <w:vAlign w:val="bottom"/>
            <w:gridSpan w:val="2"/>
          </w:tcPr>
          <w:p>
            <w:pPr>
              <w:ind w:left="540"/>
              <w:spacing w:after="0"/>
              <w:rPr>
                <w:sz w:val="20"/>
                <w:szCs w:val="20"/>
                <w:color w:val="auto"/>
              </w:rPr>
            </w:pPr>
            <w:r>
              <w:rPr>
                <w:rFonts w:ascii="Arial" w:cs="Arial" w:eastAsia="Arial" w:hAnsi="Arial"/>
                <w:sz w:val="18"/>
                <w:szCs w:val="18"/>
                <w:color w:val="auto"/>
              </w:rPr>
              <w:t>or as further adjusted</w:t>
            </w: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772</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5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Share premium</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8"/>
              </w:rPr>
              <w:t>123,379</w:t>
            </w:r>
          </w:p>
        </w:tc>
        <w:tc>
          <w:tcPr>
            <w:tcW w:w="8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123,380</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185,192</w:t>
            </w:r>
          </w:p>
        </w:tc>
        <w:tc>
          <w:tcPr>
            <w:tcW w:w="0" w:type="dxa"/>
            <w:vAlign w:val="bottom"/>
          </w:tcPr>
          <w:p>
            <w:pPr>
              <w:spacing w:after="0"/>
              <w:rPr>
                <w:sz w:val="1"/>
                <w:szCs w:val="1"/>
                <w:color w:val="auto"/>
              </w:rPr>
            </w:pPr>
          </w:p>
        </w:tc>
      </w:tr>
      <w:tr>
        <w:trPr>
          <w:trHeight w:val="223"/>
        </w:trPr>
        <w:tc>
          <w:tcPr>
            <w:tcW w:w="8520" w:type="dxa"/>
            <w:vAlign w:val="bottom"/>
            <w:gridSpan w:val="2"/>
          </w:tcPr>
          <w:p>
            <w:pPr>
              <w:ind w:left="360"/>
              <w:spacing w:after="0"/>
              <w:rPr>
                <w:sz w:val="20"/>
                <w:szCs w:val="20"/>
                <w:color w:val="auto"/>
              </w:rPr>
            </w:pPr>
            <w:r>
              <w:rPr>
                <w:rFonts w:ascii="Arial" w:cs="Arial" w:eastAsia="Arial" w:hAnsi="Arial"/>
                <w:sz w:val="18"/>
                <w:szCs w:val="18"/>
                <w:color w:val="auto"/>
              </w:rPr>
              <w:t>Accumulated (deficit)</w:t>
            </w:r>
          </w:p>
        </w:tc>
        <w:tc>
          <w:tcPr>
            <w:tcW w:w="760" w:type="dxa"/>
            <w:vAlign w:val="bottom"/>
            <w:gridSpan w:val="3"/>
          </w:tcPr>
          <w:p>
            <w:pPr>
              <w:jc w:val="right"/>
              <w:ind w:right="40"/>
              <w:spacing w:after="0"/>
              <w:rPr>
                <w:sz w:val="20"/>
                <w:szCs w:val="20"/>
                <w:color w:val="auto"/>
              </w:rPr>
            </w:pPr>
            <w:r>
              <w:rPr>
                <w:rFonts w:ascii="Arial" w:cs="Arial" w:eastAsia="Arial" w:hAnsi="Arial"/>
                <w:sz w:val="18"/>
                <w:szCs w:val="18"/>
                <w:color w:val="auto"/>
              </w:rPr>
              <w:t>(33,825)</w:t>
            </w:r>
          </w:p>
        </w:tc>
        <w:tc>
          <w:tcPr>
            <w:tcW w:w="1300" w:type="dxa"/>
            <w:vAlign w:val="bottom"/>
            <w:gridSpan w:val="3"/>
          </w:tcPr>
          <w:p>
            <w:pPr>
              <w:jc w:val="right"/>
              <w:ind w:right="260"/>
              <w:spacing w:after="0"/>
              <w:rPr>
                <w:sz w:val="20"/>
                <w:szCs w:val="20"/>
                <w:color w:val="auto"/>
              </w:rPr>
            </w:pPr>
            <w:r>
              <w:rPr>
                <w:rFonts w:ascii="Arial" w:cs="Arial" w:eastAsia="Arial" w:hAnsi="Arial"/>
                <w:sz w:val="18"/>
                <w:szCs w:val="18"/>
                <w:color w:val="auto"/>
              </w:rPr>
              <w:t>(33,825)</w:t>
            </w: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(33,825)</w:t>
            </w:r>
          </w:p>
        </w:tc>
        <w:tc>
          <w:tcPr>
            <w:tcW w:w="0" w:type="dxa"/>
            <w:vAlign w:val="bottom"/>
          </w:tcPr>
          <w:p>
            <w:pPr>
              <w:spacing w:after="0"/>
              <w:rPr>
                <w:sz w:val="1"/>
                <w:szCs w:val="1"/>
                <w:color w:val="auto"/>
              </w:rPr>
            </w:pPr>
          </w:p>
        </w:tc>
      </w:tr>
      <w:tr>
        <w:trPr>
          <w:trHeight w:val="216"/>
        </w:trPr>
        <w:tc>
          <w:tcPr>
            <w:tcW w:w="852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Total stockholders’ (deficit) equity</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90,542</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90,542</w:t>
            </w:r>
          </w:p>
        </w:tc>
        <w:tc>
          <w:tcPr>
            <w:tcW w:w="320" w:type="dxa"/>
            <w:vAlign w:val="bottom"/>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152,475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520" w:type="dxa"/>
            <w:vAlign w:val="bottom"/>
            <w:gridSpan w:val="2"/>
          </w:tcPr>
          <w:p>
            <w:pPr>
              <w:ind w:left="1080"/>
              <w:spacing w:after="0"/>
              <w:rPr>
                <w:sz w:val="20"/>
                <w:szCs w:val="20"/>
                <w:color w:val="auto"/>
              </w:rPr>
            </w:pPr>
            <w:r>
              <w:rPr>
                <w:rFonts w:ascii="Arial" w:cs="Arial" w:eastAsia="Arial" w:hAnsi="Arial"/>
                <w:sz w:val="18"/>
                <w:szCs w:val="18"/>
                <w:color w:val="auto"/>
              </w:rPr>
              <w:t>Total capitalization</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90,542</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90,542</w:t>
            </w:r>
          </w:p>
        </w:tc>
        <w:tc>
          <w:tcPr>
            <w:tcW w:w="320" w:type="dxa"/>
            <w:vAlign w:val="bottom"/>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152,475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73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1160" w:type="dxa"/>
            <w:vAlign w:val="bottom"/>
            <w:tcBorders>
              <w:bottom w:val="single" w:sz="8" w:color="auto"/>
            </w:tcBorders>
          </w:tcPr>
          <w:p>
            <w:pPr>
              <w:spacing w:after="0"/>
              <w:rPr>
                <w:sz w:val="11"/>
                <w:szCs w:val="11"/>
                <w:color w:val="auto"/>
              </w:rPr>
            </w:pPr>
          </w:p>
        </w:tc>
        <w:tc>
          <w:tcPr>
            <w:tcW w:w="73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460" w:hanging="452"/>
        <w:spacing w:after="0" w:line="255" w:lineRule="auto"/>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A $1.00 increase (decrease) in the assumed initial public offering price of $12.00 per share would increase (decrease) each of as further adjusted cash and cash equivalents, additional paid-in capital, total capitalization and shareholders’ equity by $5.6 million, assuming that the number of shares offered by us, as set forth on the cover page of this prospectus, remains the same, and after deducting the underwriting discount and estimated offering expenses payable by us. We may also increase or decrease the number of shares we are offering. Each increase (decrease) of 1,000,000 in the number of shares offered by us would increase (decrease) as further adjusted cash and cash equivalents, additional paid-in capital, total shareholders’ equity and capitalization by $11.2 million, assuming an initial public offering price of $12.00 per share, after deducting the underwriting discount and estimated offering expenses payable by us.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Remainder of Page Intentionally Blank</w:t>
      </w:r>
      <w:r>
        <w:rPr>
          <w:rFonts w:ascii="Arial" w:cs="Arial" w:eastAsia="Arial" w:hAnsi="Arial"/>
          <w:sz w:val="18"/>
          <w:szCs w:val="18"/>
          <w:color w:val="auto"/>
        </w:rPr>
        <w:t>]</w:t>
      </w:r>
    </w:p>
    <w:sectPr>
      <w:pgSz w:w="11900" w:h="16838" w:orient="portrait"/>
      <w:cols w:equalWidth="0" w:num="1">
        <w:col w:w="11420"/>
      </w:cols>
      <w:pgMar w:left="240" w:top="382"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10" Type="http://schemas.openxmlformats.org/officeDocument/2006/relationships/image" Target="media/image2.png"/><Relationship Id="rId9" Type="http://schemas.openxmlformats.org/officeDocument/2006/relationships/hyperlink" Target="http://www.sec.gov/Archives/edgar/data/1651625/000119312516715981/d16439df1a.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2019-12-09T02:24:15Z</dcterms:created>
  <dcterms:modified xsi:type="dcterms:W3CDTF">2019-12-09T02:24:15Z</dcterms:modified>
</cp:coreProperties>
</file>