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79"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For the month of July,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2738755</wp:posOffset>
            </wp:positionH>
            <wp:positionV relativeFrom="paragraph">
              <wp:posOffset>83185</wp:posOffset>
            </wp:positionV>
            <wp:extent cx="151257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2570" cy="209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001-37891</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EPFL Innovation Park</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Building B</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1015 Lausanne, Switzerland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2500"/>
        <w:spacing w:after="0"/>
        <w:tabs>
          <w:tab w:leader="none" w:pos="4400" w:val="left"/>
          <w:tab w:leader="none" w:pos="67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2517775</wp:posOffset>
            </wp:positionH>
            <wp:positionV relativeFrom="paragraph">
              <wp:posOffset>14605</wp:posOffset>
            </wp:positionV>
            <wp:extent cx="660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5200650</wp:posOffset>
            </wp:positionH>
            <wp:positionV relativeFrom="paragraph">
              <wp:posOffset>23495</wp:posOffset>
            </wp:positionV>
            <wp:extent cx="651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ind w:left="2740"/>
        <w:spacing w:after="0"/>
        <w:tabs>
          <w:tab w:leader="none" w:pos="7020" w:val="left"/>
          <w:tab w:leader="none" w:pos="86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5200650</wp:posOffset>
            </wp:positionH>
            <wp:positionV relativeFrom="paragraph">
              <wp:posOffset>14605</wp:posOffset>
            </wp:positionV>
            <wp:extent cx="651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23495</wp:posOffset>
            </wp:positionV>
            <wp:extent cx="660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25" w:lineRule="exact"/>
        <w:rPr>
          <w:sz w:val="24"/>
          <w:szCs w:val="24"/>
          <w:color w:val="auto"/>
        </w:rPr>
      </w:pPr>
    </w:p>
    <w:p>
      <w:pPr>
        <w:ind w:left="2740"/>
        <w:spacing w:after="0"/>
        <w:tabs>
          <w:tab w:leader="none" w:pos="7020" w:val="left"/>
          <w:tab w:leader="none" w:pos="86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5200650</wp:posOffset>
            </wp:positionH>
            <wp:positionV relativeFrom="paragraph">
              <wp:posOffset>14605</wp:posOffset>
            </wp:positionV>
            <wp:extent cx="6515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23495</wp:posOffset>
            </wp:positionV>
            <wp:extent cx="660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323215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374650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606425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333" w:right="459" w:bottom="1440" w:gutter="0" w:footer="0" w:header="0"/>
        </w:sectPr>
      </w:pPr>
    </w:p>
    <w:bookmarkStart w:id="1" w:name="page2"/>
    <w:bookmarkEnd w:id="1"/>
    <w:p>
      <w:pPr>
        <w:ind w:firstLine="324"/>
        <w:spacing w:after="0" w:line="308" w:lineRule="auto"/>
        <w:rPr>
          <w:sz w:val="20"/>
          <w:szCs w:val="20"/>
          <w:color w:val="auto"/>
        </w:rPr>
      </w:pPr>
      <w:r>
        <w:rPr>
          <w:rFonts w:ascii="Arial" w:cs="Arial" w:eastAsia="Arial" w:hAnsi="Arial"/>
          <w:sz w:val="17"/>
          <w:szCs w:val="17"/>
          <w:color w:val="auto"/>
        </w:rPr>
        <w:t>On July 27, 2021, the Company issued a press release regarding its entry into an Asset Purchase and Contribution in Kind Agreement, two Convertible Note Agreements and the related agreements described herein, a copy of which is attached as Exhibit 99.1 to this Report on Form 6-K.</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 Purchase and Contribution in Kind Agreement (“Asset Purchase Agreement”)</w:t>
      </w:r>
    </w:p>
    <w:p>
      <w:pPr>
        <w:spacing w:after="0" w:line="229"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Pursuant to the Asset Purchase Agreement, the Company will acquire, on the Closing Date, the program portfolio of therapeutics targeting alpha-synuclein (a-syn), notably PD01, a clinically-validated active vaccine candidate for the treatment of Parkinson’s disease (the “Transferred Assets”) from Affiris AG (the “Seller”). The Transferred Assets comprise of patents, patent applications, know how, trademarks and copyrights.</w:t>
      </w:r>
    </w:p>
    <w:p>
      <w:pPr>
        <w:spacing w:after="0" w:line="16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Company will acquire the Transferred Assets and USD 5 million in cash in exchange for 7,106,840 shares of the Company at closing based on a price of USD 8.26 per common share, for a total value of USD 58.7 million. This represents a 10.7% premium to the closing price of the Company’s shares as of July 23, 2021.</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acquisition is subject to customary regulatory approval in Austria and expected to complete at the beginning of Q4 2021.</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Convertible Note Agreements</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Concurrently with the Asset Purchase Agreement, the Company entered into two separate Convertible Note Agreements with entities affiliated with each of Athos Service GmbH and First Capital Partner GmbH (collectively, the “Investors”), both of which entities are shareholders of Affiris. Each Convertible Note Agreement provides for the sale of an unsecured subordinated Convertible Note of the Company with an aggregate principal amount of 12.5 million. The total net proceeds to the Company are USD 25 million.</w:t>
      </w:r>
    </w:p>
    <w:p>
      <w:pPr>
        <w:spacing w:after="0" w:line="187"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Convertible Notes are convertible into common shares after the Closing Date of the Asset Purchase Agreement at any time at the option of the Investors or of AC Immune at a conversion price of USD 8.26. These options are effective from the signing date of the Convertible Note Agreements until 10 calendar days prior to the Repayment Date (“Conversion Period”). If the Convertible Notes are not converted during the Conversion Period, they shall be repaid on the Repayment Date, which is July 26, 2022. The Convertible Notes do not permit partial settlement and do not bear interest.</w:t>
      </w:r>
    </w:p>
    <w:p>
      <w:pPr>
        <w:spacing w:after="0" w:line="15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This Report on Form 6-K (excluding Exhibit 99.1 herewith) is incorporated by reference into the Registrant's registration statement on Form F-3 (File Nos. 333-227016, 333-249655 and 333-255576) and Form S-8 (File No. 333-233019).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980" w:type="dxa"/>
        <w:tblCellMar>
          <w:top w:w="0" w:type="dxa"/>
          <w:left w:w="0" w:type="dxa"/>
          <w:bottom w:w="0" w:type="dxa"/>
          <w:right w:w="0" w:type="dxa"/>
        </w:tblCellMar>
      </w:tblPr>
      <w:tr>
        <w:trPr>
          <w:trHeight w:val="23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3800" w:type="dxa"/>
            <w:vAlign w:val="bottom"/>
          </w:tcPr>
          <w:p>
            <w:pPr>
              <w:spacing w:after="0"/>
              <w:rPr>
                <w:sz w:val="20"/>
                <w:szCs w:val="20"/>
                <w:color w:val="auto"/>
              </w:rPr>
            </w:pPr>
          </w:p>
        </w:tc>
      </w:tr>
      <w:tr>
        <w:trPr>
          <w:trHeight w:val="64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78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100"/>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78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64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78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100"/>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78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rPr>
          <w:sz w:val="20"/>
          <w:szCs w:val="20"/>
          <w:color w:val="auto"/>
        </w:rPr>
      </w:pPr>
      <w:r>
        <w:rPr>
          <w:rFonts w:ascii="Arial" w:cs="Arial" w:eastAsia="Arial" w:hAnsi="Arial"/>
          <w:sz w:val="18"/>
          <w:szCs w:val="18"/>
          <w:color w:val="auto"/>
        </w:rPr>
        <w:t>Date: July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ind w:left="480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55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20320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ind w:left="180"/>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27, 2021</w:t>
      </w:r>
    </w:p>
    <w:p>
      <w:pPr>
        <w:spacing w:after="0" w:line="352"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6985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19"/>
          </w:cols>
          <w:pgMar w:left="440" w:top="580" w:right="1440"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342265</wp:posOffset>
            </wp:positionV>
            <wp:extent cx="169735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973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340" w:right="540"/>
        <w:spacing w:after="0" w:line="282" w:lineRule="auto"/>
        <w:rPr>
          <w:sz w:val="20"/>
          <w:szCs w:val="20"/>
          <w:color w:val="auto"/>
        </w:rPr>
      </w:pPr>
      <w:r>
        <w:rPr>
          <w:rFonts w:ascii="Arial" w:cs="Arial" w:eastAsia="Arial" w:hAnsi="Arial"/>
          <w:sz w:val="25"/>
          <w:szCs w:val="25"/>
          <w:b w:val="1"/>
          <w:bCs w:val="1"/>
          <w:color w:val="auto"/>
        </w:rPr>
        <w:t>AC Immune Announces Strategic Acquisition of Industry-leading Parkinson’s Disease Vaccine Candidate and Equity Investment Led by Athos Service GmbH</w:t>
      </w:r>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All-stock transaction maintains AC Immune’s strong cash position</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USD 25 million private placement led by premier investor Athos Service GmbH</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Transactions expand and accelerate AC Immune’s therapeutic development in Parkinson’s disease</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AC Immune to immediately launch clinical development of acquired vaccine into an adaptive, biomarker-based Phase 2 study in Parkinson’s disease</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Conference call scheduled today at 8:30 am ET / 2:30 pm CET</w:t>
      </w:r>
    </w:p>
    <w:p>
      <w:pPr>
        <w:spacing w:after="0" w:line="2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color w:val="auto"/>
        </w:rPr>
        <w:t xml:space="preserve">Lausanne, Switzerland, July 27, 2021 </w:t>
      </w:r>
      <w:r>
        <w:rPr>
          <w:rFonts w:ascii="Arial" w:cs="Arial" w:eastAsia="Arial" w:hAnsi="Arial"/>
          <w:sz w:val="16"/>
          <w:szCs w:val="16"/>
          <w:color w:val="auto"/>
        </w:rPr>
        <w:t>– AC Immune SA (NASDAQ: ACIU), a clinical-stage biopharmaceutical company pioneering precision medicine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neurodegenerative diseases, today announced that it is acquiring Affiris’ portfolio of therapeutics targeting alpha-synuclein (a-syn), notably Affiris PD01, a clinically-validated active vaccine candidate for the treatment of Parkinson’s disease, as well as cash. The all-stock asset acquisition is valued at USD 58.7 million. AC Immune’s cash position, as well as the Company’s investor base, is also being strengthened by a total of USD 30 million in gross proceeds stemming from the asset acquisition and a parallel financing that are adding Athos Service GmbH (Strüngmann family office), </w:t>
      </w:r>
      <w:r>
        <w:rPr>
          <w:rFonts w:ascii="Arial" w:cs="Arial" w:eastAsia="Arial" w:hAnsi="Arial"/>
          <w:sz w:val="16"/>
          <w:szCs w:val="16"/>
          <w:u w:val="single" w:color="auto"/>
          <w:color w:val="0000FF"/>
        </w:rPr>
        <w:t>First Capital</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Partner GmbH (Egger Family Office</w:t>
      </w:r>
      <w:r>
        <w:rPr>
          <w:rFonts w:ascii="Arial" w:cs="Arial" w:eastAsia="Arial" w:hAnsi="Arial"/>
          <w:sz w:val="16"/>
          <w:szCs w:val="16"/>
          <w:color w:val="000000"/>
        </w:rPr>
        <w:t>)</w:t>
      </w:r>
      <w:r>
        <w:rPr>
          <w:rFonts w:ascii="Arial" w:cs="Arial" w:eastAsia="Arial" w:hAnsi="Arial"/>
          <w:sz w:val="28"/>
          <w:szCs w:val="28"/>
          <w:color w:val="000000"/>
          <w:vertAlign w:val="superscript"/>
        </w:rPr>
        <w:t>1</w:t>
      </w:r>
      <w:r>
        <w:rPr>
          <w:rFonts w:ascii="Arial" w:cs="Arial" w:eastAsia="Arial" w:hAnsi="Arial"/>
          <w:sz w:val="16"/>
          <w:szCs w:val="16"/>
          <w:color w:val="0000FF"/>
        </w:rPr>
        <w:t xml:space="preserve"> </w:t>
      </w:r>
      <w:r>
        <w:rPr>
          <w:rFonts w:ascii="Arial" w:cs="Arial" w:eastAsia="Arial" w:hAnsi="Arial"/>
          <w:sz w:val="16"/>
          <w:szCs w:val="16"/>
          <w:color w:val="000000"/>
        </w:rPr>
        <w:t>and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MIG Fonds</w:t>
      </w:r>
      <w:r>
        <w:rPr>
          <w:rFonts w:ascii="Arial" w:cs="Arial" w:eastAsia="Arial" w:hAnsi="Arial"/>
          <w:sz w:val="26"/>
          <w:szCs w:val="26"/>
          <w:color w:val="000000"/>
          <w:vertAlign w:val="superscript"/>
        </w:rPr>
        <w:t>2</w:t>
      </w:r>
      <w:r>
        <w:rPr>
          <w:rFonts w:ascii="Arial" w:cs="Arial" w:eastAsia="Arial" w:hAnsi="Arial"/>
          <w:sz w:val="16"/>
          <w:szCs w:val="16"/>
          <w:color w:val="000000"/>
        </w:rPr>
        <w:t>, the lead investors in Covid-19 vaccine innovator BioNTech SE, as new AC Immune shareholders.</w:t>
      </w:r>
    </w:p>
    <w:p>
      <w:pPr>
        <w:spacing w:after="0" w:line="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terms of the agreement, AC Immune is acquiring all of Affiris’ assets and underlying intellectual property related to active vaccine candidates targeting a-syn and USD 5 million in cash for 7.1 million shares based on a price of USD 8.26 per common share. This share price represents a 10.7% premium compared to the closing price of AC Immune shares as of July 23, 2021.</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Concurrent with the asset acquisition, AC Immune announced a private placement transaction with a select group of investors led by Athos Service GmbH with additional participation from First Capital Partner GmbH. Gross proceeds from the private placement will be USD 25 million, based on the same</w:t>
      </w:r>
    </w:p>
    <w:p>
      <w:pPr>
        <w:jc w:val="both"/>
        <w:spacing w:after="0" w:line="234" w:lineRule="auto"/>
        <w:rPr>
          <w:sz w:val="20"/>
          <w:szCs w:val="20"/>
          <w:color w:val="auto"/>
        </w:rPr>
      </w:pPr>
      <w:r>
        <w:rPr>
          <w:rFonts w:ascii="Arial" w:cs="Arial" w:eastAsia="Arial" w:hAnsi="Arial"/>
          <w:sz w:val="16"/>
          <w:szCs w:val="16"/>
          <w:color w:val="auto"/>
        </w:rPr>
        <w:t>financial terms as for the acquisition of the therapeutic anti-a-syn portfolio. Another lead BioNTech and Affiris investor, MIG</w:t>
      </w:r>
      <w:r>
        <w:rPr>
          <w:rFonts w:ascii="Arial" w:cs="Arial" w:eastAsia="Arial" w:hAnsi="Arial"/>
          <w:sz w:val="26"/>
          <w:szCs w:val="26"/>
          <w:color w:val="FFFFFF"/>
          <w:vertAlign w:val="superscript"/>
        </w:rPr>
        <w:t>o</w:t>
      </w:r>
      <w:r>
        <w:rPr>
          <w:rFonts w:ascii="Arial" w:cs="Arial" w:eastAsia="Arial" w:hAnsi="Arial"/>
          <w:sz w:val="16"/>
          <w:szCs w:val="16"/>
          <w:color w:val="auto"/>
        </w:rPr>
        <w:t>Fonds, is also becoming a new AC Immune shareholder via its prior ownership of the anti-a-syn assets acquired. In total, AC Immune is issuing 10.1 million shares in conjunction</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with the asset acquisition and related financing, in exchange for the aforementioned anti-a-syn assets valued at USD 53.7 million and USD</w:t>
      </w:r>
      <w:r>
        <w:rPr>
          <w:rFonts w:ascii="Arial" w:cs="Arial" w:eastAsia="Arial" w:hAnsi="Arial"/>
          <w:sz w:val="29"/>
          <w:szCs w:val="29"/>
          <w:color w:val="FFFFFF"/>
          <w:vertAlign w:val="superscript"/>
        </w:rPr>
        <w:t>o</w:t>
      </w:r>
      <w:r>
        <w:rPr>
          <w:rFonts w:ascii="Arial" w:cs="Arial" w:eastAsia="Arial" w:hAnsi="Arial"/>
          <w:sz w:val="18"/>
          <w:szCs w:val="18"/>
          <w:color w:val="auto"/>
        </w:rPr>
        <w:t>30 million in cash.</w:t>
      </w:r>
    </w:p>
    <w:p>
      <w:pPr>
        <w:spacing w:after="0" w:line="20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With the support of their new premier investors, who are highly experienced in active vaccination, AC</w:t>
      </w:r>
      <w:r>
        <w:rPr>
          <w:rFonts w:ascii="Arial" w:cs="Arial" w:eastAsia="Arial" w:hAnsi="Arial"/>
          <w:sz w:val="29"/>
          <w:szCs w:val="29"/>
          <w:color w:val="FFFFFF"/>
          <w:vertAlign w:val="superscript"/>
        </w:rPr>
        <w:t>o</w:t>
      </w:r>
      <w:r>
        <w:rPr>
          <w:rFonts w:ascii="Arial" w:cs="Arial" w:eastAsia="Arial" w:hAnsi="Arial"/>
          <w:sz w:val="18"/>
          <w:szCs w:val="18"/>
          <w:color w:val="auto"/>
        </w:rPr>
        <w:t>Immune will leverage its own extensive expertise in vaccine development and neurodegenerative diseases to immediately launch clinical development of ACI-7104, the optimized formulation of PD01, into an adaptive, biomarker-based Phase 2 study. This trial will evaluate an initial dose-response of the optimized formulation focusing on immunogenicity against a-syn and pathological a-syn species. Additionally, progression of motor and non-motor symptoms of Parkinson’s disease will be monitored, together with digital, imaging and fluid biomarkers.</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both"/>
        <w:spacing w:after="0" w:line="281" w:lineRule="auto"/>
        <w:rPr>
          <w:sz w:val="20"/>
          <w:szCs w:val="20"/>
          <w:color w:val="auto"/>
        </w:rPr>
      </w:pPr>
      <w:r>
        <w:rPr>
          <w:rFonts w:ascii="Arial" w:cs="Arial" w:eastAsia="Arial" w:hAnsi="Arial"/>
          <w:sz w:val="17"/>
          <w:szCs w:val="17"/>
          <w:b w:val="1"/>
          <w:bCs w:val="1"/>
          <w:color w:val="auto"/>
        </w:rPr>
        <w:t xml:space="preserve">Michael Motschmann, General Partner of MIG Fonds, added: </w:t>
      </w:r>
      <w:r>
        <w:rPr>
          <w:rFonts w:ascii="Arial" w:cs="Arial" w:eastAsia="Arial" w:hAnsi="Arial"/>
          <w:sz w:val="17"/>
          <w:szCs w:val="17"/>
          <w:color w:val="auto"/>
        </w:rPr>
        <w:t>"AC Immune is uniquely positioned to successfully advance the industry-leading anti-a-syn vaccine program developed by Affiris and its investors. The program will benefit from AC Immune’s deep expertise in precision medicine and active vaccination approaches for neurodegenerative diseases. We are thrilled to be joining their high-quality investor base and believe this transaction will be of great benefit to our shareholders and the millions of patients suffering from neurodegenerative diseases around the world."</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Thomas Strüngmann, Co-Founder of Athos Service GmbH, commented: </w:t>
      </w:r>
      <w:r>
        <w:rPr>
          <w:rFonts w:ascii="Arial" w:cs="Arial" w:eastAsia="Arial" w:hAnsi="Arial"/>
          <w:sz w:val="18"/>
          <w:szCs w:val="18"/>
          <w:color w:val="auto"/>
        </w:rPr>
        <w:t>“We have learned from Covid-19 that collaboration can accelerate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safe and efficacious vaccines that can be deployed broadly to deliver highly effective protection for very large populations. This is why we strongly endorse this transaction with AC Immune, a global leader in vaccine development in neurodegeneration with an impressive precision medicine pipeline and record of execution. We look forward to working with the Company to potentially translate what has been done for infectious diseases to neurodegenerative diseases like Parkinson’s and Alzheimer’s.”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Prof. Andrea Pfeifer, CEO of AC Immune SA, commented: </w:t>
      </w:r>
      <w:r>
        <w:rPr>
          <w:rFonts w:ascii="Arial" w:cs="Arial" w:eastAsia="Arial" w:hAnsi="Arial"/>
          <w:sz w:val="18"/>
          <w:szCs w:val="18"/>
          <w:color w:val="auto"/>
        </w:rPr>
        <w:t>“We believe very strongly that active vaccination will play an important role in the long-term management and possible prevention of neurodegenerative diseases. By acquiring a clinically validated vaccine program against a-syn, we are advancing AC Immune to the forefront of Parkinson’s disease drug development, with a wholly-owned a-syn portfolio that now covers a full spectrum of treatment modalities addressing this well-characterized target.”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proud to welcome three of the foremost investors in vaccine development, the Strüngmann Family’s Athos Service, First Capital Partner GmbH and MIG Fonds, to AC Immune. As the lead investors in BioNTech, they have a globally recognized track record of identifying and supporting successful vaccine technologies. Their support of Affiris and now AC Immune serves as an endorsement of an active immunization approach for Parkinson’s disease, and provides key external validation for AC Immune’s unmatched expertise in the development of vaccines for neurodegenerative diseases.”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Parkinson’s disease is causally linked to pathological aggregation and deposition of a-syn, a drug target that has been validated in clinical studies using monoclonal antibodies. Affiris PD01 is a vaccine designed to generate a target-specific antibody response against pathological oligomeric a-syn. Randomized Phase 1 results </w:t>
      </w:r>
      <w:r>
        <w:rPr>
          <w:rFonts w:ascii="Arial" w:cs="Arial" w:eastAsia="Arial" w:hAnsi="Arial"/>
          <w:sz w:val="17"/>
          <w:szCs w:val="17"/>
          <w:u w:val="single" w:color="auto"/>
          <w:color w:val="0000FF"/>
        </w:rPr>
        <w:t>published in</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The Lancet Neurology</w:t>
      </w:r>
      <w:r>
        <w:rPr>
          <w:rFonts w:ascii="Arial" w:cs="Arial" w:eastAsia="Arial" w:hAnsi="Arial"/>
          <w:sz w:val="17"/>
          <w:szCs w:val="17"/>
          <w:color w:val="auto"/>
        </w:rPr>
        <w:t xml:space="preserve"> showed that PD01 generated substantial, long-lasting and boostable antibody responses against pathological forms of a-syn that were accompanied by target engagement and signals of clinical efficacy. These data also showed that PD01 had a favorable safety and tolerability profile. This anti-a-syn vaccine complements AC Immune’s existing portfolio of clinical and preclinical candidates addressing a-syn, which includes an anti-a-syn antibody, a small molecule aggregation inhibitor, and a first-in-class diagnostic imaging agent, which together may enable a precision medicine approach to treating Parkinson’s disease and other alpha-synucleinopathies. With this acquisition, AC Immune becomes a leader in the development of therapeutics and diagnostics for Parkinson’s disease.</w:t>
      </w:r>
    </w:p>
    <w:p>
      <w:pPr>
        <w:spacing w:after="0" w:line="18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AC Immune’s expertise in active vaccine development is based on its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-V vaccine platform, which has been shown to generate powerful, target-specific, polyclonal antibody responses that are in the range of therapeutic monoclonal antibodies. Earlier this year, the Company reported highly encouraging readouts from its ongoing Alzheimer’s disease vaccine programs targeting </w:t>
      </w:r>
      <w:r>
        <w:rPr>
          <w:rFonts w:ascii="Arial" w:cs="Arial" w:eastAsia="Arial" w:hAnsi="Arial"/>
          <w:sz w:val="18"/>
          <w:szCs w:val="18"/>
          <w:u w:val="single" w:color="auto"/>
          <w:color w:val="0000FF"/>
        </w:rPr>
        <w:t>phospho-Tau</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pathological amyloid beta (Abeta</w:t>
      </w:r>
      <w:r>
        <w:rPr>
          <w:rFonts w:ascii="Arial" w:cs="Arial" w:eastAsia="Arial" w:hAnsi="Arial"/>
          <w:sz w:val="18"/>
          <w:szCs w:val="18"/>
          <w:color w:val="auto"/>
        </w:rPr>
        <w:t>) including the most toxic oligomeric and pyroglutamate Abeta species. With the recent accelerated approval of the passive immunotherapy Aduhelm™ based on Abeta biomarker data and</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18"/>
          <w:szCs w:val="18"/>
          <w:color w:val="auto"/>
        </w:rPr>
        <w:t>encouraging clinical results for the anti-Abeta antibody donanemab that demonstrate the potential benefit of targeting pyroglutamate Abeta species, AC Immune is positioned to greatly accelerate the potential time-to-market for its optimized Abeta vaccine. AC Immune is leveraging its extensive vaccine expertise to enrich and accelerate the development of ACI-7104 for Parkinson’s disease and other a-synucleinopathies.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is subject to customary regulatory approval in Austria and expected to complete at the beginning of Q4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 Immune will hold a conference call today, July 27, 2021, at 8:30 am ET / 2:30 pm CET. Interested participants and investors may access the conference call by dialing:</w:t>
      </w:r>
    </w:p>
    <w:p>
      <w:pPr>
        <w:spacing w:after="0" w:line="170" w:lineRule="exact"/>
        <w:rPr>
          <w:sz w:val="20"/>
          <w:szCs w:val="20"/>
          <w:color w:val="auto"/>
        </w:rPr>
      </w:pPr>
    </w:p>
    <w:p>
      <w:pPr>
        <w:ind w:left="780" w:hanging="448"/>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877-407-0792 (U.S.)</w:t>
      </w:r>
    </w:p>
    <w:p>
      <w:pPr>
        <w:spacing w:after="0" w:line="23" w:lineRule="exact"/>
        <w:rPr>
          <w:rFonts w:ascii="Arial" w:cs="Arial" w:eastAsia="Arial" w:hAnsi="Arial"/>
          <w:sz w:val="18"/>
          <w:szCs w:val="18"/>
          <w:color w:val="auto"/>
        </w:rPr>
      </w:pPr>
    </w:p>
    <w:p>
      <w:pPr>
        <w:ind w:left="780" w:hanging="448"/>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+1 201-689-8263 (International)</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Conference ID: 13721912</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 live webcast will be accessible via the </w:t>
      </w:r>
      <w:r>
        <w:rPr>
          <w:rFonts w:ascii="Arial" w:cs="Arial" w:eastAsia="Arial" w:hAnsi="Arial"/>
          <w:sz w:val="18"/>
          <w:szCs w:val="18"/>
          <w:u w:val="single" w:color="auto"/>
          <w:color w:val="0000FF"/>
        </w:rPr>
        <w:t>Events</w:t>
      </w:r>
      <w:r>
        <w:rPr>
          <w:rFonts w:ascii="Arial" w:cs="Arial" w:eastAsia="Arial" w:hAnsi="Arial"/>
          <w:sz w:val="18"/>
          <w:szCs w:val="18"/>
          <w:color w:val="auto"/>
        </w:rPr>
        <w:t xml:space="preserve"> section of the Company’s website. An archive of the webcast will be available for 90 days beginning at approximately 9:30 am ET / 3:30 pm CET, today, July 27,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 Immune SA is clinical-stage biopharmaceutical company that aims to become a global leader in precision medicine for neurodegenerative diseases, including Alzheimer’s disease, Parkinson’s disease, and NeuroOrphan indications driven by misfolded proteins. The Company’s two clinically validated</w:t>
      </w:r>
    </w:p>
    <w:p>
      <w:pPr>
        <w:jc w:val="both"/>
        <w:spacing w:after="0" w:line="259" w:lineRule="auto"/>
        <w:rPr>
          <w:sz w:val="20"/>
          <w:szCs w:val="20"/>
          <w:color w:val="auto"/>
        </w:rPr>
      </w:pPr>
      <w:r>
        <w:rPr>
          <w:rFonts w:ascii="Arial" w:cs="Arial" w:eastAsia="Arial" w:hAnsi="Arial"/>
          <w:sz w:val="16"/>
          <w:szCs w:val="16"/>
          <w:color w:val="auto"/>
        </w:rPr>
        <w:t>technology platforms, SupraAntigen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Morphomer</w:t>
      </w:r>
      <w:r>
        <w:rPr>
          <w:rFonts w:ascii="Arial" w:cs="Arial" w:eastAsia="Arial" w:hAnsi="Arial"/>
          <w:sz w:val="26"/>
          <w:szCs w:val="26"/>
          <w:color w:val="auto"/>
          <w:vertAlign w:val="superscript"/>
        </w:rPr>
        <w:t>®</w:t>
      </w:r>
      <w:r>
        <w:rPr>
          <w:rFonts w:ascii="Arial" w:cs="Arial" w:eastAsia="Arial" w:hAnsi="Arial"/>
          <w:sz w:val="16"/>
          <w:szCs w:val="16"/>
          <w:color w:val="auto"/>
        </w:rPr>
        <w:t>, fuel its broad and diversified pipeline of first- and best-in-class assets, which currently features ten therapeutic and three diagnostic candidates, six of which are currently in clinical trials. AC Immune has a strong track record of securing strategic partnerships with leading global pharmaceutical companies including Genentech, a member of the Roche Group, Eli Lilly and Company, and Janssen Pharmaceuticals, Inc., resulting in substantial non-dilutive funding to advance its proprietary programs and &gt;$3 billion in potential milestone payments.</w:t>
      </w:r>
    </w:p>
    <w:p>
      <w:pPr>
        <w:spacing w:after="0" w:line="192"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SupraAntigen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Morphomer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are registered trademarks of AC Immune SA in the following territories: AU, CH, EU, JP, and GB. Morphomer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is also a registered trademark of AC Immune SA in CN and NO.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FF"/>
        </w:rPr>
        <w:t>https://firstcapitalpartner.de/index.html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FF"/>
        </w:rPr>
        <w:t>https://www.mig-fonds.de/home.html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5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18"/>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Media Relations</w:t>
            </w:r>
          </w:p>
        </w:tc>
        <w:tc>
          <w:tcPr>
            <w:tcW w:w="3740" w:type="dxa"/>
            <w:vAlign w:val="bottom"/>
            <w:gridSpan w:val="2"/>
          </w:tcPr>
          <w:p>
            <w:pPr>
              <w:ind w:left="1060"/>
              <w:spacing w:after="0"/>
              <w:rPr>
                <w:sz w:val="20"/>
                <w:szCs w:val="20"/>
                <w:color w:val="auto"/>
              </w:rPr>
            </w:pPr>
            <w:r>
              <w:rPr>
                <w:rFonts w:ascii="Arial" w:cs="Arial" w:eastAsia="Arial" w:hAnsi="Arial"/>
                <w:sz w:val="18"/>
                <w:szCs w:val="18"/>
                <w:b w:val="1"/>
                <w:bCs w:val="1"/>
                <w:color w:val="auto"/>
              </w:rPr>
              <w:t>Investor Relations</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Saoyuth Nidh</w:t>
            </w:r>
          </w:p>
        </w:tc>
        <w:tc>
          <w:tcPr>
            <w:tcW w:w="3740" w:type="dxa"/>
            <w:vAlign w:val="bottom"/>
            <w:gridSpan w:val="2"/>
          </w:tcPr>
          <w:p>
            <w:pPr>
              <w:ind w:left="1060"/>
              <w:spacing w:after="0"/>
              <w:rPr>
                <w:sz w:val="20"/>
                <w:szCs w:val="20"/>
                <w:color w:val="auto"/>
              </w:rPr>
            </w:pPr>
            <w:r>
              <w:rPr>
                <w:rFonts w:ascii="Arial" w:cs="Arial" w:eastAsia="Arial" w:hAnsi="Arial"/>
                <w:sz w:val="18"/>
                <w:szCs w:val="18"/>
                <w:color w:val="auto"/>
              </w:rPr>
              <w:t>Yves Kremer, Ph.D.</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AC Immune SA</w:t>
            </w:r>
          </w:p>
        </w:tc>
        <w:tc>
          <w:tcPr>
            <w:tcW w:w="3740" w:type="dxa"/>
            <w:vAlign w:val="bottom"/>
            <w:gridSpan w:val="2"/>
          </w:tcPr>
          <w:p>
            <w:pPr>
              <w:ind w:left="1060"/>
              <w:spacing w:after="0"/>
              <w:rPr>
                <w:sz w:val="20"/>
                <w:szCs w:val="20"/>
                <w:color w:val="auto"/>
              </w:rPr>
            </w:pPr>
            <w:r>
              <w:rPr>
                <w:rFonts w:ascii="Arial" w:cs="Arial" w:eastAsia="Arial" w:hAnsi="Arial"/>
                <w:sz w:val="18"/>
                <w:szCs w:val="18"/>
                <w:color w:val="auto"/>
              </w:rPr>
              <w:t>AC Immune SA</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Phone: +41 21 345 91 34</w:t>
            </w:r>
          </w:p>
        </w:tc>
        <w:tc>
          <w:tcPr>
            <w:tcW w:w="3740" w:type="dxa"/>
            <w:vAlign w:val="bottom"/>
            <w:gridSpan w:val="2"/>
          </w:tcPr>
          <w:p>
            <w:pPr>
              <w:ind w:left="1060"/>
              <w:spacing w:after="0"/>
              <w:rPr>
                <w:sz w:val="20"/>
                <w:szCs w:val="20"/>
                <w:color w:val="auto"/>
              </w:rPr>
            </w:pPr>
            <w:r>
              <w:rPr>
                <w:rFonts w:ascii="Arial" w:cs="Arial" w:eastAsia="Arial" w:hAnsi="Arial"/>
                <w:sz w:val="18"/>
                <w:szCs w:val="18"/>
                <w:color w:val="auto"/>
              </w:rPr>
              <w:t>Phone: +41 21 345 91 90</w:t>
            </w:r>
          </w:p>
        </w:tc>
      </w:tr>
      <w:tr>
        <w:trPr>
          <w:trHeight w:val="190"/>
        </w:trPr>
        <w:tc>
          <w:tcPr>
            <w:tcW w:w="4120" w:type="dxa"/>
            <w:vAlign w:val="bottom"/>
            <w:gridSpan w:val="3"/>
          </w:tcPr>
          <w:p>
            <w:pPr>
              <w:spacing w:after="0" w:line="190"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saoyuth.nidh@acimmune.com</w:t>
            </w:r>
          </w:p>
        </w:tc>
        <w:tc>
          <w:tcPr>
            <w:tcW w:w="3740" w:type="dxa"/>
            <w:vAlign w:val="bottom"/>
            <w:gridSpan w:val="2"/>
          </w:tcPr>
          <w:p>
            <w:pPr>
              <w:ind w:left="1060"/>
              <w:spacing w:after="0" w:line="190" w:lineRule="exact"/>
              <w:rPr>
                <w:sz w:val="20"/>
                <w:szCs w:val="20"/>
                <w:color w:val="auto"/>
              </w:rPr>
            </w:pPr>
            <w:r>
              <w:rPr>
                <w:rFonts w:ascii="Arial" w:cs="Arial" w:eastAsia="Arial" w:hAnsi="Arial"/>
                <w:sz w:val="18"/>
                <w:szCs w:val="18"/>
                <w:color w:val="auto"/>
                <w:w w:val="90"/>
              </w:rPr>
              <w:t xml:space="preserve">Email: </w:t>
            </w:r>
            <w:r>
              <w:rPr>
                <w:rFonts w:ascii="Arial" w:cs="Arial" w:eastAsia="Arial" w:hAnsi="Arial"/>
                <w:sz w:val="18"/>
                <w:szCs w:val="18"/>
                <w:color w:val="0000FF"/>
                <w:w w:val="90"/>
              </w:rPr>
              <w:t>yves.kremer@acimmune.com</w:t>
            </w:r>
          </w:p>
        </w:tc>
      </w:tr>
      <w:tr>
        <w:trPr>
          <w:trHeight w:val="20"/>
        </w:trPr>
        <w:tc>
          <w:tcPr>
            <w:tcW w:w="54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r>
    </w:tbl>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 w:name="page8"/>
    <w:bookmarkEnd w:id="7"/>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5643245</wp:posOffset>
            </wp:positionH>
            <wp:positionV relativeFrom="page">
              <wp:posOffset>380365</wp:posOffset>
            </wp:positionV>
            <wp:extent cx="1697355" cy="522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697355" cy="5226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4400" w:type="dxa"/>
            <w:vAlign w:val="bottom"/>
            <w:gridSpan w:val="2"/>
          </w:tcPr>
          <w:p>
            <w:pPr>
              <w:ind w:left="1960"/>
              <w:spacing w:after="0"/>
              <w:rPr>
                <w:sz w:val="20"/>
                <w:szCs w:val="20"/>
                <w:color w:val="auto"/>
              </w:rPr>
            </w:pPr>
            <w:r>
              <w:rPr>
                <w:rFonts w:ascii="Arial" w:cs="Arial" w:eastAsia="Arial" w:hAnsi="Arial"/>
                <w:sz w:val="18"/>
                <w:szCs w:val="18"/>
                <w:b w:val="1"/>
                <w:bCs w:val="1"/>
                <w:color w:val="auto"/>
              </w:rPr>
              <w:t>U.S. Investors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Katie Gallagher</w:t>
            </w:r>
          </w:p>
        </w:tc>
        <w:tc>
          <w:tcPr>
            <w:tcW w:w="4400" w:type="dxa"/>
            <w:vAlign w:val="bottom"/>
            <w:gridSpan w:val="2"/>
          </w:tcPr>
          <w:p>
            <w:pPr>
              <w:ind w:left="1960"/>
              <w:spacing w:after="0"/>
              <w:rPr>
                <w:sz w:val="20"/>
                <w:szCs w:val="20"/>
                <w:color w:val="auto"/>
              </w:rPr>
            </w:pPr>
            <w:r>
              <w:rPr>
                <w:rFonts w:ascii="Arial" w:cs="Arial" w:eastAsia="Arial" w:hAnsi="Arial"/>
                <w:sz w:val="18"/>
                <w:szCs w:val="18"/>
                <w:color w:val="auto"/>
              </w:rPr>
              <w:t>Chris Maggos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LaVoie Health Science</w:t>
            </w:r>
          </w:p>
        </w:tc>
        <w:tc>
          <w:tcPr>
            <w:tcW w:w="4400" w:type="dxa"/>
            <w:vAlign w:val="bottom"/>
            <w:gridSpan w:val="2"/>
          </w:tcPr>
          <w:p>
            <w:pPr>
              <w:ind w:left="1960"/>
              <w:spacing w:after="0"/>
              <w:rPr>
                <w:sz w:val="20"/>
                <w:szCs w:val="20"/>
                <w:color w:val="auto"/>
              </w:rPr>
            </w:pPr>
            <w:r>
              <w:rPr>
                <w:rFonts w:ascii="Arial" w:cs="Arial" w:eastAsia="Arial" w:hAnsi="Arial"/>
                <w:sz w:val="18"/>
                <w:szCs w:val="18"/>
                <w:color w:val="auto"/>
              </w:rPr>
              <w:t>LifeSci Advisors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Phone: +1 617 792 3937</w:t>
            </w:r>
          </w:p>
        </w:tc>
        <w:tc>
          <w:tcPr>
            <w:tcW w:w="4400" w:type="dxa"/>
            <w:vAlign w:val="bottom"/>
            <w:gridSpan w:val="2"/>
          </w:tcPr>
          <w:p>
            <w:pPr>
              <w:ind w:left="1960"/>
              <w:spacing w:after="0"/>
              <w:rPr>
                <w:sz w:val="20"/>
                <w:szCs w:val="20"/>
                <w:color w:val="auto"/>
              </w:rPr>
            </w:pPr>
            <w:r>
              <w:rPr>
                <w:rFonts w:ascii="Arial" w:cs="Arial" w:eastAsia="Arial" w:hAnsi="Arial"/>
                <w:sz w:val="18"/>
                <w:szCs w:val="18"/>
                <w:color w:val="auto"/>
              </w:rPr>
              <w:t>Phone: +1 917 809 0814</w:t>
            </w:r>
          </w:p>
        </w:tc>
      </w:tr>
      <w:tr>
        <w:trPr>
          <w:trHeight w:val="190"/>
        </w:trPr>
        <w:tc>
          <w:tcPr>
            <w:tcW w:w="3220" w:type="dxa"/>
            <w:vAlign w:val="bottom"/>
            <w:gridSpan w:val="2"/>
          </w:tcPr>
          <w:p>
            <w:pPr>
              <w:spacing w:after="0" w:line="190" w:lineRule="exact"/>
              <w:rPr>
                <w:sz w:val="20"/>
                <w:szCs w:val="20"/>
                <w:color w:val="auto"/>
              </w:rPr>
            </w:pPr>
            <w:r>
              <w:rPr>
                <w:rFonts w:ascii="Arial" w:cs="Arial" w:eastAsia="Arial" w:hAnsi="Arial"/>
                <w:sz w:val="18"/>
                <w:szCs w:val="18"/>
                <w:color w:val="auto"/>
                <w:w w:val="90"/>
              </w:rPr>
              <w:t xml:space="preserve">Email: </w:t>
            </w:r>
            <w:r>
              <w:rPr>
                <w:rFonts w:ascii="Arial" w:cs="Arial" w:eastAsia="Arial" w:hAnsi="Arial"/>
                <w:sz w:val="18"/>
                <w:szCs w:val="18"/>
                <w:color w:val="0000FF"/>
                <w:w w:val="90"/>
              </w:rPr>
              <w:t>kgallagher@lavoiehealthscience.com</w:t>
            </w:r>
          </w:p>
        </w:tc>
        <w:tc>
          <w:tcPr>
            <w:tcW w:w="4400" w:type="dxa"/>
            <w:vAlign w:val="bottom"/>
            <w:gridSpan w:val="2"/>
          </w:tcPr>
          <w:p>
            <w:pPr>
              <w:ind w:left="1960"/>
              <w:spacing w:after="0" w:line="190" w:lineRule="exact"/>
              <w:rPr>
                <w:sz w:val="20"/>
                <w:szCs w:val="20"/>
                <w:color w:val="auto"/>
              </w:rPr>
            </w:pPr>
            <w:r>
              <w:rPr>
                <w:rFonts w:ascii="Arial" w:cs="Arial" w:eastAsia="Arial" w:hAnsi="Arial"/>
                <w:sz w:val="18"/>
                <w:szCs w:val="18"/>
                <w:color w:val="auto"/>
                <w:w w:val="92"/>
              </w:rPr>
              <w:t xml:space="preserve">Email: </w:t>
            </w:r>
            <w:r>
              <w:rPr>
                <w:rFonts w:ascii="Arial" w:cs="Arial" w:eastAsia="Arial" w:hAnsi="Arial"/>
                <w:sz w:val="18"/>
                <w:szCs w:val="18"/>
                <w:color w:val="0000FF"/>
                <w:w w:val="92"/>
              </w:rPr>
              <w:t>chris@lifesciadvisors.com</w:t>
            </w:r>
          </w:p>
        </w:tc>
      </w:tr>
      <w:tr>
        <w:trPr>
          <w:trHeight w:val="20"/>
        </w:trPr>
        <w:tc>
          <w:tcPr>
            <w:tcW w:w="54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2021-07-27T06:36:19Z</dcterms:created>
  <dcterms:modified xsi:type="dcterms:W3CDTF">2021-07-27T06:36:19Z</dcterms:modified>
</cp:coreProperties>
</file>