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196850</wp:posOffset>
            </wp:positionH>
            <wp:positionV relativeFrom="page">
              <wp:posOffset>146050</wp:posOffset>
            </wp:positionV>
            <wp:extent cx="715518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181610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6-K</w:t>
      </w:r>
    </w:p>
    <w:p>
      <w:pPr>
        <w:spacing w:after="0" w:line="187" w:lineRule="exact"/>
        <w:rPr>
          <w:sz w:val="24"/>
          <w:szCs w:val="24"/>
          <w:color w:val="auto"/>
        </w:rPr>
      </w:pPr>
    </w:p>
    <w:p>
      <w:pPr>
        <w:jc w:val="center"/>
        <w:spacing w:after="0" w:line="276" w:lineRule="auto"/>
        <w:rPr>
          <w:sz w:val="20"/>
          <w:szCs w:val="20"/>
          <w:color w:val="auto"/>
        </w:rPr>
      </w:pPr>
      <w:r>
        <w:rPr>
          <w:rFonts w:ascii="Arial" w:cs="Arial" w:eastAsia="Arial" w:hAnsi="Arial"/>
          <w:sz w:val="21"/>
          <w:szCs w:val="21"/>
          <w:b w:val="1"/>
          <w:bCs w:val="1"/>
          <w:color w:val="auto"/>
        </w:rPr>
        <w:t>REPORT OF FOREIGN PRIVATE ISSUER PURSUANT TO RULE 13a-16 OR 15d-16 UNDER THE SECURITIES EXCHANGE ACT OF 1934</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For the month of June,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2554605</wp:posOffset>
            </wp:positionH>
            <wp:positionV relativeFrom="paragraph">
              <wp:posOffset>66675</wp:posOffset>
            </wp:positionV>
            <wp:extent cx="152527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1968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001-37891</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jc w:val="center"/>
        <w:spacing w:after="0"/>
        <w:rPr>
          <w:sz w:val="20"/>
          <w:szCs w:val="20"/>
          <w:color w:val="auto"/>
        </w:rPr>
      </w:pPr>
      <w:r>
        <w:rPr>
          <w:rFonts w:ascii="Arial" w:cs="Arial" w:eastAsia="Arial" w:hAnsi="Arial"/>
          <w:sz w:val="18"/>
          <w:szCs w:val="18"/>
          <w:b w:val="1"/>
          <w:bCs w:val="1"/>
          <w:color w:val="auto"/>
        </w:rPr>
        <w:t>1015 Lausanne, Switzerland</w:t>
      </w:r>
    </w:p>
    <w:p>
      <w:pPr>
        <w:jc w:val="center"/>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7" w:lineRule="exact"/>
        <w:rPr>
          <w:sz w:val="24"/>
          <w:szCs w:val="24"/>
          <w:color w:val="auto"/>
        </w:rPr>
      </w:pPr>
    </w:p>
    <w:p>
      <w:pPr>
        <w:ind w:left="2900"/>
        <w:spacing w:after="0"/>
        <w:tabs>
          <w:tab w:leader="none" w:pos="4360" w:val="left"/>
          <w:tab w:leader="none" w:pos="612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3"/>
          <w:szCs w:val="13"/>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2571750</wp:posOffset>
            </wp:positionH>
            <wp:positionV relativeFrom="paragraph">
              <wp:posOffset>11430</wp:posOffset>
            </wp:positionV>
            <wp:extent cx="4991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110" cy="6985"/>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18415</wp:posOffset>
            </wp:positionV>
            <wp:extent cx="4991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110" cy="698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187" w:lineRule="exact"/>
        <w:rPr>
          <w:sz w:val="24"/>
          <w:szCs w:val="24"/>
          <w:color w:val="auto"/>
        </w:rPr>
      </w:pPr>
    </w:p>
    <w:p>
      <w:pPr>
        <w:ind w:left="3120"/>
        <w:spacing w:after="0"/>
        <w:tabs>
          <w:tab w:leader="none" w:pos="6360" w:val="left"/>
          <w:tab w:leader="none" w:pos="758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4605020</wp:posOffset>
            </wp:positionH>
            <wp:positionV relativeFrom="paragraph">
              <wp:posOffset>11430</wp:posOffset>
            </wp:positionV>
            <wp:extent cx="4991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110" cy="6985"/>
                    </a:xfrm>
                    <a:prstGeom prst="rect">
                      <a:avLst/>
                    </a:prstGeom>
                    <a:noFill/>
                  </pic:spPr>
                </pic:pic>
              </a:graphicData>
            </a:graphic>
          </wp:anchor>
        </w:drawing>
        <w:drawing>
          <wp:anchor simplePos="0" relativeHeight="251657728" behindDoc="1" locked="0" layoutInCell="0" allowOverlap="1">
            <wp:simplePos x="0" y="0"/>
            <wp:positionH relativeFrom="column">
              <wp:posOffset>2571750</wp:posOffset>
            </wp:positionH>
            <wp:positionV relativeFrom="paragraph">
              <wp:posOffset>18415</wp:posOffset>
            </wp:positionV>
            <wp:extent cx="4991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110" cy="698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187" w:lineRule="exact"/>
        <w:rPr>
          <w:sz w:val="24"/>
          <w:szCs w:val="24"/>
          <w:color w:val="auto"/>
        </w:rPr>
      </w:pPr>
    </w:p>
    <w:p>
      <w:pPr>
        <w:ind w:left="3120"/>
        <w:spacing w:after="0"/>
        <w:tabs>
          <w:tab w:leader="none" w:pos="6360" w:val="left"/>
          <w:tab w:leader="none" w:pos="758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4605020</wp:posOffset>
            </wp:positionH>
            <wp:positionV relativeFrom="paragraph">
              <wp:posOffset>11430</wp:posOffset>
            </wp:positionV>
            <wp:extent cx="4991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110" cy="6985"/>
                    </a:xfrm>
                    <a:prstGeom prst="rect">
                      <a:avLst/>
                    </a:prstGeom>
                    <a:noFill/>
                  </pic:spPr>
                </pic:pic>
              </a:graphicData>
            </a:graphic>
          </wp:anchor>
        </w:drawing>
        <w:drawing>
          <wp:anchor simplePos="0" relativeHeight="251657728" behindDoc="1" locked="0" layoutInCell="0" allowOverlap="1">
            <wp:simplePos x="0" y="0"/>
            <wp:positionH relativeFrom="column">
              <wp:posOffset>2571750</wp:posOffset>
            </wp:positionH>
            <wp:positionV relativeFrom="paragraph">
              <wp:posOffset>18415</wp:posOffset>
            </wp:positionV>
            <wp:extent cx="4991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110" cy="698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282575</wp:posOffset>
            </wp:positionV>
            <wp:extent cx="715518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2857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325120</wp:posOffset>
            </wp:positionV>
            <wp:extent cx="71551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0460"/>
          </w:cols>
          <w:pgMar w:left="720" w:top="569" w:right="7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Annual Ordinary Shareholders’ Meeting Results</w:t>
      </w:r>
    </w:p>
    <w:p>
      <w:pPr>
        <w:spacing w:after="0" w:line="187" w:lineRule="exact"/>
        <w:rPr>
          <w:sz w:val="20"/>
          <w:szCs w:val="20"/>
          <w:color w:val="auto"/>
        </w:rPr>
      </w:pPr>
    </w:p>
    <w:p>
      <w:pPr>
        <w:ind w:right="100" w:firstLine="539"/>
        <w:spacing w:after="0" w:line="264" w:lineRule="auto"/>
        <w:rPr>
          <w:sz w:val="20"/>
          <w:szCs w:val="20"/>
          <w:color w:val="auto"/>
        </w:rPr>
      </w:pPr>
      <w:r>
        <w:rPr>
          <w:rFonts w:ascii="Arial" w:cs="Arial" w:eastAsia="Arial" w:hAnsi="Arial"/>
          <w:sz w:val="15"/>
          <w:szCs w:val="15"/>
          <w:color w:val="auto"/>
        </w:rPr>
        <w:t>On June 26, 2020, AC Immune SA (“</w:t>
      </w:r>
      <w:r>
        <w:rPr>
          <w:rFonts w:ascii="Arial" w:cs="Arial" w:eastAsia="Arial" w:hAnsi="Arial"/>
          <w:sz w:val="15"/>
          <w:szCs w:val="15"/>
          <w:b w:val="1"/>
          <w:bCs w:val="1"/>
          <w:color w:val="auto"/>
        </w:rPr>
        <w:t>AC Immune</w:t>
      </w:r>
      <w:r>
        <w:rPr>
          <w:rFonts w:ascii="Arial" w:cs="Arial" w:eastAsia="Arial" w:hAnsi="Arial"/>
          <w:sz w:val="15"/>
          <w:szCs w:val="15"/>
          <w:color w:val="auto"/>
        </w:rPr>
        <w:t>”) held its annual Ordinary Shareholders’ Meeting. The presentation that was given at the Ordinary Shareholders’ Meeting is attached hereto as Exhibit 99.1 and the press release relating to the results of the Ordinary Shareholders’ Meeting is attached hereto as Exhibit 99.2. The final results of each of the agenda items submitted to a vote of the shareholders are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Agenda Item 1: Approval of the Annual Report, Annual Statutory Financial Statements and Financial Statements under IFRS of AC Immune SA for the year 2019</w:t>
      </w:r>
    </w:p>
    <w:p>
      <w:pPr>
        <w:spacing w:after="0" w:line="203" w:lineRule="exact"/>
        <w:rPr>
          <w:sz w:val="20"/>
          <w:szCs w:val="20"/>
          <w:color w:val="auto"/>
        </w:rPr>
      </w:pPr>
    </w:p>
    <w:p>
      <w:pPr>
        <w:ind w:right="80" w:firstLine="539"/>
        <w:spacing w:after="0" w:line="273" w:lineRule="auto"/>
        <w:rPr>
          <w:sz w:val="20"/>
          <w:szCs w:val="20"/>
          <w:color w:val="auto"/>
        </w:rPr>
      </w:pPr>
      <w:r>
        <w:rPr>
          <w:rFonts w:ascii="Arial" w:cs="Arial" w:eastAsia="Arial" w:hAnsi="Arial"/>
          <w:sz w:val="15"/>
          <w:szCs w:val="15"/>
          <w:color w:val="auto"/>
        </w:rPr>
        <w:t>AC Immune shareholders approved the Annual Report, the Annual Statutory Financial Statements and the Financial Statements under IFRS of AC Immune SA for the year 2019, and took note of the Reports of the Auditors.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2: Appropriation of Profit</w:t>
      </w:r>
    </w:p>
    <w:p>
      <w:pPr>
        <w:spacing w:after="0" w:line="191" w:lineRule="exact"/>
        <w:rPr>
          <w:sz w:val="20"/>
          <w:szCs w:val="20"/>
          <w:color w:val="auto"/>
        </w:rPr>
      </w:pPr>
    </w:p>
    <w:p>
      <w:pPr>
        <w:ind w:right="560" w:firstLine="539"/>
        <w:spacing w:after="0" w:line="273" w:lineRule="auto"/>
        <w:rPr>
          <w:sz w:val="20"/>
          <w:szCs w:val="20"/>
          <w:color w:val="auto"/>
        </w:rPr>
      </w:pPr>
      <w:r>
        <w:rPr>
          <w:rFonts w:ascii="Arial" w:cs="Arial" w:eastAsia="Arial" w:hAnsi="Arial"/>
          <w:sz w:val="15"/>
          <w:szCs w:val="15"/>
          <w:color w:val="auto"/>
        </w:rPr>
        <w:t>AC Immune shareholders approved that the profit for the year 2019 in the amount of KCHF 45,169 reduces the “accumulated losses brought forward” of KCHF 107,320, resulting in a new balance of “accumulated losses brought forward” of KCHF 62,151.</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3: Discharge of the Members of the Board of Directors and the Executive Committee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discharge of the Board and the Executive Committee of their liabilities for their activities in the financial year 2019.</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4: Compensation for the Members of the Board of Directors and the Executive Committee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w:t>
      </w:r>
    </w:p>
    <w:p>
      <w:pPr>
        <w:spacing w:after="0" w:line="187" w:lineRule="exact"/>
        <w:rPr>
          <w:sz w:val="20"/>
          <w:szCs w:val="20"/>
          <w:color w:val="auto"/>
        </w:rPr>
      </w:pPr>
    </w:p>
    <w:p>
      <w:pPr>
        <w:ind w:left="1080" w:right="20" w:hanging="261"/>
        <w:spacing w:after="0" w:line="273"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non-performance-related compensation for the members of the Board of Directors covering the period from 1 July 2020 to 30 June 2021,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565,000 (cash based compensation plus pensionable social security costs);</w:t>
      </w:r>
    </w:p>
    <w:p>
      <w:pPr>
        <w:spacing w:after="0" w:line="169" w:lineRule="exact"/>
        <w:rPr>
          <w:rFonts w:ascii="Arial" w:cs="Arial" w:eastAsia="Arial" w:hAnsi="Arial"/>
          <w:sz w:val="15"/>
          <w:szCs w:val="15"/>
          <w:color w:val="auto"/>
        </w:rPr>
      </w:pPr>
    </w:p>
    <w:p>
      <w:pPr>
        <w:ind w:left="1080" w:hanging="261"/>
        <w:spacing w:after="0" w:line="273"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maximum grant of equity or equity linked instruments for the members of the Board of Directors from 1 July 2020 to 30 June 2021 with maximum value of CHF 635,000 (equity or equity linked instruments at grant value plus pensionable social security costs);</w:t>
      </w:r>
    </w:p>
    <w:p>
      <w:pPr>
        <w:spacing w:after="0" w:line="169" w:lineRule="exact"/>
        <w:rPr>
          <w:rFonts w:ascii="Arial" w:cs="Arial" w:eastAsia="Arial" w:hAnsi="Arial"/>
          <w:sz w:val="15"/>
          <w:szCs w:val="15"/>
          <w:color w:val="auto"/>
        </w:rPr>
      </w:pPr>
    </w:p>
    <w:p>
      <w:pPr>
        <w:ind w:left="1080" w:hanging="261"/>
        <w:spacing w:after="0" w:line="273"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non-performance-related cash compensation for the members of the Executive Committee from 1 July 2020 to 30 June 2021,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2,778,000 (cash based compensation plus pensionable social security costs);</w:t>
      </w:r>
    </w:p>
    <w:p>
      <w:pPr>
        <w:spacing w:after="0" w:line="169" w:lineRule="exact"/>
        <w:rPr>
          <w:rFonts w:ascii="Arial" w:cs="Arial" w:eastAsia="Arial" w:hAnsi="Arial"/>
          <w:sz w:val="15"/>
          <w:szCs w:val="15"/>
          <w:color w:val="auto"/>
        </w:rPr>
      </w:pPr>
    </w:p>
    <w:p>
      <w:pPr>
        <w:ind w:left="1080" w:hanging="261"/>
        <w:spacing w:after="0" w:line="273"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The total maximum amount of variable compensation for the members of the Executive Committee for the current year 2020, </w:t>
      </w:r>
      <w:r>
        <w:rPr>
          <w:rFonts w:ascii="Arial" w:cs="Arial" w:eastAsia="Arial" w:hAnsi="Arial"/>
          <w:sz w:val="15"/>
          <w:szCs w:val="15"/>
          <w:i w:val="1"/>
          <w:iCs w:val="1"/>
          <w:color w:val="auto"/>
        </w:rPr>
        <w:t>i</w:t>
      </w:r>
      <w:r>
        <w:rPr>
          <w:rFonts w:ascii="Arial" w:cs="Arial" w:eastAsia="Arial" w:hAnsi="Arial"/>
          <w:sz w:val="15"/>
          <w:szCs w:val="15"/>
          <w:color w:val="auto"/>
        </w:rPr>
        <w:t>.</w:t>
      </w:r>
      <w:r>
        <w:rPr>
          <w:rFonts w:ascii="Arial" w:cs="Arial" w:eastAsia="Arial" w:hAnsi="Arial"/>
          <w:sz w:val="15"/>
          <w:szCs w:val="15"/>
          <w:i w:val="1"/>
          <w:iCs w:val="1"/>
          <w:color w:val="auto"/>
        </w:rPr>
        <w:t>e</w:t>
      </w:r>
      <w:r>
        <w:rPr>
          <w:rFonts w:ascii="Arial" w:cs="Arial" w:eastAsia="Arial" w:hAnsi="Arial"/>
          <w:sz w:val="15"/>
          <w:szCs w:val="15"/>
          <w:color w:val="auto"/>
        </w:rPr>
        <w:t>., CHF 1,133,000 (cash based compensation plus pensionable social security costs);</w:t>
      </w:r>
    </w:p>
    <w:p>
      <w:pPr>
        <w:spacing w:after="0" w:line="169" w:lineRule="exact"/>
        <w:rPr>
          <w:rFonts w:ascii="Arial" w:cs="Arial" w:eastAsia="Arial" w:hAnsi="Arial"/>
          <w:sz w:val="15"/>
          <w:szCs w:val="15"/>
          <w:color w:val="auto"/>
        </w:rPr>
      </w:pPr>
    </w:p>
    <w:p>
      <w:pPr>
        <w:ind w:left="1080" w:right="20" w:hanging="261"/>
        <w:spacing w:after="0" w:line="273"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maximum grant of equity or equity linked instruments for the members of the Executive Committee from 1 July 2020 to 30 June 2021 with maximum value of CHF 3,496,000 (equity or equity linked instruments at grant value plus pensionable social security costs); and</w:t>
      </w:r>
    </w:p>
    <w:p>
      <w:pPr>
        <w:spacing w:after="0" w:line="169" w:lineRule="exact"/>
        <w:rPr>
          <w:rFonts w:ascii="Arial" w:cs="Arial" w:eastAsia="Arial" w:hAnsi="Arial"/>
          <w:sz w:val="15"/>
          <w:szCs w:val="15"/>
          <w:color w:val="auto"/>
        </w:rPr>
      </w:pPr>
    </w:p>
    <w:p>
      <w:pPr>
        <w:ind w:left="1080" w:hanging="261"/>
        <w:spacing w:after="0"/>
        <w:tabs>
          <w:tab w:leader="none" w:pos="10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2019 Remuneration Report as filed with the US Securities and Exchange Commission as Annex 99.3 to the Company’s March 30, 2020 Form 6-K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189865</wp:posOffset>
            </wp:positionV>
            <wp:extent cx="715518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Agenda Item 5: Re-elections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5.1: Re-elections of the Members of the Board</w:t>
      </w:r>
    </w:p>
    <w:p>
      <w:pPr>
        <w:spacing w:after="0" w:line="191" w:lineRule="exact"/>
        <w:rPr>
          <w:sz w:val="20"/>
          <w:szCs w:val="20"/>
          <w:color w:val="auto"/>
        </w:rPr>
      </w:pPr>
    </w:p>
    <w:p>
      <w:pPr>
        <w:jc w:val="both"/>
        <w:ind w:firstLine="539"/>
        <w:spacing w:after="0" w:line="261" w:lineRule="auto"/>
        <w:rPr>
          <w:sz w:val="20"/>
          <w:szCs w:val="20"/>
          <w:color w:val="auto"/>
        </w:rPr>
      </w:pPr>
      <w:r>
        <w:rPr>
          <w:rFonts w:ascii="Arial" w:cs="Arial" w:eastAsia="Arial" w:hAnsi="Arial"/>
          <w:sz w:val="15"/>
          <w:szCs w:val="15"/>
          <w:color w:val="auto"/>
        </w:rPr>
        <w:t>AC Immune shareholders approved the re-election of Douglas Williams as member and as Chairman of the Board, the re-election of Martin Velasco as member and as Vice-Chairman of the Board, the re-election of Peter Bollmann, Andrea Pfeifer, Tom Graney, Werner Lanthaler and Roy Twyman as members of the Board of Directors, each until the end of the next Ordinary General Meeting.</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5.2: Re-elections to the Compensation, Nomination &amp; Corporate Governance Committee</w:t>
      </w:r>
    </w:p>
    <w:p>
      <w:pPr>
        <w:spacing w:after="0" w:line="191" w:lineRule="exact"/>
        <w:rPr>
          <w:sz w:val="20"/>
          <w:szCs w:val="20"/>
          <w:color w:val="auto"/>
        </w:rPr>
      </w:pPr>
    </w:p>
    <w:p>
      <w:pPr>
        <w:jc w:val="both"/>
        <w:ind w:firstLine="539"/>
        <w:spacing w:after="0" w:line="273" w:lineRule="auto"/>
        <w:rPr>
          <w:sz w:val="20"/>
          <w:szCs w:val="20"/>
          <w:color w:val="auto"/>
        </w:rPr>
      </w:pPr>
      <w:r>
        <w:rPr>
          <w:rFonts w:ascii="Arial" w:cs="Arial" w:eastAsia="Arial" w:hAnsi="Arial"/>
          <w:sz w:val="15"/>
          <w:szCs w:val="15"/>
          <w:color w:val="auto"/>
        </w:rPr>
        <w:t>AC Immune shareholders approved the re-election of Martin Velasco, Tom Graney and Douglas Williams as members of the Compensation, Nomination &amp; Corporate Governance Committee, each until the end of the next Ordinary General Meeting.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5.3: Re-elections of the Statutory Auditors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AC Immune shareholders approved the re-election of PricewaterhouseCoopers SA, in Pully, for a term of office of one year.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5.4: Re-election of the Independent Proxy</w:t>
      </w:r>
    </w:p>
    <w:p>
      <w:pPr>
        <w:spacing w:after="0" w:line="191" w:lineRule="exact"/>
        <w:rPr>
          <w:sz w:val="20"/>
          <w:szCs w:val="20"/>
          <w:color w:val="auto"/>
        </w:rPr>
      </w:pPr>
    </w:p>
    <w:p>
      <w:pPr>
        <w:jc w:val="both"/>
        <w:ind w:firstLine="539"/>
        <w:spacing w:after="0" w:line="273" w:lineRule="auto"/>
        <w:rPr>
          <w:sz w:val="20"/>
          <w:szCs w:val="20"/>
          <w:color w:val="auto"/>
        </w:rPr>
      </w:pPr>
      <w:r>
        <w:rPr>
          <w:rFonts w:ascii="Arial" w:cs="Arial" w:eastAsia="Arial" w:hAnsi="Arial"/>
          <w:sz w:val="15"/>
          <w:szCs w:val="15"/>
          <w:color w:val="auto"/>
        </w:rPr>
        <w:t>AC Immune shareholders approved the re-election of Reymond &amp; Associés, represented by Denis Cherpillod as AC Immune’s independent proxy until the end of the next Ordinary General Meeting.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6: Amendments to the Articles of Association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6.1: Authorized Share Capital</w:t>
      </w:r>
    </w:p>
    <w:p>
      <w:pPr>
        <w:spacing w:after="0" w:line="191" w:lineRule="exact"/>
        <w:rPr>
          <w:sz w:val="20"/>
          <w:szCs w:val="20"/>
          <w:color w:val="auto"/>
        </w:rPr>
      </w:pPr>
    </w:p>
    <w:p>
      <w:pPr>
        <w:jc w:val="both"/>
        <w:ind w:firstLine="539"/>
        <w:spacing w:after="0" w:line="309" w:lineRule="auto"/>
        <w:rPr>
          <w:sz w:val="20"/>
          <w:szCs w:val="20"/>
          <w:color w:val="auto"/>
        </w:rPr>
      </w:pPr>
      <w:r>
        <w:rPr>
          <w:rFonts w:ascii="Arial" w:cs="Arial" w:eastAsia="Arial" w:hAnsi="Arial"/>
          <w:sz w:val="13"/>
          <w:szCs w:val="13"/>
          <w:color w:val="auto"/>
        </w:rPr>
        <w:t>AC Immune shareholders approved an amendment to the existing first paragraph of article 3a (Authorized Capital Increase of Share Capital) of the articles of association pertaining to a proposed increase by the Board of Directors in AC Immune’s share capital, in one or several steps, until 27 June 2022, by a maximum amount of CHF 290,000 by issuing a maximum of 14,500,000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Agenda Item 6.2: Conditional Capital Increase for Bonds and Similar Debt Instruments</w:t>
      </w:r>
    </w:p>
    <w:p>
      <w:pPr>
        <w:spacing w:after="0" w:line="191" w:lineRule="exact"/>
        <w:rPr>
          <w:sz w:val="20"/>
          <w:szCs w:val="20"/>
          <w:color w:val="auto"/>
        </w:rPr>
      </w:pPr>
    </w:p>
    <w:p>
      <w:pPr>
        <w:jc w:val="both"/>
        <w:ind w:firstLine="539"/>
        <w:spacing w:after="0" w:line="282" w:lineRule="auto"/>
        <w:rPr>
          <w:sz w:val="20"/>
          <w:szCs w:val="20"/>
          <w:color w:val="auto"/>
        </w:rPr>
      </w:pPr>
      <w:r>
        <w:rPr>
          <w:rFonts w:ascii="Arial" w:cs="Arial" w:eastAsia="Arial" w:hAnsi="Arial"/>
          <w:sz w:val="14"/>
          <w:szCs w:val="14"/>
          <w:color w:val="auto"/>
        </w:rPr>
        <w:t>AC Immune shareholders approved an amendment to the existing first paragraph of article 3b (Conditional Capital Increase for Bonds and Similar Debt Instruments) of the articles of association pertaining to the increase of the share capital of the company by a maximum amount of CHF 91,560.94 through the issue of a maximum of 4,578,047 registered shares, payable in full, each with a nominal value of CHF 0.02, through the exercise of conversion and/or option or warrant rights granted in connection with bonds or similar instruments, issued or to be issued by the Company or by subsidiaries of the Company, including convertible debt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154305</wp:posOffset>
            </wp:positionV>
            <wp:extent cx="715518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5"/>
          <w:szCs w:val="15"/>
          <w:b w:val="1"/>
          <w:bCs w:val="1"/>
          <w:color w:val="auto"/>
        </w:rPr>
        <w:t>SIGNATURE</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ind w:left="6440"/>
        <w:spacing w:after="0"/>
        <w:rPr>
          <w:sz w:val="20"/>
          <w:szCs w:val="20"/>
          <w:color w:val="auto"/>
        </w:rPr>
      </w:pPr>
      <w:r>
        <w:rPr>
          <w:rFonts w:ascii="Arial" w:cs="Arial" w:eastAsia="Arial" w:hAnsi="Arial"/>
          <w:sz w:val="15"/>
          <w:szCs w:val="15"/>
          <w:b w:val="1"/>
          <w:bCs w:val="1"/>
          <w:color w:val="auto"/>
        </w:rPr>
        <w:t>AC IMMUNE SA</w:t>
      </w:r>
    </w:p>
    <w:p>
      <w:pPr>
        <w:spacing w:after="0" w:line="371" w:lineRule="exact"/>
        <w:rPr>
          <w:sz w:val="20"/>
          <w:szCs w:val="20"/>
          <w:color w:val="auto"/>
        </w:rPr>
      </w:pPr>
    </w:p>
    <w:p>
      <w:pPr>
        <w:ind w:left="6440"/>
        <w:spacing w:after="0"/>
        <w:tabs>
          <w:tab w:leader="none" w:pos="67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11430</wp:posOffset>
            </wp:positionV>
            <wp:extent cx="21399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9950" cy="6985"/>
                    </a:xfrm>
                    <a:prstGeom prst="rect">
                      <a:avLst/>
                    </a:prstGeom>
                    <a:noFill/>
                  </pic:spPr>
                </pic:pic>
              </a:graphicData>
            </a:graphic>
          </wp:anchor>
        </w:drawing>
      </w:r>
    </w:p>
    <w:p>
      <w:pPr>
        <w:ind w:left="6780"/>
        <w:spacing w:after="0"/>
        <w:tabs>
          <w:tab w:leader="none" w:pos="7320" w:val="left"/>
        </w:tabs>
        <w:rPr>
          <w:sz w:val="20"/>
          <w:szCs w:val="20"/>
          <w:color w:val="auto"/>
        </w:rPr>
      </w:pPr>
      <w:r>
        <w:rPr>
          <w:rFonts w:ascii="Arial" w:cs="Arial" w:eastAsia="Arial" w:hAnsi="Arial"/>
          <w:sz w:val="15"/>
          <w:szCs w:val="15"/>
          <w:color w:val="auto"/>
        </w:rPr>
        <w:t>Name:</w:t>
        <w:tab/>
        <w:t>Andrea Pfeifer</w:t>
      </w:r>
    </w:p>
    <w:p>
      <w:pPr>
        <w:spacing w:after="0" w:line="17"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Chief Executive Officer</w:t>
      </w:r>
    </w:p>
    <w:p>
      <w:pPr>
        <w:spacing w:after="0" w:line="200" w:lineRule="exact"/>
        <w:rPr>
          <w:sz w:val="20"/>
          <w:szCs w:val="20"/>
          <w:color w:val="auto"/>
        </w:rPr>
      </w:pPr>
    </w:p>
    <w:p>
      <w:pPr>
        <w:spacing w:after="0" w:line="202" w:lineRule="exact"/>
        <w:rPr>
          <w:sz w:val="20"/>
          <w:szCs w:val="20"/>
          <w:color w:val="auto"/>
        </w:rPr>
      </w:pPr>
    </w:p>
    <w:p>
      <w:pPr>
        <w:ind w:left="6440"/>
        <w:spacing w:after="0"/>
        <w:tabs>
          <w:tab w:leader="none" w:pos="67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11430</wp:posOffset>
            </wp:positionV>
            <wp:extent cx="21399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9950" cy="6985"/>
                    </a:xfrm>
                    <a:prstGeom prst="rect">
                      <a:avLst/>
                    </a:prstGeom>
                    <a:noFill/>
                  </pic:spPr>
                </pic:pic>
              </a:graphicData>
            </a:graphic>
          </wp:anchor>
        </w:drawing>
      </w:r>
    </w:p>
    <w:p>
      <w:pPr>
        <w:ind w:left="6780"/>
        <w:spacing w:after="0"/>
        <w:tabs>
          <w:tab w:leader="none" w:pos="7320" w:val="left"/>
        </w:tabs>
        <w:rPr>
          <w:sz w:val="20"/>
          <w:szCs w:val="20"/>
          <w:color w:val="auto"/>
        </w:rPr>
      </w:pPr>
      <w:r>
        <w:rPr>
          <w:rFonts w:ascii="Arial" w:cs="Arial" w:eastAsia="Arial" w:hAnsi="Arial"/>
          <w:sz w:val="15"/>
          <w:szCs w:val="15"/>
          <w:color w:val="auto"/>
        </w:rPr>
        <w:t>Name:</w:t>
        <w:tab/>
        <w:t>Joerg Hornstein</w:t>
      </w:r>
    </w:p>
    <w:p>
      <w:pPr>
        <w:spacing w:after="0" w:line="17"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Date: 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715518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3"/>
        </w:trPr>
        <w:tc>
          <w:tcPr>
            <w:tcW w:w="1000" w:type="dxa"/>
            <w:vAlign w:val="bottom"/>
          </w:tcPr>
          <w:p>
            <w:pPr>
              <w:spacing w:after="0"/>
              <w:rPr>
                <w:sz w:val="16"/>
                <w:szCs w:val="16"/>
                <w:color w:val="auto"/>
              </w:rPr>
            </w:pPr>
          </w:p>
        </w:tc>
        <w:tc>
          <w:tcPr>
            <w:tcW w:w="10280" w:type="dxa"/>
            <w:vAlign w:val="bottom"/>
          </w:tcPr>
          <w:p>
            <w:pPr>
              <w:ind w:left="4060"/>
              <w:spacing w:after="0"/>
              <w:rPr>
                <w:sz w:val="20"/>
                <w:szCs w:val="20"/>
                <w:color w:val="auto"/>
              </w:rPr>
            </w:pPr>
            <w:r>
              <w:rPr>
                <w:rFonts w:ascii="Arial" w:cs="Arial" w:eastAsia="Arial" w:hAnsi="Arial"/>
                <w:sz w:val="15"/>
                <w:szCs w:val="15"/>
                <w:b w:val="1"/>
                <w:bCs w:val="1"/>
                <w:color w:val="auto"/>
              </w:rPr>
              <w:t>EXHIBIT INDEX</w:t>
            </w:r>
          </w:p>
        </w:tc>
      </w:tr>
      <w:tr>
        <w:trPr>
          <w:trHeight w:val="346"/>
        </w:trPr>
        <w:tc>
          <w:tcPr>
            <w:tcW w:w="1000" w:type="dxa"/>
            <w:vAlign w:val="bottom"/>
          </w:tcPr>
          <w:p>
            <w:pPr>
              <w:jc w:val="center"/>
              <w:ind w:left="85"/>
              <w:spacing w:after="0"/>
              <w:rPr>
                <w:sz w:val="20"/>
                <w:szCs w:val="20"/>
                <w:color w:val="auto"/>
              </w:rPr>
            </w:pPr>
            <w:r>
              <w:rPr>
                <w:rFonts w:ascii="Arial" w:cs="Arial" w:eastAsia="Arial" w:hAnsi="Arial"/>
                <w:sz w:val="15"/>
                <w:szCs w:val="15"/>
                <w:b w:val="1"/>
                <w:bCs w:val="1"/>
                <w:color w:val="auto"/>
                <w:w w:val="95"/>
              </w:rPr>
              <w:t>Exhibit</w:t>
            </w:r>
          </w:p>
        </w:tc>
        <w:tc>
          <w:tcPr>
            <w:tcW w:w="10280" w:type="dxa"/>
            <w:vAlign w:val="bottom"/>
          </w:tcPr>
          <w:p>
            <w:pPr>
              <w:ind w:left="4840"/>
              <w:spacing w:after="0"/>
              <w:rPr>
                <w:sz w:val="20"/>
                <w:szCs w:val="20"/>
                <w:color w:val="auto"/>
              </w:rPr>
            </w:pPr>
            <w:r>
              <w:rPr>
                <w:rFonts w:ascii="Arial" w:cs="Arial" w:eastAsia="Arial" w:hAnsi="Arial"/>
                <w:sz w:val="15"/>
                <w:szCs w:val="15"/>
                <w:b w:val="1"/>
                <w:bCs w:val="1"/>
                <w:color w:val="auto"/>
              </w:rPr>
              <w:t>Description</w:t>
            </w:r>
          </w:p>
        </w:tc>
      </w:tr>
      <w:tr>
        <w:trPr>
          <w:trHeight w:val="194"/>
        </w:trPr>
        <w:tc>
          <w:tcPr>
            <w:tcW w:w="10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b w:val="1"/>
                <w:bCs w:val="1"/>
                <w:color w:val="auto"/>
                <w:w w:val="91"/>
              </w:rPr>
              <w:t>Number</w:t>
            </w:r>
          </w:p>
        </w:tc>
        <w:tc>
          <w:tcPr>
            <w:tcW w:w="10280" w:type="dxa"/>
            <w:vAlign w:val="bottom"/>
            <w:tcBorders>
              <w:bottom w:val="single" w:sz="8" w:color="auto"/>
            </w:tcBorders>
          </w:tcPr>
          <w:p>
            <w:pPr>
              <w:spacing w:after="0"/>
              <w:rPr>
                <w:sz w:val="16"/>
                <w:szCs w:val="16"/>
                <w:color w:val="auto"/>
              </w:rPr>
            </w:pPr>
          </w:p>
        </w:tc>
      </w:tr>
      <w:tr>
        <w:trPr>
          <w:trHeight w:val="161"/>
        </w:trPr>
        <w:tc>
          <w:tcPr>
            <w:tcW w:w="1000" w:type="dxa"/>
            <w:vAlign w:val="bottom"/>
          </w:tcPr>
          <w:p>
            <w:pPr>
              <w:jc w:val="center"/>
              <w:ind w:left="65"/>
              <w:spacing w:after="0" w:line="161" w:lineRule="exact"/>
              <w:rPr>
                <w:sz w:val="20"/>
                <w:szCs w:val="20"/>
                <w:color w:val="auto"/>
              </w:rPr>
            </w:pPr>
            <w:r>
              <w:rPr>
                <w:rFonts w:ascii="Arial" w:cs="Arial" w:eastAsia="Arial" w:hAnsi="Arial"/>
                <w:sz w:val="15"/>
                <w:szCs w:val="15"/>
                <w:color w:val="auto"/>
                <w:w w:val="88"/>
              </w:rPr>
              <w:t>99.1</w:t>
            </w:r>
          </w:p>
        </w:tc>
        <w:tc>
          <w:tcPr>
            <w:tcW w:w="10280" w:type="dxa"/>
            <w:vAlign w:val="bottom"/>
          </w:tcPr>
          <w:p>
            <w:pPr>
              <w:ind w:left="140"/>
              <w:spacing w:after="0" w:line="161" w:lineRule="exact"/>
              <w:rPr>
                <w:sz w:val="20"/>
                <w:szCs w:val="20"/>
                <w:color w:val="auto"/>
              </w:rPr>
            </w:pPr>
            <w:r>
              <w:rPr>
                <w:rFonts w:ascii="Arial" w:cs="Arial" w:eastAsia="Arial" w:hAnsi="Arial"/>
                <w:sz w:val="15"/>
                <w:szCs w:val="15"/>
                <w:color w:val="auto"/>
              </w:rPr>
              <w:t>Annual Ordinary Shareholders’ Meeting presentation</w:t>
            </w:r>
          </w:p>
        </w:tc>
      </w:tr>
      <w:tr>
        <w:trPr>
          <w:trHeight w:val="189"/>
        </w:trPr>
        <w:tc>
          <w:tcPr>
            <w:tcW w:w="1000" w:type="dxa"/>
            <w:vAlign w:val="bottom"/>
          </w:tcPr>
          <w:p>
            <w:pPr>
              <w:jc w:val="center"/>
              <w:ind w:left="65"/>
              <w:spacing w:after="0"/>
              <w:rPr>
                <w:sz w:val="20"/>
                <w:szCs w:val="20"/>
                <w:color w:val="auto"/>
              </w:rPr>
            </w:pPr>
            <w:r>
              <w:rPr>
                <w:rFonts w:ascii="Arial" w:cs="Arial" w:eastAsia="Arial" w:hAnsi="Arial"/>
                <w:sz w:val="15"/>
                <w:szCs w:val="15"/>
                <w:color w:val="auto"/>
                <w:w w:val="88"/>
              </w:rPr>
              <w:t>99.2</w:t>
            </w:r>
          </w:p>
        </w:tc>
        <w:tc>
          <w:tcPr>
            <w:tcW w:w="10280" w:type="dxa"/>
            <w:vAlign w:val="bottom"/>
          </w:tcPr>
          <w:p>
            <w:pPr>
              <w:ind w:left="140"/>
              <w:spacing w:after="0"/>
              <w:rPr>
                <w:sz w:val="20"/>
                <w:szCs w:val="20"/>
                <w:color w:val="auto"/>
              </w:rPr>
            </w:pPr>
            <w:r>
              <w:rPr>
                <w:rFonts w:ascii="Arial" w:cs="Arial" w:eastAsia="Arial" w:hAnsi="Arial"/>
                <w:sz w:val="15"/>
                <w:szCs w:val="15"/>
                <w:color w:val="auto"/>
              </w:rPr>
              <w:t>Press Release dated June 26, 2020</w:t>
            </w:r>
          </w:p>
        </w:tc>
      </w:tr>
      <w:tr>
        <w:trPr>
          <w:trHeight w:val="293"/>
        </w:trPr>
        <w:tc>
          <w:tcPr>
            <w:tcW w:w="100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5" w:name="page6"/>
    <w:bookmarkEnd w:id="5"/>
    <w:p>
      <w:pPr>
        <w:ind w:left="922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273050</wp:posOffset>
            </wp:positionV>
            <wp:extent cx="7207250" cy="4102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7250" cy="410210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55180" cy="4073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407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4155440</wp:posOffset>
            </wp:positionV>
            <wp:extent cx="71551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265430</wp:posOffset>
            </wp:positionV>
            <wp:extent cx="1341120" cy="299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1120" cy="29972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 Immune Announces Results of Annual General Meeting</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5"/>
          <w:szCs w:val="15"/>
          <w:b w:val="1"/>
          <w:bCs w:val="1"/>
          <w:color w:val="auto"/>
        </w:rPr>
        <w:t xml:space="preserve">Lausanne, Switzerland, 26 June, 2020 </w:t>
      </w:r>
      <w:r>
        <w:rPr>
          <w:rFonts w:ascii="Arial" w:cs="Arial" w:eastAsia="Arial" w:hAnsi="Arial"/>
          <w:sz w:val="15"/>
          <w:szCs w:val="15"/>
          <w:color w:val="auto"/>
        </w:rPr>
        <w:t>– AC Immune SA (NASDAQ: ACIU), a Swiss-based, clinical-stage biopharmaceutical company with a broad pipeline focused on</w:t>
      </w:r>
      <w:r>
        <w:rPr>
          <w:rFonts w:ascii="Arial" w:cs="Arial" w:eastAsia="Arial" w:hAnsi="Arial"/>
          <w:sz w:val="15"/>
          <w:szCs w:val="15"/>
          <w:b w:val="1"/>
          <w:bCs w:val="1"/>
          <w:color w:val="auto"/>
        </w:rPr>
        <w:t xml:space="preserve"> </w:t>
      </w:r>
      <w:r>
        <w:rPr>
          <w:rFonts w:ascii="Arial" w:cs="Arial" w:eastAsia="Arial" w:hAnsi="Arial"/>
          <w:sz w:val="15"/>
          <w:szCs w:val="15"/>
          <w:color w:val="auto"/>
        </w:rPr>
        <w:t>neurodegenerative diseases, announced AC Immune shareholders approved all of the resolutions as proposed by the Board of Directors at today's Annual General Meeting (AGM) in Lausanne.</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At the AGM, shareholders re-elected Douglas Williams, Martin Velasco, Peter Bollmann, Andrea Pfeifer, Thomas Graney, Werner Lanthaler and Roy Twyman to their positions on the Board of Directors. Douglas Williams and Martin Velasco will continue to serve as Chairman and Vice-Chairman of the Board, respectively.</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b w:val="1"/>
          <w:bCs w:val="1"/>
          <w:color w:val="auto"/>
        </w:rPr>
        <w:t xml:space="preserve">Douglas Williams, Chairman of the Board, said: </w:t>
      </w:r>
      <w:r>
        <w:rPr>
          <w:rFonts w:ascii="Arial" w:cs="Arial" w:eastAsia="Arial" w:hAnsi="Arial"/>
          <w:sz w:val="15"/>
          <w:szCs w:val="15"/>
          <w:color w:val="auto"/>
        </w:rPr>
        <w:t>“The Company is gathering momentum on the back of strong progress, and we remain on track to meet multiple value-creating milestones this year with five clinical readouts expected in 2020. We are especially excited about the Phase 2 trial evaluating our anti-Tau antibody semorinemab in Alzheimer’s disease. The primary completion of the trial is expected soon and we expect top line data in the second half of 2020. We are also extremely pleased to report AC Immune’s solid financial position, with operations fully funded through at least Q1 2024.”</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AC Immune has always maintained a robust business continuity plan. During the Covid-19 outbreak, every provision has been made to protect the health of patients, staff and investigators, as well as the productivity and integrity of our clinical development. Importantly, we currently remain on track to deliver all clinical and preclinical readouts expected in 2020. The Swiss Government’s management of Covid-19 means that businesses have been able to return to near normal working practices with all AC Immune staff now back on site in Lausanne.</w:t>
      </w:r>
    </w:p>
    <w:p>
      <w:pPr>
        <w:spacing w:after="0" w:line="158" w:lineRule="exact"/>
        <w:rPr>
          <w:sz w:val="20"/>
          <w:szCs w:val="20"/>
          <w:color w:val="auto"/>
        </w:rPr>
      </w:pPr>
    </w:p>
    <w:p>
      <w:pPr>
        <w:jc w:val="both"/>
        <w:ind w:right="20"/>
        <w:spacing w:after="0" w:line="244" w:lineRule="auto"/>
        <w:rPr>
          <w:sz w:val="20"/>
          <w:szCs w:val="20"/>
          <w:color w:val="auto"/>
        </w:rPr>
      </w:pPr>
      <w:r>
        <w:rPr>
          <w:rFonts w:ascii="Arial" w:cs="Arial" w:eastAsia="Arial" w:hAnsi="Arial"/>
          <w:sz w:val="15"/>
          <w:szCs w:val="15"/>
          <w:color w:val="auto"/>
        </w:rPr>
        <w:t>As part of its efforts to ensure stakeholder safety during the Covid-19 outbreak, AC Immune held only the mandatory part of the AGM as stipulated by Swiss law and by the Company’s Articles of Association. Voting took place via the independent proxy.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AC Immune SA</w:t>
      </w:r>
    </w:p>
    <w:p>
      <w:pPr>
        <w:spacing w:after="0" w:line="183" w:lineRule="exact"/>
        <w:rPr>
          <w:sz w:val="20"/>
          <w:szCs w:val="20"/>
          <w:color w:val="auto"/>
        </w:rPr>
      </w:pPr>
    </w:p>
    <w:p>
      <w:pPr>
        <w:jc w:val="both"/>
        <w:spacing w:after="0" w:line="220" w:lineRule="auto"/>
        <w:rPr>
          <w:sz w:val="20"/>
          <w:szCs w:val="20"/>
          <w:color w:val="auto"/>
        </w:rPr>
      </w:pPr>
      <w:r>
        <w:rPr>
          <w:rFonts w:ascii="Arial" w:cs="Arial" w:eastAsia="Arial" w:hAnsi="Arial"/>
          <w:sz w:val="15"/>
          <w:szCs w:val="15"/>
          <w:color w:val="auto"/>
        </w:rPr>
        <w:t>AC Immune SA is a Nasdaq-listed clinical-stage biopharmaceutical company, which aims to become a global leader in precision medicine for neurodegenerative diseases. The Company utilizes two proprietary platforms, SupraAntigen</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and Morphomer</w:t>
      </w:r>
      <w:r>
        <w:rPr>
          <w:rFonts w:ascii="Arial" w:cs="Arial" w:eastAsia="Arial" w:hAnsi="Arial"/>
          <w:sz w:val="24"/>
          <w:szCs w:val="24"/>
          <w:color w:val="auto"/>
          <w:vertAlign w:val="superscript"/>
        </w:rPr>
        <w:t>TM</w:t>
      </w:r>
      <w:r>
        <w:rPr>
          <w:rFonts w:ascii="Arial" w:cs="Arial" w:eastAsia="Arial" w:hAnsi="Arial"/>
          <w:sz w:val="15"/>
          <w:szCs w:val="15"/>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Roche/Genentech, Eli Lilly and Company and Janssen Pharmaceuticals.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71551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7"/>
        </w:trPr>
        <w:tc>
          <w:tcPr>
            <w:tcW w:w="4000" w:type="dxa"/>
            <w:vAlign w:val="bottom"/>
            <w:gridSpan w:val="3"/>
          </w:tcPr>
          <w:p>
            <w:pPr>
              <w:spacing w:after="0"/>
              <w:rPr>
                <w:sz w:val="20"/>
                <w:szCs w:val="20"/>
                <w:color w:val="auto"/>
              </w:rPr>
            </w:pPr>
            <w:r>
              <w:rPr>
                <w:rFonts w:ascii="Arial" w:cs="Arial" w:eastAsia="Arial" w:hAnsi="Arial"/>
                <w:sz w:val="15"/>
                <w:szCs w:val="15"/>
                <w:b w:val="1"/>
                <w:bCs w:val="1"/>
                <w:color w:val="auto"/>
              </w:rPr>
              <w:t>For further information, please contact:</w:t>
            </w:r>
          </w:p>
        </w:tc>
        <w:tc>
          <w:tcPr>
            <w:tcW w:w="16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326"/>
        </w:trPr>
        <w:tc>
          <w:tcPr>
            <w:tcW w:w="4000" w:type="dxa"/>
            <w:vAlign w:val="bottom"/>
            <w:gridSpan w:val="3"/>
          </w:tcPr>
          <w:p>
            <w:pPr>
              <w:spacing w:after="0"/>
              <w:rPr>
                <w:sz w:val="20"/>
                <w:szCs w:val="20"/>
                <w:color w:val="auto"/>
              </w:rPr>
            </w:pPr>
            <w:r>
              <w:rPr>
                <w:rFonts w:ascii="Arial" w:cs="Arial" w:eastAsia="Arial" w:hAnsi="Arial"/>
                <w:sz w:val="15"/>
                <w:szCs w:val="15"/>
                <w:b w:val="1"/>
                <w:bCs w:val="1"/>
                <w:color w:val="auto"/>
              </w:rPr>
              <w:t>Head of Investor Relations</w:t>
            </w:r>
          </w:p>
        </w:tc>
        <w:tc>
          <w:tcPr>
            <w:tcW w:w="4140" w:type="dxa"/>
            <w:vAlign w:val="bottom"/>
            <w:gridSpan w:val="2"/>
          </w:tcPr>
          <w:p>
            <w:pPr>
              <w:ind w:left="1200"/>
              <w:spacing w:after="0"/>
              <w:rPr>
                <w:sz w:val="20"/>
                <w:szCs w:val="20"/>
                <w:color w:val="auto"/>
              </w:rPr>
            </w:pPr>
            <w:r>
              <w:rPr>
                <w:rFonts w:ascii="Arial" w:cs="Arial" w:eastAsia="Arial" w:hAnsi="Arial"/>
                <w:sz w:val="15"/>
                <w:szCs w:val="15"/>
                <w:b w:val="1"/>
                <w:bCs w:val="1"/>
                <w:color w:val="auto"/>
              </w:rPr>
              <w:t>US Media</w:t>
            </w:r>
          </w:p>
        </w:tc>
      </w:tr>
      <w:tr>
        <w:trPr>
          <w:trHeight w:val="169"/>
        </w:trPr>
        <w:tc>
          <w:tcPr>
            <w:tcW w:w="4000" w:type="dxa"/>
            <w:vAlign w:val="bottom"/>
            <w:gridSpan w:val="3"/>
          </w:tcPr>
          <w:p>
            <w:pPr>
              <w:spacing w:after="0" w:line="169" w:lineRule="exact"/>
              <w:rPr>
                <w:sz w:val="20"/>
                <w:szCs w:val="20"/>
                <w:color w:val="auto"/>
              </w:rPr>
            </w:pPr>
            <w:r>
              <w:rPr>
                <w:rFonts w:ascii="Arial" w:cs="Arial" w:eastAsia="Arial" w:hAnsi="Arial"/>
                <w:sz w:val="15"/>
                <w:szCs w:val="15"/>
                <w:color w:val="auto"/>
              </w:rPr>
              <w:t>Joshua Drumm, Ph.D.</w:t>
            </w:r>
          </w:p>
        </w:tc>
        <w:tc>
          <w:tcPr>
            <w:tcW w:w="4140" w:type="dxa"/>
            <w:vAlign w:val="bottom"/>
            <w:gridSpan w:val="2"/>
          </w:tcPr>
          <w:p>
            <w:pPr>
              <w:ind w:left="1200"/>
              <w:spacing w:after="0" w:line="169" w:lineRule="exact"/>
              <w:rPr>
                <w:sz w:val="20"/>
                <w:szCs w:val="20"/>
                <w:color w:val="auto"/>
              </w:rPr>
            </w:pPr>
            <w:r>
              <w:rPr>
                <w:rFonts w:ascii="Arial" w:cs="Arial" w:eastAsia="Arial" w:hAnsi="Arial"/>
                <w:sz w:val="15"/>
                <w:szCs w:val="15"/>
                <w:color w:val="auto"/>
              </w:rPr>
              <w:t>Katie Gallagher</w:t>
            </w:r>
          </w:p>
        </w:tc>
      </w:tr>
      <w:tr>
        <w:trPr>
          <w:trHeight w:val="169"/>
        </w:trPr>
        <w:tc>
          <w:tcPr>
            <w:tcW w:w="4000" w:type="dxa"/>
            <w:vAlign w:val="bottom"/>
            <w:gridSpan w:val="3"/>
          </w:tcPr>
          <w:p>
            <w:pPr>
              <w:spacing w:after="0" w:line="169" w:lineRule="exact"/>
              <w:rPr>
                <w:sz w:val="20"/>
                <w:szCs w:val="20"/>
                <w:color w:val="auto"/>
              </w:rPr>
            </w:pPr>
            <w:r>
              <w:rPr>
                <w:rFonts w:ascii="Arial" w:cs="Arial" w:eastAsia="Arial" w:hAnsi="Arial"/>
                <w:sz w:val="15"/>
                <w:szCs w:val="15"/>
                <w:color w:val="auto"/>
              </w:rPr>
              <w:t>AC Immune</w:t>
            </w:r>
          </w:p>
        </w:tc>
        <w:tc>
          <w:tcPr>
            <w:tcW w:w="4140" w:type="dxa"/>
            <w:vAlign w:val="bottom"/>
            <w:gridSpan w:val="2"/>
          </w:tcPr>
          <w:p>
            <w:pPr>
              <w:ind w:left="1200"/>
              <w:spacing w:after="0" w:line="169" w:lineRule="exact"/>
              <w:rPr>
                <w:sz w:val="20"/>
                <w:szCs w:val="20"/>
                <w:color w:val="auto"/>
              </w:rPr>
            </w:pPr>
            <w:r>
              <w:rPr>
                <w:rFonts w:ascii="Arial" w:cs="Arial" w:eastAsia="Arial" w:hAnsi="Arial"/>
                <w:sz w:val="15"/>
                <w:szCs w:val="15"/>
                <w:color w:val="auto"/>
              </w:rPr>
              <w:t>LaVoieHealthScience</w:t>
            </w:r>
          </w:p>
        </w:tc>
      </w:tr>
      <w:tr>
        <w:trPr>
          <w:trHeight w:val="169"/>
        </w:trPr>
        <w:tc>
          <w:tcPr>
            <w:tcW w:w="4000" w:type="dxa"/>
            <w:vAlign w:val="bottom"/>
            <w:gridSpan w:val="3"/>
          </w:tcPr>
          <w:p>
            <w:pPr>
              <w:spacing w:after="0" w:line="169" w:lineRule="exact"/>
              <w:rPr>
                <w:sz w:val="20"/>
                <w:szCs w:val="20"/>
                <w:color w:val="auto"/>
              </w:rPr>
            </w:pPr>
            <w:r>
              <w:rPr>
                <w:rFonts w:ascii="Arial" w:cs="Arial" w:eastAsia="Arial" w:hAnsi="Arial"/>
                <w:sz w:val="15"/>
                <w:szCs w:val="15"/>
                <w:color w:val="auto"/>
              </w:rPr>
              <w:t>Phone: +1 917 809 0814</w:t>
            </w:r>
          </w:p>
        </w:tc>
        <w:tc>
          <w:tcPr>
            <w:tcW w:w="4140" w:type="dxa"/>
            <w:vAlign w:val="bottom"/>
            <w:gridSpan w:val="2"/>
          </w:tcPr>
          <w:p>
            <w:pPr>
              <w:ind w:left="1200"/>
              <w:spacing w:after="0" w:line="169" w:lineRule="exact"/>
              <w:rPr>
                <w:sz w:val="20"/>
                <w:szCs w:val="20"/>
                <w:color w:val="auto"/>
              </w:rPr>
            </w:pPr>
            <w:r>
              <w:rPr>
                <w:rFonts w:ascii="Arial" w:cs="Arial" w:eastAsia="Arial" w:hAnsi="Arial"/>
                <w:sz w:val="15"/>
                <w:szCs w:val="15"/>
                <w:color w:val="auto"/>
              </w:rPr>
              <w:t>Phone: +1 617 792 3937</w:t>
            </w:r>
          </w:p>
        </w:tc>
      </w:tr>
      <w:tr>
        <w:trPr>
          <w:trHeight w:val="147"/>
        </w:trPr>
        <w:tc>
          <w:tcPr>
            <w:tcW w:w="4000" w:type="dxa"/>
            <w:vAlign w:val="bottom"/>
            <w:gridSpan w:val="3"/>
          </w:tcPr>
          <w:p>
            <w:pPr>
              <w:spacing w:after="0" w:line="147"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joshua.drumm@acimmune.com</w:t>
            </w:r>
          </w:p>
        </w:tc>
        <w:tc>
          <w:tcPr>
            <w:tcW w:w="4140" w:type="dxa"/>
            <w:vAlign w:val="bottom"/>
            <w:gridSpan w:val="2"/>
          </w:tcPr>
          <w:p>
            <w:pPr>
              <w:ind w:left="1200"/>
              <w:spacing w:after="0" w:line="147" w:lineRule="exact"/>
              <w:rPr>
                <w:sz w:val="20"/>
                <w:szCs w:val="20"/>
                <w:color w:val="auto"/>
              </w:rPr>
            </w:pPr>
            <w:r>
              <w:rPr>
                <w:rFonts w:ascii="Arial" w:cs="Arial" w:eastAsia="Arial" w:hAnsi="Arial"/>
                <w:sz w:val="15"/>
                <w:szCs w:val="15"/>
                <w:color w:val="auto"/>
                <w:w w:val="99"/>
              </w:rPr>
              <w:t xml:space="preserve">Email: </w:t>
            </w:r>
            <w:r>
              <w:rPr>
                <w:rFonts w:ascii="Arial" w:cs="Arial" w:eastAsia="Arial" w:hAnsi="Arial"/>
                <w:sz w:val="15"/>
                <w:szCs w:val="15"/>
                <w:color w:val="0000FF"/>
                <w:w w:val="99"/>
              </w:rPr>
              <w:t>kgallagher@lavoiehealthscience.com</w:t>
            </w:r>
          </w:p>
        </w:tc>
      </w:tr>
      <w:tr>
        <w:trPr>
          <w:trHeight w:val="20"/>
        </w:trPr>
        <w:tc>
          <w:tcPr>
            <w:tcW w:w="4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gridSpan w:val="3"/>
          </w:tcPr>
          <w:p>
            <w:pPr>
              <w:spacing w:after="0"/>
              <w:rPr>
                <w:sz w:val="20"/>
                <w:szCs w:val="20"/>
                <w:color w:val="auto"/>
              </w:rPr>
            </w:pPr>
            <w:r>
              <w:rPr>
                <w:rFonts w:ascii="Arial" w:cs="Arial" w:eastAsia="Arial" w:hAnsi="Arial"/>
                <w:sz w:val="15"/>
                <w:szCs w:val="15"/>
                <w:b w:val="1"/>
                <w:bCs w:val="1"/>
                <w:color w:val="auto"/>
              </w:rPr>
              <w:t>Global Head of Communications</w:t>
            </w:r>
          </w:p>
        </w:tc>
        <w:tc>
          <w:tcPr>
            <w:tcW w:w="3560" w:type="dxa"/>
            <w:vAlign w:val="bottom"/>
            <w:gridSpan w:val="2"/>
          </w:tcPr>
          <w:p>
            <w:pPr>
              <w:ind w:left="1380"/>
              <w:spacing w:after="0"/>
              <w:rPr>
                <w:sz w:val="20"/>
                <w:szCs w:val="20"/>
                <w:color w:val="auto"/>
              </w:rPr>
            </w:pPr>
            <w:r>
              <w:rPr>
                <w:rFonts w:ascii="Arial" w:cs="Arial" w:eastAsia="Arial" w:hAnsi="Arial"/>
                <w:sz w:val="15"/>
                <w:szCs w:val="15"/>
                <w:b w:val="1"/>
                <w:bCs w:val="1"/>
                <w:color w:val="auto"/>
              </w:rPr>
              <w:t>European Investors &amp; Media</w:t>
            </w:r>
          </w:p>
        </w:tc>
      </w:tr>
      <w:tr>
        <w:trPr>
          <w:trHeight w:val="169"/>
        </w:trPr>
        <w:tc>
          <w:tcPr>
            <w:tcW w:w="3820" w:type="dxa"/>
            <w:vAlign w:val="bottom"/>
            <w:gridSpan w:val="3"/>
          </w:tcPr>
          <w:p>
            <w:pPr>
              <w:spacing w:after="0" w:line="169" w:lineRule="exact"/>
              <w:rPr>
                <w:sz w:val="20"/>
                <w:szCs w:val="20"/>
                <w:color w:val="auto"/>
              </w:rPr>
            </w:pPr>
            <w:r>
              <w:rPr>
                <w:rFonts w:ascii="Arial" w:cs="Arial" w:eastAsia="Arial" w:hAnsi="Arial"/>
                <w:sz w:val="15"/>
                <w:szCs w:val="15"/>
                <w:color w:val="auto"/>
              </w:rPr>
              <w:t>Judith Moore</w:t>
            </w:r>
          </w:p>
        </w:tc>
        <w:tc>
          <w:tcPr>
            <w:tcW w:w="3560" w:type="dxa"/>
            <w:vAlign w:val="bottom"/>
            <w:gridSpan w:val="2"/>
          </w:tcPr>
          <w:p>
            <w:pPr>
              <w:ind w:left="1380"/>
              <w:spacing w:after="0" w:line="169" w:lineRule="exact"/>
              <w:rPr>
                <w:sz w:val="20"/>
                <w:szCs w:val="20"/>
                <w:color w:val="auto"/>
              </w:rPr>
            </w:pPr>
            <w:r>
              <w:rPr>
                <w:rFonts w:ascii="Arial" w:cs="Arial" w:eastAsia="Arial" w:hAnsi="Arial"/>
                <w:sz w:val="15"/>
                <w:szCs w:val="15"/>
                <w:color w:val="auto"/>
              </w:rPr>
              <w:t>Chris Maggos</w:t>
            </w:r>
          </w:p>
        </w:tc>
      </w:tr>
      <w:tr>
        <w:trPr>
          <w:trHeight w:val="169"/>
        </w:trPr>
        <w:tc>
          <w:tcPr>
            <w:tcW w:w="3820" w:type="dxa"/>
            <w:vAlign w:val="bottom"/>
            <w:gridSpan w:val="3"/>
          </w:tcPr>
          <w:p>
            <w:pPr>
              <w:spacing w:after="0" w:line="169" w:lineRule="exact"/>
              <w:rPr>
                <w:sz w:val="20"/>
                <w:szCs w:val="20"/>
                <w:color w:val="auto"/>
              </w:rPr>
            </w:pPr>
            <w:r>
              <w:rPr>
                <w:rFonts w:ascii="Arial" w:cs="Arial" w:eastAsia="Arial" w:hAnsi="Arial"/>
                <w:sz w:val="15"/>
                <w:szCs w:val="15"/>
                <w:color w:val="auto"/>
              </w:rPr>
              <w:t>AC Immune</w:t>
            </w:r>
          </w:p>
        </w:tc>
        <w:tc>
          <w:tcPr>
            <w:tcW w:w="3560" w:type="dxa"/>
            <w:vAlign w:val="bottom"/>
            <w:gridSpan w:val="2"/>
          </w:tcPr>
          <w:p>
            <w:pPr>
              <w:ind w:left="1380"/>
              <w:spacing w:after="0" w:line="169" w:lineRule="exact"/>
              <w:rPr>
                <w:sz w:val="20"/>
                <w:szCs w:val="20"/>
                <w:color w:val="auto"/>
              </w:rPr>
            </w:pPr>
            <w:r>
              <w:rPr>
                <w:rFonts w:ascii="Arial" w:cs="Arial" w:eastAsia="Arial" w:hAnsi="Arial"/>
                <w:sz w:val="15"/>
                <w:szCs w:val="15"/>
                <w:color w:val="auto"/>
              </w:rPr>
              <w:t>LifeSci Advisors</w:t>
            </w:r>
          </w:p>
        </w:tc>
      </w:tr>
      <w:tr>
        <w:trPr>
          <w:trHeight w:val="169"/>
        </w:trPr>
        <w:tc>
          <w:tcPr>
            <w:tcW w:w="3820" w:type="dxa"/>
            <w:vAlign w:val="bottom"/>
            <w:gridSpan w:val="3"/>
          </w:tcPr>
          <w:p>
            <w:pPr>
              <w:spacing w:after="0" w:line="169" w:lineRule="exact"/>
              <w:rPr>
                <w:sz w:val="20"/>
                <w:szCs w:val="20"/>
                <w:color w:val="auto"/>
              </w:rPr>
            </w:pPr>
            <w:r>
              <w:rPr>
                <w:rFonts w:ascii="Arial" w:cs="Arial" w:eastAsia="Arial" w:hAnsi="Arial"/>
                <w:sz w:val="15"/>
                <w:szCs w:val="15"/>
                <w:color w:val="auto"/>
              </w:rPr>
              <w:t>Phone: +41 79 826 63 82</w:t>
            </w:r>
          </w:p>
        </w:tc>
        <w:tc>
          <w:tcPr>
            <w:tcW w:w="3560" w:type="dxa"/>
            <w:vAlign w:val="bottom"/>
            <w:gridSpan w:val="2"/>
          </w:tcPr>
          <w:p>
            <w:pPr>
              <w:ind w:left="1380"/>
              <w:spacing w:after="0" w:line="169" w:lineRule="exact"/>
              <w:rPr>
                <w:sz w:val="20"/>
                <w:szCs w:val="20"/>
                <w:color w:val="auto"/>
              </w:rPr>
            </w:pPr>
            <w:r>
              <w:rPr>
                <w:rFonts w:ascii="Arial" w:cs="Arial" w:eastAsia="Arial" w:hAnsi="Arial"/>
                <w:sz w:val="15"/>
                <w:szCs w:val="15"/>
                <w:color w:val="auto"/>
              </w:rPr>
              <w:t>Phone: +41 79 367 6254</w:t>
            </w:r>
          </w:p>
        </w:tc>
      </w:tr>
      <w:tr>
        <w:trPr>
          <w:trHeight w:val="147"/>
        </w:trPr>
        <w:tc>
          <w:tcPr>
            <w:tcW w:w="3820" w:type="dxa"/>
            <w:vAlign w:val="bottom"/>
            <w:gridSpan w:val="3"/>
          </w:tcPr>
          <w:p>
            <w:pPr>
              <w:spacing w:after="0" w:line="147" w:lineRule="exact"/>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color w:val="0000FF"/>
              </w:rPr>
              <w:t>judith.moore@acimmune.com</w:t>
            </w:r>
          </w:p>
        </w:tc>
        <w:tc>
          <w:tcPr>
            <w:tcW w:w="3560" w:type="dxa"/>
            <w:vAlign w:val="bottom"/>
            <w:gridSpan w:val="2"/>
          </w:tcPr>
          <w:p>
            <w:pPr>
              <w:ind w:left="1380"/>
              <w:spacing w:after="0" w:line="147" w:lineRule="exact"/>
              <w:rPr>
                <w:sz w:val="20"/>
                <w:szCs w:val="20"/>
                <w:color w:val="auto"/>
              </w:rPr>
            </w:pPr>
            <w:r>
              <w:rPr>
                <w:rFonts w:ascii="Arial" w:cs="Arial" w:eastAsia="Arial" w:hAnsi="Arial"/>
                <w:sz w:val="15"/>
                <w:szCs w:val="15"/>
                <w:color w:val="auto"/>
                <w:w w:val="98"/>
              </w:rPr>
              <w:t xml:space="preserve">Email: </w:t>
            </w:r>
            <w:r>
              <w:rPr>
                <w:rFonts w:ascii="Arial" w:cs="Arial" w:eastAsia="Arial" w:hAnsi="Arial"/>
                <w:sz w:val="15"/>
                <w:szCs w:val="15"/>
                <w:color w:val="0000FF"/>
                <w:w w:val="98"/>
              </w:rPr>
              <w:t>chris@lifesciadvisors.com</w:t>
            </w:r>
          </w:p>
        </w:tc>
      </w:tr>
      <w:tr>
        <w:trPr>
          <w:trHeight w:val="20"/>
        </w:trPr>
        <w:tc>
          <w:tcPr>
            <w:tcW w:w="46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r>
      <w:tr>
        <w:trPr>
          <w:trHeight w:val="350"/>
        </w:trPr>
        <w:tc>
          <w:tcPr>
            <w:tcW w:w="3820" w:type="dxa"/>
            <w:vAlign w:val="bottom"/>
            <w:gridSpan w:val="3"/>
          </w:tcPr>
          <w:p>
            <w:pPr>
              <w:spacing w:after="0"/>
              <w:rPr>
                <w:sz w:val="20"/>
                <w:szCs w:val="20"/>
                <w:color w:val="auto"/>
              </w:rPr>
            </w:pPr>
            <w:r>
              <w:rPr>
                <w:rFonts w:ascii="Arial" w:cs="Arial" w:eastAsia="Arial" w:hAnsi="Arial"/>
                <w:sz w:val="15"/>
                <w:szCs w:val="15"/>
                <w:b w:val="1"/>
                <w:bCs w:val="1"/>
                <w:color w:val="auto"/>
              </w:rPr>
              <w:t>Forward looking statements</w:t>
            </w:r>
          </w:p>
        </w:tc>
        <w:tc>
          <w:tcPr>
            <w:tcW w:w="18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71551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sectPr>
      <w:pgSz w:w="11900" w:h="16838" w:orient="portrait"/>
      <w:cols w:equalWidth="0" w:num="1">
        <w:col w:w="11280"/>
      </w:cols>
      <w:pgMar w:left="30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2020-06-26T15:53:15Z</dcterms:created>
  <dcterms:modified xsi:type="dcterms:W3CDTF">2020-06-26T15:53:15Z</dcterms:modified>
</cp:coreProperties>
</file>