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Washington, D.C. 20549</w:t>
      </w:r>
    </w:p>
    <w:p>
      <w:pPr>
        <w:spacing w:after="0" w:line="2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310" w:lineRule="exact"/>
        <w:rPr>
          <w:sz w:val="24"/>
          <w:szCs w:val="24"/>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December, 2023</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001-37891</w:t>
      </w:r>
    </w:p>
    <w:p>
      <w:pPr>
        <w:spacing w:after="0" w:line="20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AC IMMUNE SA</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9"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280"/>
        <w:spacing w:after="0" w:line="207" w:lineRule="exact"/>
        <w:tabs>
          <w:tab w:leader="none" w:pos="380" w:val="left"/>
          <w:tab w:leader="none" w:pos="320" w:val="left"/>
          <w:tab w:leader="none" w:pos="36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-565785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206375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-565785</wp:posOffset>
            </wp:positionH>
            <wp:positionV relativeFrom="paragraph">
              <wp:posOffset>728980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40"/>
          </w:cols>
          <w:pgMar w:left="1220" w:top="1035" w:right="1239" w:bottom="1440" w:gutter="0" w:footer="0" w:header="0"/>
        </w:sectPr>
      </w:pPr>
    </w:p>
    <w:bookmarkStart w:id="1" w:name="page2"/>
    <w:bookmarkEnd w:id="1"/>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2023, AC Immune SA (the “Company”) issued a press release announcing that its development partner has programmed the launch of a Phase 2b clinical study to evaluate ACI-35.030 (JNJ-64042056) in patients with preclinical AD, those individuals not yet showing symptoms. Under the terms of the licensing agreement with Janssen Pharmaceuticals, Inc. (Janssen), a Johnson &amp; Johnson company, the Company will now receive a milestone payment of CHF 15 million and is eligible to receive another milestone payment of CHF 25 million related to achieving a non-disclosed enrollment target. A copy of the press release is attached as Exhibit 99.1 to this Report on Form 6-K.</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This Report on Form 6-K (other than Exhibit 99.1 hereto) shall be deemed to be incorporated by reference into the registration statements on Form F-3 (File No. 333- 255576, File No. 333-227016 and File No. 333-249655) and Form S-8 (File No. 333-233019)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2" w:name="page3"/>
    <w:bookmarkEnd w:id="2"/>
    <w:p>
      <w:pPr>
        <w:ind w:left="48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55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60"/>
        <w:spacing w:after="0"/>
        <w:tabs>
          <w:tab w:leader="none" w:pos="9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FF"/>
        </w:rPr>
        <w:t>Press Release, dated December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211455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59"/>
          </w:cols>
          <w:pgMar w:left="400" w:top="536"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Vice President, Finance and Interim Chief Financial Officer</w:t>
      </w:r>
    </w:p>
    <w:p>
      <w:pPr>
        <w:spacing w:after="0" w:line="20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December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79"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-141605</wp:posOffset>
            </wp:positionV>
            <wp:extent cx="177419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7419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left="340" w:right="160"/>
        <w:spacing w:after="0" w:line="298" w:lineRule="auto"/>
        <w:rPr>
          <w:sz w:val="20"/>
          <w:szCs w:val="20"/>
          <w:color w:val="auto"/>
        </w:rPr>
      </w:pPr>
      <w:r>
        <w:rPr>
          <w:rFonts w:ascii="Arial" w:cs="Arial" w:eastAsia="Arial" w:hAnsi="Arial"/>
          <w:sz w:val="25"/>
          <w:szCs w:val="25"/>
          <w:b w:val="1"/>
          <w:bCs w:val="1"/>
          <w:color w:val="auto"/>
        </w:rPr>
        <w:t>AC Immune’s Targeted Anti-pTau Active Immunotherapy for Alzheimer’s Disease Advances into Phase 2b Trial</w:t>
      </w:r>
    </w:p>
    <w:p>
      <w:pPr>
        <w:spacing w:after="0" w:line="237" w:lineRule="exact"/>
        <w:rPr>
          <w:sz w:val="20"/>
          <w:szCs w:val="20"/>
          <w:color w:val="auto"/>
        </w:rPr>
      </w:pPr>
    </w:p>
    <w:p>
      <w:pPr>
        <w:ind w:left="540" w:right="460" w:hanging="303"/>
        <w:spacing w:after="0" w:line="230" w:lineRule="auto"/>
        <w:tabs>
          <w:tab w:leader="none" w:pos="5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color w:val="auto"/>
        </w:rPr>
        <w:t>Potentially registration-enabling Phase 2b study (ReTain) will evaluate the effect of ACI-35.030 on cognition and Tau pathology in approximately 500 participants with preclinical Alzheimer’s disease (AD)</w:t>
      </w:r>
    </w:p>
    <w:p>
      <w:pPr>
        <w:spacing w:after="0" w:line="72" w:lineRule="exact"/>
        <w:rPr>
          <w:rFonts w:ascii="Times New Roman" w:cs="Times New Roman" w:eastAsia="Times New Roman" w:hAnsi="Times New Roman"/>
          <w:sz w:val="22"/>
          <w:szCs w:val="22"/>
          <w:color w:val="auto"/>
        </w:rPr>
      </w:pPr>
    </w:p>
    <w:p>
      <w:pPr>
        <w:ind w:left="540" w:right="400" w:hanging="303"/>
        <w:spacing w:after="0" w:line="233" w:lineRule="auto"/>
        <w:tabs>
          <w:tab w:leader="none" w:pos="5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color w:val="auto"/>
        </w:rPr>
        <w:t>Anti-pTau active immunotherapy being designed to potentially prevent or reduce cognitive decline could address need of over 315 million people globally</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with preclinical AD</w:t>
      </w:r>
    </w:p>
    <w:p>
      <w:pPr>
        <w:spacing w:after="0" w:line="2" w:lineRule="exact"/>
        <w:rPr>
          <w:rFonts w:ascii="Times New Roman" w:cs="Times New Roman" w:eastAsia="Times New Roman" w:hAnsi="Times New Roman"/>
          <w:sz w:val="22"/>
          <w:szCs w:val="22"/>
          <w:color w:val="auto"/>
        </w:rPr>
      </w:pPr>
    </w:p>
    <w:p>
      <w:pPr>
        <w:ind w:left="540" w:right="320" w:hanging="303"/>
        <w:spacing w:after="0" w:line="220" w:lineRule="auto"/>
        <w:tabs>
          <w:tab w:leader="none" w:pos="5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18"/>
          <w:szCs w:val="18"/>
          <w:color w:val="auto"/>
        </w:rPr>
        <w:t>AC Immune to receive approximately CHF 40 million in total milestone payments under terms of the licensing agreement, following trial initiation and enrollment milestone</w:t>
      </w:r>
    </w:p>
    <w:p>
      <w:pPr>
        <w:spacing w:after="0" w:line="22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Lausanne, Switzerland, December 15, 2023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its development partner has programmed the launch of a Phase 2b clinical study to evaluate ACI-35.030 (JNJ-64042056) in patients with preclinical Alzheimer’s disease (AD), those individuals not yet showing symptoms. ACI-35.030 is an investigational targeted active immunotherapy, selective for pathological phosphorylated Tau (pTau). Studies have shown that pTau correlates with AD progression and the trial aims to show that ACI-35.030 can prevent or slow down the progression of tau pathology and onset of clinical symptoms.</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Under the terms of the licensing agreement with Janssen Pharmaceuticals, Inc. (Janssen), a Johnson &amp; Johnson company, AC Immune will now receive a milestone payment of CHF 15 million and will receive another milestone payment of CHF 25 million related to achieving a non-disclosed enrollment target. The partnership with Janssen aims to develop and commercialize therapeutic anti-Tau active immunotherapies for the treatment of AD and potentially other Tauopathies.</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b w:val="1"/>
          <w:bCs w:val="1"/>
          <w:color w:val="auto"/>
        </w:rPr>
        <w:t xml:space="preserve">Dr. Andrea Pfeifer, CEO of AC Immune SA, commented: </w:t>
      </w:r>
      <w:r>
        <w:rPr>
          <w:rFonts w:ascii="Arial" w:cs="Arial" w:eastAsia="Arial" w:hAnsi="Arial"/>
          <w:sz w:val="18"/>
          <w:szCs w:val="18"/>
          <w:color w:val="auto"/>
        </w:rPr>
        <w:t>“In the recently completed Phase 1b/2a trial, data showed that ACI-35.030 was</w:t>
      </w:r>
      <w:r>
        <w:rPr>
          <w:rFonts w:ascii="Arial" w:cs="Arial" w:eastAsia="Arial" w:hAnsi="Arial"/>
          <w:sz w:val="18"/>
          <w:szCs w:val="18"/>
          <w:b w:val="1"/>
          <w:bCs w:val="1"/>
          <w:color w:val="auto"/>
        </w:rPr>
        <w:t xml:space="preserve"> </w:t>
      </w:r>
      <w:r>
        <w:rPr>
          <w:rFonts w:ascii="Arial" w:cs="Arial" w:eastAsia="Arial" w:hAnsi="Arial"/>
          <w:sz w:val="18"/>
          <w:szCs w:val="18"/>
          <w:color w:val="auto"/>
        </w:rPr>
        <w:t>able to activate patients’ immune systems with a robust polyclonal antibody response against phosphorylated Tau and its neurotoxic aggregated form, which is believed to contribute to the pathology and progression of Alzheimer’s disease. Our partner’s decision to move forward with this robust clinical trial shows that treatment with this active immunotherapy so early in the disease process that individuals are not yet showing symptoms, holds tremendous promise to slow or possibly even prevent progression to symptomatic AD.”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Phase 2b ReTain trial is a potentially registration-enabling trial and is a randomized, multicenter, double-blind, placebo-controlled clinical study in participants with preclinical AD to assess the clinical effect of active immunization with ACI-35.030. It is designed to test the hypothesis that ACI-35.030 has a disease-modifying effect that can delay or prevent the onset of cognitive impairment or other clinical symptoms in individuals with preclinical AD through inhibition of seeding and spreading of pathological Tau.</w:t>
      </w:r>
    </w:p>
    <w:p>
      <w:pPr>
        <w:spacing w:after="0" w:line="12" w:lineRule="exact"/>
        <w:rPr>
          <w:sz w:val="20"/>
          <w:szCs w:val="20"/>
          <w:color w:val="auto"/>
        </w:rPr>
      </w:pPr>
    </w:p>
    <w:p>
      <w:pPr>
        <w:ind w:left="420" w:right="220" w:hanging="304"/>
        <w:spacing w:after="0" w:line="270" w:lineRule="auto"/>
        <w:tabs>
          <w:tab w:leader="none" w:pos="42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500 participants with preclinical AD (cognitively normal, amyloid positive, Tau positive) will be randomized in a 1:1 ratio to a single dose level of ACI-35.030 or placebo and administered as intramuscular injections for a maximum of 4 years.</w:t>
      </w:r>
    </w:p>
    <w:p>
      <w:pPr>
        <w:spacing w:after="0" w:line="105"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ind w:left="420" w:right="220" w:hanging="304"/>
        <w:spacing w:after="0" w:line="248" w:lineRule="auto"/>
        <w:tabs>
          <w:tab w:leader="none" w:pos="4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primary endpoint will measure cognitive decline as assessed by the Preclinical AD Cognitive Composite 5 (PACC-5) score, which combines tests that evaluate episodic memory, timed executive function, and global cognition. It is sensitive enough to detect early changes in cognitive function, even before the first clinical signs of mild cognitive impairment (MCI) are apparent</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ind w:left="420" w:right="120" w:hanging="304"/>
        <w:spacing w:after="0" w:line="238" w:lineRule="auto"/>
        <w:tabs>
          <w:tab w:leader="none" w:pos="4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key secondary efficacy endpoint will assess the effect of ACI-35.030 on the propagation and/or accumulation of Tau pathology compared with placebo, as measured by Tau PET imaging in the Tau Naïve Composite region of interest. PET imaging for pathological Tau will be performed at baseline and annually for 4 years. This endpoint may be sufficient for a Biologics License Application (BLA) filing seeking accelerated approval from the U.S. Food &amp; Drug Administration (FDA), with the primary endpoint serving as the basis for a traditional approval.</w:t>
      </w:r>
    </w:p>
    <w:p>
      <w:pPr>
        <w:spacing w:after="0" w:line="208" w:lineRule="exact"/>
        <w:rPr>
          <w:rFonts w:ascii="Times New Roman" w:cs="Times New Roman" w:eastAsia="Times New Roman" w:hAnsi="Times New Roman"/>
          <w:sz w:val="18"/>
          <w:szCs w:val="18"/>
          <w:color w:val="auto"/>
        </w:rPr>
      </w:pPr>
    </w:p>
    <w:p>
      <w:pPr>
        <w:ind w:left="740" w:hanging="354"/>
        <w:spacing w:after="0"/>
        <w:tabs>
          <w:tab w:leader="none" w:pos="740"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Gustavsson et al. Alzheimer’s and Dement. 2023 19:658-670. </w:t>
      </w:r>
      <w:r>
        <w:rPr>
          <w:rFonts w:ascii="Arial" w:cs="Arial" w:eastAsia="Arial" w:hAnsi="Arial"/>
          <w:sz w:val="14"/>
          <w:szCs w:val="14"/>
          <w:i w:val="1"/>
          <w:iCs w:val="1"/>
          <w:u w:val="single" w:color="auto"/>
          <w:color w:val="0000FF"/>
        </w:rPr>
        <w:t>https://doi.org/10.1002/alz.12694</w:t>
      </w:r>
    </w:p>
    <w:p>
      <w:pPr>
        <w:spacing w:after="0" w:line="55" w:lineRule="exact"/>
        <w:rPr>
          <w:rFonts w:ascii="Arial" w:cs="Arial" w:eastAsia="Arial" w:hAnsi="Arial"/>
          <w:sz w:val="14"/>
          <w:szCs w:val="14"/>
          <w:i w:val="1"/>
          <w:iCs w:val="1"/>
          <w:color w:val="auto"/>
        </w:rPr>
      </w:pPr>
    </w:p>
    <w:p>
      <w:pPr>
        <w:ind w:left="740" w:right="120" w:hanging="354"/>
        <w:spacing w:after="0" w:line="261" w:lineRule="auto"/>
        <w:tabs>
          <w:tab w:leader="none" w:pos="740" w:val="left"/>
        </w:tabs>
        <w:numPr>
          <w:ilvl w:val="1"/>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Donohue MC, Sperling RA, Salmon DP, Rentz DM, Raman R, Thomas RG, Weiner M, Aisen PS, Australian Imaging, Biomarkers, and Lifestyle Flagship Study of Ageing, Alzheimer’s Disease Neuroimaging Initiative, and Alzheimer’s Disease Cooperative Study (2014) The preclinical Alzheimer cognitive composite: measuring amyloid-related decline. JAMA Neurol 71(8):961–970. </w:t>
      </w:r>
      <w:r>
        <w:rPr>
          <w:rFonts w:ascii="Arial" w:cs="Arial" w:eastAsia="Arial" w:hAnsi="Arial"/>
          <w:sz w:val="14"/>
          <w:szCs w:val="14"/>
          <w:i w:val="1"/>
          <w:iCs w:val="1"/>
          <w:u w:val="single" w:color="auto"/>
          <w:color w:val="0000FF"/>
        </w:rPr>
        <w:t>https://doi.org/10.1001/jamaneurol.2014.803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ACI-35.030 (JNJ-64042056)</w:t>
      </w:r>
    </w:p>
    <w:p>
      <w:pPr>
        <w:spacing w:after="0" w:line="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ACI-35.030 (JNJ-64042056) is an investigational active immunotherapy designed using AC Immune’s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Its liposomal formulation incorporates a conformationally-constrained, membrane bound target peptide antigen, phosphorylated Tau (pTau), in addition to adjuvants and non-Tau T-helper peptides. Immunization with ACI-35.030 has been shown in a recent Phase 1b/2a clinical trial to rapidly elicit antibodies after the first injection against extracellular pathological pTau in 100% of elderly patients with Alzheimer’s disease. Importantly, the antibody response was sustained, boostable, and focused on pathological pTau, including enriched paired helical filaments (ePHF). Aggregation of pTau leads to the formation of neurotoxic ePHF and Tau tangles. Antibodies against non-phosphorylated Tau diminished over time. To date, no safety or tolerability issues have been observed following ACI-35.030 immunization.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SupraAntigen</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platform</w:t>
      </w:r>
    </w:p>
    <w:p>
      <w:pPr>
        <w:jc w:val="both"/>
        <w:spacing w:after="0" w:line="208" w:lineRule="auto"/>
        <w:rPr>
          <w:sz w:val="20"/>
          <w:szCs w:val="20"/>
          <w:color w:val="auto"/>
        </w:rPr>
      </w:pPr>
      <w:r>
        <w:rPr>
          <w:rFonts w:ascii="Arial" w:cs="Arial" w:eastAsia="Arial" w:hAnsi="Arial"/>
          <w:sz w:val="18"/>
          <w:szCs w:val="18"/>
          <w:color w:val="auto"/>
        </w:rPr>
        <w:t>AC Immune’s clinically validated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uses proprietary liposomes to rapidly generate novel product candidates for active immunotherapy as well as best-in-class monoclonal antibodies for passive immunization against key neurodegenerative disease targets. Antibodies generated by the platform are highly specific for the pathological conformations of misfolded proteins and have shown strong</w:t>
      </w:r>
    </w:p>
    <w:p>
      <w:pPr>
        <w:jc w:val="both"/>
        <w:spacing w:after="0" w:line="218" w:lineRule="auto"/>
        <w:rPr>
          <w:sz w:val="20"/>
          <w:szCs w:val="20"/>
          <w:color w:val="auto"/>
        </w:rPr>
      </w:pPr>
      <w:r>
        <w:rPr>
          <w:rFonts w:ascii="Arial" w:cs="Arial" w:eastAsia="Arial" w:hAnsi="Arial"/>
          <w:sz w:val="18"/>
          <w:szCs w:val="18"/>
          <w:color w:val="auto"/>
        </w:rPr>
        <w:t>safety. The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has successfully generated two active immunotherapies and two antibody candidates that have been validated in clinical studies and has led to multiple global partnerships with world-leading pharmaceutical companies. In addition to targeting Amyloid-beta and Tau, AC Immune has generated conformation-specific antibodies against emerging neurodegenerative disease targets including alpha-synuclein, TDP-43, and the NLRP3 inflammasome pathway.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2" w:lineRule="exact"/>
        <w:rPr>
          <w:sz w:val="20"/>
          <w:szCs w:val="20"/>
          <w:color w:val="auto"/>
        </w:rPr>
      </w:pPr>
    </w:p>
    <w:p>
      <w:pPr>
        <w:jc w:val="both"/>
        <w:spacing w:after="0" w:line="205"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w:t>
      </w:r>
    </w:p>
    <w:p>
      <w:pPr>
        <w:spacing w:after="0" w:line="78"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3" w:right="339" w:bottom="1440" w:gutter="0" w:footer="0" w:header="0"/>
        </w:sectPr>
      </w:pPr>
    </w:p>
    <w:bookmarkStart w:id="6" w:name="page7"/>
    <w:bookmarkEnd w:id="6"/>
    <w:p>
      <w:pPr>
        <w:jc w:val="both"/>
        <w:spacing w:after="0" w:line="247" w:lineRule="auto"/>
        <w:rPr>
          <w:sz w:val="20"/>
          <w:szCs w:val="20"/>
          <w:color w:val="auto"/>
        </w:rPr>
      </w:pPr>
      <w:r>
        <w:rPr>
          <w:rFonts w:ascii="Arial" w:cs="Arial" w:eastAsia="Arial" w:hAnsi="Arial"/>
          <w:sz w:val="18"/>
          <w:szCs w:val="18"/>
          <w:color w:val="auto"/>
        </w:rPr>
        <w:t>diagnostic candidates, five of which are currently in Phase 2 clinical trials and one of which is in Phase 3. AC Immune has a strong track record of securing strategic partnerships with leading global pharmaceutical companies including Genentech, a member of the Roche Group, Eli Lilly and Company, and others, resulting in substantial non-dilutive funding to advance its proprietary programs and &gt;$3 billion in potential milestone payments.</w:t>
      </w:r>
    </w:p>
    <w:p>
      <w:pPr>
        <w:spacing w:after="0" w:line="165" w:lineRule="exact"/>
        <w:rPr>
          <w:sz w:val="20"/>
          <w:szCs w:val="20"/>
          <w:color w:val="auto"/>
        </w:rPr>
      </w:pPr>
    </w:p>
    <w:p>
      <w:pPr>
        <w:jc w:val="both"/>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SG and USA.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KR, NO and RU.</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information on our website and any other websites referenced herein is expressly not incorporated by reference into, and does not constitute a part of, this press release.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920" w:type="dxa"/>
            <w:vAlign w:val="bottom"/>
          </w:tcPr>
          <w:p>
            <w:pPr>
              <w:spacing w:after="0"/>
              <w:rPr>
                <w:sz w:val="21"/>
                <w:szCs w:val="21"/>
                <w:color w:val="auto"/>
              </w:rPr>
            </w:pPr>
          </w:p>
        </w:tc>
        <w:tc>
          <w:tcPr>
            <w:tcW w:w="2200" w:type="dxa"/>
            <w:vAlign w:val="bottom"/>
          </w:tcPr>
          <w:p>
            <w:pPr>
              <w:spacing w:after="0"/>
              <w:rPr>
                <w:sz w:val="21"/>
                <w:szCs w:val="21"/>
                <w:color w:val="auto"/>
              </w:rPr>
            </w:pPr>
          </w:p>
        </w:tc>
      </w:tr>
      <w:tr>
        <w:trPr>
          <w:trHeight w:val="361"/>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Head of Investor Relations &amp; Corporate Communications</w:t>
            </w:r>
          </w:p>
        </w:tc>
        <w:tc>
          <w:tcPr>
            <w:tcW w:w="3120" w:type="dxa"/>
            <w:vAlign w:val="bottom"/>
            <w:gridSpan w:val="2"/>
          </w:tcPr>
          <w:p>
            <w:pPr>
              <w:ind w:left="36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Gary Waanders, Ph.D., MBA</w:t>
            </w:r>
          </w:p>
        </w:tc>
        <w:tc>
          <w:tcPr>
            <w:tcW w:w="3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AC Immune</w:t>
            </w:r>
          </w:p>
        </w:tc>
        <w:tc>
          <w:tcPr>
            <w:tcW w:w="3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Phone: +41 21 345 91 91</w:t>
            </w:r>
          </w:p>
        </w:tc>
        <w:tc>
          <w:tcPr>
            <w:tcW w:w="31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526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gary.waanders@acimmune.com</w:t>
            </w:r>
          </w:p>
        </w:tc>
        <w:tc>
          <w:tcPr>
            <w:tcW w:w="3120" w:type="dxa"/>
            <w:vAlign w:val="bottom"/>
            <w:gridSpan w:val="2"/>
          </w:tcPr>
          <w:p>
            <w:pPr>
              <w:ind w:left="36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r>
      <w:tr>
        <w:trPr>
          <w:trHeight w:val="393"/>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International Media</w:t>
            </w:r>
          </w:p>
        </w:tc>
        <w:tc>
          <w:tcPr>
            <w:tcW w:w="92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Chris Maggos</w:t>
            </w:r>
          </w:p>
        </w:tc>
        <w:tc>
          <w:tcPr>
            <w:tcW w:w="9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Cohesion Bureau</w:t>
            </w:r>
          </w:p>
        </w:tc>
        <w:tc>
          <w:tcPr>
            <w:tcW w:w="9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5260" w:type="dxa"/>
            <w:vAlign w:val="bottom"/>
            <w:gridSpan w:val="4"/>
          </w:tcPr>
          <w:p>
            <w:pPr>
              <w:spacing w:after="0" w:line="202" w:lineRule="exact"/>
              <w:rPr>
                <w:sz w:val="20"/>
                <w:szCs w:val="20"/>
                <w:color w:val="auto"/>
              </w:rPr>
            </w:pPr>
            <w:r>
              <w:rPr>
                <w:rFonts w:ascii="Arial" w:cs="Arial" w:eastAsia="Arial" w:hAnsi="Arial"/>
                <w:sz w:val="18"/>
                <w:szCs w:val="18"/>
                <w:color w:val="auto"/>
              </w:rPr>
              <w:t>Phone: +41 79 367 6254</w:t>
            </w:r>
          </w:p>
        </w:tc>
        <w:tc>
          <w:tcPr>
            <w:tcW w:w="92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194"/>
        </w:trPr>
        <w:tc>
          <w:tcPr>
            <w:tcW w:w="5260" w:type="dxa"/>
            <w:vAlign w:val="bottom"/>
            <w:gridSpan w:val="4"/>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chris.maggos@cohesionbureau.com</w:t>
            </w:r>
          </w:p>
        </w:tc>
        <w:tc>
          <w:tcPr>
            <w:tcW w:w="92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0"/>
        </w:trPr>
        <w:tc>
          <w:tcPr>
            <w:tcW w:w="56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84" w:lineRule="exact"/>
        <w:rPr>
          <w:sz w:val="20"/>
          <w:szCs w:val="20"/>
          <w:color w:val="auto"/>
        </w:rPr>
      </w:pPr>
    </w:p>
    <w:p>
      <w:pPr>
        <w:ind w:left="109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2023-12-15T06:29:47Z</dcterms:created>
  <dcterms:modified xsi:type="dcterms:W3CDTF">2023-12-15T06:29:47Z</dcterms:modified>
</cp:coreProperties>
</file>