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July,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83185</wp:posOffset>
            </wp:positionV>
            <wp:extent cx="1512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15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Commission File Number: 001-37891</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Building B</w:t>
      </w:r>
    </w:p>
    <w:p>
      <w:pPr>
        <w:jc w:val="center"/>
        <w:ind w:right="-19"/>
        <w:spacing w:after="0" w:line="235" w:lineRule="auto"/>
        <w:rPr>
          <w:sz w:val="20"/>
          <w:szCs w:val="20"/>
          <w:color w:val="auto"/>
        </w:rPr>
      </w:pPr>
      <w:r>
        <w:rPr>
          <w:rFonts w:ascii="Arial" w:cs="Arial" w:eastAsia="Arial" w:hAnsi="Arial"/>
          <w:sz w:val="22"/>
          <w:szCs w:val="22"/>
          <w:b w:val="1"/>
          <w:bCs w:val="1"/>
          <w:color w:val="auto"/>
        </w:rPr>
        <w:t>1015 Lausanne, Switzerland</w:t>
      </w: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120"/>
        <w:spacing w:after="0"/>
        <w:tabs>
          <w:tab w:leader="none" w:pos="4620" w:val="left"/>
          <w:tab w:leader="none" w:pos="6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14605</wp:posOffset>
            </wp:positionV>
            <wp:extent cx="505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23495</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380"/>
        <w:spacing w:after="0"/>
        <w:tabs>
          <w:tab w:leader="none" w:pos="662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4780915</wp:posOffset>
            </wp:positionH>
            <wp:positionV relativeFrom="paragraph">
              <wp:posOffset>14605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23495</wp:posOffset>
            </wp:positionV>
            <wp:extent cx="505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380"/>
        <w:spacing w:after="0"/>
        <w:tabs>
          <w:tab w:leader="none" w:pos="6620" w:val="left"/>
          <w:tab w:leader="none" w:pos="7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4780915</wp:posOffset>
            </wp:positionH>
            <wp:positionV relativeFrom="paragraph">
              <wp:posOffset>14605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23495</wp:posOffset>
            </wp:positionV>
            <wp:extent cx="505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340360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391795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657" w:right="4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Exhibit</w:t>
            </w:r>
          </w:p>
        </w:tc>
        <w:tc>
          <w:tcPr>
            <w:tcW w:w="102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tcPr>
          <w:p>
            <w:pPr>
              <w:spacing w:after="0"/>
              <w:rPr>
                <w:sz w:val="20"/>
                <w:szCs w:val="20"/>
                <w:color w:val="auto"/>
              </w:rPr>
            </w:pPr>
          </w:p>
        </w:tc>
      </w:tr>
      <w:tr>
        <w:trPr>
          <w:trHeight w:val="224"/>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99.1</w:t>
            </w:r>
          </w:p>
        </w:tc>
        <w:tc>
          <w:tcPr>
            <w:tcW w:w="10220" w:type="dxa"/>
            <w:vAlign w:val="bottom"/>
          </w:tcPr>
          <w:p>
            <w:pPr>
              <w:ind w:left="120"/>
              <w:spacing w:after="0"/>
              <w:rPr>
                <w:sz w:val="20"/>
                <w:szCs w:val="20"/>
                <w:color w:val="auto"/>
              </w:rPr>
            </w:pPr>
            <w:r>
              <w:rPr>
                <w:rFonts w:ascii="Arial" w:cs="Arial" w:eastAsia="Arial" w:hAnsi="Arial"/>
                <w:sz w:val="18"/>
                <w:szCs w:val="18"/>
                <w:color w:val="auto"/>
              </w:rPr>
              <w:t>Press Release dated July 16, 2020</w:t>
            </w:r>
          </w:p>
        </w:tc>
      </w:tr>
      <w:tr>
        <w:trPr>
          <w:trHeight w:val="337"/>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6459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Advances phospho-Tau Alzheimer’s Vaccine in Phase 1b/2a Study</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Interim data confirm the promising safety, tolerability and Tau-specific immunogenicity observed in the previous clinical study</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ACI-35.030 is a clinical stage vaccine generated with the proprietary SupraAntigen™ platform addressing proteinopathies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across neurodegenerative diseases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July 16, 2020 </w:t>
      </w:r>
      <w:r>
        <w:rPr>
          <w:rFonts w:ascii="Arial" w:cs="Arial" w:eastAsia="Arial" w:hAnsi="Arial"/>
          <w:sz w:val="18"/>
          <w:szCs w:val="18"/>
          <w:color w:val="auto"/>
        </w:rPr>
        <w:t>– AC Immune SA (NASDAQ: ACIU), a Swiss-based, clinical-stage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broad pipeline focused on neurodegenerative diseases, today announced the initiation of the second highest dosing group in the Company’s </w:t>
      </w:r>
      <w:r>
        <w:rPr>
          <w:rFonts w:ascii="Arial" w:cs="Arial" w:eastAsia="Arial" w:hAnsi="Arial"/>
          <w:sz w:val="18"/>
          <w:szCs w:val="18"/>
          <w:u w:val="single" w:color="auto"/>
          <w:color w:val="0000FF"/>
        </w:rPr>
        <w:t>Phase 1b/2a clinical trial</w:t>
      </w:r>
      <w:r>
        <w:rPr>
          <w:rFonts w:ascii="Arial" w:cs="Arial" w:eastAsia="Arial" w:hAnsi="Arial"/>
          <w:sz w:val="18"/>
          <w:szCs w:val="18"/>
          <w:color w:val="auto"/>
        </w:rPr>
        <w:t xml:space="preserve"> evaluating ACI-35.030 for the treatment of Alzheimer’s disease (AD). The decision to advance to the higher dosing group follows encouraging interim safety, tolerability and immunogenicity results from the initial dosing group.</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Immunization with anti-Tau vaccines has become an important strategy for the treatment of AD and other neurodegenerative diseases characterized by Tau pathology. ACI-35.030, which is being developed in collaboration with </w:t>
      </w:r>
      <w:r>
        <w:rPr>
          <w:rFonts w:ascii="Arial" w:cs="Arial" w:eastAsia="Arial" w:hAnsi="Arial"/>
          <w:sz w:val="18"/>
          <w:szCs w:val="18"/>
          <w:u w:val="single" w:color="auto"/>
          <w:color w:val="0000FF"/>
        </w:rPr>
        <w:t>Janssen Pharmaceuticals, Inc.</w:t>
      </w:r>
      <w:r>
        <w:rPr>
          <w:rFonts w:ascii="Arial" w:cs="Arial" w:eastAsia="Arial" w:hAnsi="Arial"/>
          <w:sz w:val="18"/>
          <w:szCs w:val="18"/>
          <w:color w:val="auto"/>
        </w:rPr>
        <w:t>, is the first AD vaccine candidate designed to generate a specific antibody response against pathologic phospho-Tau (pTau) proteins in the brain. Anti-pTau antibodies generated by ACI-35.030 have the potential to reduce the spread and seeding of Tau pathology throughout the brain.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“The fact that ACI-35.030 shows encouraging safety and immunogenicity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lowest dose in this elderly patient population is highly meaningful and we look forward to quickly enrolling this next dosing group. Tau-targeted approaches may have a much broader therapeutic window to potentially disrupt, slow or prevent disease progression at both early and advanced disease stages. Pathological pTau occurs early in the disease process, years before accumulation of Tau deposits. Therefore, our pTau-targeting approach holds significant promise for the treatment of AD at different disease stages.”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Phase 1b/2a trial is a randomized, multicenter, double -blind, placebo-controlled clinical study with a primary objective to assess the safety, tolerability and immunogenicity of different doses of ACI-35.030 over a 48-week treatment phase in patients with early AD. Other endpoints will assess clinical and cognitive parameters as well as additional immunogenicity and safety parameters.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ACI-35.030 anti-pTau vaccine is the second vaccine under investigation generated from AC Immune’s SupraAntigen™ platform, along with ACI-24, a proprietary anti-amyloid beta (Abeta) vaccine currently in Phase 1b/Phase 2 clinical development in two separate indications. The Company’s pipeline is also advancing two monoclonal antibodies, semorinemab, an anti-Tau antibody in Phase 2 development and crenezumab, an anti-Abeta antibody in Phase 2 development, both partnered with Genentech/Roche.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ACI-35.030</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ACI-35.030 is a potent liposomal anti-pTau active investigational vaccine designed to elicit antibodies against phosphorylated pathological Tau protein, in order to reduce and facilitate the clearance of related Tau aggregates, slowing the progression of Tau-pathology and/or treating the underlying Tauopathy.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builds on the success of AC Immune’s ACI-35 vaccine, which demonstrated an early target-specific antibody response against pTau after the first injection in the vast majority of patients in a Phase 1b study in mild-to-moderate AD. In preclinical studies, ACI-35.030 retained the excellent non-clinical safety profile and the highly specific antibody response against phosphorylated pathological Tau produced by ACI-35, while demonstrating an enhanced and more homogeneous antibody response.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AC Immune is developing the ACI-35.030 vaccine in collaboration with </w:t>
      </w:r>
      <w:r>
        <w:rPr>
          <w:rFonts w:ascii="Arial" w:cs="Arial" w:eastAsia="Arial" w:hAnsi="Arial"/>
          <w:sz w:val="18"/>
          <w:szCs w:val="18"/>
          <w:u w:val="single" w:color="auto"/>
          <w:color w:val="0000FF"/>
        </w:rPr>
        <w:t>Janssen Pharmaceuticals, Inc.</w:t>
      </w:r>
      <w:r>
        <w:rPr>
          <w:rFonts w:ascii="Arial" w:cs="Arial" w:eastAsia="Arial" w:hAnsi="Arial"/>
          <w:sz w:val="18"/>
          <w:szCs w:val="18"/>
          <w:color w:val="auto"/>
        </w:rPr>
        <w:t xml:space="preserve"> under a </w:t>
      </w:r>
      <w:r>
        <w:rPr>
          <w:rFonts w:ascii="Arial" w:cs="Arial" w:eastAsia="Arial" w:hAnsi="Arial"/>
          <w:sz w:val="18"/>
          <w:szCs w:val="18"/>
          <w:u w:val="single" w:color="auto"/>
          <w:color w:val="0000FF"/>
        </w:rPr>
        <w:t>2014 licensing agreement</w:t>
      </w:r>
      <w:r>
        <w:rPr>
          <w:rFonts w:ascii="Arial" w:cs="Arial" w:eastAsia="Arial" w:hAnsi="Arial"/>
          <w:sz w:val="18"/>
          <w:szCs w:val="18"/>
          <w:color w:val="auto"/>
        </w:rPr>
        <w:t xml:space="preserve"> to develop and commercialize therapeutic anti-Tau vaccines for the treatment of AD and potentially other Tauopathies.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Eli Lilly and Company, and Janssen Pharmaceuticals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8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8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8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8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8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Global Head of Communications</w:t>
            </w:r>
          </w:p>
        </w:tc>
        <w:tc>
          <w:tcPr>
            <w:tcW w:w="4840" w:type="dxa"/>
            <w:vAlign w:val="bottom"/>
            <w:gridSpan w:val="2"/>
          </w:tcPr>
          <w:p>
            <w:pPr>
              <w:ind w:left="2220"/>
              <w:spacing w:after="0"/>
              <w:rPr>
                <w:sz w:val="20"/>
                <w:szCs w:val="20"/>
                <w:color w:val="auto"/>
              </w:rPr>
            </w:pPr>
            <w:r>
              <w:rPr>
                <w:rFonts w:ascii="Arial" w:cs="Arial" w:eastAsia="Arial" w:hAnsi="Arial"/>
                <w:sz w:val="18"/>
                <w:szCs w:val="18"/>
                <w:b w:val="1"/>
                <w:bCs w:val="1"/>
                <w:color w:val="auto"/>
              </w:rPr>
              <w:t>European Investors &amp; Media</w:t>
            </w:r>
          </w:p>
        </w:tc>
      </w:tr>
      <w:tr>
        <w:trPr>
          <w:trHeight w:val="202"/>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Judith Moore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AC Immune</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Phone: +41 79 826 63 82</w:t>
            </w:r>
          </w:p>
        </w:tc>
        <w:tc>
          <w:tcPr>
            <w:tcW w:w="48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296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judith.moore@acimmune.com</w:t>
            </w:r>
          </w:p>
        </w:tc>
        <w:tc>
          <w:tcPr>
            <w:tcW w:w="4840" w:type="dxa"/>
            <w:vAlign w:val="bottom"/>
            <w:gridSpan w:val="2"/>
          </w:tcPr>
          <w:p>
            <w:pPr>
              <w:ind w:left="22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18"/>
          <w:szCs w:val="18"/>
          <w:color w:val="auto"/>
        </w:rPr>
        <w:t>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2020-07-16T07:31:28Z</dcterms:created>
  <dcterms:modified xsi:type="dcterms:W3CDTF">2020-07-16T07:31:28Z</dcterms:modified>
</cp:coreProperties>
</file>