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1" w:lineRule="exact"/>
        <w:rPr>
          <w:sz w:val="24"/>
          <w:szCs w:val="24"/>
          <w:color w:val="auto"/>
        </w:rPr>
      </w:pPr>
    </w:p>
    <w:p>
      <w:pPr>
        <w:jc w:val="center"/>
        <w:ind w:right="-33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608965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180340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231775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40"/>
          </w:cols>
          <w:pgMar w:left="1220" w:top="980" w:right="1239" w:bottom="1440" w:gutter="0" w:footer="0" w:header="0"/>
        </w:sectPr>
      </w:pPr>
    </w:p>
    <w:bookmarkStart w:id="1" w:name="page2"/>
    <w:bookmarkEnd w:id="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4, 2026, AC Immune SA issued a press release announcing financial and corporate updates on the third quarter of 2026. The Company reports that it holds CHF 18.7 million in cash and cash equivalents (unaudited) and CHF 55.2 million in short-term financial assets (unaudited) as of September 30, 2026.</w:t>
      </w:r>
    </w:p>
    <w:p>
      <w:pPr>
        <w:spacing w:after="0" w:line="162" w:lineRule="exact"/>
        <w:rPr>
          <w:sz w:val="20"/>
          <w:szCs w:val="20"/>
          <w:color w:val="auto"/>
        </w:rPr>
      </w:pPr>
    </w:p>
    <w:p>
      <w:pPr>
        <w:jc w:val="both"/>
        <w:ind w:firstLine="369"/>
        <w:spacing w:after="0" w:line="261" w:lineRule="auto"/>
        <w:rPr>
          <w:sz w:val="20"/>
          <w:szCs w:val="20"/>
          <w:color w:val="auto"/>
        </w:rPr>
      </w:pPr>
      <w:r>
        <w:rPr>
          <w:rFonts w:ascii="Times New Roman" w:cs="Times New Roman" w:eastAsia="Times New Roman" w:hAnsi="Times New Roman"/>
          <w:sz w:val="18"/>
          <w:szCs w:val="18"/>
          <w:color w:val="auto"/>
        </w:rPr>
        <w:t>This Report on Form 6-K (excluding Exhibit 99.1)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828675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1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4, 2026</w:t>
            </w:r>
          </w:p>
        </w:tc>
      </w:tr>
      <w:tr>
        <w:trPr>
          <w:trHeight w:val="1769"/>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0" w:type="dxa"/>
            <w:vAlign w:val="bottom"/>
            <w:tcBorders>
              <w:top w:val="single" w:sz="8" w:color="0000EE"/>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Martin Zuegel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Martin Zuegel</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4" w:name="page5"/>
    <w:bookmarkEnd w:id="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77419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AC Immune Third Quarter 2026 Financial and Corporate Update</w:t>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i w:val="1"/>
          <w:iCs w:val="1"/>
          <w:color w:val="auto"/>
        </w:rPr>
        <w:t>Positive clinical and regulatory progress achieved across wholly-owned pipeline</w:t>
      </w:r>
    </w:p>
    <w:p>
      <w:pPr>
        <w:spacing w:after="0" w:line="200" w:lineRule="exact"/>
        <w:rPr>
          <w:sz w:val="20"/>
          <w:szCs w:val="20"/>
          <w:color w:val="auto"/>
        </w:rPr>
      </w:pPr>
    </w:p>
    <w:p>
      <w:pPr>
        <w:spacing w:after="0" w:line="353" w:lineRule="exact"/>
        <w:rPr>
          <w:sz w:val="20"/>
          <w:szCs w:val="20"/>
          <w:color w:val="auto"/>
        </w:rPr>
      </w:pPr>
    </w:p>
    <w:p>
      <w:pPr>
        <w:ind w:left="360" w:right="379" w:hanging="310"/>
        <w:spacing w:after="0" w:line="295" w:lineRule="auto"/>
        <w:tabs>
          <w:tab w:leader="none" w:pos="3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ACI-7104 received FDA Fast Track designation, Investigational New Drug (IND) clearance, and reported positive Part 1 week-100 results from the Phase 2 VacSYn trial in Parkinson’s disease</w:t>
      </w:r>
    </w:p>
    <w:p>
      <w:pPr>
        <w:spacing w:after="0" w:line="3" w:lineRule="exact"/>
        <w:rPr>
          <w:rFonts w:ascii="Times New Roman" w:cs="Times New Roman" w:eastAsia="Times New Roman" w:hAnsi="Times New Roman"/>
          <w:sz w:val="18"/>
          <w:szCs w:val="18"/>
          <w:color w:val="auto"/>
        </w:rPr>
      </w:pPr>
    </w:p>
    <w:p>
      <w:pPr>
        <w:ind w:left="360" w:right="119" w:hanging="310"/>
        <w:spacing w:after="0" w:line="291" w:lineRule="auto"/>
        <w:tabs>
          <w:tab w:leader="none" w:pos="3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Positive interim safety and tolerability results from the Phase 1 trial of NLRP3 inhibitor ACI-19764 in healthy volunteers</w:t>
      </w:r>
    </w:p>
    <w:p>
      <w:pPr>
        <w:ind w:left="360" w:right="179" w:hanging="310"/>
        <w:spacing w:after="0" w:line="238" w:lineRule="auto"/>
        <w:tabs>
          <w:tab w:leader="none" w:pos="3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Lead candidate declared in Morphomer</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small molecule program targeting intracellular alpha-synuclein (a-syn)</w:t>
      </w:r>
    </w:p>
    <w:p>
      <w:pPr>
        <w:spacing w:after="0" w:line="20"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Further clinical data anticipated before year-end for ACI-7104 and early in 2027 for ACI-19764</w:t>
      </w:r>
    </w:p>
    <w:p>
      <w:pPr>
        <w:spacing w:after="0" w:line="48"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resources of CHF 73.9 million as of September 30, 2026, providing cash runway into Q1 2028</w:t>
      </w:r>
    </w:p>
    <w:p>
      <w:pPr>
        <w:spacing w:after="0" w:line="276" w:lineRule="exact"/>
        <w:rPr>
          <w:sz w:val="20"/>
          <w:szCs w:val="20"/>
          <w:color w:val="auto"/>
        </w:rPr>
      </w:pPr>
    </w:p>
    <w:p>
      <w:pPr>
        <w:jc w:val="both"/>
        <w:ind w:left="60" w:right="59"/>
        <w:spacing w:after="0" w:line="347" w:lineRule="auto"/>
        <w:rPr>
          <w:sz w:val="20"/>
          <w:szCs w:val="20"/>
          <w:color w:val="auto"/>
        </w:rPr>
      </w:pPr>
      <w:r>
        <w:rPr>
          <w:rFonts w:ascii="Arial" w:cs="Arial" w:eastAsia="Arial" w:hAnsi="Arial"/>
          <w:sz w:val="18"/>
          <w:szCs w:val="18"/>
          <w:b w:val="1"/>
          <w:bCs w:val="1"/>
          <w:color w:val="auto"/>
        </w:rPr>
        <w:t xml:space="preserve">Lausanne, Switzerland, November 4, 2026 </w:t>
      </w:r>
      <w:r>
        <w:rPr>
          <w:rFonts w:ascii="Arial" w:cs="Arial" w:eastAsia="Arial" w:hAnsi="Arial"/>
          <w:sz w:val="18"/>
          <w:szCs w:val="18"/>
          <w:color w:val="auto"/>
        </w:rPr>
        <w:t>– AC Immune SA (NASDAQ: ACIU), a clinical-stage biopharma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targeting the key pathologic misfolded proteins and pathways that drive neurodegenerative diseases, today provided financial and corporate updates for the quarter ended September 30, 2026.</w:t>
      </w:r>
    </w:p>
    <w:p>
      <w:pPr>
        <w:spacing w:after="0" w:line="8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8"/>
          <w:szCs w:val="18"/>
          <w:b w:val="1"/>
          <w:bCs w:val="1"/>
          <w:color w:val="auto"/>
        </w:rPr>
        <w:t xml:space="preserve">Martin Zügel, Interim CEO of AC Immune SA, commented: </w:t>
      </w:r>
      <w:r>
        <w:rPr>
          <w:rFonts w:ascii="Arial" w:cs="Arial" w:eastAsia="Arial" w:hAnsi="Arial"/>
          <w:sz w:val="18"/>
          <w:szCs w:val="18"/>
          <w:i w:val="1"/>
          <w:iCs w:val="1"/>
          <w:color w:val="auto"/>
        </w:rPr>
        <w:t>“This quarter was an important period for AC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Immune as we saw our pipeline of wholly-owned programs delivering positive clinical results. Our proprietary programs targeting a-syn have seen important developments including encouraging clinical results for ACI-7104 in Parkinson’s disease and the recent nomination of a lead small-molecule Morphomer</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candidate drug which will now be entering preclinical development. Together with the initial hsCRP results in the Phase 1b trial to be reported in the early part of next year, we believe we are well positioned across our portfolio moving into 2027.”</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Q3 2026 and Subsequent Highlights: Wholly-Owned Programs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ACI-7104: anti-a-syn active immunotherapy</w:t>
      </w:r>
    </w:p>
    <w:p>
      <w:pPr>
        <w:spacing w:after="0" w:line="233" w:lineRule="exact"/>
        <w:rPr>
          <w:sz w:val="20"/>
          <w:szCs w:val="20"/>
          <w:color w:val="auto"/>
        </w:rPr>
      </w:pPr>
    </w:p>
    <w:p>
      <w:pPr>
        <w:ind w:left="700" w:right="79" w:hanging="326"/>
        <w:spacing w:after="0" w:line="371" w:lineRule="auto"/>
        <w:tabs>
          <w:tab w:leader="none" w:pos="7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Positive safety and immunogenicity results reported through week-100 in Part 1 of </w:t>
      </w:r>
      <w:r>
        <w:rPr>
          <w:rFonts w:ascii="Times New Roman" w:cs="Times New Roman" w:eastAsia="Times New Roman" w:hAnsi="Times New Roman"/>
          <w:sz w:val="19"/>
          <w:szCs w:val="19"/>
          <w:color w:val="auto"/>
        </w:rPr>
        <w:t>VacSYn, the</w:t>
      </w:r>
      <w:r>
        <w:rPr>
          <w:rFonts w:ascii="Arial" w:cs="Arial" w:eastAsia="Arial" w:hAnsi="Arial"/>
          <w:sz w:val="18"/>
          <w:szCs w:val="18"/>
          <w:color w:val="auto"/>
        </w:rPr>
        <w:t xml:space="preserve"> ongoing Phase 2 trial evaluating ACI-7104 in patients with early-stage Parkinson’s disease.</w:t>
      </w:r>
    </w:p>
    <w:p>
      <w:pPr>
        <w:spacing w:after="0" w:line="60" w:lineRule="exact"/>
        <w:rPr>
          <w:rFonts w:ascii="Times New Roman" w:cs="Times New Roman" w:eastAsia="Times New Roman" w:hAnsi="Times New Roman"/>
          <w:sz w:val="18"/>
          <w:szCs w:val="18"/>
          <w:color w:val="auto"/>
        </w:rPr>
      </w:pPr>
    </w:p>
    <w:p>
      <w:pPr>
        <w:ind w:left="700" w:right="79" w:hanging="326"/>
        <w:spacing w:after="0" w:line="364" w:lineRule="auto"/>
        <w:tabs>
          <w:tab w:leader="none" w:pos="7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Strong immunogenicity demonstrated, with 100% response rate after three immunizations, clear antibody penetration into the cerebrospinal fluid (CSF) and preliminary signals for target engagement.</w:t>
      </w:r>
    </w:p>
    <w:p>
      <w:pPr>
        <w:spacing w:after="0" w:line="86" w:lineRule="exact"/>
        <w:rPr>
          <w:rFonts w:ascii="Times New Roman" w:cs="Times New Roman" w:eastAsia="Times New Roman" w:hAnsi="Times New Roman"/>
          <w:sz w:val="18"/>
          <w:szCs w:val="18"/>
          <w:color w:val="auto"/>
        </w:rPr>
      </w:pPr>
    </w:p>
    <w:p>
      <w:pPr>
        <w:ind w:left="700" w:right="79" w:hanging="326"/>
        <w:spacing w:after="0" w:line="364" w:lineRule="auto"/>
        <w:tabs>
          <w:tab w:leader="none" w:pos="7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Exploratory correlation analyses identified trends for a potential association between immunogenicity (antibody levels) and disease activity measures.</w:t>
      </w:r>
    </w:p>
    <w:p>
      <w:pPr>
        <w:spacing w:after="0" w:line="86" w:lineRule="exact"/>
        <w:rPr>
          <w:rFonts w:ascii="Times New Roman" w:cs="Times New Roman" w:eastAsia="Times New Roman" w:hAnsi="Times New Roman"/>
          <w:sz w:val="18"/>
          <w:szCs w:val="18"/>
          <w:color w:val="auto"/>
        </w:rPr>
      </w:pPr>
    </w:p>
    <w:p>
      <w:pPr>
        <w:ind w:left="700" w:right="79" w:hanging="326"/>
        <w:spacing w:after="0" w:line="364" w:lineRule="auto"/>
        <w:tabs>
          <w:tab w:leader="none" w:pos="7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Data will be available before year-end on the characterization of ACI-7104-induced antibodies including their a-syn binding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709930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Discussions with FDA regarding future development path planned for early 2027.</w:t>
      </w:r>
    </w:p>
    <w:p>
      <w:pPr>
        <w:spacing w:after="0" w:line="224" w:lineRule="exact"/>
        <w:rPr>
          <w:rFonts w:ascii="Times New Roman" w:cs="Times New Roman" w:eastAsia="Times New Roman" w:hAnsi="Times New Roman"/>
          <w:sz w:val="18"/>
          <w:szCs w:val="18"/>
          <w:color w:val="auto"/>
        </w:rPr>
      </w:pPr>
    </w:p>
    <w:p>
      <w:pPr>
        <w:ind w:left="700" w:right="79" w:hanging="326"/>
        <w:spacing w:after="0" w:line="364" w:lineRule="auto"/>
        <w:tabs>
          <w:tab w:leader="none" w:pos="7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ACI-7104 also received FDA Fast Track designation and clearance of its Investigational New Drug (IND) application during the period.</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Morphomer-a-syn small molecule program</w:t>
      </w:r>
    </w:p>
    <w:p>
      <w:pPr>
        <w:spacing w:after="0" w:line="223" w:lineRule="exact"/>
        <w:rPr>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Lead candidate Morphomer® small-molecule drug targeting a-syn has been selected.</w:t>
      </w:r>
    </w:p>
    <w:p>
      <w:pPr>
        <w:spacing w:after="0" w:line="210" w:lineRule="exact"/>
        <w:rPr>
          <w:rFonts w:ascii="Times New Roman" w:cs="Times New Roman" w:eastAsia="Times New Roman" w:hAnsi="Times New Roman"/>
          <w:sz w:val="18"/>
          <w:szCs w:val="18"/>
          <w:color w:val="auto"/>
        </w:rPr>
      </w:pPr>
    </w:p>
    <w:p>
      <w:pPr>
        <w:ind w:left="700" w:right="79" w:hanging="326"/>
        <w:spacing w:after="0" w:line="364" w:lineRule="auto"/>
        <w:tabs>
          <w:tab w:leader="none" w:pos="7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results have confirmed its potent inhibition of a-syn aggregation. Early-stage results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due course at an upcoming scientific conference.</w:t>
      </w:r>
    </w:p>
    <w:p>
      <w:pPr>
        <w:spacing w:after="0" w:line="86"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development has now been initiated to take the candidate forward.</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ACI-19764: small molecule, brain-penetrant NLRP3 inhibitor program</w:t>
      </w:r>
    </w:p>
    <w:p>
      <w:pPr>
        <w:spacing w:after="0" w:line="210" w:lineRule="exact"/>
        <w:rPr>
          <w:sz w:val="20"/>
          <w:szCs w:val="20"/>
          <w:color w:val="auto"/>
        </w:rPr>
      </w:pPr>
    </w:p>
    <w:p>
      <w:pPr>
        <w:jc w:val="both"/>
        <w:ind w:left="700" w:right="79" w:hanging="326"/>
        <w:spacing w:after="0" w:line="346" w:lineRule="auto"/>
        <w:tabs>
          <w:tab w:leader="none" w:pos="7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Results in healthy volunteers were reported from the Phase 1 clinical trial showing the compound was safe and well-tolerated across single and multiple ascending dose cohorts with confirmed CSF penetration.</w:t>
      </w:r>
    </w:p>
    <w:p>
      <w:pPr>
        <w:spacing w:after="0" w:line="102"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Based on pharmacokinetic data, the therapeutic dose is expected to be ≤10mg once daily.</w:t>
      </w:r>
    </w:p>
    <w:p>
      <w:pPr>
        <w:spacing w:after="0" w:line="210" w:lineRule="exact"/>
        <w:rPr>
          <w:rFonts w:ascii="Times New Roman" w:cs="Times New Roman" w:eastAsia="Times New Roman" w:hAnsi="Times New Roman"/>
          <w:sz w:val="18"/>
          <w:szCs w:val="18"/>
          <w:color w:val="auto"/>
        </w:rPr>
      </w:pPr>
    </w:p>
    <w:p>
      <w:pPr>
        <w:jc w:val="both"/>
        <w:ind w:left="700" w:right="79" w:hanging="326"/>
        <w:spacing w:after="0" w:line="346" w:lineRule="auto"/>
        <w:tabs>
          <w:tab w:leader="none" w:pos="7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development program continues in a Phase 1b trial evaluating ACI-19764’s anti-inflammatory activity in patients with cardiovascular disease risk (elevated hsCRP), with initial results expected early in 2027.</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560" w:hanging="321"/>
        <w:spacing w:after="0"/>
        <w:tabs>
          <w:tab w:leader="none" w:pos="5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Mr. Tom Graney was elected to the Board of Directors at the Extraordinary General Meeting (EGM) held</w:t>
      </w:r>
    </w:p>
    <w:p>
      <w:pPr>
        <w:spacing w:after="0" w:line="108" w:lineRule="exact"/>
        <w:rPr>
          <w:rFonts w:ascii="Times New Roman" w:cs="Times New Roman" w:eastAsia="Times New Roman" w:hAnsi="Times New Roman"/>
          <w:sz w:val="18"/>
          <w:szCs w:val="18"/>
          <w:color w:val="auto"/>
        </w:rPr>
      </w:pPr>
    </w:p>
    <w:p>
      <w:pPr>
        <w:ind w:left="560" w:right="199"/>
        <w:spacing w:after="0" w:line="319" w:lineRule="auto"/>
        <w:rPr>
          <w:rFonts w:ascii="Times New Roman" w:cs="Times New Roman" w:eastAsia="Times New Roman" w:hAnsi="Times New Roman"/>
          <w:sz w:val="18"/>
          <w:szCs w:val="18"/>
          <w:color w:val="auto"/>
        </w:rPr>
      </w:pPr>
      <w:r>
        <w:rPr>
          <w:rFonts w:ascii="Arial" w:cs="Arial" w:eastAsia="Arial" w:hAnsi="Arial"/>
          <w:sz w:val="18"/>
          <w:szCs w:val="18"/>
          <w:color w:val="auto"/>
        </w:rPr>
        <w:t>on October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and will join the Audit and Finance Committee. After several years of service, Dr. Carl June stepped down from the Board of Directors and we thank him sincerely for his contribution and wish him well for the future.</w:t>
      </w: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Anticipated near-term news</w:t>
      </w:r>
    </w:p>
    <w:p>
      <w:pPr>
        <w:spacing w:after="0" w:line="197" w:lineRule="exact"/>
        <w:rPr>
          <w:sz w:val="20"/>
          <w:szCs w:val="20"/>
          <w:color w:val="auto"/>
        </w:rPr>
      </w:pPr>
    </w:p>
    <w:tbl>
      <w:tblPr>
        <w:tblLayout w:type="fixed"/>
        <w:tblInd w:w="50" w:type="dxa"/>
        <w:tblCellMar>
          <w:top w:w="0" w:type="dxa"/>
          <w:left w:w="0" w:type="dxa"/>
          <w:bottom w:w="0" w:type="dxa"/>
          <w:right w:w="0" w:type="dxa"/>
        </w:tblCellMar>
      </w:tblPr>
      <w:tr>
        <w:trPr>
          <w:trHeight w:val="268"/>
        </w:trPr>
        <w:tc>
          <w:tcPr>
            <w:tcW w:w="3020" w:type="dxa"/>
            <w:vAlign w:val="bottom"/>
            <w:tcBorders>
              <w:top w:val="single" w:sz="8" w:color="BFBFBF"/>
              <w:left w:val="single" w:sz="8" w:color="BFBFBF"/>
              <w:right w:val="single" w:sz="8" w:color="BFBFBF"/>
            </w:tcBorders>
          </w:tcPr>
          <w:p>
            <w:pPr>
              <w:ind w:left="80"/>
              <w:spacing w:after="0"/>
              <w:rPr>
                <w:sz w:val="20"/>
                <w:szCs w:val="20"/>
                <w:color w:val="auto"/>
              </w:rPr>
            </w:pPr>
            <w:r>
              <w:rPr>
                <w:rFonts w:ascii="Arial" w:cs="Arial" w:eastAsia="Arial" w:hAnsi="Arial"/>
                <w:sz w:val="18"/>
                <w:szCs w:val="18"/>
                <w:b w:val="1"/>
                <w:bCs w:val="1"/>
                <w:color w:val="auto"/>
              </w:rPr>
              <w:t>Program</w:t>
            </w:r>
          </w:p>
        </w:tc>
        <w:tc>
          <w:tcPr>
            <w:tcW w:w="3780" w:type="dxa"/>
            <w:vAlign w:val="bottom"/>
            <w:tcBorders>
              <w:top w:val="single" w:sz="8" w:color="BFBFBF"/>
              <w:right w:val="single" w:sz="8" w:color="BFBFBF"/>
            </w:tcBorders>
          </w:tcPr>
          <w:p>
            <w:pPr>
              <w:ind w:left="40"/>
              <w:spacing w:after="0"/>
              <w:rPr>
                <w:sz w:val="20"/>
                <w:szCs w:val="20"/>
                <w:color w:val="auto"/>
              </w:rPr>
            </w:pPr>
            <w:r>
              <w:rPr>
                <w:rFonts w:ascii="Arial" w:cs="Arial" w:eastAsia="Arial" w:hAnsi="Arial"/>
                <w:sz w:val="18"/>
                <w:szCs w:val="18"/>
                <w:b w:val="1"/>
                <w:bCs w:val="1"/>
                <w:color w:val="auto"/>
              </w:rPr>
              <w:t>News</w:t>
            </w:r>
          </w:p>
        </w:tc>
        <w:tc>
          <w:tcPr>
            <w:tcW w:w="1460" w:type="dxa"/>
            <w:vAlign w:val="bottom"/>
            <w:tcBorders>
              <w:top w:val="single" w:sz="8" w:color="BFBFBF"/>
              <w:right w:val="single" w:sz="8" w:color="BFBFBF"/>
            </w:tcBorders>
          </w:tcPr>
          <w:p>
            <w:pPr>
              <w:ind w:left="40"/>
              <w:spacing w:after="0"/>
              <w:rPr>
                <w:sz w:val="20"/>
                <w:szCs w:val="20"/>
                <w:color w:val="auto"/>
              </w:rPr>
            </w:pPr>
            <w:r>
              <w:rPr>
                <w:rFonts w:ascii="Arial" w:cs="Arial" w:eastAsia="Arial" w:hAnsi="Arial"/>
                <w:sz w:val="18"/>
                <w:szCs w:val="18"/>
                <w:b w:val="1"/>
                <w:bCs w:val="1"/>
                <w:color w:val="auto"/>
              </w:rPr>
              <w:t>Expected in</w:t>
            </w:r>
          </w:p>
        </w:tc>
        <w:tc>
          <w:tcPr>
            <w:tcW w:w="660" w:type="dxa"/>
            <w:vAlign w:val="bottom"/>
          </w:tcPr>
          <w:p>
            <w:pPr>
              <w:spacing w:after="0"/>
              <w:rPr>
                <w:sz w:val="23"/>
                <w:szCs w:val="23"/>
                <w:color w:val="auto"/>
              </w:rPr>
            </w:pPr>
          </w:p>
        </w:tc>
      </w:tr>
      <w:tr>
        <w:trPr>
          <w:trHeight w:val="177"/>
        </w:trPr>
        <w:tc>
          <w:tcPr>
            <w:tcW w:w="3020" w:type="dxa"/>
            <w:vAlign w:val="bottom"/>
            <w:tcBorders>
              <w:left w:val="single" w:sz="8" w:color="BFBFBF"/>
              <w:bottom w:val="single" w:sz="8" w:color="BFBFBF"/>
              <w:right w:val="single" w:sz="8" w:color="BFBFBF"/>
            </w:tcBorders>
          </w:tcPr>
          <w:p>
            <w:pPr>
              <w:spacing w:after="0"/>
              <w:rPr>
                <w:sz w:val="15"/>
                <w:szCs w:val="15"/>
                <w:color w:val="auto"/>
              </w:rPr>
            </w:pPr>
          </w:p>
        </w:tc>
        <w:tc>
          <w:tcPr>
            <w:tcW w:w="3780" w:type="dxa"/>
            <w:vAlign w:val="bottom"/>
            <w:tcBorders>
              <w:bottom w:val="single" w:sz="8" w:color="BFBFBF"/>
              <w:right w:val="single" w:sz="8" w:color="BFBFBF"/>
            </w:tcBorders>
          </w:tcPr>
          <w:p>
            <w:pPr>
              <w:spacing w:after="0"/>
              <w:rPr>
                <w:sz w:val="15"/>
                <w:szCs w:val="15"/>
                <w:color w:val="auto"/>
              </w:rPr>
            </w:pPr>
          </w:p>
        </w:tc>
        <w:tc>
          <w:tcPr>
            <w:tcW w:w="1460" w:type="dxa"/>
            <w:vAlign w:val="bottom"/>
            <w:tcBorders>
              <w:bottom w:val="single" w:sz="8" w:color="BFBFBF"/>
              <w:right w:val="single" w:sz="8" w:color="BFBFBF"/>
            </w:tcBorders>
          </w:tcPr>
          <w:p>
            <w:pPr>
              <w:spacing w:after="0"/>
              <w:rPr>
                <w:sz w:val="15"/>
                <w:szCs w:val="15"/>
                <w:color w:val="auto"/>
              </w:rPr>
            </w:pPr>
          </w:p>
        </w:tc>
        <w:tc>
          <w:tcPr>
            <w:tcW w:w="660" w:type="dxa"/>
            <w:vAlign w:val="bottom"/>
          </w:tcPr>
          <w:p>
            <w:pPr>
              <w:spacing w:after="0"/>
              <w:rPr>
                <w:sz w:val="15"/>
                <w:szCs w:val="15"/>
                <w:color w:val="auto"/>
              </w:rPr>
            </w:pPr>
          </w:p>
        </w:tc>
      </w:tr>
      <w:tr>
        <w:trPr>
          <w:trHeight w:val="240"/>
        </w:trPr>
        <w:tc>
          <w:tcPr>
            <w:tcW w:w="3020" w:type="dxa"/>
            <w:vAlign w:val="bottom"/>
            <w:tcBorders>
              <w:left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ACI-7104</w:t>
            </w:r>
          </w:p>
        </w:tc>
        <w:tc>
          <w:tcPr>
            <w:tcW w:w="3780" w:type="dxa"/>
            <w:vAlign w:val="bottom"/>
            <w:tcBorders>
              <w:right w:val="single" w:sz="8" w:color="BFBFBF"/>
            </w:tcBorders>
          </w:tcPr>
          <w:p>
            <w:pPr>
              <w:ind w:left="40"/>
              <w:spacing w:after="0"/>
              <w:rPr>
                <w:sz w:val="20"/>
                <w:szCs w:val="20"/>
                <w:color w:val="auto"/>
              </w:rPr>
            </w:pPr>
            <w:r>
              <w:rPr>
                <w:rFonts w:ascii="Arial" w:cs="Arial" w:eastAsia="Arial" w:hAnsi="Arial"/>
                <w:sz w:val="18"/>
                <w:szCs w:val="18"/>
                <w:color w:val="auto"/>
              </w:rPr>
              <w:t>characterization of ACI-7104-induced</w:t>
            </w:r>
          </w:p>
        </w:tc>
        <w:tc>
          <w:tcPr>
            <w:tcW w:w="1460" w:type="dxa"/>
            <w:vAlign w:val="bottom"/>
            <w:tcBorders>
              <w:right w:val="single" w:sz="8" w:color="BFBFBF"/>
            </w:tcBorders>
          </w:tcPr>
          <w:p>
            <w:pPr>
              <w:ind w:left="40"/>
              <w:spacing w:after="0"/>
              <w:rPr>
                <w:sz w:val="20"/>
                <w:szCs w:val="20"/>
                <w:color w:val="auto"/>
              </w:rPr>
            </w:pPr>
            <w:r>
              <w:rPr>
                <w:rFonts w:ascii="Arial" w:cs="Arial" w:eastAsia="Arial" w:hAnsi="Arial"/>
                <w:sz w:val="18"/>
                <w:szCs w:val="18"/>
                <w:color w:val="auto"/>
              </w:rPr>
              <w:t>H2 2026</w:t>
            </w:r>
          </w:p>
        </w:tc>
        <w:tc>
          <w:tcPr>
            <w:tcW w:w="660" w:type="dxa"/>
            <w:vAlign w:val="bottom"/>
          </w:tcPr>
          <w:p>
            <w:pPr>
              <w:spacing w:after="0"/>
              <w:rPr>
                <w:sz w:val="20"/>
                <w:szCs w:val="20"/>
                <w:color w:val="auto"/>
              </w:rPr>
            </w:pPr>
          </w:p>
        </w:tc>
      </w:tr>
      <w:tr>
        <w:trPr>
          <w:trHeight w:val="284"/>
        </w:trPr>
        <w:tc>
          <w:tcPr>
            <w:tcW w:w="3020" w:type="dxa"/>
            <w:vAlign w:val="bottom"/>
            <w:tcBorders>
              <w:left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anti-a-syn active immunotherapy</w:t>
            </w:r>
          </w:p>
        </w:tc>
        <w:tc>
          <w:tcPr>
            <w:tcW w:w="3780" w:type="dxa"/>
            <w:vAlign w:val="bottom"/>
            <w:tcBorders>
              <w:right w:val="single" w:sz="8" w:color="BFBFBF"/>
            </w:tcBorders>
          </w:tcPr>
          <w:p>
            <w:pPr>
              <w:ind w:left="40"/>
              <w:spacing w:after="0"/>
              <w:rPr>
                <w:sz w:val="20"/>
                <w:szCs w:val="20"/>
                <w:color w:val="auto"/>
              </w:rPr>
            </w:pPr>
            <w:r>
              <w:rPr>
                <w:rFonts w:ascii="Arial" w:cs="Arial" w:eastAsia="Arial" w:hAnsi="Arial"/>
                <w:sz w:val="18"/>
                <w:szCs w:val="18"/>
                <w:color w:val="auto"/>
              </w:rPr>
              <w:t>antibodies including a-syn binding properties</w:t>
            </w:r>
          </w:p>
        </w:tc>
        <w:tc>
          <w:tcPr>
            <w:tcW w:w="1460" w:type="dxa"/>
            <w:vAlign w:val="bottom"/>
            <w:tcBorders>
              <w:right w:val="single" w:sz="8" w:color="BFBFBF"/>
            </w:tcBorders>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3020" w:type="dxa"/>
            <w:vAlign w:val="bottom"/>
            <w:tcBorders>
              <w:left w:val="single" w:sz="8" w:color="BFBFBF"/>
              <w:bottom w:val="single" w:sz="8" w:color="BFBFBF"/>
              <w:right w:val="single" w:sz="8" w:color="BFBFBF"/>
            </w:tcBorders>
          </w:tcPr>
          <w:p>
            <w:pPr>
              <w:spacing w:after="0"/>
              <w:rPr>
                <w:sz w:val="16"/>
                <w:szCs w:val="16"/>
                <w:color w:val="auto"/>
              </w:rPr>
            </w:pPr>
          </w:p>
        </w:tc>
        <w:tc>
          <w:tcPr>
            <w:tcW w:w="3780" w:type="dxa"/>
            <w:vAlign w:val="bottom"/>
            <w:tcBorders>
              <w:bottom w:val="single" w:sz="8" w:color="BFBFBF"/>
              <w:right w:val="single" w:sz="8" w:color="BFBFBF"/>
            </w:tcBorders>
          </w:tcPr>
          <w:p>
            <w:pPr>
              <w:spacing w:after="0"/>
              <w:rPr>
                <w:sz w:val="16"/>
                <w:szCs w:val="16"/>
                <w:color w:val="auto"/>
              </w:rPr>
            </w:pPr>
          </w:p>
        </w:tc>
        <w:tc>
          <w:tcPr>
            <w:tcW w:w="1460" w:type="dxa"/>
            <w:vAlign w:val="bottom"/>
            <w:tcBorders>
              <w:bottom w:val="single" w:sz="8" w:color="BFBFBF"/>
              <w:right w:val="single" w:sz="8" w:color="BFBFBF"/>
            </w:tcBorders>
          </w:tcPr>
          <w:p>
            <w:pPr>
              <w:spacing w:after="0"/>
              <w:rPr>
                <w:sz w:val="16"/>
                <w:szCs w:val="16"/>
                <w:color w:val="auto"/>
              </w:rPr>
            </w:pPr>
          </w:p>
        </w:tc>
        <w:tc>
          <w:tcPr>
            <w:tcW w:w="660" w:type="dxa"/>
            <w:vAlign w:val="bottom"/>
          </w:tcPr>
          <w:p>
            <w:pPr>
              <w:spacing w:after="0"/>
              <w:rPr>
                <w:sz w:val="16"/>
                <w:szCs w:val="16"/>
                <w:color w:val="auto"/>
              </w:rPr>
            </w:pPr>
          </w:p>
        </w:tc>
      </w:tr>
      <w:tr>
        <w:trPr>
          <w:trHeight w:val="240"/>
        </w:trPr>
        <w:tc>
          <w:tcPr>
            <w:tcW w:w="3020" w:type="dxa"/>
            <w:vAlign w:val="bottom"/>
            <w:tcBorders>
              <w:left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ACI-19764</w:t>
            </w:r>
          </w:p>
        </w:tc>
        <w:tc>
          <w:tcPr>
            <w:tcW w:w="3780" w:type="dxa"/>
            <w:vAlign w:val="bottom"/>
            <w:tcBorders>
              <w:right w:val="single" w:sz="8" w:color="BFBFBF"/>
            </w:tcBorders>
          </w:tcPr>
          <w:p>
            <w:pPr>
              <w:ind w:left="40"/>
              <w:spacing w:after="0"/>
              <w:rPr>
                <w:sz w:val="20"/>
                <w:szCs w:val="20"/>
                <w:color w:val="auto"/>
              </w:rPr>
            </w:pPr>
            <w:r>
              <w:rPr>
                <w:rFonts w:ascii="Arial" w:cs="Arial" w:eastAsia="Arial" w:hAnsi="Arial"/>
                <w:sz w:val="18"/>
                <w:szCs w:val="18"/>
                <w:color w:val="auto"/>
              </w:rPr>
              <w:t>Results from Phase 1b trial in patient cohort</w:t>
            </w:r>
          </w:p>
        </w:tc>
        <w:tc>
          <w:tcPr>
            <w:tcW w:w="1460" w:type="dxa"/>
            <w:vAlign w:val="bottom"/>
            <w:tcBorders>
              <w:right w:val="single" w:sz="8" w:color="BFBFBF"/>
            </w:tcBorders>
          </w:tcPr>
          <w:p>
            <w:pPr>
              <w:ind w:left="40"/>
              <w:spacing w:after="0"/>
              <w:rPr>
                <w:sz w:val="20"/>
                <w:szCs w:val="20"/>
                <w:color w:val="auto"/>
              </w:rPr>
            </w:pPr>
            <w:r>
              <w:rPr>
                <w:rFonts w:ascii="Arial" w:cs="Arial" w:eastAsia="Arial" w:hAnsi="Arial"/>
                <w:sz w:val="18"/>
                <w:szCs w:val="18"/>
                <w:color w:val="auto"/>
              </w:rPr>
              <w:t>H1 2027</w:t>
            </w:r>
          </w:p>
        </w:tc>
        <w:tc>
          <w:tcPr>
            <w:tcW w:w="660" w:type="dxa"/>
            <w:vAlign w:val="bottom"/>
          </w:tcPr>
          <w:p>
            <w:pPr>
              <w:spacing w:after="0"/>
              <w:rPr>
                <w:sz w:val="20"/>
                <w:szCs w:val="20"/>
                <w:color w:val="auto"/>
              </w:rPr>
            </w:pPr>
          </w:p>
        </w:tc>
      </w:tr>
      <w:tr>
        <w:trPr>
          <w:trHeight w:val="283"/>
        </w:trPr>
        <w:tc>
          <w:tcPr>
            <w:tcW w:w="3020" w:type="dxa"/>
            <w:vAlign w:val="bottom"/>
            <w:tcBorders>
              <w:left w:val="single" w:sz="8" w:color="BFBFBF"/>
              <w:right w:val="single" w:sz="8" w:color="BFBFBF"/>
            </w:tcBorders>
          </w:tcPr>
          <w:p>
            <w:pPr>
              <w:ind w:left="80"/>
              <w:spacing w:after="0"/>
              <w:rPr>
                <w:sz w:val="20"/>
                <w:szCs w:val="20"/>
                <w:color w:val="auto"/>
              </w:rPr>
            </w:pPr>
            <w:r>
              <w:rPr>
                <w:rFonts w:ascii="Arial" w:cs="Arial" w:eastAsia="Arial" w:hAnsi="Arial"/>
                <w:sz w:val="18"/>
                <w:szCs w:val="18"/>
                <w:color w:val="auto"/>
              </w:rPr>
              <w:t>NLRP3 inhibitor</w:t>
            </w:r>
          </w:p>
        </w:tc>
        <w:tc>
          <w:tcPr>
            <w:tcW w:w="3780" w:type="dxa"/>
            <w:vAlign w:val="bottom"/>
            <w:tcBorders>
              <w:right w:val="single" w:sz="8" w:color="BFBFBF"/>
            </w:tcBorders>
          </w:tcPr>
          <w:p>
            <w:pPr>
              <w:ind w:left="40"/>
              <w:spacing w:after="0"/>
              <w:rPr>
                <w:sz w:val="20"/>
                <w:szCs w:val="20"/>
                <w:color w:val="auto"/>
              </w:rPr>
            </w:pPr>
            <w:r>
              <w:rPr>
                <w:rFonts w:ascii="Arial" w:cs="Arial" w:eastAsia="Arial" w:hAnsi="Arial"/>
                <w:sz w:val="18"/>
                <w:szCs w:val="18"/>
                <w:color w:val="auto"/>
              </w:rPr>
              <w:t>with elevated hsCRP</w:t>
            </w:r>
          </w:p>
        </w:tc>
        <w:tc>
          <w:tcPr>
            <w:tcW w:w="1460" w:type="dxa"/>
            <w:vAlign w:val="bottom"/>
            <w:tcBorders>
              <w:right w:val="single" w:sz="8" w:color="BFBFBF"/>
            </w:tcBorders>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3020" w:type="dxa"/>
            <w:vAlign w:val="bottom"/>
            <w:tcBorders>
              <w:left w:val="single" w:sz="8" w:color="BFBFBF"/>
              <w:bottom w:val="single" w:sz="8" w:color="BFBFBF"/>
              <w:right w:val="single" w:sz="8" w:color="BFBFBF"/>
            </w:tcBorders>
          </w:tcPr>
          <w:p>
            <w:pPr>
              <w:spacing w:after="0"/>
              <w:rPr>
                <w:sz w:val="16"/>
                <w:szCs w:val="16"/>
                <w:color w:val="auto"/>
              </w:rPr>
            </w:pPr>
          </w:p>
        </w:tc>
        <w:tc>
          <w:tcPr>
            <w:tcW w:w="3780" w:type="dxa"/>
            <w:vAlign w:val="bottom"/>
            <w:tcBorders>
              <w:bottom w:val="single" w:sz="8" w:color="BFBFBF"/>
              <w:right w:val="single" w:sz="8" w:color="BFBFBF"/>
            </w:tcBorders>
          </w:tcPr>
          <w:p>
            <w:pPr>
              <w:spacing w:after="0"/>
              <w:rPr>
                <w:sz w:val="16"/>
                <w:szCs w:val="16"/>
                <w:color w:val="auto"/>
              </w:rPr>
            </w:pPr>
          </w:p>
        </w:tc>
        <w:tc>
          <w:tcPr>
            <w:tcW w:w="1460" w:type="dxa"/>
            <w:vAlign w:val="bottom"/>
            <w:tcBorders>
              <w:bottom w:val="single" w:sz="8" w:color="BFBFBF"/>
              <w:right w:val="single" w:sz="8" w:color="BFBFBF"/>
            </w:tcBorders>
          </w:tcPr>
          <w:p>
            <w:pPr>
              <w:spacing w:after="0"/>
              <w:rPr>
                <w:sz w:val="16"/>
                <w:szCs w:val="16"/>
                <w:color w:val="auto"/>
              </w:rPr>
            </w:pPr>
          </w:p>
        </w:tc>
        <w:tc>
          <w:tcPr>
            <w:tcW w:w="660" w:type="dxa"/>
            <w:vAlign w:val="bottom"/>
          </w:tcPr>
          <w:p>
            <w:pPr>
              <w:spacing w:after="0"/>
              <w:rPr>
                <w:sz w:val="16"/>
                <w:szCs w:val="16"/>
                <w:color w:val="auto"/>
              </w:rPr>
            </w:pPr>
          </w:p>
        </w:tc>
      </w:tr>
      <w:tr>
        <w:trPr>
          <w:trHeight w:val="2255"/>
        </w:trPr>
        <w:tc>
          <w:tcPr>
            <w:tcW w:w="30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b w:val="1"/>
          <w:bCs w:val="1"/>
          <w:color w:val="auto"/>
        </w:rPr>
        <w:t>Analysis of Financial Statements for the Quarter Ended September 30, 2026</w:t>
      </w:r>
    </w:p>
    <w:p>
      <w:pPr>
        <w:spacing w:after="0" w:line="212" w:lineRule="exact"/>
        <w:rPr>
          <w:sz w:val="20"/>
          <w:szCs w:val="20"/>
          <w:color w:val="auto"/>
        </w:rPr>
      </w:pPr>
    </w:p>
    <w:p>
      <w:pPr>
        <w:jc w:val="both"/>
        <w:ind w:left="700" w:right="79" w:hanging="326"/>
        <w:spacing w:after="0" w:line="340" w:lineRule="auto"/>
        <w:tabs>
          <w:tab w:leader="none" w:pos="7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total cash resources of CHF 73.9 million (CHF 91.4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2025), composed of CHF 18.7 million in cash and cash equivalents and CHF 55.2 million in short-term financial assets. The Company’s cash resources are expected to provide sufficient capital to last into Q1 2028, excluding potential milestone payments.</w:t>
      </w:r>
    </w:p>
    <w:p>
      <w:pPr>
        <w:spacing w:after="0" w:line="108" w:lineRule="exact"/>
        <w:rPr>
          <w:rFonts w:ascii="Times New Roman" w:cs="Times New Roman" w:eastAsia="Times New Roman" w:hAnsi="Times New Roman"/>
          <w:sz w:val="18"/>
          <w:szCs w:val="18"/>
          <w:color w:val="auto"/>
        </w:rPr>
      </w:pPr>
    </w:p>
    <w:p>
      <w:pPr>
        <w:jc w:val="both"/>
        <w:ind w:left="700" w:right="79" w:hanging="326"/>
        <w:spacing w:after="0" w:line="340" w:lineRule="auto"/>
        <w:tabs>
          <w:tab w:leader="none" w:pos="7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revenues for the three months ended September 30, 2026 and 2025 were CHF 3.2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CHF 0.9 million, respectively. The increase was due to the recognition of revenues under the Takeda arrangements, which include recognition of the additional consideration received for the AD4 Cohort in 2026.</w:t>
      </w:r>
    </w:p>
    <w:p>
      <w:pPr>
        <w:spacing w:after="0" w:line="108" w:lineRule="exact"/>
        <w:rPr>
          <w:rFonts w:ascii="Times New Roman" w:cs="Times New Roman" w:eastAsia="Times New Roman" w:hAnsi="Times New Roman"/>
          <w:sz w:val="18"/>
          <w:szCs w:val="18"/>
          <w:color w:val="auto"/>
        </w:rPr>
      </w:pPr>
    </w:p>
    <w:p>
      <w:pPr>
        <w:jc w:val="both"/>
        <w:ind w:left="700" w:right="79" w:hanging="326"/>
        <w:spacing w:after="0" w:line="333" w:lineRule="auto"/>
        <w:tabs>
          <w:tab w:leader="none" w:pos="7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for the three months ended September 30, 2026, were CHF 9.9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compared with CHF 13.1 million for the comparable period in 2025. The decrease was partly due to lower personnel and operational spend of CHF 2.2 million and a decrease of CHF 1.9 million in our discovery and preclinical programs following the restructuring in the prior year. These changes were offset by a net increase of CHF 1.0 million in our clinical programs.</w:t>
      </w:r>
    </w:p>
    <w:p>
      <w:pPr>
        <w:spacing w:after="0" w:line="115" w:lineRule="exact"/>
        <w:rPr>
          <w:rFonts w:ascii="Times New Roman" w:cs="Times New Roman" w:eastAsia="Times New Roman" w:hAnsi="Times New Roman"/>
          <w:sz w:val="18"/>
          <w:szCs w:val="18"/>
          <w:color w:val="auto"/>
        </w:rPr>
      </w:pPr>
    </w:p>
    <w:p>
      <w:pPr>
        <w:jc w:val="both"/>
        <w:ind w:left="700" w:right="79" w:hanging="326"/>
        <w:spacing w:after="0" w:line="346" w:lineRule="auto"/>
        <w:tabs>
          <w:tab w:leader="none" w:pos="7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G&amp;A expenses were CHF 3.5 million in the three-month period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2026, compared to CHF 3.6 million for same period in 2025, reflecting a small decrease in personnel related expenses offset by other operational costs.</w:t>
      </w:r>
    </w:p>
    <w:p>
      <w:pPr>
        <w:spacing w:after="0" w:line="102" w:lineRule="exact"/>
        <w:rPr>
          <w:rFonts w:ascii="Times New Roman" w:cs="Times New Roman" w:eastAsia="Times New Roman" w:hAnsi="Times New Roman"/>
          <w:sz w:val="18"/>
          <w:szCs w:val="18"/>
          <w:color w:val="auto"/>
        </w:rPr>
      </w:pPr>
    </w:p>
    <w:p>
      <w:pPr>
        <w:jc w:val="both"/>
        <w:ind w:left="700" w:right="79" w:hanging="326"/>
        <w:spacing w:after="0" w:line="346" w:lineRule="auto"/>
        <w:tabs>
          <w:tab w:leader="none" w:pos="7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Financial result: </w:t>
      </w:r>
      <w:r>
        <w:rPr>
          <w:rFonts w:ascii="Arial" w:cs="Arial" w:eastAsia="Arial" w:hAnsi="Arial"/>
          <w:sz w:val="18"/>
          <w:szCs w:val="18"/>
          <w:color w:val="auto"/>
        </w:rPr>
        <w:t>The financial result was a gain of CHF 1.1 million for the three-month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2026, compared with a gain of CHF 0.3 million for the comparable period in 2025. The change was primarily driven by more favorable exchange differences in the current quarter.</w:t>
      </w:r>
    </w:p>
    <w:p>
      <w:pPr>
        <w:spacing w:after="0" w:line="102" w:lineRule="exact"/>
        <w:rPr>
          <w:rFonts w:ascii="Times New Roman" w:cs="Times New Roman" w:eastAsia="Times New Roman" w:hAnsi="Times New Roman"/>
          <w:sz w:val="18"/>
          <w:szCs w:val="18"/>
          <w:color w:val="auto"/>
        </w:rPr>
      </w:pPr>
    </w:p>
    <w:p>
      <w:pPr>
        <w:ind w:left="700" w:right="79" w:hanging="326"/>
        <w:spacing w:after="0" w:line="349" w:lineRule="auto"/>
        <w:tabs>
          <w:tab w:leader="none" w:pos="7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IFRS loss for the period</w:t>
      </w:r>
      <w:r>
        <w:rPr>
          <w:rFonts w:ascii="Arial" w:cs="Arial" w:eastAsia="Arial" w:hAnsi="Arial"/>
          <w:sz w:val="18"/>
          <w:szCs w:val="18"/>
          <w:color w:val="auto"/>
        </w:rPr>
        <w:t>: The Company had a net loss of CHF 8.8 million for the three-month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2026, compared to CHF 15.9 million for the same period in 2025.</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SVP, Investor Relations &amp; Corporate</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Communications</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Gary Waanders, Ph.D., MBA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 Immune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+41 21 345 91 91</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Email: gary.waanders@acimmune.com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International Media</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Optimum Strategic Communications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Nick Bastin, Joshua Evans, Aoife Minihan, Ben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+44 (0) 20 4566 8543</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Email: acimmune@optimumcomms.com</w:t>
      </w: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AC Immune SA</w:t>
      </w:r>
    </w:p>
    <w:p>
      <w:pPr>
        <w:spacing w:after="0" w:line="225" w:lineRule="exact"/>
        <w:rPr>
          <w:sz w:val="20"/>
          <w:szCs w:val="20"/>
          <w:color w:val="auto"/>
        </w:rPr>
      </w:pPr>
    </w:p>
    <w:p>
      <w:pPr>
        <w:jc w:val="both"/>
        <w:ind w:left="60" w:right="59"/>
        <w:spacing w:after="0" w:line="341" w:lineRule="auto"/>
        <w:rPr>
          <w:sz w:val="20"/>
          <w:szCs w:val="20"/>
          <w:color w:val="auto"/>
        </w:rPr>
      </w:pPr>
      <w:r>
        <w:rPr>
          <w:rFonts w:ascii="Arial" w:cs="Arial" w:eastAsia="Arial" w:hAnsi="Arial"/>
          <w:sz w:val="18"/>
          <w:szCs w:val="18"/>
          <w:color w:val="auto"/>
        </w:rPr>
        <w:t>AC Immune (NASDAQ: ACIU) is a clinical-stage biopharma company selectively targeting the key pathologic misfolded proteins and pathways that drive neurodegenerative diseases. Building on more than two decades of expertise in the field of misfolded proteins, AC Immune is advancing a diversified portfolio of disease-modifying active immunotherapies and small molecule approaches.</w:t>
      </w:r>
    </w:p>
    <w:p>
      <w:pPr>
        <w:spacing w:after="0" w:line="93" w:lineRule="exact"/>
        <w:rPr>
          <w:sz w:val="20"/>
          <w:szCs w:val="20"/>
          <w:color w:val="auto"/>
        </w:rPr>
      </w:pPr>
    </w:p>
    <w:p>
      <w:pPr>
        <w:jc w:val="both"/>
        <w:ind w:left="60" w:right="59"/>
        <w:spacing w:after="0" w:line="336" w:lineRule="auto"/>
        <w:rPr>
          <w:sz w:val="20"/>
          <w:szCs w:val="20"/>
          <w:color w:val="auto"/>
        </w:rPr>
      </w:pPr>
      <w:r>
        <w:rPr>
          <w:rFonts w:ascii="Arial" w:cs="Arial" w:eastAsia="Arial" w:hAnsi="Arial"/>
          <w:sz w:val="18"/>
          <w:szCs w:val="18"/>
          <w:color w:val="auto"/>
        </w:rPr>
        <w:t>AC Immune’s wholly-owned pipeline includes its lead program, ACI-7104, in Phase 2 development for early Parkinson's disease (PD), a progressive neurodegenerative disease affecting c.10 million people worldwide with no approved disease-modifying therapies today. By targeting misfolded alpha-synuclein, a key driver of PD progression, ACI-7104 aims to slow, or halt, the spread of the disease throughout the brain before irreversible neurological damage occurs. The Company is also advancing ACI-19764, an NLRP3 inflammasome inhibitor in Phase 1, and a preclinical intracellular small molecule alpha-synuclein program.</w:t>
      </w:r>
    </w:p>
    <w:p>
      <w:pPr>
        <w:spacing w:after="0" w:line="111" w:lineRule="exact"/>
        <w:rPr>
          <w:sz w:val="20"/>
          <w:szCs w:val="20"/>
          <w:color w:val="auto"/>
        </w:rPr>
      </w:pPr>
    </w:p>
    <w:p>
      <w:pPr>
        <w:jc w:val="both"/>
        <w:ind w:left="60" w:right="59"/>
        <w:spacing w:after="0" w:line="331" w:lineRule="auto"/>
        <w:rPr>
          <w:sz w:val="20"/>
          <w:szCs w:val="20"/>
          <w:color w:val="auto"/>
        </w:rPr>
      </w:pPr>
      <w:r>
        <w:rPr>
          <w:rFonts w:ascii="Arial" w:cs="Arial" w:eastAsia="Arial" w:hAnsi="Arial"/>
          <w:sz w:val="18"/>
          <w:szCs w:val="18"/>
          <w:color w:val="auto"/>
        </w:rPr>
        <w:t>AC Immune has built one of the most extensively validated neurodegenerative disease pipelines in biotech, including three active immunotherapies with FDA Fast Track designation, and programs being developed in collaboration with three of the world’s leading pharmaceutical companies. These collaborations provide external validation of the Company's science, targets and proprietary platforms while contributing substantial non-dilutive funding, more than $4.5 billion in potential milestone payments, and future royalty opportunities. By combining deep expertise in protein misfolding with differentiated technology platforms and clinically validated targets, AC Immune is advancing a new generation of disease-modifying therapies for neurodegenerative diseases, aiming to make a real difference for patients.</w:t>
      </w:r>
    </w:p>
    <w:p>
      <w:pPr>
        <w:spacing w:after="0" w:line="119" w:lineRule="exact"/>
        <w:rPr>
          <w:sz w:val="20"/>
          <w:szCs w:val="20"/>
          <w:color w:val="auto"/>
        </w:rPr>
      </w:pPr>
    </w:p>
    <w:p>
      <w:pPr>
        <w:jc w:val="both"/>
        <w:ind w:left="60" w:right="59"/>
        <w:spacing w:after="0" w:line="339" w:lineRule="auto"/>
        <w:rPr>
          <w:sz w:val="20"/>
          <w:szCs w:val="20"/>
          <w:color w:val="auto"/>
        </w:rPr>
      </w:pPr>
      <w:r>
        <w:rPr>
          <w:rFonts w:ascii="Arial" w:cs="Arial" w:eastAsia="Arial" w:hAnsi="Arial"/>
          <w:sz w:val="18"/>
          <w:szCs w:val="18"/>
          <w:color w:val="auto"/>
        </w:rPr>
        <w:t>All trademarks used or mentioned in this release are protected by law. The information on our website and any other websites referenced herein is expressly not incorporated by reference into, and does not constitute a part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981075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85" w:lineRule="exact"/>
        <w:rPr>
          <w:sz w:val="20"/>
          <w:szCs w:val="20"/>
          <w:color w:val="auto"/>
        </w:rPr>
      </w:pPr>
    </w:p>
    <w:p>
      <w:pPr>
        <w:jc w:val="both"/>
        <w:ind w:left="60" w:right="59"/>
        <w:spacing w:after="0" w:line="330" w:lineRule="auto"/>
        <w:rPr>
          <w:sz w:val="20"/>
          <w:szCs w:val="20"/>
          <w:color w:val="auto"/>
        </w:rPr>
      </w:pPr>
      <w:r>
        <w:rPr>
          <w:rFonts w:ascii="Arial" w:cs="Arial" w:eastAsia="Arial" w:hAnsi="Arial"/>
          <w:sz w:val="18"/>
          <w:szCs w:val="18"/>
          <w:i w:val="1"/>
          <w:iCs w:val="1"/>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969010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8"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6420" w:type="dxa"/>
            <w:vAlign w:val="bottom"/>
          </w:tcPr>
          <w:p>
            <w:pPr>
              <w:ind w:left="63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gridSpan w:val="2"/>
          </w:tcPr>
          <w:p>
            <w:pPr>
              <w:spacing w:after="0"/>
              <w:rPr>
                <w:sz w:val="15"/>
                <w:szCs w:val="15"/>
                <w:color w:val="auto"/>
              </w:rPr>
            </w:pPr>
          </w:p>
        </w:tc>
      </w:tr>
      <w:tr>
        <w:trPr>
          <w:trHeight w:val="195"/>
        </w:trPr>
        <w:tc>
          <w:tcPr>
            <w:tcW w:w="64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8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82,606</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154,251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0"/>
        </w:trPr>
        <w:tc>
          <w:tcPr>
            <w:tcW w:w="6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capital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 premium</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481,863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losses</w:t>
            </w:r>
          </w:p>
        </w:tc>
        <w:tc>
          <w:tcPr>
            <w:tcW w:w="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(459,254)</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0"/>
        </w:trPr>
        <w:tc>
          <w:tcPr>
            <w:tcW w:w="6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deferred income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9"/>
                <w:szCs w:val="19"/>
                <w:color w:val="auto"/>
              </w:rPr>
            </w:pPr>
          </w:p>
        </w:tc>
      </w:tr>
      <w:tr>
        <w:trPr>
          <w:trHeight w:val="230"/>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deferred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9"/>
                <w:szCs w:val="19"/>
                <w:color w:val="auto"/>
              </w:rPr>
            </w:pPr>
          </w:p>
        </w:tc>
      </w:tr>
      <w:tr>
        <w:trPr>
          <w:trHeight w:val="230"/>
        </w:trPr>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97,662</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9"/>
        </w:trPr>
        <w:tc>
          <w:tcPr>
            <w:tcW w:w="6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 w:type="dxa"/>
            <w:vAlign w:val="bottom"/>
          </w:tcPr>
          <w:p>
            <w:pPr>
              <w:spacing w:after="0"/>
              <w:rPr>
                <w:sz w:val="16"/>
                <w:szCs w:val="16"/>
                <w:color w:val="auto"/>
              </w:rPr>
            </w:pPr>
          </w:p>
        </w:tc>
        <w:tc>
          <w:tcPr>
            <w:tcW w:w="19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00" w:type="dxa"/>
            <w:vAlign w:val="bottom"/>
            <w:gridSpan w:val="2"/>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Contract revenue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(42,873)</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Financial expense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differences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per share:</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holders</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3"/>
        </w:trPr>
        <w:tc>
          <w:tcPr>
            <w:tcW w:w="7880" w:type="dxa"/>
            <w:vAlign w:val="bottom"/>
            <w:gridSpan w:val="9"/>
          </w:tcPr>
          <w:p>
            <w:pPr>
              <w:ind w:left="1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60" w:type="dxa"/>
            <w:vAlign w:val="bottom"/>
            <w:gridSpan w:val="4"/>
          </w:tcPr>
          <w:p>
            <w:pPr>
              <w:ind w:left="370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 w:type="dxa"/>
            <w:vAlign w:val="bottom"/>
          </w:tcPr>
          <w:p>
            <w:pPr>
              <w:spacing w:after="0"/>
              <w:rPr>
                <w:sz w:val="16"/>
                <w:szCs w:val="16"/>
                <w:color w:val="auto"/>
              </w:rPr>
            </w:pPr>
          </w:p>
        </w:tc>
        <w:tc>
          <w:tcPr>
            <w:tcW w:w="19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2026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Items that will be reclassified to income or loss in subsequent</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periods (net of tax):</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gridSpan w:val="2"/>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gridSpan w:val="2"/>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2"/>
        </w:trPr>
        <w:tc>
          <w:tcPr>
            <w:tcW w:w="4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2026-11-04T06:00:57Z</dcterms:created>
  <dcterms:modified xsi:type="dcterms:W3CDTF">2026-11-04T06:00:57Z</dcterms:modified>
</cp:coreProperties>
</file>