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29, 2016</w:t>
      </w:r>
    </w:p>
    <w:p>
      <w:pPr>
        <w:spacing w:after="0" w:line="27" w:lineRule="exact"/>
        <w:rPr>
          <w:sz w:val="24"/>
          <w:szCs w:val="24"/>
          <w:color w:val="auto"/>
        </w:rPr>
      </w:pPr>
    </w:p>
    <w:p>
      <w:pPr>
        <w:ind w:left="94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4"/>
          <w:szCs w:val="24"/>
          <w:color w:val="auto"/>
        </w:rPr>
      </w:pPr>
    </w:p>
    <w:tbl>
      <w:tblPr>
        <w:tblLayout w:type="fixed"/>
        <w:tblInd w:w="580" w:type="dxa"/>
        <w:tblCellMar>
          <w:top w:w="0" w:type="dxa"/>
          <w:left w:w="0" w:type="dxa"/>
          <w:bottom w:w="0" w:type="dxa"/>
          <w:right w:w="0" w:type="dxa"/>
        </w:tblCellMar>
      </w:tblPr>
      <w:tr>
        <w:trPr>
          <w:trHeight w:val="297"/>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gridSpan w:val="3"/>
          </w:tcPr>
          <w:p>
            <w:pPr>
              <w:jc w:val="center"/>
              <w:ind w:right="2790"/>
              <w:spacing w:after="0"/>
              <w:rPr>
                <w:sz w:val="20"/>
                <w:szCs w:val="20"/>
                <w:color w:val="auto"/>
              </w:rPr>
            </w:pPr>
            <w:r>
              <w:rPr>
                <w:rFonts w:ascii="Arial" w:cs="Arial" w:eastAsia="Arial" w:hAnsi="Arial"/>
                <w:sz w:val="25"/>
                <w:szCs w:val="25"/>
                <w:b w:val="1"/>
                <w:bCs w:val="1"/>
                <w:color w:val="auto"/>
                <w:w w:val="99"/>
              </w:rPr>
              <w:t>UNITED STATES</w:t>
            </w:r>
          </w:p>
        </w:tc>
      </w:tr>
      <w:tr>
        <w:trPr>
          <w:trHeight w:val="302"/>
        </w:trPr>
        <w:tc>
          <w:tcPr>
            <w:tcW w:w="2300" w:type="dxa"/>
            <w:vAlign w:val="bottom"/>
          </w:tcPr>
          <w:p>
            <w:pPr>
              <w:spacing w:after="0"/>
              <w:rPr>
                <w:sz w:val="24"/>
                <w:szCs w:val="24"/>
                <w:color w:val="auto"/>
              </w:rPr>
            </w:pPr>
          </w:p>
        </w:tc>
        <w:tc>
          <w:tcPr>
            <w:tcW w:w="7440" w:type="dxa"/>
            <w:vAlign w:val="bottom"/>
            <w:gridSpan w:val="5"/>
          </w:tcPr>
          <w:p>
            <w:pPr>
              <w:jc w:val="center"/>
              <w:ind w:right="1690"/>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41"/>
        </w:trPr>
        <w:tc>
          <w:tcPr>
            <w:tcW w:w="2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2"/>
          </w:tcPr>
          <w:p>
            <w:pPr>
              <w:jc w:val="center"/>
              <w:ind w:right="600"/>
              <w:spacing w:after="0"/>
              <w:rPr>
                <w:sz w:val="20"/>
                <w:szCs w:val="20"/>
                <w:color w:val="auto"/>
              </w:rPr>
            </w:pPr>
            <w:r>
              <w:rPr>
                <w:rFonts w:ascii="Arial" w:cs="Arial" w:eastAsia="Arial" w:hAnsi="Arial"/>
                <w:sz w:val="18"/>
                <w:szCs w:val="18"/>
                <w:b w:val="1"/>
                <w:bCs w:val="1"/>
                <w:color w:val="auto"/>
                <w:w w:val="91"/>
              </w:rPr>
              <w:t>Washington, D.C. 20549</w:t>
            </w:r>
          </w:p>
        </w:tc>
        <w:tc>
          <w:tcPr>
            <w:tcW w:w="2280" w:type="dxa"/>
            <w:vAlign w:val="bottom"/>
          </w:tcPr>
          <w:p>
            <w:pPr>
              <w:spacing w:after="0"/>
              <w:rPr>
                <w:sz w:val="20"/>
                <w:szCs w:val="20"/>
                <w:color w:val="auto"/>
              </w:rPr>
            </w:pPr>
          </w:p>
        </w:tc>
      </w:tr>
      <w:tr>
        <w:trPr>
          <w:trHeight w:val="306"/>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gridSpan w:val="3"/>
          </w:tcPr>
          <w:p>
            <w:pPr>
              <w:jc w:val="center"/>
              <w:ind w:right="2790"/>
              <w:spacing w:after="0"/>
              <w:rPr>
                <w:sz w:val="20"/>
                <w:szCs w:val="20"/>
                <w:color w:val="auto"/>
              </w:rPr>
            </w:pPr>
            <w:r>
              <w:rPr>
                <w:rFonts w:ascii="Arial" w:cs="Arial" w:eastAsia="Arial" w:hAnsi="Arial"/>
                <w:sz w:val="25"/>
                <w:szCs w:val="25"/>
                <w:b w:val="1"/>
                <w:bCs w:val="1"/>
                <w:color w:val="auto"/>
                <w:w w:val="98"/>
              </w:rPr>
              <w:t>FORM S-8</w:t>
            </w:r>
          </w:p>
        </w:tc>
      </w:tr>
      <w:tr>
        <w:trPr>
          <w:trHeight w:val="216"/>
        </w:trPr>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40" w:type="dxa"/>
            <w:vAlign w:val="bottom"/>
            <w:gridSpan w:val="3"/>
          </w:tcPr>
          <w:p>
            <w:pPr>
              <w:jc w:val="center"/>
              <w:ind w:right="2790"/>
              <w:spacing w:after="0"/>
              <w:rPr>
                <w:sz w:val="20"/>
                <w:szCs w:val="20"/>
                <w:color w:val="auto"/>
              </w:rPr>
            </w:pPr>
            <w:r>
              <w:rPr>
                <w:rFonts w:ascii="Arial" w:cs="Arial" w:eastAsia="Arial" w:hAnsi="Arial"/>
                <w:sz w:val="18"/>
                <w:szCs w:val="18"/>
                <w:b w:val="1"/>
                <w:bCs w:val="1"/>
                <w:color w:val="auto"/>
              </w:rPr>
              <w:t>REGISTRATION STATEMENT</w:t>
            </w:r>
          </w:p>
        </w:tc>
      </w:tr>
      <w:tr>
        <w:trPr>
          <w:trHeight w:val="241"/>
        </w:trPr>
        <w:tc>
          <w:tcPr>
            <w:tcW w:w="2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8"/>
                <w:szCs w:val="18"/>
                <w:b w:val="1"/>
                <w:bCs w:val="1"/>
                <w:color w:val="auto"/>
                <w:w w:val="99"/>
              </w:rPr>
              <w:t>UNDER THE SECURITIES ACT OF 1933</w:t>
            </w:r>
          </w:p>
        </w:tc>
        <w:tc>
          <w:tcPr>
            <w:tcW w:w="2280" w:type="dxa"/>
            <w:vAlign w:val="bottom"/>
          </w:tcPr>
          <w:p>
            <w:pPr>
              <w:spacing w:after="0"/>
              <w:rPr>
                <w:sz w:val="20"/>
                <w:szCs w:val="20"/>
                <w:color w:val="auto"/>
              </w:rPr>
            </w:pPr>
          </w:p>
        </w:tc>
      </w:tr>
      <w:tr>
        <w:trPr>
          <w:trHeight w:val="306"/>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gridSpan w:val="3"/>
          </w:tcPr>
          <w:p>
            <w:pPr>
              <w:jc w:val="center"/>
              <w:ind w:right="2850"/>
              <w:spacing w:after="0"/>
              <w:rPr>
                <w:sz w:val="20"/>
                <w:szCs w:val="20"/>
                <w:color w:val="auto"/>
              </w:rPr>
            </w:pPr>
            <w:r>
              <w:rPr>
                <w:rFonts w:ascii="Arial" w:cs="Arial" w:eastAsia="Arial" w:hAnsi="Arial"/>
                <w:sz w:val="25"/>
                <w:szCs w:val="25"/>
                <w:b w:val="1"/>
                <w:bCs w:val="1"/>
                <w:color w:val="auto"/>
              </w:rPr>
              <w:t>AC IMMUNE SA</w:t>
            </w:r>
          </w:p>
        </w:tc>
      </w:tr>
      <w:tr>
        <w:trPr>
          <w:trHeight w:val="234"/>
        </w:trPr>
        <w:tc>
          <w:tcPr>
            <w:tcW w:w="2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40" w:type="dxa"/>
            <w:vAlign w:val="bottom"/>
            <w:gridSpan w:val="4"/>
          </w:tcPr>
          <w:p>
            <w:pPr>
              <w:jc w:val="center"/>
              <w:ind w:right="219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418"/>
        </w:trPr>
        <w:tc>
          <w:tcPr>
            <w:tcW w:w="23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Switzerland</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80" w:type="dxa"/>
            <w:vAlign w:val="bottom"/>
          </w:tcPr>
          <w:p>
            <w:pPr>
              <w:jc w:val="center"/>
              <w:ind w:left="870"/>
              <w:spacing w:after="0"/>
              <w:rPr>
                <w:sz w:val="20"/>
                <w:szCs w:val="20"/>
                <w:color w:val="auto"/>
              </w:rPr>
            </w:pPr>
            <w:r>
              <w:rPr>
                <w:rFonts w:ascii="Arial" w:cs="Arial" w:eastAsia="Arial" w:hAnsi="Arial"/>
                <w:sz w:val="18"/>
                <w:szCs w:val="18"/>
                <w:b w:val="1"/>
                <w:bCs w:val="1"/>
                <w:color w:val="auto"/>
              </w:rPr>
              <w:t>N/A</w:t>
            </w:r>
          </w:p>
        </w:tc>
      </w:tr>
      <w:tr>
        <w:trPr>
          <w:trHeight w:val="216"/>
        </w:trPr>
        <w:tc>
          <w:tcPr>
            <w:tcW w:w="2300" w:type="dxa"/>
            <w:vAlign w:val="bottom"/>
          </w:tcPr>
          <w:p>
            <w:pPr>
              <w:jc w:val="center"/>
              <w:ind w:right="70"/>
              <w:spacing w:after="0"/>
              <w:rPr>
                <w:sz w:val="20"/>
                <w:szCs w:val="20"/>
                <w:color w:val="auto"/>
              </w:rPr>
            </w:pPr>
            <w:r>
              <w:rPr>
                <w:rFonts w:ascii="Arial" w:cs="Arial" w:eastAsia="Arial" w:hAnsi="Arial"/>
                <w:sz w:val="18"/>
                <w:szCs w:val="18"/>
                <w:color w:val="auto"/>
                <w:w w:val="93"/>
              </w:rPr>
              <w:t>(State or other jurisdiction of</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jc w:val="center"/>
              <w:ind w:left="810"/>
              <w:spacing w:after="0"/>
              <w:rPr>
                <w:sz w:val="20"/>
                <w:szCs w:val="20"/>
                <w:color w:val="auto"/>
              </w:rPr>
            </w:pPr>
            <w:r>
              <w:rPr>
                <w:rFonts w:ascii="Arial" w:cs="Arial" w:eastAsia="Arial" w:hAnsi="Arial"/>
                <w:sz w:val="18"/>
                <w:szCs w:val="18"/>
                <w:color w:val="auto"/>
                <w:w w:val="92"/>
              </w:rPr>
              <w:t>(I.R.S. Employer</w:t>
            </w:r>
          </w:p>
        </w:tc>
      </w:tr>
      <w:tr>
        <w:trPr>
          <w:trHeight w:val="212"/>
        </w:trPr>
        <w:tc>
          <w:tcPr>
            <w:tcW w:w="2300" w:type="dxa"/>
            <w:vAlign w:val="bottom"/>
          </w:tcPr>
          <w:p>
            <w:pPr>
              <w:jc w:val="center"/>
              <w:ind w:right="30"/>
              <w:spacing w:after="0"/>
              <w:rPr>
                <w:sz w:val="20"/>
                <w:szCs w:val="20"/>
                <w:color w:val="auto"/>
              </w:rPr>
            </w:pPr>
            <w:r>
              <w:rPr>
                <w:rFonts w:ascii="Arial" w:cs="Arial" w:eastAsia="Arial" w:hAnsi="Arial"/>
                <w:sz w:val="18"/>
                <w:szCs w:val="18"/>
                <w:color w:val="auto"/>
                <w:w w:val="93"/>
              </w:rPr>
              <w:t>incorporation or organization)</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5"/>
              </w:rPr>
              <w:t>Identification No.)</w:t>
            </w:r>
          </w:p>
        </w:tc>
      </w:tr>
      <w:tr>
        <w:trPr>
          <w:trHeight w:val="216"/>
        </w:trPr>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4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auto"/>
                <w:w w:val="95"/>
              </w:rPr>
              <w:t>EPFL Innovation Park</w:t>
            </w:r>
          </w:p>
        </w:tc>
      </w:tr>
      <w:tr>
        <w:trPr>
          <w:trHeight w:val="216"/>
        </w:trPr>
        <w:tc>
          <w:tcPr>
            <w:tcW w:w="2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40" w:type="dxa"/>
            <w:vAlign w:val="bottom"/>
            <w:gridSpan w:val="3"/>
          </w:tcPr>
          <w:p>
            <w:pPr>
              <w:jc w:val="center"/>
              <w:ind w:right="2990"/>
              <w:spacing w:after="0"/>
              <w:rPr>
                <w:sz w:val="20"/>
                <w:szCs w:val="20"/>
                <w:color w:val="auto"/>
              </w:rPr>
            </w:pPr>
            <w:r>
              <w:rPr>
                <w:rFonts w:ascii="Arial" w:cs="Arial" w:eastAsia="Arial" w:hAnsi="Arial"/>
                <w:sz w:val="18"/>
                <w:szCs w:val="18"/>
                <w:b w:val="1"/>
                <w:bCs w:val="1"/>
                <w:color w:val="auto"/>
                <w:w w:val="91"/>
              </w:rPr>
              <w:t>Building B</w:t>
            </w:r>
          </w:p>
        </w:tc>
      </w:tr>
      <w:tr>
        <w:trPr>
          <w:trHeight w:val="220"/>
        </w:trPr>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340" w:type="dxa"/>
            <w:vAlign w:val="bottom"/>
            <w:gridSpan w:val="3"/>
          </w:tcPr>
          <w:p>
            <w:pPr>
              <w:jc w:val="center"/>
              <w:ind w:right="3030"/>
              <w:spacing w:after="0"/>
              <w:rPr>
                <w:sz w:val="20"/>
                <w:szCs w:val="20"/>
                <w:color w:val="auto"/>
              </w:rPr>
            </w:pPr>
            <w:r>
              <w:rPr>
                <w:rFonts w:ascii="Arial" w:cs="Arial" w:eastAsia="Arial" w:hAnsi="Arial"/>
                <w:sz w:val="18"/>
                <w:szCs w:val="18"/>
                <w:b w:val="1"/>
                <w:bCs w:val="1"/>
                <w:color w:val="auto"/>
                <w:w w:val="91"/>
              </w:rPr>
              <w:t>1015 Lausanne, Switzerland</w:t>
            </w:r>
          </w:p>
        </w:tc>
      </w:tr>
      <w:tr>
        <w:trPr>
          <w:trHeight w:val="230"/>
        </w:trPr>
        <w:tc>
          <w:tcPr>
            <w:tcW w:w="2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40" w:type="dxa"/>
            <w:vAlign w:val="bottom"/>
            <w:gridSpan w:val="4"/>
          </w:tcPr>
          <w:p>
            <w:pPr>
              <w:jc w:val="center"/>
              <w:ind w:right="2190"/>
              <w:spacing w:after="0"/>
              <w:rPr>
                <w:sz w:val="20"/>
                <w:szCs w:val="20"/>
                <w:color w:val="auto"/>
              </w:rPr>
            </w:pPr>
            <w:r>
              <w:rPr>
                <w:rFonts w:ascii="Arial" w:cs="Arial" w:eastAsia="Arial" w:hAnsi="Arial"/>
                <w:sz w:val="18"/>
                <w:szCs w:val="18"/>
                <w:color w:val="auto"/>
                <w:w w:val="92"/>
              </w:rPr>
              <w:t>(Address including zip code of Principal Executive Offices)</w:t>
            </w:r>
          </w:p>
        </w:tc>
      </w:tr>
      <w:tr>
        <w:trPr>
          <w:trHeight w:val="27"/>
        </w:trPr>
        <w:tc>
          <w:tcPr>
            <w:tcW w:w="2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3080" w:type="dxa"/>
            <w:vAlign w:val="bottom"/>
            <w:gridSpan w:val="2"/>
          </w:tcPr>
          <w:p>
            <w:pPr>
              <w:spacing w:after="0"/>
              <w:rPr>
                <w:sz w:val="2"/>
                <w:szCs w:val="2"/>
                <w:color w:val="auto"/>
              </w:rPr>
            </w:pPr>
          </w:p>
        </w:tc>
      </w:tr>
      <w:tr>
        <w:trPr>
          <w:trHeight w:val="407"/>
        </w:trPr>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40" w:type="dxa"/>
            <w:vAlign w:val="bottom"/>
            <w:gridSpan w:val="3"/>
          </w:tcPr>
          <w:p>
            <w:pPr>
              <w:jc w:val="center"/>
              <w:ind w:right="2790"/>
              <w:spacing w:after="0"/>
              <w:rPr>
                <w:sz w:val="20"/>
                <w:szCs w:val="20"/>
                <w:color w:val="auto"/>
              </w:rPr>
            </w:pPr>
            <w:r>
              <w:rPr>
                <w:rFonts w:ascii="Arial" w:cs="Arial" w:eastAsia="Arial" w:hAnsi="Arial"/>
                <w:sz w:val="18"/>
                <w:szCs w:val="18"/>
                <w:b w:val="1"/>
                <w:bCs w:val="1"/>
                <w:color w:val="auto"/>
                <w:w w:val="92"/>
              </w:rPr>
              <w:t>AC Immune SA 2013 Equity Incentive Plan</w:t>
            </w:r>
          </w:p>
        </w:tc>
      </w:tr>
      <w:tr>
        <w:trPr>
          <w:trHeight w:val="216"/>
        </w:trPr>
        <w:tc>
          <w:tcPr>
            <w:tcW w:w="2300" w:type="dxa"/>
            <w:vAlign w:val="bottom"/>
          </w:tcPr>
          <w:p>
            <w:pPr>
              <w:spacing w:after="0"/>
              <w:rPr>
                <w:sz w:val="18"/>
                <w:szCs w:val="18"/>
                <w:color w:val="auto"/>
              </w:rPr>
            </w:pPr>
          </w:p>
        </w:tc>
        <w:tc>
          <w:tcPr>
            <w:tcW w:w="7440" w:type="dxa"/>
            <w:vAlign w:val="bottom"/>
            <w:gridSpan w:val="5"/>
          </w:tcPr>
          <w:p>
            <w:pPr>
              <w:jc w:val="center"/>
              <w:ind w:right="1670"/>
              <w:spacing w:after="0"/>
              <w:rPr>
                <w:sz w:val="20"/>
                <w:szCs w:val="20"/>
                <w:color w:val="auto"/>
              </w:rPr>
            </w:pPr>
            <w:r>
              <w:rPr>
                <w:rFonts w:ascii="Arial" w:cs="Arial" w:eastAsia="Arial" w:hAnsi="Arial"/>
                <w:sz w:val="18"/>
                <w:szCs w:val="18"/>
                <w:b w:val="1"/>
                <w:bCs w:val="1"/>
                <w:color w:val="auto"/>
                <w:w w:val="91"/>
              </w:rPr>
              <w:t>Employee Stock Option and Share Plan of AC Immune (2005 Plan)</w:t>
            </w:r>
          </w:p>
        </w:tc>
      </w:tr>
      <w:tr>
        <w:trPr>
          <w:trHeight w:val="220"/>
        </w:trPr>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40" w:type="dxa"/>
            <w:vAlign w:val="bottom"/>
            <w:gridSpan w:val="4"/>
          </w:tcPr>
          <w:p>
            <w:pPr>
              <w:jc w:val="center"/>
              <w:ind w:right="2190"/>
              <w:spacing w:after="0"/>
              <w:rPr>
                <w:sz w:val="20"/>
                <w:szCs w:val="20"/>
                <w:color w:val="auto"/>
              </w:rPr>
            </w:pPr>
            <w:r>
              <w:rPr>
                <w:rFonts w:ascii="Arial" w:cs="Arial" w:eastAsia="Arial" w:hAnsi="Arial"/>
                <w:sz w:val="18"/>
                <w:szCs w:val="18"/>
                <w:b w:val="1"/>
                <w:bCs w:val="1"/>
                <w:color w:val="auto"/>
                <w:w w:val="91"/>
              </w:rPr>
              <w:t>Stock Option Plan - AC Immune of December 31, 2004</w:t>
            </w:r>
          </w:p>
        </w:tc>
      </w:tr>
      <w:tr>
        <w:trPr>
          <w:trHeight w:val="230"/>
        </w:trPr>
        <w:tc>
          <w:tcPr>
            <w:tcW w:w="2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340" w:type="dxa"/>
            <w:vAlign w:val="bottom"/>
            <w:gridSpan w:val="3"/>
          </w:tcPr>
          <w:p>
            <w:pPr>
              <w:jc w:val="center"/>
              <w:ind w:right="2990"/>
              <w:spacing w:after="0"/>
              <w:rPr>
                <w:sz w:val="20"/>
                <w:szCs w:val="20"/>
                <w:color w:val="auto"/>
              </w:rPr>
            </w:pPr>
            <w:r>
              <w:rPr>
                <w:rFonts w:ascii="Arial" w:cs="Arial" w:eastAsia="Arial" w:hAnsi="Arial"/>
                <w:sz w:val="18"/>
                <w:szCs w:val="18"/>
                <w:color w:val="auto"/>
                <w:w w:val="94"/>
              </w:rPr>
              <w:t>(Full title of the plans)</w:t>
            </w:r>
          </w:p>
        </w:tc>
      </w:tr>
      <w:tr>
        <w:trPr>
          <w:trHeight w:val="27"/>
        </w:trPr>
        <w:tc>
          <w:tcPr>
            <w:tcW w:w="2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280" w:type="dxa"/>
            <w:vAlign w:val="bottom"/>
          </w:tcPr>
          <w:p>
            <w:pPr>
              <w:spacing w:after="0"/>
              <w:rPr>
                <w:sz w:val="2"/>
                <w:szCs w:val="2"/>
                <w:color w:val="auto"/>
              </w:rPr>
            </w:pPr>
          </w:p>
        </w:tc>
      </w:tr>
    </w:tbl>
    <w:p>
      <w:pPr>
        <w:spacing w:after="0" w:line="200" w:lineRule="exact"/>
        <w:rPr>
          <w:sz w:val="24"/>
          <w:szCs w:val="24"/>
          <w:color w:val="auto"/>
        </w:rPr>
      </w:pPr>
    </w:p>
    <w:p>
      <w:pPr>
        <w:spacing w:after="0" w:line="214"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National Corporate Research, Ltd.</w:t>
      </w:r>
    </w:p>
    <w:p>
      <w:pPr>
        <w:ind w:left="4540"/>
        <w:spacing w:after="0" w:line="198" w:lineRule="auto"/>
        <w:rPr>
          <w:sz w:val="20"/>
          <w:szCs w:val="20"/>
          <w:color w:val="auto"/>
        </w:rPr>
      </w:pPr>
      <w:r>
        <w:rPr>
          <w:rFonts w:ascii="Arial" w:cs="Arial" w:eastAsia="Arial" w:hAnsi="Arial"/>
          <w:sz w:val="18"/>
          <w:szCs w:val="18"/>
          <w:b w:val="1"/>
          <w:bCs w:val="1"/>
          <w:color w:val="auto"/>
        </w:rPr>
        <w:t>10 East 40</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10</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10016, USA</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2526665</wp:posOffset>
            </wp:positionH>
            <wp:positionV relativeFrom="paragraph">
              <wp:posOffset>22860</wp:posOffset>
            </wp:positionV>
            <wp:extent cx="2075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27"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Copies to</w:t>
      </w:r>
      <w:r>
        <w:rPr>
          <w:rFonts w:ascii="Arial" w:cs="Arial" w:eastAsia="Arial" w:hAnsi="Arial"/>
          <w:sz w:val="18"/>
          <w:szCs w:val="18"/>
          <w:color w:val="auto"/>
        </w:rPr>
        <w:t>:</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Richard D. Truesdell, Jr.</w:t>
      </w:r>
    </w:p>
    <w:p>
      <w:pPr>
        <w:spacing w:after="0" w:line="9"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Derek J. Dostal</w:t>
      </w:r>
    </w:p>
    <w:p>
      <w:pPr>
        <w:spacing w:after="0" w:line="9"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Davis Polk &amp; Wardwell LLP</w:t>
      </w:r>
    </w:p>
    <w:p>
      <w:pPr>
        <w:spacing w:after="0" w:line="9"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450 Lexington Avenue</w:t>
      </w:r>
    </w:p>
    <w:p>
      <w:pPr>
        <w:spacing w:after="0" w:line="9"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New York, NY 10017</w:t>
      </w:r>
    </w:p>
    <w:p>
      <w:pPr>
        <w:spacing w:after="0" w:line="207" w:lineRule="exact"/>
        <w:rPr>
          <w:sz w:val="24"/>
          <w:szCs w:val="24"/>
          <w:color w:val="auto"/>
        </w:rPr>
      </w:pPr>
    </w:p>
    <w:p>
      <w:pPr>
        <w:spacing w:after="0" w:line="347"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5420" w:type="dxa"/>
            <w:vAlign w:val="bottom"/>
          </w:tcPr>
          <w:p>
            <w:pPr>
              <w:ind w:left="500"/>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highlight w:val="black"/>
              </w:rPr>
              <w:t>☐</w:t>
            </w:r>
          </w:p>
        </w:tc>
        <w:tc>
          <w:tcPr>
            <w:tcW w:w="6000" w:type="dxa"/>
            <w:vAlign w:val="bottom"/>
          </w:tcPr>
          <w:p>
            <w:pPr>
              <w:ind w:left="320"/>
              <w:spacing w:after="0" w:line="207" w:lineRule="exact"/>
              <w:rPr>
                <w:sz w:val="20"/>
                <w:szCs w:val="20"/>
                <w:color w:val="auto"/>
              </w:rPr>
            </w:pPr>
            <w:r>
              <w:rPr>
                <w:rFonts w:ascii="Arial" w:cs="Arial" w:eastAsia="Arial" w:hAnsi="Arial"/>
                <w:sz w:val="18"/>
                <w:szCs w:val="18"/>
                <w:b w:val="1"/>
                <w:bCs w:val="1"/>
                <w:color w:val="auto"/>
              </w:rPr>
              <w:t xml:space="preserve">Accelerated filer </w:t>
            </w:r>
            <w:r>
              <w:rPr>
                <w:rFonts w:ascii="MS PGothic" w:cs="MS PGothic" w:eastAsia="MS PGothic" w:hAnsi="MS PGothic"/>
                <w:sz w:val="18"/>
                <w:szCs w:val="18"/>
                <w:color w:val="auto"/>
                <w:highlight w:val="black"/>
              </w:rPr>
              <w:t>☐</w:t>
            </w:r>
          </w:p>
        </w:tc>
      </w:tr>
      <w:tr>
        <w:trPr>
          <w:trHeight w:val="245"/>
        </w:trPr>
        <w:tc>
          <w:tcPr>
            <w:tcW w:w="5420" w:type="dxa"/>
            <w:vAlign w:val="bottom"/>
          </w:tcPr>
          <w:p>
            <w:pPr>
              <w:ind w:left="500"/>
              <w:spacing w:after="0" w:line="207" w:lineRule="exact"/>
              <w:rPr>
                <w:sz w:val="20"/>
                <w:szCs w:val="20"/>
                <w:color w:val="auto"/>
              </w:rPr>
            </w:pPr>
            <w:r>
              <w:rPr>
                <w:rFonts w:ascii="Arial" w:cs="Arial" w:eastAsia="Arial" w:hAnsi="Arial"/>
                <w:sz w:val="18"/>
                <w:szCs w:val="18"/>
                <w:b w:val="1"/>
                <w:bCs w:val="1"/>
                <w:color w:val="auto"/>
                <w:w w:val="96"/>
              </w:rPr>
              <w:t xml:space="preserve">Non-accelerated filer </w:t>
            </w:r>
            <w:r>
              <w:rPr>
                <w:rFonts w:ascii="MS PGothic" w:cs="MS PGothic" w:eastAsia="MS PGothic" w:hAnsi="MS PGothic"/>
                <w:sz w:val="18"/>
                <w:szCs w:val="18"/>
                <w:color w:val="auto"/>
                <w:highlight w:val="black"/>
                <w:w w:val="96"/>
              </w:rPr>
              <w:t>☒</w:t>
            </w:r>
            <w:r>
              <w:rPr>
                <w:rFonts w:ascii="Arial" w:cs="Arial" w:eastAsia="Arial" w:hAnsi="Arial"/>
                <w:sz w:val="18"/>
                <w:szCs w:val="18"/>
                <w:b w:val="1"/>
                <w:bCs w:val="1"/>
                <w:color w:val="auto"/>
                <w:w w:val="96"/>
              </w:rPr>
              <w:t xml:space="preserve"> (Do not check if a smaller reporting</w:t>
            </w:r>
          </w:p>
        </w:tc>
        <w:tc>
          <w:tcPr>
            <w:tcW w:w="6000" w:type="dxa"/>
            <w:vAlign w:val="bottom"/>
          </w:tcPr>
          <w:p>
            <w:pPr>
              <w:ind w:left="320"/>
              <w:spacing w:after="0" w:line="207" w:lineRule="exact"/>
              <w:rPr>
                <w:sz w:val="20"/>
                <w:szCs w:val="20"/>
                <w:color w:val="auto"/>
              </w:rPr>
            </w:pPr>
            <w:r>
              <w:rPr>
                <w:rFonts w:ascii="Arial" w:cs="Arial" w:eastAsia="Arial" w:hAnsi="Arial"/>
                <w:sz w:val="18"/>
                <w:szCs w:val="18"/>
                <w:b w:val="1"/>
                <w:bCs w:val="1"/>
                <w:color w:val="auto"/>
              </w:rPr>
              <w:t xml:space="preserve">Smaller reporting company </w:t>
            </w:r>
            <w:r>
              <w:rPr>
                <w:rFonts w:ascii="MS PGothic" w:cs="MS PGothic" w:eastAsia="MS PGothic" w:hAnsi="MS PGothic"/>
                <w:sz w:val="18"/>
                <w:szCs w:val="18"/>
                <w:color w:val="auto"/>
                <w:highlight w:val="black"/>
              </w:rPr>
              <w:t>☐</w:t>
            </w:r>
          </w:p>
        </w:tc>
      </w:tr>
      <w:tr>
        <w:trPr>
          <w:trHeight w:val="234"/>
        </w:trPr>
        <w:tc>
          <w:tcPr>
            <w:tcW w:w="5420" w:type="dxa"/>
            <w:vAlign w:val="bottom"/>
          </w:tcPr>
          <w:p>
            <w:pPr>
              <w:ind w:left="500"/>
              <w:spacing w:after="0"/>
              <w:rPr>
                <w:sz w:val="20"/>
                <w:szCs w:val="20"/>
                <w:color w:val="auto"/>
              </w:rPr>
            </w:pPr>
            <w:r>
              <w:rPr>
                <w:rFonts w:ascii="Arial" w:cs="Arial" w:eastAsia="Arial" w:hAnsi="Arial"/>
                <w:sz w:val="18"/>
                <w:szCs w:val="18"/>
                <w:b w:val="1"/>
                <w:bCs w:val="1"/>
                <w:color w:val="auto"/>
              </w:rPr>
              <w:t>company)</w:t>
            </w:r>
          </w:p>
        </w:tc>
        <w:tc>
          <w:tcPr>
            <w:tcW w:w="6000" w:type="dxa"/>
            <w:vAlign w:val="bottom"/>
          </w:tcPr>
          <w:p>
            <w:pPr>
              <w:spacing w:after="0"/>
              <w:rPr>
                <w:sz w:val="20"/>
                <w:szCs w:val="20"/>
                <w:color w:val="auto"/>
              </w:rPr>
            </w:pPr>
          </w:p>
        </w:tc>
      </w:tr>
      <w:tr>
        <w:trPr>
          <w:trHeight w:val="230"/>
        </w:trPr>
        <w:tc>
          <w:tcPr>
            <w:tcW w:w="5420" w:type="dxa"/>
            <w:vAlign w:val="bottom"/>
            <w:tcBorders>
              <w:bottom w:val="single" w:sz="8" w:color="auto"/>
            </w:tcBorders>
          </w:tcPr>
          <w:p>
            <w:pPr>
              <w:spacing w:after="0"/>
              <w:rPr>
                <w:sz w:val="19"/>
                <w:szCs w:val="19"/>
                <w:color w:val="auto"/>
              </w:rPr>
            </w:pPr>
          </w:p>
        </w:tc>
        <w:tc>
          <w:tcPr>
            <w:tcW w:w="6000" w:type="dxa"/>
            <w:vAlign w:val="bottom"/>
            <w:tcBorders>
              <w:bottom w:val="single" w:sz="8" w:color="auto"/>
            </w:tcBorders>
          </w:tcPr>
          <w:p>
            <w:pPr>
              <w:spacing w:after="0"/>
              <w:rPr>
                <w:sz w:val="19"/>
                <w:szCs w:val="19"/>
                <w:color w:val="auto"/>
              </w:rPr>
            </w:pPr>
          </w:p>
        </w:tc>
      </w:tr>
      <w:tr>
        <w:trPr>
          <w:trHeight w:val="21"/>
        </w:trPr>
        <w:tc>
          <w:tcPr>
            <w:tcW w:w="54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68"/>
        </w:trPr>
        <w:tc>
          <w:tcPr>
            <w:tcW w:w="5420" w:type="dxa"/>
            <w:vAlign w:val="bottom"/>
            <w:shd w:val="clear" w:color="auto" w:fill="000000"/>
          </w:tcPr>
          <w:p>
            <w:pPr>
              <w:spacing w:after="0"/>
              <w:rPr>
                <w:sz w:val="5"/>
                <w:szCs w:val="5"/>
                <w:color w:val="auto"/>
              </w:rPr>
            </w:pPr>
          </w:p>
        </w:tc>
        <w:tc>
          <w:tcPr>
            <w:tcW w:w="6000" w:type="dxa"/>
            <w:vAlign w:val="bottom"/>
            <w:shd w:val="clear" w:color="auto" w:fill="000000"/>
          </w:tcPr>
          <w:p>
            <w:pPr>
              <w:spacing w:after="0"/>
              <w:rPr>
                <w:sz w:val="5"/>
                <w:szCs w:val="5"/>
                <w:color w:val="auto"/>
              </w:rPr>
            </w:pPr>
          </w:p>
        </w:tc>
      </w:tr>
      <w:tr>
        <w:trPr>
          <w:trHeight w:val="311"/>
        </w:trPr>
        <w:tc>
          <w:tcPr>
            <w:tcW w:w="5420" w:type="dxa"/>
            <w:vAlign w:val="bottom"/>
            <w:tcBorders>
              <w:bottom w:val="single" w:sz="8" w:color="54301A"/>
            </w:tcBorders>
          </w:tcPr>
          <w:p>
            <w:pPr>
              <w:spacing w:after="0"/>
              <w:rPr>
                <w:sz w:val="24"/>
                <w:szCs w:val="24"/>
                <w:color w:val="auto"/>
              </w:rPr>
            </w:pPr>
          </w:p>
        </w:tc>
        <w:tc>
          <w:tcPr>
            <w:tcW w:w="600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92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91"/>
              </w:rPr>
              <w:t>Proposed Maximum</w:t>
            </w:r>
          </w:p>
        </w:tc>
        <w:tc>
          <w:tcPr>
            <w:tcW w:w="19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b w:val="1"/>
                <w:bCs w:val="1"/>
                <w:color w:val="auto"/>
                <w:w w:val="86"/>
              </w:rPr>
              <w:t>Proposed</w:t>
            </w:r>
          </w:p>
        </w:tc>
        <w:tc>
          <w:tcPr>
            <w:tcW w:w="134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to be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Maximum Aggregate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20" w:type="dxa"/>
            <w:vAlign w:val="bottom"/>
            <w:tcBorders>
              <w:bottom w:val="single" w:sz="8" w:color="auto"/>
              <w:right w:val="single" w:sz="8" w:color="auto"/>
            </w:tcBorders>
          </w:tcPr>
          <w:p>
            <w:pPr>
              <w:ind w:left="1140"/>
              <w:spacing w:after="0"/>
              <w:rPr>
                <w:sz w:val="20"/>
                <w:szCs w:val="20"/>
                <w:color w:val="auto"/>
              </w:rPr>
            </w:pPr>
            <w:r>
              <w:rPr>
                <w:rFonts w:ascii="Arial" w:cs="Arial" w:eastAsia="Arial" w:hAnsi="Arial"/>
                <w:sz w:val="18"/>
                <w:szCs w:val="18"/>
                <w:b w:val="1"/>
                <w:bCs w:val="1"/>
                <w:color w:val="auto"/>
              </w:rPr>
              <w:t>Title of Securities to be Registered</w:t>
            </w:r>
          </w:p>
        </w:tc>
        <w:tc>
          <w:tcPr>
            <w:tcW w:w="1480" w:type="dxa"/>
            <w:vAlign w:val="bottom"/>
            <w:tcBorders>
              <w:bottom w:val="single" w:sz="8" w:color="auto"/>
              <w:right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3"/>
              </w:rPr>
              <w:t>Registered</w:t>
            </w:r>
            <w:r>
              <w:rPr>
                <w:rFonts w:ascii="Arial" w:cs="Arial" w:eastAsia="Arial" w:hAnsi="Arial"/>
                <w:sz w:val="30"/>
                <w:szCs w:val="30"/>
                <w:b w:val="1"/>
                <w:bCs w:val="1"/>
                <w:color w:val="auto"/>
                <w:w w:val="83"/>
                <w:vertAlign w:val="superscript"/>
              </w:rPr>
              <w:t>(1)</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34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31"/>
                <w:szCs w:val="31"/>
                <w:b w:val="1"/>
                <w:bCs w:val="1"/>
                <w:color w:val="auto"/>
                <w:w w:val="83"/>
                <w:vertAlign w:val="subscript"/>
              </w:rPr>
              <w:t>Fee</w:t>
            </w:r>
            <w:r>
              <w:rPr>
                <w:rFonts w:ascii="Arial" w:cs="Arial" w:eastAsia="Arial" w:hAnsi="Arial"/>
                <w:sz w:val="14"/>
                <w:szCs w:val="14"/>
                <w:b w:val="1"/>
                <w:bCs w:val="1"/>
                <w:color w:val="auto"/>
                <w:w w:val="83"/>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2"/>
              </w:rPr>
              <w:t>Common Shares, par value CHF 0.02 each, reserved for issuance</w:t>
            </w:r>
          </w:p>
        </w:tc>
        <w:tc>
          <w:tcPr>
            <w:tcW w:w="148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color w:val="auto"/>
              </w:rPr>
              <w:t>627,250</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$0.15</w:t>
            </w:r>
            <w:r>
              <w:rPr>
                <w:rFonts w:ascii="Arial" w:cs="Arial" w:eastAsia="Arial" w:hAnsi="Arial"/>
                <w:sz w:val="30"/>
                <w:szCs w:val="30"/>
                <w:color w:val="auto"/>
                <w:w w:val="83"/>
                <w:vertAlign w:val="superscript"/>
              </w:rPr>
              <w:t>(2)</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$94,087.50</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8"/>
              </w:rPr>
              <w:t>$9.47</w:t>
            </w:r>
          </w:p>
        </w:tc>
        <w:tc>
          <w:tcPr>
            <w:tcW w:w="0" w:type="dxa"/>
            <w:vAlign w:val="bottom"/>
          </w:tcPr>
          <w:p>
            <w:pPr>
              <w:spacing w:after="0"/>
              <w:rPr>
                <w:sz w:val="1"/>
                <w:szCs w:val="1"/>
                <w:color w:val="auto"/>
              </w:rPr>
            </w:pPr>
          </w:p>
        </w:tc>
      </w:tr>
      <w:tr>
        <w:trPr>
          <w:trHeight w:val="176"/>
        </w:trPr>
        <w:tc>
          <w:tcPr>
            <w:tcW w:w="49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rPr>
              <w:t>pursuant to the AC Immune SA 2013 Equity Incentive Plan</w:t>
            </w:r>
          </w:p>
        </w:tc>
        <w:tc>
          <w:tcPr>
            <w:tcW w:w="1480" w:type="dxa"/>
            <w:vAlign w:val="bottom"/>
            <w:tcBorders>
              <w:right w:val="single" w:sz="8" w:color="auto"/>
            </w:tcBorders>
            <w:vMerge w:val="continue"/>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1940" w:type="dxa"/>
            <w:vAlign w:val="bottom"/>
            <w:tcBorders>
              <w:right w:val="single" w:sz="8" w:color="auto"/>
            </w:tcBorders>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940" w:type="dxa"/>
            <w:vAlign w:val="bottom"/>
            <w:tcBorders>
              <w:bottom w:val="single" w:sz="8" w:color="auto"/>
              <w:right w:val="single" w:sz="8" w:color="auto"/>
            </w:tcBorders>
            <w:gridSpan w:val="2"/>
            <w:vMerge w:val="continue"/>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94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92"/>
              </w:rPr>
              <w:t>Common Shares, par value CHF 0.02 each, reserved for issuance</w:t>
            </w:r>
          </w:p>
        </w:tc>
        <w:tc>
          <w:tcPr>
            <w:tcW w:w="148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$0.15</w:t>
            </w:r>
            <w:r>
              <w:rPr>
                <w:rFonts w:ascii="Arial" w:cs="Arial" w:eastAsia="Arial" w:hAnsi="Arial"/>
                <w:sz w:val="30"/>
                <w:szCs w:val="30"/>
                <w:color w:val="auto"/>
                <w:w w:val="83"/>
                <w:vertAlign w:val="superscript"/>
              </w:rPr>
              <w:t>(2)</w:t>
            </w:r>
          </w:p>
        </w:tc>
        <w:tc>
          <w:tcPr>
            <w:tcW w:w="1940" w:type="dxa"/>
            <w:vAlign w:val="bottom"/>
            <w:tcBorders>
              <w:righ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pursuant to the Employee Stock Option and Share Plan of AC</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1,206,250</w:t>
            </w:r>
          </w:p>
        </w:tc>
        <w:tc>
          <w:tcPr>
            <w:tcW w:w="1720" w:type="dxa"/>
            <w:vAlign w:val="bottom"/>
            <w:tcBorders>
              <w:right w:val="single" w:sz="8" w:color="auto"/>
            </w:tcBorders>
            <w:vMerge w:val="continue"/>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$180,937.50</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$18.22</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Immune (2005 Plan)</w:t>
            </w:r>
          </w:p>
        </w:tc>
        <w:tc>
          <w:tcPr>
            <w:tcW w:w="14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94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92"/>
              </w:rPr>
              <w:t>Common Shares, par value CHF 0.02 each, reserved for issuance</w:t>
            </w:r>
          </w:p>
        </w:tc>
        <w:tc>
          <w:tcPr>
            <w:tcW w:w="148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$0.15</w:t>
            </w:r>
            <w:r>
              <w:rPr>
                <w:rFonts w:ascii="Arial" w:cs="Arial" w:eastAsia="Arial" w:hAnsi="Arial"/>
                <w:sz w:val="30"/>
                <w:szCs w:val="30"/>
                <w:color w:val="auto"/>
                <w:w w:val="83"/>
                <w:vertAlign w:val="superscript"/>
              </w:rPr>
              <w:t>(2)</w:t>
            </w:r>
          </w:p>
        </w:tc>
        <w:tc>
          <w:tcPr>
            <w:tcW w:w="1940" w:type="dxa"/>
            <w:vAlign w:val="bottom"/>
            <w:tcBorders>
              <w:right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pursuant to the Stock Option Plan - AC Immune of December 31,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362,750</w:t>
            </w:r>
          </w:p>
        </w:tc>
        <w:tc>
          <w:tcPr>
            <w:tcW w:w="1720" w:type="dxa"/>
            <w:vAlign w:val="bottom"/>
            <w:tcBorders>
              <w:right w:val="single" w:sz="8" w:color="auto"/>
            </w:tcBorders>
            <w:vMerge w:val="continue"/>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$54,381.03</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$5.48</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2004</w:t>
            </w:r>
          </w:p>
        </w:tc>
        <w:tc>
          <w:tcPr>
            <w:tcW w:w="14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Total Common Shares</w:t>
            </w:r>
          </w:p>
        </w:tc>
        <w:tc>
          <w:tcPr>
            <w:tcW w:w="148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2,196,250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$329,437.50</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$33.17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on Form S-8 (this “Registration Statement”) covers common shares of CHF 0.02 each par value (“Common Shares”), of AC Immune SA (the “Registrant”) issuable pursuant to the plans set forth in this table (collectively, the “Plans”). Pursuant to Rule 416(a) under the Securities Act of 1933, as amended (the “Securities Act”), this Registration Statement shall also cover any additional Ordinary Shares that become issuable under the Plans by reason of any share dividend, share split or other similar transaction.</w:t>
      </w:r>
    </w:p>
    <w:p>
      <w:pPr>
        <w:spacing w:after="0" w:line="2" w:lineRule="exact"/>
        <w:rPr>
          <w:rFonts w:ascii="Arial" w:cs="Arial" w:eastAsia="Arial" w:hAnsi="Arial"/>
          <w:sz w:val="18"/>
          <w:szCs w:val="18"/>
          <w:color w:val="auto"/>
        </w:rPr>
      </w:pPr>
    </w:p>
    <w:p>
      <w:pPr>
        <w:ind w:left="340" w:right="28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an exercise price of CHF 0.14548 which has been computed using the Dollar/Swiss Franc Federal Reserve Bank of New York Noon Buying Rate of U.S. $1.0307 per Swiss Franc 1.0 on September 23, 2016.</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Rounded up to the nearest penny.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documents containing the information specified in Item 1 and Item 2 of Part I of Form S-8 will be sent or given to participants as specified by Rule 428(b)(1) under the Securities Act. In accordance with the rules and regulations of the U.S. Securities and Exchange Commission (the “Commission”) and the instructions to Form S-8, such documents are not being filed with the Commission either as part of this Registration Statement or as prospectuses or prospectus supplements pursuant to Rule 424 under the Securities Act.</w:t>
      </w:r>
    </w:p>
    <w:p>
      <w:pPr>
        <w:spacing w:after="0" w:line="18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incorporated herein by reference:</w:t>
      </w:r>
    </w:p>
    <w:p>
      <w:pPr>
        <w:spacing w:after="0" w:line="225" w:lineRule="exact"/>
        <w:rPr>
          <w:sz w:val="20"/>
          <w:szCs w:val="20"/>
          <w:color w:val="auto"/>
        </w:rPr>
      </w:pPr>
    </w:p>
    <w:p>
      <w:pPr>
        <w:ind w:right="480" w:firstLine="8"/>
        <w:spacing w:after="0" w:line="308"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color w:val="auto"/>
        </w:rPr>
        <w:t>Amendment No. 7 to the Registrant’s Registration Statement on Form F-1 filed with the Commission on September 22, 2016 (Registration No. 333-211714), which contains the Registrant’s audited financial statements for the latest fiscal year for which such statements have been filed.</w:t>
      </w:r>
    </w:p>
    <w:p>
      <w:pPr>
        <w:spacing w:after="0" w:line="146" w:lineRule="exact"/>
        <w:rPr>
          <w:rFonts w:ascii="Arial" w:cs="Arial" w:eastAsia="Arial" w:hAnsi="Arial"/>
          <w:sz w:val="17"/>
          <w:szCs w:val="17"/>
          <w:color w:val="auto"/>
        </w:rPr>
      </w:pPr>
    </w:p>
    <w:p>
      <w:pPr>
        <w:ind w:right="86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prospectus filed with the Commission on September 23, 2016 pursuant to Rule 424(b) under the Securities Act, relating to the Registrant’s Registration Statement on Form F-1, as amended (Registration No. 333-211714)</w:t>
      </w:r>
    </w:p>
    <w:p>
      <w:pPr>
        <w:spacing w:after="0" w:line="170" w:lineRule="exact"/>
        <w:rPr>
          <w:rFonts w:ascii="Arial" w:cs="Arial" w:eastAsia="Arial" w:hAnsi="Arial"/>
          <w:sz w:val="18"/>
          <w:szCs w:val="18"/>
          <w:color w:val="auto"/>
        </w:rPr>
      </w:pPr>
    </w:p>
    <w:p>
      <w:pPr>
        <w:ind w:right="220" w:firstLine="8"/>
        <w:spacing w:after="0" w:line="277"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share capital which is contained in the Registrant’s Registration Statement Form 8-A (Registration No. 333-211714), dated September 23, 2016, including any amendments or supplements thereto.</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addition, all documents subsequently filed by the Registrant with the Commission pursuant to Sections 13(a), 13(c), 14 and 15(d) of the Exchange Act, prior to the filing of a post-effective amendment to this Registration Statement which indicates that all securities offered have been sold or which deregisters all securities then remaining unsold, including any Reports of Foreign Private Issuers on Form 6-K filed during such period (or portion thereof) that is identified in such form as being incorporated by reference into this Registration Statement, shall be deemed to be incorporated by reference in this Registration Statement and to be a part hereof from the date of the filing of such documents. The Registrant is not incorporating by reference any documents or portions thereof, whether specifically listed above or filed in the future, that are not deemed “filed” with the Commission.</w:t>
      </w:r>
    </w:p>
    <w:p>
      <w:pPr>
        <w:spacing w:after="0" w:line="17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right="900"/>
        <w:spacing w:after="0" w:line="277" w:lineRule="auto"/>
        <w:rPr>
          <w:sz w:val="20"/>
          <w:szCs w:val="20"/>
          <w:color w:val="auto"/>
        </w:rPr>
      </w:pPr>
      <w:r>
        <w:rPr>
          <w:rFonts w:ascii="Arial" w:cs="Arial" w:eastAsia="Arial" w:hAnsi="Arial"/>
          <w:sz w:val="18"/>
          <w:szCs w:val="18"/>
          <w:color w:val="auto"/>
        </w:rPr>
        <w:t>reasonably incurred in a civil or criminal action, suit or proceeding by reason of having been the representative of, or serving at the request of, the corporation.</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Subject to Swiss law, Article 29 of the Registrant’s articles of association provides for indemnification of the existing and former members of the Registrant’s board of directors, executive management, and their heirs, executors and administrators, against liabilities arising in connection with the performance of their duties in such capacity, and permits the Registrant to advance the expenses of defending any act, suit or proceeding to members of our board of directors and executive management.</w:t>
      </w:r>
    </w:p>
    <w:p>
      <w:pPr>
        <w:spacing w:after="0" w:line="18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Registrant intends to enter into indemnification agreements with each of the members of its board of directors and executive officers in the form to be filed as an exhibit to the Registrant’s Registration Statement on Form F-1 filed with the Commission.</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the underwriting agreement that the Registrant enters into in connection with the sale of the common shares being registered on the Registrant’s Form F-1, the underwriters will agree to indemnify, under certain conditions, the Registrant, its directors, our officers and persons who control the Registrant within the meaning of the Securities Act of 1933, as amended, the Securities Act, against certain liabilities.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the Registrant has been advised that, in the opinion of the U.S. Securities and Exchange Commission, such indemnification is against public policy as expressed in the Securities Act and is, therefore,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60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4.1</w:t>
            </w:r>
          </w:p>
        </w:tc>
        <w:tc>
          <w:tcPr>
            <w:tcW w:w="10560" w:type="dxa"/>
            <w:vAlign w:val="bottom"/>
          </w:tcPr>
          <w:p>
            <w:pPr>
              <w:ind w:left="400"/>
              <w:spacing w:after="0"/>
              <w:rPr>
                <w:sz w:val="20"/>
                <w:szCs w:val="20"/>
                <w:color w:val="auto"/>
              </w:rPr>
            </w:pPr>
            <w:r>
              <w:rPr>
                <w:rFonts w:ascii="Arial" w:cs="Arial" w:eastAsia="Arial" w:hAnsi="Arial"/>
                <w:sz w:val="18"/>
                <w:szCs w:val="18"/>
                <w:color w:val="auto"/>
              </w:rPr>
              <w:t>AC Immune SA Articles of Association dated September 25, 2016 (filed herewith)</w:t>
            </w:r>
          </w:p>
        </w:tc>
      </w:tr>
      <w:tr>
        <w:trPr>
          <w:trHeight w:val="445"/>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4.2</w:t>
            </w:r>
          </w:p>
        </w:tc>
        <w:tc>
          <w:tcPr>
            <w:tcW w:w="10560" w:type="dxa"/>
            <w:vAlign w:val="bottom"/>
          </w:tcPr>
          <w:p>
            <w:pPr>
              <w:ind w:left="400"/>
              <w:spacing w:after="0"/>
              <w:rPr>
                <w:sz w:val="20"/>
                <w:szCs w:val="20"/>
                <w:color w:val="auto"/>
              </w:rPr>
            </w:pPr>
            <w:r>
              <w:rPr>
                <w:rFonts w:ascii="Arial" w:cs="Arial" w:eastAsia="Arial" w:hAnsi="Arial"/>
                <w:sz w:val="18"/>
                <w:szCs w:val="18"/>
                <w:color w:val="auto"/>
                <w:w w:val="91"/>
              </w:rPr>
              <w:t>Registration Right Agreement (incorporated by reference to the Registrant’s Registration Statement on Form F-1, filed with the SEC on May</w:t>
            </w:r>
          </w:p>
        </w:tc>
      </w:tr>
      <w:tr>
        <w:trPr>
          <w:trHeight w:val="230"/>
        </w:trPr>
        <w:tc>
          <w:tcPr>
            <w:tcW w:w="640" w:type="dxa"/>
            <w:vAlign w:val="bottom"/>
          </w:tcPr>
          <w:p>
            <w:pPr>
              <w:spacing w:after="0"/>
              <w:rPr>
                <w:sz w:val="20"/>
                <w:szCs w:val="20"/>
                <w:color w:val="auto"/>
              </w:rPr>
            </w:pPr>
          </w:p>
        </w:tc>
        <w:tc>
          <w:tcPr>
            <w:tcW w:w="10560" w:type="dxa"/>
            <w:vAlign w:val="bottom"/>
          </w:tcPr>
          <w:p>
            <w:pPr>
              <w:ind w:left="400"/>
              <w:spacing w:after="0"/>
              <w:rPr>
                <w:sz w:val="20"/>
                <w:szCs w:val="20"/>
                <w:color w:val="auto"/>
              </w:rPr>
            </w:pPr>
            <w:r>
              <w:rPr>
                <w:rFonts w:ascii="Arial" w:cs="Arial" w:eastAsia="Arial" w:hAnsi="Arial"/>
                <w:sz w:val="18"/>
                <w:szCs w:val="18"/>
                <w:color w:val="auto"/>
              </w:rPr>
              <w:t>31, 2016)</w:t>
            </w:r>
          </w:p>
        </w:tc>
      </w:tr>
    </w:tbl>
    <w:p>
      <w:pPr>
        <w:spacing w:after="0" w:line="229"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Vischer AG, Swiss counsel of AC Immune SA, as to the validity of the common shares (filed herewith)</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10740" w:type="dxa"/>
            <w:vAlign w:val="bottom"/>
          </w:tcPr>
          <w:p>
            <w:pPr>
              <w:ind w:left="360"/>
              <w:spacing w:after="0"/>
              <w:rPr>
                <w:sz w:val="20"/>
                <w:szCs w:val="20"/>
                <w:color w:val="auto"/>
              </w:rPr>
            </w:pPr>
            <w:r>
              <w:rPr>
                <w:rFonts w:ascii="Arial" w:cs="Arial" w:eastAsia="Arial" w:hAnsi="Arial"/>
                <w:sz w:val="18"/>
                <w:szCs w:val="18"/>
                <w:color w:val="auto"/>
              </w:rPr>
              <w:t>Consent of Vischer AG, counsel of AC Immune SA (included in Exhibit 5)</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10740" w:type="dxa"/>
            <w:vAlign w:val="bottom"/>
          </w:tcPr>
          <w:p>
            <w:pPr>
              <w:ind w:left="360"/>
              <w:spacing w:after="0"/>
              <w:rPr>
                <w:sz w:val="20"/>
                <w:szCs w:val="20"/>
                <w:color w:val="auto"/>
              </w:rPr>
            </w:pPr>
            <w:r>
              <w:rPr>
                <w:rFonts w:ascii="Arial" w:cs="Arial" w:eastAsia="Arial" w:hAnsi="Arial"/>
                <w:sz w:val="18"/>
                <w:szCs w:val="18"/>
                <w:color w:val="auto"/>
              </w:rPr>
              <w:t>Consent of Ernst &amp; Young AG, independent registered public accounting firm (filed herewith)</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24</w:t>
            </w:r>
          </w:p>
        </w:tc>
        <w:tc>
          <w:tcPr>
            <w:tcW w:w="10740" w:type="dxa"/>
            <w:vAlign w:val="bottom"/>
          </w:tcPr>
          <w:p>
            <w:pPr>
              <w:ind w:left="360"/>
              <w:spacing w:after="0"/>
              <w:rPr>
                <w:sz w:val="20"/>
                <w:szCs w:val="20"/>
                <w:color w:val="auto"/>
              </w:rPr>
            </w:pPr>
            <w:r>
              <w:rPr>
                <w:rFonts w:ascii="Arial" w:cs="Arial" w:eastAsia="Arial" w:hAnsi="Arial"/>
                <w:sz w:val="18"/>
                <w:szCs w:val="18"/>
                <w:color w:val="auto"/>
              </w:rPr>
              <w:t>Powers of Attorney (included in the signature pages hereto)</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AC Immune SA 2013 Equity Incentive Plan (incorporated by reference to the Registrant’s Registration Statement on Form F-1, filed with the</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SEC on May 31, 2016)</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99.2</w:t>
            </w:r>
          </w:p>
        </w:tc>
        <w:tc>
          <w:tcPr>
            <w:tcW w:w="10740" w:type="dxa"/>
            <w:vAlign w:val="bottom"/>
          </w:tcPr>
          <w:p>
            <w:pPr>
              <w:ind w:left="360"/>
              <w:spacing w:after="0"/>
              <w:rPr>
                <w:sz w:val="20"/>
                <w:szCs w:val="20"/>
                <w:color w:val="auto"/>
              </w:rPr>
            </w:pPr>
            <w:r>
              <w:rPr>
                <w:rFonts w:ascii="Arial" w:cs="Arial" w:eastAsia="Arial" w:hAnsi="Arial"/>
                <w:sz w:val="18"/>
                <w:szCs w:val="18"/>
                <w:color w:val="auto"/>
              </w:rPr>
              <w:t>Employee Stock Option and Share Plan of AC Immune (2005 Plan) (filed herewith)</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99.3</w:t>
            </w:r>
          </w:p>
        </w:tc>
        <w:tc>
          <w:tcPr>
            <w:tcW w:w="10740" w:type="dxa"/>
            <w:vAlign w:val="bottom"/>
          </w:tcPr>
          <w:p>
            <w:pPr>
              <w:ind w:left="360"/>
              <w:spacing w:after="0"/>
              <w:rPr>
                <w:sz w:val="20"/>
                <w:szCs w:val="20"/>
                <w:color w:val="auto"/>
              </w:rPr>
            </w:pPr>
            <w:r>
              <w:rPr>
                <w:rFonts w:ascii="Arial" w:cs="Arial" w:eastAsia="Arial" w:hAnsi="Arial"/>
                <w:sz w:val="18"/>
                <w:szCs w:val="18"/>
                <w:color w:val="auto"/>
              </w:rPr>
              <w:t>Stock Option Plan - AC Immune of December 31, 2004 (filed herewith)</w:t>
            </w:r>
          </w:p>
        </w:tc>
      </w:tr>
      <w:tr>
        <w:trPr>
          <w:trHeight w:val="351"/>
        </w:trPr>
        <w:tc>
          <w:tcPr>
            <w:tcW w:w="680" w:type="dxa"/>
            <w:vAlign w:val="bottom"/>
            <w:tcBorders>
              <w:bottom w:val="single" w:sz="8" w:color="54301A"/>
            </w:tcBorders>
          </w:tcPr>
          <w:p>
            <w:pPr>
              <w:spacing w:after="0"/>
              <w:rPr>
                <w:sz w:val="24"/>
                <w:szCs w:val="24"/>
                <w:color w:val="auto"/>
              </w:rPr>
            </w:pPr>
          </w:p>
        </w:tc>
        <w:tc>
          <w:tcPr>
            <w:tcW w:w="1074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840" w:hanging="508"/>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460" w:hanging="480"/>
        <w:spacing w:after="0"/>
        <w:tabs>
          <w:tab w:leader="none" w:pos="14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660" w:right="40" w:firstLine="320"/>
        <w:spacing w:after="0" w:line="255" w:lineRule="auto"/>
        <w:tabs>
          <w:tab w:leader="none" w:pos="1516"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ind w:left="660" w:right="340" w:firstLine="320"/>
        <w:spacing w:after="0" w:line="277" w:lineRule="auto"/>
        <w:tabs>
          <w:tab w:leader="none" w:pos="1566"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Plans not previously disclosed in this Registration Statement or any material change to such information in this Registration Statement;</w:t>
      </w:r>
    </w:p>
    <w:p>
      <w:pPr>
        <w:spacing w:after="0" w:line="170" w:lineRule="exact"/>
        <w:rPr>
          <w:sz w:val="20"/>
          <w:szCs w:val="20"/>
          <w:color w:val="auto"/>
        </w:rPr>
      </w:pPr>
    </w:p>
    <w:p>
      <w:pPr>
        <w:jc w:val="both"/>
        <w:ind w:left="340" w:right="120"/>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Commission by the Registrant pursuant to Section 13 or 15(d) of the Exchange Act that are incorporated by reference in this Registration Statement.</w:t>
      </w:r>
    </w:p>
    <w:p>
      <w:pPr>
        <w:spacing w:after="0" w:line="181" w:lineRule="exact"/>
        <w:rPr>
          <w:sz w:val="20"/>
          <w:szCs w:val="20"/>
          <w:color w:val="auto"/>
        </w:rPr>
      </w:pPr>
    </w:p>
    <w:p>
      <w:pPr>
        <w:ind w:left="340" w:right="140" w:firstLine="316"/>
        <w:spacing w:after="0" w:line="264" w:lineRule="auto"/>
        <w:tabs>
          <w:tab w:leader="none" w:pos="1186"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340" w:right="560" w:firstLine="316"/>
        <w:spacing w:after="0" w:line="277" w:lineRule="auto"/>
        <w:tabs>
          <w:tab w:leader="none" w:pos="1186"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40" w:firstLine="332"/>
        <w:spacing w:after="0" w:line="302" w:lineRule="auto"/>
        <w:tabs>
          <w:tab w:leader="none" w:pos="84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firstLine="332"/>
        <w:spacing w:after="0" w:line="291" w:lineRule="auto"/>
        <w:tabs>
          <w:tab w:leader="none" w:pos="839"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this Registration Statement and has duly caused this Registration Statement to be signed on its behalf by the undersigned, thereunto duly authorized, in the City of Lausanne, Switzerland on this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2016.</w:t>
      </w:r>
    </w:p>
    <w:p>
      <w:pPr>
        <w:spacing w:after="0" w:line="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 Immune SA</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Pavey</w:t>
            </w: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George Pavey</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jc w:val="center"/>
        <w:ind w:left="3580"/>
        <w:spacing w:after="0"/>
        <w:rPr>
          <w:sz w:val="20"/>
          <w:szCs w:val="20"/>
          <w:color w:val="auto"/>
        </w:rPr>
      </w:pPr>
      <w:r>
        <w:rPr>
          <w:rFonts w:ascii="Arial" w:cs="Arial" w:eastAsia="Arial" w:hAnsi="Arial"/>
          <w:sz w:val="18"/>
          <w:szCs w:val="18"/>
          <w:color w:val="auto"/>
        </w:rPr>
        <w:t>National Corporate Research, Ltd.</w:t>
      </w:r>
    </w:p>
    <w:p>
      <w:pPr>
        <w:spacing w:after="0" w:line="23" w:lineRule="exact"/>
        <w:rPr>
          <w:sz w:val="20"/>
          <w:szCs w:val="20"/>
          <w:color w:val="auto"/>
        </w:rPr>
      </w:pPr>
    </w:p>
    <w:p>
      <w:pPr>
        <w:jc w:val="center"/>
        <w:ind w:left="3580"/>
        <w:spacing w:after="0"/>
        <w:rPr>
          <w:sz w:val="20"/>
          <w:szCs w:val="20"/>
          <w:color w:val="auto"/>
        </w:rPr>
      </w:pPr>
      <w:r>
        <w:rPr>
          <w:rFonts w:ascii="Arial" w:cs="Arial" w:eastAsia="Arial" w:hAnsi="Arial"/>
          <w:sz w:val="18"/>
          <w:szCs w:val="18"/>
          <w:color w:val="auto"/>
        </w:rPr>
        <w:t>(Authorized Representative in the United States)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572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Colleen A. DeVries</w:t>
            </w:r>
          </w:p>
        </w:tc>
      </w:tr>
      <w:tr>
        <w:trPr>
          <w:trHeight w:val="195"/>
        </w:trPr>
        <w:tc>
          <w:tcPr>
            <w:tcW w:w="68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Colleen A. DeVries</w:t>
            </w:r>
          </w:p>
        </w:tc>
      </w:tr>
      <w:tr>
        <w:trPr>
          <w:trHeight w:val="230"/>
        </w:trPr>
        <w:tc>
          <w:tcPr>
            <w:tcW w:w="6860" w:type="dxa"/>
            <w:vAlign w:val="bottom"/>
          </w:tcPr>
          <w:p>
            <w:pPr>
              <w:ind w:left="572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SVP on behalf of National Corporate Research, Ltd.</w:t>
            </w:r>
          </w:p>
        </w:tc>
      </w:tr>
      <w:tr>
        <w:trPr>
          <w:trHeight w:val="351"/>
        </w:trPr>
        <w:tc>
          <w:tcPr>
            <w:tcW w:w="6860" w:type="dxa"/>
            <w:vAlign w:val="bottom"/>
            <w:tcBorders>
              <w:bottom w:val="single" w:sz="8" w:color="54301A"/>
            </w:tcBorders>
          </w:tcPr>
          <w:p>
            <w:pPr>
              <w:spacing w:after="0"/>
              <w:rPr>
                <w:sz w:val="24"/>
                <w:szCs w:val="24"/>
                <w:color w:val="auto"/>
              </w:rPr>
            </w:pPr>
          </w:p>
        </w:tc>
        <w:tc>
          <w:tcPr>
            <w:tcW w:w="456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772"/>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Andrea Pfeifer and George Pavey as his or her true and lawful attorneys-in-fact and agent,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U.S. Securities and Exchange Commission, granting unto said attorneys-in-fact and agent full power and authority to do and perform each and every act in person, hereby ratifying and confirming all that said attorney-in-fact and agent or his substitutes may lawfully do or cause to be done by virtue hereof.</w:t>
      </w:r>
    </w:p>
    <w:p>
      <w:pPr>
        <w:spacing w:after="0" w:line="189" w:lineRule="exact"/>
        <w:rPr>
          <w:sz w:val="20"/>
          <w:szCs w:val="20"/>
          <w:color w:val="auto"/>
        </w:rPr>
      </w:pPr>
    </w:p>
    <w:p>
      <w:pPr>
        <w:ind w:right="20" w:firstLine="772"/>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522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1"/>
              </w:rPr>
              <w:t>Title</w:t>
            </w:r>
          </w:p>
        </w:tc>
        <w:tc>
          <w:tcPr>
            <w:tcW w:w="1460" w:type="dxa"/>
            <w:vAlign w:val="bottom"/>
          </w:tcPr>
          <w:p>
            <w:pPr>
              <w:spacing w:after="0"/>
              <w:rPr>
                <w:sz w:val="17"/>
                <w:szCs w:val="17"/>
                <w:color w:val="auto"/>
              </w:rPr>
            </w:pPr>
          </w:p>
        </w:tc>
        <w:tc>
          <w:tcPr>
            <w:tcW w:w="154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2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85"/>
        </w:trPr>
        <w:tc>
          <w:tcPr>
            <w:tcW w:w="3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Andrea Pfeifer</w:t>
            </w:r>
          </w:p>
        </w:tc>
        <w:tc>
          <w:tcPr>
            <w:tcW w:w="522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Chief Executive Officer, Director</w:t>
            </w:r>
          </w:p>
        </w:tc>
        <w:tc>
          <w:tcPr>
            <w:tcW w:w="300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September 29, 2016</w:t>
            </w:r>
          </w:p>
        </w:tc>
      </w:tr>
      <w:tr>
        <w:trPr>
          <w:trHeight w:val="224"/>
        </w:trPr>
        <w:tc>
          <w:tcPr>
            <w:tcW w:w="3200" w:type="dxa"/>
            <w:vAlign w:val="bottom"/>
            <w:gridSpan w:val="4"/>
          </w:tcPr>
          <w:p>
            <w:pPr>
              <w:spacing w:after="0"/>
              <w:rPr>
                <w:sz w:val="20"/>
                <w:szCs w:val="20"/>
                <w:color w:val="auto"/>
              </w:rPr>
            </w:pPr>
            <w:r>
              <w:rPr>
                <w:rFonts w:ascii="Arial" w:cs="Arial" w:eastAsia="Arial" w:hAnsi="Arial"/>
                <w:sz w:val="18"/>
                <w:szCs w:val="18"/>
                <w:color w:val="auto"/>
              </w:rPr>
              <w:t>Andrea Pfeifer</w:t>
            </w:r>
          </w:p>
        </w:tc>
        <w:tc>
          <w:tcPr>
            <w:tcW w:w="522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(Principal Executive Officer)</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8"/>
        </w:trPr>
        <w:tc>
          <w:tcPr>
            <w:tcW w:w="3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George Pavey</w:t>
            </w:r>
          </w:p>
        </w:tc>
        <w:tc>
          <w:tcPr>
            <w:tcW w:w="522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Chief Financial Officer</w:t>
            </w:r>
          </w:p>
        </w:tc>
        <w:tc>
          <w:tcPr>
            <w:tcW w:w="300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September 29, 2016</w:t>
            </w:r>
          </w:p>
        </w:tc>
      </w:tr>
      <w:tr>
        <w:trPr>
          <w:trHeight w:val="224"/>
        </w:trPr>
        <w:tc>
          <w:tcPr>
            <w:tcW w:w="3200" w:type="dxa"/>
            <w:vAlign w:val="bottom"/>
            <w:gridSpan w:val="4"/>
          </w:tcPr>
          <w:p>
            <w:pPr>
              <w:spacing w:after="0"/>
              <w:rPr>
                <w:sz w:val="20"/>
                <w:szCs w:val="20"/>
                <w:color w:val="auto"/>
              </w:rPr>
            </w:pPr>
            <w:r>
              <w:rPr>
                <w:rFonts w:ascii="Arial" w:cs="Arial" w:eastAsia="Arial" w:hAnsi="Arial"/>
                <w:sz w:val="18"/>
                <w:szCs w:val="18"/>
                <w:color w:val="auto"/>
              </w:rPr>
              <w:t>George Pavey</w:t>
            </w:r>
          </w:p>
        </w:tc>
        <w:tc>
          <w:tcPr>
            <w:tcW w:w="5220" w:type="dxa"/>
            <w:vAlign w:val="bottom"/>
            <w:gridSpan w:val="3"/>
          </w:tcPr>
          <w:p>
            <w:pPr>
              <w:jc w:val="center"/>
              <w:ind w:left="370"/>
              <w:spacing w:after="0"/>
              <w:rPr>
                <w:sz w:val="20"/>
                <w:szCs w:val="20"/>
                <w:color w:val="auto"/>
              </w:rPr>
            </w:pPr>
            <w:r>
              <w:rPr>
                <w:rFonts w:ascii="Arial" w:cs="Arial" w:eastAsia="Arial" w:hAnsi="Arial"/>
                <w:sz w:val="18"/>
                <w:szCs w:val="18"/>
                <w:color w:val="auto"/>
                <w:w w:val="93"/>
              </w:rPr>
              <w:t>(Principal Financial and Accounting Officer)</w:t>
            </w: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8"/>
        </w:trPr>
        <w:tc>
          <w:tcPr>
            <w:tcW w:w="3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Martin Velasco</w:t>
            </w:r>
          </w:p>
        </w:tc>
        <w:tc>
          <w:tcPr>
            <w:tcW w:w="5220" w:type="dxa"/>
            <w:vAlign w:val="bottom"/>
            <w:gridSpan w:val="3"/>
          </w:tcPr>
          <w:p>
            <w:pPr>
              <w:jc w:val="center"/>
              <w:ind w:left="310"/>
              <w:spacing w:after="0"/>
              <w:rPr>
                <w:sz w:val="20"/>
                <w:szCs w:val="20"/>
                <w:color w:val="auto"/>
              </w:rPr>
            </w:pPr>
            <w:r>
              <w:rPr>
                <w:rFonts w:ascii="Arial" w:cs="Arial" w:eastAsia="Arial" w:hAnsi="Arial"/>
                <w:sz w:val="18"/>
                <w:szCs w:val="18"/>
                <w:color w:val="auto"/>
                <w:w w:val="91"/>
              </w:rPr>
              <w:t>Chairman and Director</w:t>
            </w:r>
          </w:p>
        </w:tc>
        <w:tc>
          <w:tcPr>
            <w:tcW w:w="300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September 29, 2016</w:t>
            </w:r>
          </w:p>
        </w:tc>
      </w:tr>
      <w:tr>
        <w:trPr>
          <w:trHeight w:val="224"/>
        </w:trPr>
        <w:tc>
          <w:tcPr>
            <w:tcW w:w="3200" w:type="dxa"/>
            <w:vAlign w:val="bottom"/>
            <w:gridSpan w:val="4"/>
          </w:tcPr>
          <w:p>
            <w:pPr>
              <w:spacing w:after="0"/>
              <w:rPr>
                <w:sz w:val="20"/>
                <w:szCs w:val="20"/>
                <w:color w:val="auto"/>
              </w:rPr>
            </w:pPr>
            <w:r>
              <w:rPr>
                <w:rFonts w:ascii="Arial" w:cs="Arial" w:eastAsia="Arial" w:hAnsi="Arial"/>
                <w:sz w:val="18"/>
                <w:szCs w:val="18"/>
                <w:color w:val="auto"/>
              </w:rPr>
              <w:t>Martin Velasco</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8"/>
        </w:trPr>
        <w:tc>
          <w:tcPr>
            <w:tcW w:w="3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Detlev Riesner</w:t>
            </w:r>
          </w:p>
        </w:tc>
        <w:tc>
          <w:tcPr>
            <w:tcW w:w="5220" w:type="dxa"/>
            <w:vAlign w:val="bottom"/>
            <w:gridSpan w:val="3"/>
          </w:tcPr>
          <w:p>
            <w:pPr>
              <w:jc w:val="center"/>
              <w:ind w:left="33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September 29, 2016</w:t>
            </w:r>
          </w:p>
        </w:tc>
      </w:tr>
      <w:tr>
        <w:trPr>
          <w:trHeight w:val="224"/>
        </w:trPr>
        <w:tc>
          <w:tcPr>
            <w:tcW w:w="3200" w:type="dxa"/>
            <w:vAlign w:val="bottom"/>
            <w:gridSpan w:val="4"/>
          </w:tcPr>
          <w:p>
            <w:pPr>
              <w:spacing w:after="0"/>
              <w:rPr>
                <w:sz w:val="20"/>
                <w:szCs w:val="20"/>
                <w:color w:val="auto"/>
              </w:rPr>
            </w:pPr>
            <w:r>
              <w:rPr>
                <w:rFonts w:ascii="Arial" w:cs="Arial" w:eastAsia="Arial" w:hAnsi="Arial"/>
                <w:sz w:val="18"/>
                <w:szCs w:val="18"/>
                <w:color w:val="auto"/>
              </w:rPr>
              <w:t>Detlev Riesner</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33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______________, 2016</w:t>
            </w:r>
          </w:p>
        </w:tc>
      </w:tr>
      <w:tr>
        <w:trPr>
          <w:trHeight w:val="224"/>
        </w:trPr>
        <w:tc>
          <w:tcPr>
            <w:tcW w:w="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Mathias Hothum</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45"/>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left="33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______________, 2016</w:t>
            </w:r>
          </w:p>
        </w:tc>
      </w:tr>
      <w:tr>
        <w:trPr>
          <w:trHeight w:val="224"/>
        </w:trPr>
        <w:tc>
          <w:tcPr>
            <w:tcW w:w="2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Friedrich von Bohlen und Halbach</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45"/>
        </w:trPr>
        <w:tc>
          <w:tcPr>
            <w:tcW w:w="3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Peter Bollmann</w:t>
            </w:r>
          </w:p>
        </w:tc>
        <w:tc>
          <w:tcPr>
            <w:tcW w:w="5220" w:type="dxa"/>
            <w:vAlign w:val="bottom"/>
            <w:gridSpan w:val="3"/>
          </w:tcPr>
          <w:p>
            <w:pPr>
              <w:jc w:val="center"/>
              <w:ind w:left="330"/>
              <w:spacing w:after="0"/>
              <w:rPr>
                <w:sz w:val="20"/>
                <w:szCs w:val="20"/>
                <w:color w:val="auto"/>
              </w:rPr>
            </w:pPr>
            <w:r>
              <w:rPr>
                <w:rFonts w:ascii="Arial" w:cs="Arial" w:eastAsia="Arial" w:hAnsi="Arial"/>
                <w:sz w:val="18"/>
                <w:szCs w:val="18"/>
                <w:color w:val="auto"/>
                <w:w w:val="95"/>
              </w:rPr>
              <w:t>Director</w:t>
            </w:r>
          </w:p>
        </w:tc>
        <w:tc>
          <w:tcPr>
            <w:tcW w:w="3000" w:type="dxa"/>
            <w:vAlign w:val="bottom"/>
            <w:gridSpan w:val="3"/>
          </w:tcPr>
          <w:p>
            <w:pPr>
              <w:jc w:val="center"/>
              <w:ind w:left="190"/>
              <w:spacing w:after="0"/>
              <w:rPr>
                <w:sz w:val="20"/>
                <w:szCs w:val="20"/>
                <w:color w:val="auto"/>
              </w:rPr>
            </w:pPr>
            <w:r>
              <w:rPr>
                <w:rFonts w:ascii="Arial" w:cs="Arial" w:eastAsia="Arial" w:hAnsi="Arial"/>
                <w:sz w:val="18"/>
                <w:szCs w:val="18"/>
                <w:color w:val="auto"/>
                <w:w w:val="88"/>
              </w:rPr>
              <w:t>September 29, 2016</w:t>
            </w:r>
          </w:p>
        </w:tc>
      </w:tr>
      <w:tr>
        <w:trPr>
          <w:trHeight w:val="224"/>
        </w:trPr>
        <w:tc>
          <w:tcPr>
            <w:tcW w:w="3200" w:type="dxa"/>
            <w:vAlign w:val="bottom"/>
            <w:gridSpan w:val="4"/>
          </w:tcPr>
          <w:p>
            <w:pPr>
              <w:spacing w:after="0"/>
              <w:rPr>
                <w:sz w:val="20"/>
                <w:szCs w:val="20"/>
                <w:color w:val="auto"/>
              </w:rPr>
            </w:pPr>
            <w:r>
              <w:rPr>
                <w:rFonts w:ascii="Arial" w:cs="Arial" w:eastAsia="Arial" w:hAnsi="Arial"/>
                <w:sz w:val="18"/>
                <w:szCs w:val="18"/>
                <w:color w:val="auto"/>
              </w:rPr>
              <w:t>Peter Bollmann</w:t>
            </w:r>
          </w:p>
        </w:tc>
        <w:tc>
          <w:tcPr>
            <w:tcW w:w="2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7"/>
        </w:trPr>
        <w:tc>
          <w:tcPr>
            <w:tcW w:w="20" w:type="dxa"/>
            <w:vAlign w:val="bottom"/>
            <w:tcBorders>
              <w:bottom w:val="single" w:sz="8" w:color="54301A"/>
            </w:tcBorders>
          </w:tcPr>
          <w:p>
            <w:pPr>
              <w:spacing w:after="0"/>
              <w:rPr>
                <w:sz w:val="24"/>
                <w:szCs w:val="24"/>
                <w:color w:val="auto"/>
              </w:rPr>
            </w:pPr>
          </w:p>
        </w:tc>
        <w:tc>
          <w:tcPr>
            <w:tcW w:w="1220" w:type="dxa"/>
            <w:vAlign w:val="bottom"/>
            <w:tcBorders>
              <w:bottom w:val="single" w:sz="8" w:color="54301A"/>
            </w:tcBorders>
          </w:tcPr>
          <w:p>
            <w:pPr>
              <w:spacing w:after="0"/>
              <w:rPr>
                <w:sz w:val="24"/>
                <w:szCs w:val="24"/>
                <w:color w:val="auto"/>
              </w:rPr>
            </w:pPr>
          </w:p>
        </w:tc>
        <w:tc>
          <w:tcPr>
            <w:tcW w:w="740" w:type="dxa"/>
            <w:vAlign w:val="bottom"/>
            <w:tcBorders>
              <w:bottom w:val="single" w:sz="8" w:color="54301A"/>
            </w:tcBorders>
          </w:tcPr>
          <w:p>
            <w:pPr>
              <w:spacing w:after="0"/>
              <w:rPr>
                <w:sz w:val="24"/>
                <w:szCs w:val="24"/>
                <w:color w:val="auto"/>
              </w:rPr>
            </w:pPr>
          </w:p>
        </w:tc>
        <w:tc>
          <w:tcPr>
            <w:tcW w:w="1220" w:type="dxa"/>
            <w:vAlign w:val="bottom"/>
            <w:tcBorders>
              <w:bottom w:val="single" w:sz="8" w:color="54301A"/>
            </w:tcBorders>
          </w:tcPr>
          <w:p>
            <w:pPr>
              <w:spacing w:after="0"/>
              <w:rPr>
                <w:sz w:val="24"/>
                <w:szCs w:val="24"/>
                <w:color w:val="auto"/>
              </w:rPr>
            </w:pPr>
          </w:p>
        </w:tc>
        <w:tc>
          <w:tcPr>
            <w:tcW w:w="2640" w:type="dxa"/>
            <w:vAlign w:val="bottom"/>
            <w:tcBorders>
              <w:bottom w:val="single" w:sz="8" w:color="54301A"/>
            </w:tcBorders>
          </w:tcPr>
          <w:p>
            <w:pPr>
              <w:spacing w:after="0"/>
              <w:rPr>
                <w:sz w:val="24"/>
                <w:szCs w:val="24"/>
                <w:color w:val="auto"/>
              </w:rPr>
            </w:pPr>
          </w:p>
        </w:tc>
        <w:tc>
          <w:tcPr>
            <w:tcW w:w="340" w:type="dxa"/>
            <w:vAlign w:val="bottom"/>
            <w:tcBorders>
              <w:bottom w:val="single" w:sz="8" w:color="54301A"/>
            </w:tcBorders>
          </w:tcPr>
          <w:p>
            <w:pPr>
              <w:spacing w:after="0"/>
              <w:rPr>
                <w:sz w:val="24"/>
                <w:szCs w:val="24"/>
                <w:color w:val="auto"/>
              </w:rPr>
            </w:pPr>
          </w:p>
        </w:tc>
        <w:tc>
          <w:tcPr>
            <w:tcW w:w="2240" w:type="dxa"/>
            <w:vAlign w:val="bottom"/>
            <w:tcBorders>
              <w:bottom w:val="single" w:sz="8" w:color="54301A"/>
            </w:tcBorders>
          </w:tcPr>
          <w:p>
            <w:pPr>
              <w:spacing w:after="0"/>
              <w:rPr>
                <w:sz w:val="24"/>
                <w:szCs w:val="24"/>
                <w:color w:val="auto"/>
              </w:rPr>
            </w:pPr>
          </w:p>
        </w:tc>
        <w:tc>
          <w:tcPr>
            <w:tcW w:w="1460" w:type="dxa"/>
            <w:vAlign w:val="bottom"/>
            <w:tcBorders>
              <w:bottom w:val="single" w:sz="8" w:color="54301A"/>
            </w:tcBorders>
          </w:tcPr>
          <w:p>
            <w:pPr>
              <w:spacing w:after="0"/>
              <w:rPr>
                <w:sz w:val="24"/>
                <w:szCs w:val="24"/>
                <w:color w:val="auto"/>
              </w:rPr>
            </w:pPr>
          </w:p>
        </w:tc>
        <w:tc>
          <w:tcPr>
            <w:tcW w:w="360" w:type="dxa"/>
            <w:vAlign w:val="bottom"/>
            <w:tcBorders>
              <w:bottom w:val="single" w:sz="8" w:color="54301A"/>
            </w:tcBorders>
          </w:tcPr>
          <w:p>
            <w:pPr>
              <w:spacing w:after="0"/>
              <w:rPr>
                <w:sz w:val="24"/>
                <w:szCs w:val="24"/>
                <w:color w:val="auto"/>
              </w:rPr>
            </w:pPr>
          </w:p>
        </w:tc>
        <w:tc>
          <w:tcPr>
            <w:tcW w:w="118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16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Exhibit</w:t>
            </w:r>
          </w:p>
        </w:tc>
        <w:tc>
          <w:tcPr>
            <w:tcW w:w="10160" w:type="dxa"/>
            <w:vAlign w:val="bottom"/>
          </w:tcPr>
          <w:p>
            <w:pPr>
              <w:spacing w:after="0"/>
              <w:rPr>
                <w:sz w:val="24"/>
                <w:szCs w:val="24"/>
                <w:color w:val="auto"/>
              </w:rPr>
            </w:pPr>
          </w:p>
        </w:tc>
      </w:tr>
      <w:tr>
        <w:trPr>
          <w:trHeight w:val="230"/>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10160" w:type="dxa"/>
            <w:vAlign w:val="bottom"/>
          </w:tcPr>
          <w:p>
            <w:pPr>
              <w:spacing w:after="0"/>
              <w:rPr>
                <w:sz w:val="20"/>
                <w:szCs w:val="20"/>
                <w:color w:val="auto"/>
              </w:rPr>
            </w:pPr>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10160" w:type="dxa"/>
            <w:vAlign w:val="bottom"/>
          </w:tcPr>
          <w:p>
            <w:pPr>
              <w:spacing w:after="0"/>
              <w:rPr>
                <w:sz w:val="20"/>
                <w:szCs w:val="20"/>
                <w:color w:val="auto"/>
              </w:rPr>
            </w:pPr>
            <w:r>
              <w:rPr>
                <w:rFonts w:ascii="Arial" w:cs="Arial" w:eastAsia="Arial" w:hAnsi="Arial"/>
                <w:sz w:val="18"/>
                <w:szCs w:val="18"/>
                <w:color w:val="auto"/>
              </w:rPr>
              <w:t>AC Immune SA Articles of Association dated September 25, 2016 (filed herewith)</w:t>
            </w:r>
          </w:p>
        </w:tc>
      </w:tr>
      <w:tr>
        <w:trPr>
          <w:trHeight w:val="445"/>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10160" w:type="dxa"/>
            <w:vAlign w:val="bottom"/>
          </w:tcPr>
          <w:p>
            <w:pPr>
              <w:spacing w:after="0"/>
              <w:rPr>
                <w:sz w:val="20"/>
                <w:szCs w:val="20"/>
                <w:color w:val="auto"/>
              </w:rPr>
            </w:pPr>
            <w:r>
              <w:rPr>
                <w:rFonts w:ascii="Arial" w:cs="Arial" w:eastAsia="Arial" w:hAnsi="Arial"/>
                <w:sz w:val="18"/>
                <w:szCs w:val="18"/>
                <w:color w:val="auto"/>
                <w:w w:val="91"/>
              </w:rPr>
              <w:t>Registration Right Agreement (incorporated by reference to the Registrant’s Registration Statement on Form F-1, filed with the SEC on May</w:t>
            </w:r>
          </w:p>
        </w:tc>
      </w:tr>
      <w:tr>
        <w:trPr>
          <w:trHeight w:val="230"/>
        </w:trPr>
        <w:tc>
          <w:tcPr>
            <w:tcW w:w="104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31, 2016)</w:t>
            </w:r>
          </w:p>
        </w:tc>
      </w:tr>
    </w:tbl>
    <w:p>
      <w:pPr>
        <w:spacing w:after="0" w:line="229"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Opinion of Vischer AG, Swiss counsel of AC Immune SA, as to the validity of the common shares (filed herewith)</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10740" w:type="dxa"/>
            <w:vAlign w:val="bottom"/>
          </w:tcPr>
          <w:p>
            <w:pPr>
              <w:ind w:left="360"/>
              <w:spacing w:after="0"/>
              <w:rPr>
                <w:sz w:val="20"/>
                <w:szCs w:val="20"/>
                <w:color w:val="auto"/>
              </w:rPr>
            </w:pPr>
            <w:r>
              <w:rPr>
                <w:rFonts w:ascii="Arial" w:cs="Arial" w:eastAsia="Arial" w:hAnsi="Arial"/>
                <w:sz w:val="18"/>
                <w:szCs w:val="18"/>
                <w:color w:val="auto"/>
              </w:rPr>
              <w:t>Consent of Vischer AG, counsel of AC Immune SA (included in Exhibit 5)</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10740" w:type="dxa"/>
            <w:vAlign w:val="bottom"/>
          </w:tcPr>
          <w:p>
            <w:pPr>
              <w:ind w:left="360"/>
              <w:spacing w:after="0"/>
              <w:rPr>
                <w:sz w:val="20"/>
                <w:szCs w:val="20"/>
                <w:color w:val="auto"/>
              </w:rPr>
            </w:pPr>
            <w:r>
              <w:rPr>
                <w:rFonts w:ascii="Arial" w:cs="Arial" w:eastAsia="Arial" w:hAnsi="Arial"/>
                <w:sz w:val="18"/>
                <w:szCs w:val="18"/>
                <w:color w:val="auto"/>
              </w:rPr>
              <w:t>Consent of Ernst &amp; Young AG, independent registered public accounting firm (filed herewith)</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24</w:t>
            </w:r>
          </w:p>
        </w:tc>
        <w:tc>
          <w:tcPr>
            <w:tcW w:w="10740" w:type="dxa"/>
            <w:vAlign w:val="bottom"/>
          </w:tcPr>
          <w:p>
            <w:pPr>
              <w:ind w:left="360"/>
              <w:spacing w:after="0"/>
              <w:rPr>
                <w:sz w:val="20"/>
                <w:szCs w:val="20"/>
                <w:color w:val="auto"/>
              </w:rPr>
            </w:pPr>
            <w:r>
              <w:rPr>
                <w:rFonts w:ascii="Arial" w:cs="Arial" w:eastAsia="Arial" w:hAnsi="Arial"/>
                <w:sz w:val="18"/>
                <w:szCs w:val="18"/>
                <w:color w:val="auto"/>
              </w:rPr>
              <w:t>Powers of Attorney (included in the signature pages hereto)</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10740" w:type="dxa"/>
            <w:vAlign w:val="bottom"/>
          </w:tcPr>
          <w:p>
            <w:pPr>
              <w:ind w:left="360"/>
              <w:spacing w:after="0"/>
              <w:rPr>
                <w:sz w:val="20"/>
                <w:szCs w:val="20"/>
                <w:color w:val="auto"/>
              </w:rPr>
            </w:pPr>
            <w:r>
              <w:rPr>
                <w:rFonts w:ascii="Arial" w:cs="Arial" w:eastAsia="Arial" w:hAnsi="Arial"/>
                <w:sz w:val="18"/>
                <w:szCs w:val="18"/>
                <w:color w:val="auto"/>
                <w:w w:val="93"/>
              </w:rPr>
              <w:t>AC Immune SA 2013 Equity Incentive Plan (incorporated by reference to the Registrant’s Registration Statement on Form F-1, filed with the</w:t>
            </w:r>
          </w:p>
        </w:tc>
      </w:tr>
      <w:tr>
        <w:trPr>
          <w:trHeight w:val="230"/>
        </w:trPr>
        <w:tc>
          <w:tcPr>
            <w:tcW w:w="680" w:type="dxa"/>
            <w:vAlign w:val="bottom"/>
          </w:tcPr>
          <w:p>
            <w:pPr>
              <w:spacing w:after="0"/>
              <w:rPr>
                <w:sz w:val="20"/>
                <w:szCs w:val="20"/>
                <w:color w:val="auto"/>
              </w:rPr>
            </w:pPr>
          </w:p>
        </w:tc>
        <w:tc>
          <w:tcPr>
            <w:tcW w:w="10740" w:type="dxa"/>
            <w:vAlign w:val="bottom"/>
          </w:tcPr>
          <w:p>
            <w:pPr>
              <w:ind w:left="360"/>
              <w:spacing w:after="0"/>
              <w:rPr>
                <w:sz w:val="20"/>
                <w:szCs w:val="20"/>
                <w:color w:val="auto"/>
              </w:rPr>
            </w:pPr>
            <w:r>
              <w:rPr>
                <w:rFonts w:ascii="Arial" w:cs="Arial" w:eastAsia="Arial" w:hAnsi="Arial"/>
                <w:sz w:val="18"/>
                <w:szCs w:val="18"/>
                <w:color w:val="auto"/>
              </w:rPr>
              <w:t>SEC on May 31, 2016)</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99.2</w:t>
            </w:r>
          </w:p>
        </w:tc>
        <w:tc>
          <w:tcPr>
            <w:tcW w:w="10740" w:type="dxa"/>
            <w:vAlign w:val="bottom"/>
          </w:tcPr>
          <w:p>
            <w:pPr>
              <w:ind w:left="360"/>
              <w:spacing w:after="0"/>
              <w:rPr>
                <w:sz w:val="20"/>
                <w:szCs w:val="20"/>
                <w:color w:val="auto"/>
              </w:rPr>
            </w:pPr>
            <w:r>
              <w:rPr>
                <w:rFonts w:ascii="Arial" w:cs="Arial" w:eastAsia="Arial" w:hAnsi="Arial"/>
                <w:sz w:val="18"/>
                <w:szCs w:val="18"/>
                <w:color w:val="auto"/>
              </w:rPr>
              <w:t>Employee Stock Option and Share Plan of AC Immune (2005 Plan) (filed herewith)</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99.3</w:t>
            </w:r>
          </w:p>
        </w:tc>
        <w:tc>
          <w:tcPr>
            <w:tcW w:w="10740" w:type="dxa"/>
            <w:vAlign w:val="bottom"/>
          </w:tcPr>
          <w:p>
            <w:pPr>
              <w:ind w:left="360"/>
              <w:spacing w:after="0"/>
              <w:rPr>
                <w:sz w:val="20"/>
                <w:szCs w:val="20"/>
                <w:color w:val="auto"/>
              </w:rPr>
            </w:pPr>
            <w:r>
              <w:rPr>
                <w:rFonts w:ascii="Arial" w:cs="Arial" w:eastAsia="Arial" w:hAnsi="Arial"/>
                <w:sz w:val="18"/>
                <w:szCs w:val="18"/>
                <w:color w:val="auto"/>
              </w:rPr>
              <w:t>Stock Option Plan - AC Immune of December 31, 2004 (filed herewith)</w:t>
            </w:r>
          </w:p>
        </w:tc>
      </w:tr>
      <w:tr>
        <w:trPr>
          <w:trHeight w:val="351"/>
        </w:trPr>
        <w:tc>
          <w:tcPr>
            <w:tcW w:w="680" w:type="dxa"/>
            <w:vAlign w:val="bottom"/>
            <w:tcBorders>
              <w:bottom w:val="single" w:sz="8" w:color="54301A"/>
            </w:tcBorders>
          </w:tcPr>
          <w:p>
            <w:pPr>
              <w:spacing w:after="0"/>
              <w:rPr>
                <w:sz w:val="24"/>
                <w:szCs w:val="24"/>
                <w:color w:val="auto"/>
              </w:rPr>
            </w:pPr>
          </w:p>
        </w:tc>
        <w:tc>
          <w:tcPr>
            <w:tcW w:w="10740" w:type="dxa"/>
            <w:vAlign w:val="bottom"/>
            <w:tcBorders>
              <w:bottom w:val="single" w:sz="8" w:color="54301A"/>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ARTICLES OF ASSOCIATION</w:t>
            </w:r>
          </w:p>
        </w:tc>
        <w:tc>
          <w:tcPr>
            <w:tcW w:w="220" w:type="dxa"/>
            <w:vAlign w:val="bottom"/>
            <w:tcBorders>
              <w:top w:val="single" w:sz="8" w:color="auto"/>
              <w:right w:val="single" w:sz="8" w:color="auto"/>
            </w:tcBorders>
          </w:tcPr>
          <w:p>
            <w:pPr>
              <w:spacing w:after="0"/>
              <w:rPr>
                <w:sz w:val="24"/>
                <w:szCs w:val="24"/>
                <w:color w:val="auto"/>
              </w:rPr>
            </w:pPr>
          </w:p>
        </w:tc>
        <w:tc>
          <w:tcPr>
            <w:tcW w:w="5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STATUTS</w:t>
            </w:r>
          </w:p>
        </w:tc>
      </w:tr>
      <w:tr>
        <w:trPr>
          <w:trHeight w:val="40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of</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w:t>
            </w:r>
          </w:p>
        </w:tc>
      </w:tr>
      <w:tr>
        <w:trPr>
          <w:trHeight w:val="369"/>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 Immune SA</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 Immune SA</w:t>
            </w:r>
          </w:p>
        </w:tc>
      </w:tr>
      <w:tr>
        <w:trPr>
          <w:trHeight w:val="203"/>
        </w:trPr>
        <w:tc>
          <w:tcPr>
            <w:tcW w:w="57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(AC Immune AG)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(AC Immune AG)</w:t>
            </w:r>
          </w:p>
        </w:tc>
      </w:tr>
      <w:tr>
        <w:trPr>
          <w:trHeight w:val="239"/>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(AC Immune Ltd)</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 Immune Ltd)</w:t>
            </w:r>
          </w:p>
        </w:tc>
      </w:tr>
      <w:tr>
        <w:trPr>
          <w:trHeight w:val="40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with registered office in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avec siège à</w:t>
            </w:r>
          </w:p>
        </w:tc>
      </w:tr>
      <w:tr>
        <w:trPr>
          <w:trHeight w:val="405"/>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Ecublens (VD)</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Ecublens (VD)</w:t>
            </w:r>
          </w:p>
        </w:tc>
      </w:tr>
      <w:tr>
        <w:trPr>
          <w:trHeight w:val="405"/>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French version of these articles of association shall prevail.</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La version française de ces statuts fait foi.</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41"/>
        </w:trPr>
        <w:tc>
          <w:tcPr>
            <w:tcW w:w="57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I.  CORPORATE NAME, PRINCIPAL OFFICE, DURATION AND</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I.  RAISON SOCIALE, SIÈGE, DURÉE ET BUT DE LA SOCIÉTÉ</w:t>
            </w:r>
          </w:p>
        </w:tc>
      </w:tr>
      <w:tr>
        <w:trPr>
          <w:trHeight w:val="239"/>
        </w:trPr>
        <w:tc>
          <w:tcPr>
            <w:tcW w:w="57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PURPOSE OF THE COMPANY</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 Corporate Name and Duration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 Raison sociale et durée</w:t>
            </w:r>
          </w:p>
        </w:tc>
      </w:tr>
      <w:tr>
        <w:trPr>
          <w:trHeight w:val="405"/>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Under the name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Sous la raison sociale</w:t>
            </w:r>
          </w:p>
        </w:tc>
      </w:tr>
      <w:tr>
        <w:trPr>
          <w:trHeight w:val="391"/>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AC Immune SA</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AC Immune SA</w:t>
            </w:r>
          </w:p>
        </w:tc>
      </w:tr>
      <w:tr>
        <w:trPr>
          <w:trHeight w:val="203"/>
        </w:trPr>
        <w:tc>
          <w:tcPr>
            <w:tcW w:w="57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(AC Immune AG)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(AC Immune AG)</w:t>
            </w:r>
          </w:p>
        </w:tc>
      </w:tr>
      <w:tr>
        <w:trPr>
          <w:trHeight w:val="217"/>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(AC Immune Ltd)</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(AC Immune Ltd)</w:t>
            </w:r>
          </w:p>
        </w:tc>
      </w:tr>
      <w:tr>
        <w:trPr>
          <w:trHeight w:val="373"/>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xml:space="preserve">there exists a Company pursuant to the provisions of Articles 620 </w:t>
            </w:r>
            <w:r>
              <w:rPr>
                <w:rFonts w:ascii="Arial" w:cs="Arial" w:eastAsia="Arial" w:hAnsi="Arial"/>
                <w:sz w:val="18"/>
                <w:szCs w:val="18"/>
                <w:i w:val="1"/>
                <w:iCs w:val="1"/>
                <w:color w:val="auto"/>
              </w:rPr>
              <w:t>et</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il existe une société conformément aux articles 620 ss. du Code</w:t>
            </w:r>
          </w:p>
        </w:tc>
      </w:tr>
      <w:tr>
        <w:trPr>
          <w:trHeight w:val="221"/>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i w:val="1"/>
                <w:iCs w:val="1"/>
                <w:color w:val="auto"/>
              </w:rPr>
              <w:t xml:space="preserve">seq. </w:t>
            </w:r>
            <w:r>
              <w:rPr>
                <w:rFonts w:ascii="Arial" w:cs="Arial" w:eastAsia="Arial" w:hAnsi="Arial"/>
                <w:sz w:val="18"/>
                <w:szCs w:val="18"/>
                <w:color w:val="auto"/>
              </w:rPr>
              <w:t>of the Swiss Code of Obligations (CO) with registered office in</w:t>
            </w:r>
          </w:p>
        </w:tc>
        <w:tc>
          <w:tcPr>
            <w:tcW w:w="22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des Obligations suisse (CO) ayant son siège à Ecublens (VD). La</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Ecublens (VD). The duration of the Company is unlimited.</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durée de la société est illimitée.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 Purpose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 But</w:t>
            </w:r>
          </w:p>
        </w:tc>
      </w:tr>
      <w:tr>
        <w:trPr>
          <w:trHeight w:val="391"/>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The purpose of the Company is the research, study, development,</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Le  but  de  la  société  est  la  recherche,  les  études,  le</w:t>
            </w:r>
          </w:p>
        </w:tc>
      </w:tr>
      <w:tr>
        <w:trPr>
          <w:trHeight w:val="203"/>
        </w:trPr>
        <w:tc>
          <w:tcPr>
            <w:tcW w:w="57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manufacture,  promotion,  sale  and  marketing  of  products  and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développement,  la  fabrication,  la  promotion,  la  vente  et  le</w:t>
            </w:r>
          </w:p>
        </w:tc>
      </w:tr>
      <w:tr>
        <w:trPr>
          <w:trHeight w:val="203"/>
        </w:trPr>
        <w:tc>
          <w:tcPr>
            <w:tcW w:w="57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substances within the pharmaceutical and nutrition industry as well as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marketing des produits et des substances au sein de l'industrie</w:t>
            </w:r>
          </w:p>
        </w:tc>
      </w:tr>
      <w:tr>
        <w:trPr>
          <w:trHeight w:val="203"/>
        </w:trPr>
        <w:tc>
          <w:tcPr>
            <w:tcW w:w="57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the purchase, sale and exploitation of patents and licenses in this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pharmaceutique et de la nutrition ainsi que l'achat, la vente et</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field.</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l'exploitation de brevets et de licences dans ce domaine.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The Company may engage in any activities which are apt to favor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La société peut se livrer à des activités qui sont de nature à</w:t>
            </w:r>
          </w:p>
        </w:tc>
      </w:tr>
      <w:tr>
        <w:trPr>
          <w:trHeight w:val="203"/>
        </w:trPr>
        <w:tc>
          <w:tcPr>
            <w:tcW w:w="5740" w:type="dxa"/>
            <w:vAlign w:val="bottom"/>
            <w:tcBorders>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purpose of the Company directly or indirectly. The Company may also</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rPr>
              <w:t>favoriser directement ou indirectement le but de la société. La</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acquire and sell real estate.</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société peut également acquérir et vendre des biens immobiliers.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8"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color w:val="auto"/>
        </w:rPr>
        <w:t>2</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7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Company may open branch offices in Switzerland and abroad</w:t>
            </w:r>
          </w:p>
        </w:tc>
        <w:tc>
          <w:tcPr>
            <w:tcW w:w="220" w:type="dxa"/>
            <w:vAlign w:val="bottom"/>
            <w:tcBorders>
              <w:top w:val="single" w:sz="8" w:color="auto"/>
              <w:right w:val="single" w:sz="8" w:color="auto"/>
            </w:tcBorders>
          </w:tcPr>
          <w:p>
            <w:pPr>
              <w:spacing w:after="0"/>
              <w:rPr>
                <w:sz w:val="24"/>
                <w:szCs w:val="24"/>
                <w:color w:val="auto"/>
              </w:rPr>
            </w:pPr>
          </w:p>
        </w:tc>
        <w:tc>
          <w:tcPr>
            <w:tcW w:w="54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La société peut ouvrir des succursales en Suisse et à l'étranger et</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 may also acquire participations in other companies.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peut également acquérir des participations dans d'autres sociétés.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Company may provide securities to its subsidiaries and supply</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société peut fournir des titres à ses filiales et des garanties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guarantees.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d'approvisionnement.</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II. SHARE CAPITAL AND SHARES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II. CAPITAL-ACTIONS ET ACTIONS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 Share Capital and Shares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 Capital-actions et actions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 Capital of the Company is CHF 1'094'085.84. It is divided</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capital-actions de la société se monte à CHF 1'094'085.84. 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into 54'704'292 registered shares with a nominal value of CHF 0.02</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est  divisé  en  54'704'292  actions  nominatives  d'une  valeur</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each, fully paid-in.</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nominale de CHF 0.02 chacune, entièrement libérées.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331"/>
        </w:trPr>
        <w:tc>
          <w:tcPr>
            <w:tcW w:w="5740" w:type="dxa"/>
            <w:vAlign w:val="bottom"/>
            <w:tcBorders>
              <w:left w:val="single" w:sz="8" w:color="auto"/>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5460" w:type="dxa"/>
            <w:vAlign w:val="bottom"/>
            <w:tcBorders>
              <w:bottom w:val="single" w:sz="8" w:color="auto"/>
              <w:right w:val="single" w:sz="8" w:color="auto"/>
            </w:tcBorders>
          </w:tcPr>
          <w:p>
            <w:pPr>
              <w:spacing w:after="0"/>
              <w:rPr>
                <w:sz w:val="24"/>
                <w:szCs w:val="2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3a Authorized Capital Increase of Share Capital</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3a Augmentation autorisée du capital-actions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is authorized to increase the share capital, in</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est autorisé à augmenter le capital-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one or several steps until 20 October 2017, by a maximum amount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actions, en une ou plusieurs étapes jusqu'au 20 octobre 2017,</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CHF 288'950 by issuing a maximum of 14'447'500 registered shares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d'un montant maximum de CHF 288'950 par l'émission d'un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with a par value of CHF 0.02 each, to be fully paid up. An increase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montant maximum de 14'447'500 actions nominatives d'une valeur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share capital (i) by means of an offering underwritten by a</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nominale  de  CHF  0.02  chacune,  à  libérer  entièrement.  Une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financial institution, a syndicate or another third party or third parties,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augmentation de capital (i) par souscription d'actions par une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followed by an offer to the then-existing shareholders of the Company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institution financière, un syndicat ou un tiers ou des tiers, suivie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(ii) in partial amounts shall also be permissible.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par une souscription d'actions par les actionnaires de la société</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alors  existants  et  (ii)  par  montants  partiels,  est  également</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autorisée.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determine the time of the issuance,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fixe  la  date  d'émission,  le  prix</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issue price, the manner in which the new registered shares have to</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d'émission,  la  manière  de  libérer  les  nouvelles  actions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 paid up, the date from which the registered shares carry the right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nominatives, la date à partir de laquelle les actions nominatives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dividends, the conditions for the exercise of the preemptive rights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donnent droit à un dividende, les conditions pour l'exercice des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the allotment of preemptive rights that have not been exercised.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droits de souscription préférentiels et l'attribution des droits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Board of Directors may allow the preemptive rights that have not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souscription préférentiels qui n'ont pas été exercés. Le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been exercised to expire, or it may place with third parties such rights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peut autoriser que des droits de souscription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registered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préférentiels qui n'ont pas été exercés expirent ou attribuer à des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tiers ces droits ou</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120" w:type="dxa"/>
            <w:vAlign w:val="bottom"/>
          </w:tcPr>
          <w:p>
            <w:pPr>
              <w:ind w:left="5020"/>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101"/>
        </w:trPr>
        <w:tc>
          <w:tcPr>
            <w:tcW w:w="5840" w:type="dxa"/>
            <w:vAlign w:val="bottom"/>
            <w:tcBorders>
              <w:bottom w:val="single" w:sz="8" w:color="auto"/>
            </w:tcBorders>
            <w:gridSpan w:val="2"/>
          </w:tcPr>
          <w:p>
            <w:pPr>
              <w:spacing w:after="0"/>
              <w:rPr>
                <w:sz w:val="8"/>
                <w:szCs w:val="8"/>
                <w:color w:val="auto"/>
              </w:rPr>
            </w:pPr>
          </w:p>
        </w:tc>
        <w:tc>
          <w:tcPr>
            <w:tcW w:w="55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shares, the preemptive rights of which have not been exercised, at</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actions nominatives, dont les droits de souscription préférentiels</w:t>
            </w:r>
          </w:p>
        </w:tc>
        <w:tc>
          <w:tcPr>
            <w:tcW w:w="0" w:type="dxa"/>
            <w:vAlign w:val="bottom"/>
          </w:tcPr>
          <w:p>
            <w:pPr>
              <w:spacing w:after="0"/>
              <w:rPr>
                <w:sz w:val="1"/>
                <w:szCs w:val="1"/>
                <w:color w:val="auto"/>
              </w:rPr>
            </w:pPr>
          </w:p>
        </w:tc>
      </w:tr>
      <w:tr>
        <w:trPr>
          <w:trHeight w:val="203"/>
        </w:trPr>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market conditions or use them otherwise in the interest of the</w:t>
            </w:r>
          </w:p>
        </w:tc>
        <w:tc>
          <w:tcPr>
            <w:tcW w:w="5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n'ont pas été exercés, aux conditions du marché ou les utiliser</w:t>
            </w:r>
          </w:p>
        </w:tc>
        <w:tc>
          <w:tcPr>
            <w:tcW w:w="0" w:type="dxa"/>
            <w:vAlign w:val="bottom"/>
          </w:tcPr>
          <w:p>
            <w:pPr>
              <w:spacing w:after="0"/>
              <w:rPr>
                <w:sz w:val="1"/>
                <w:szCs w:val="1"/>
                <w:color w:val="auto"/>
              </w:rPr>
            </w:pPr>
          </w:p>
        </w:tc>
      </w:tr>
      <w:tr>
        <w:trPr>
          <w:trHeight w:val="217"/>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autrement dans l'intérêt de la société.</w:t>
            </w:r>
          </w:p>
        </w:tc>
        <w:tc>
          <w:tcPr>
            <w:tcW w:w="0" w:type="dxa"/>
            <w:vAlign w:val="bottom"/>
          </w:tcPr>
          <w:p>
            <w:pPr>
              <w:spacing w:after="0"/>
              <w:rPr>
                <w:sz w:val="1"/>
                <w:szCs w:val="1"/>
                <w:color w:val="auto"/>
              </w:rPr>
            </w:pPr>
          </w:p>
        </w:tc>
      </w:tr>
      <w:tr>
        <w:trPr>
          <w:trHeight w:val="54"/>
        </w:trPr>
        <w:tc>
          <w:tcPr>
            <w:tcW w:w="5840" w:type="dxa"/>
            <w:vAlign w:val="bottom"/>
            <w:tcBorders>
              <w:bottom w:val="single" w:sz="8" w:color="auto"/>
            </w:tcBorders>
            <w:gridSpan w:val="2"/>
          </w:tcPr>
          <w:p>
            <w:pPr>
              <w:spacing w:after="0"/>
              <w:rPr>
                <w:sz w:val="4"/>
                <w:szCs w:val="4"/>
                <w:color w:val="auto"/>
              </w:rPr>
            </w:pPr>
          </w:p>
        </w:tc>
        <w:tc>
          <w:tcPr>
            <w:tcW w:w="55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The  Board  of  Directors  is  authorized  to  withdraw  or  limit  the</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Le conseil d'administration est autorisé à retirer ou de limiter les</w:t>
            </w:r>
          </w:p>
        </w:tc>
        <w:tc>
          <w:tcPr>
            <w:tcW w:w="0" w:type="dxa"/>
            <w:vAlign w:val="bottom"/>
          </w:tcPr>
          <w:p>
            <w:pPr>
              <w:spacing w:after="0"/>
              <w:rPr>
                <w:sz w:val="1"/>
                <w:szCs w:val="1"/>
                <w:color w:val="auto"/>
              </w:rPr>
            </w:pPr>
          </w:p>
        </w:tc>
      </w:tr>
      <w:tr>
        <w:trPr>
          <w:trHeight w:val="203"/>
        </w:trPr>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preemptive rights of the shareholders and to allot them to third</w:t>
            </w:r>
          </w:p>
        </w:tc>
        <w:tc>
          <w:tcPr>
            <w:tcW w:w="5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droits de souscription préférentiels des actionnaires et de les</w:t>
            </w:r>
          </w:p>
        </w:tc>
        <w:tc>
          <w:tcPr>
            <w:tcW w:w="0" w:type="dxa"/>
            <w:vAlign w:val="bottom"/>
          </w:tcPr>
          <w:p>
            <w:pPr>
              <w:spacing w:after="0"/>
              <w:rPr>
                <w:sz w:val="1"/>
                <w:szCs w:val="1"/>
                <w:color w:val="auto"/>
              </w:rPr>
            </w:pPr>
          </w:p>
        </w:tc>
      </w:tr>
      <w:tr>
        <w:trPr>
          <w:trHeight w:val="217"/>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parties:</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attribuer à des tiers:</w:t>
            </w:r>
          </w:p>
        </w:tc>
        <w:tc>
          <w:tcPr>
            <w:tcW w:w="0" w:type="dxa"/>
            <w:vAlign w:val="bottom"/>
          </w:tcPr>
          <w:p>
            <w:pPr>
              <w:spacing w:after="0"/>
              <w:rPr>
                <w:sz w:val="1"/>
                <w:szCs w:val="1"/>
                <w:color w:val="auto"/>
              </w:rPr>
            </w:pPr>
          </w:p>
        </w:tc>
      </w:tr>
      <w:tr>
        <w:trPr>
          <w:trHeight w:val="391"/>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a)   if the issue price of the new registered shares is determined by</w:t>
            </w: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5120" w:type="dxa"/>
            <w:vAlign w:val="bottom"/>
          </w:tcPr>
          <w:p>
            <w:pPr>
              <w:jc w:val="right"/>
              <w:spacing w:after="0"/>
              <w:rPr>
                <w:sz w:val="20"/>
                <w:szCs w:val="20"/>
                <w:color w:val="auto"/>
              </w:rPr>
            </w:pPr>
            <w:r>
              <w:rPr>
                <w:rFonts w:ascii="Arial" w:cs="Arial" w:eastAsia="Arial" w:hAnsi="Arial"/>
                <w:sz w:val="18"/>
                <w:szCs w:val="18"/>
                <w:color w:val="auto"/>
              </w:rPr>
              <w:t>si le prix d'émission des nouvelles actions nominatives est</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reference to the market price; or</w:t>
            </w:r>
          </w:p>
        </w:tc>
        <w:tc>
          <w:tcPr>
            <w:tcW w:w="46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déterminé avec une référence au prix de marché; ou</w:t>
            </w:r>
          </w:p>
        </w:tc>
        <w:tc>
          <w:tcPr>
            <w:tcW w:w="0" w:type="dxa"/>
            <w:vAlign w:val="bottom"/>
          </w:tcPr>
          <w:p>
            <w:pPr>
              <w:spacing w:after="0"/>
              <w:rPr>
                <w:sz w:val="1"/>
                <w:szCs w:val="1"/>
                <w:color w:val="auto"/>
              </w:rPr>
            </w:pPr>
          </w:p>
        </w:tc>
      </w:tr>
      <w:tr>
        <w:trPr>
          <w:trHeight w:val="391"/>
        </w:trPr>
        <w:tc>
          <w:tcPr>
            <w:tcW w:w="360" w:type="dxa"/>
            <w:vAlign w:val="bottom"/>
          </w:tcPr>
          <w:p>
            <w:pPr>
              <w:ind w:left="100"/>
              <w:spacing w:after="0"/>
              <w:rPr>
                <w:sz w:val="20"/>
                <w:szCs w:val="20"/>
                <w:color w:val="auto"/>
              </w:rPr>
            </w:pPr>
            <w:r>
              <w:rPr>
                <w:rFonts w:ascii="Arial" w:cs="Arial" w:eastAsia="Arial" w:hAnsi="Arial"/>
                <w:sz w:val="18"/>
                <w:szCs w:val="18"/>
                <w:color w:val="auto"/>
              </w:rPr>
              <w:t>b)</w:t>
            </w:r>
          </w:p>
        </w:tc>
        <w:tc>
          <w:tcPr>
            <w:tcW w:w="5480" w:type="dxa"/>
            <w:vAlign w:val="bottom"/>
          </w:tcPr>
          <w:p>
            <w:pPr>
              <w:ind w:left="240"/>
              <w:spacing w:after="0"/>
              <w:rPr>
                <w:sz w:val="20"/>
                <w:szCs w:val="20"/>
                <w:color w:val="auto"/>
              </w:rPr>
            </w:pPr>
            <w:r>
              <w:rPr>
                <w:rFonts w:ascii="Arial" w:cs="Arial" w:eastAsia="Arial" w:hAnsi="Arial"/>
                <w:sz w:val="18"/>
                <w:szCs w:val="18"/>
                <w:color w:val="auto"/>
              </w:rPr>
              <w:t>for the acquisition of an enterprise, part of an enterprise or</w:t>
            </w:r>
          </w:p>
        </w:tc>
        <w:tc>
          <w:tcPr>
            <w:tcW w:w="460" w:type="dxa"/>
            <w:vAlign w:val="bottom"/>
          </w:tcPr>
          <w:p>
            <w:pPr>
              <w:ind w:left="180"/>
              <w:spacing w:after="0"/>
              <w:rPr>
                <w:sz w:val="20"/>
                <w:szCs w:val="20"/>
                <w:color w:val="auto"/>
              </w:rPr>
            </w:pPr>
            <w:r>
              <w:rPr>
                <w:rFonts w:ascii="Arial" w:cs="Arial" w:eastAsia="Arial" w:hAnsi="Arial"/>
                <w:sz w:val="18"/>
                <w:szCs w:val="18"/>
                <w:color w:val="auto"/>
              </w:rPr>
              <w:t>b)</w:t>
            </w:r>
          </w:p>
        </w:tc>
        <w:tc>
          <w:tcPr>
            <w:tcW w:w="5120" w:type="dxa"/>
            <w:vAlign w:val="bottom"/>
          </w:tcPr>
          <w:p>
            <w:pPr>
              <w:jc w:val="right"/>
              <w:spacing w:after="0"/>
              <w:rPr>
                <w:sz w:val="20"/>
                <w:szCs w:val="20"/>
                <w:color w:val="auto"/>
              </w:rPr>
            </w:pPr>
            <w:r>
              <w:rPr>
                <w:rFonts w:ascii="Arial" w:cs="Arial" w:eastAsia="Arial" w:hAnsi="Arial"/>
                <w:sz w:val="18"/>
                <w:szCs w:val="18"/>
                <w:color w:val="auto"/>
              </w:rPr>
              <w:t>pour l'acquisition d'une entreprise, part d'entreprise ou</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participations, or for the financing or refinancing of any of such</w:t>
            </w: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participation, ou pour le financement ou le refinancement de</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acquisition, or in the event of share placement for the financing</w:t>
            </w: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ladite acquisition, ou en cas de placement d'actions pour le</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or refinancing of such placement; or</w:t>
            </w:r>
          </w:p>
        </w:tc>
        <w:tc>
          <w:tcPr>
            <w:tcW w:w="46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financement ou le refinancement dudit placement; ou</w:t>
            </w:r>
          </w:p>
        </w:tc>
        <w:tc>
          <w:tcPr>
            <w:tcW w:w="0" w:type="dxa"/>
            <w:vAlign w:val="bottom"/>
          </w:tcPr>
          <w:p>
            <w:pPr>
              <w:spacing w:after="0"/>
              <w:rPr>
                <w:sz w:val="1"/>
                <w:szCs w:val="1"/>
                <w:color w:val="auto"/>
              </w:rPr>
            </w:pPr>
          </w:p>
        </w:tc>
      </w:tr>
      <w:tr>
        <w:trPr>
          <w:trHeight w:val="391"/>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c)   for purposes of broadening the shareholder constituency of the</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c)  pour l'élargissement de la base des actionnaires de la société</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Company in certain financial or investor markets, for purposes of</w:t>
            </w: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dans certains marchés financiers ou d'investissement, afin de</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the participation of strategic partners, or in connection with the</w:t>
            </w: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permettre une participation de partenaires stratégiques, ou</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listing or registration of new registered shares on domestic or</w:t>
            </w: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dans le cas de cotation ou d'enregistrement de nouvelles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foreign stock exchanges; or</w:t>
            </w: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actions nominatives aux bourses nationales ou étrangères;</w:t>
            </w:r>
          </w:p>
        </w:tc>
        <w:tc>
          <w:tcPr>
            <w:tcW w:w="0" w:type="dxa"/>
            <w:vAlign w:val="bottom"/>
          </w:tcPr>
          <w:p>
            <w:pPr>
              <w:spacing w:after="0"/>
              <w:rPr>
                <w:sz w:val="1"/>
                <w:szCs w:val="1"/>
                <w:color w:val="auto"/>
              </w:rPr>
            </w:pPr>
          </w:p>
        </w:tc>
      </w:tr>
      <w:tr>
        <w:trPr>
          <w:trHeight w:val="217"/>
        </w:trPr>
        <w:tc>
          <w:tcPr>
            <w:tcW w:w="5840" w:type="dxa"/>
            <w:vAlign w:val="bottom"/>
            <w:gridSpan w:val="2"/>
            <w:vMerge w:val="restart"/>
          </w:tcPr>
          <w:p>
            <w:pPr>
              <w:ind w:left="100"/>
              <w:spacing w:after="0"/>
              <w:rPr>
                <w:sz w:val="20"/>
                <w:szCs w:val="20"/>
                <w:color w:val="auto"/>
              </w:rPr>
            </w:pPr>
            <w:r>
              <w:rPr>
                <w:rFonts w:ascii="Arial" w:cs="Arial" w:eastAsia="Arial" w:hAnsi="Arial"/>
                <w:sz w:val="18"/>
                <w:szCs w:val="18"/>
                <w:color w:val="auto"/>
              </w:rPr>
              <w:t>d)  for purposes of granting an over-allotment option (Greenshoe) of</w:t>
            </w:r>
          </w:p>
        </w:tc>
        <w:tc>
          <w:tcPr>
            <w:tcW w:w="46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ou</w:t>
            </w:r>
          </w:p>
        </w:tc>
        <w:tc>
          <w:tcPr>
            <w:tcW w:w="0" w:type="dxa"/>
            <w:vAlign w:val="bottom"/>
          </w:tcPr>
          <w:p>
            <w:pPr>
              <w:spacing w:after="0"/>
              <w:rPr>
                <w:sz w:val="1"/>
                <w:szCs w:val="1"/>
                <w:color w:val="auto"/>
              </w:rPr>
            </w:pPr>
          </w:p>
        </w:tc>
      </w:tr>
      <w:tr>
        <w:trPr>
          <w:trHeight w:val="188"/>
        </w:trPr>
        <w:tc>
          <w:tcPr>
            <w:tcW w:w="58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up  to  20%  of  the  total  number  of  registered  shares  in  a</w:t>
            </w:r>
          </w:p>
        </w:tc>
        <w:tc>
          <w:tcPr>
            <w:tcW w:w="5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   pour octroyer une option de surallocation (Greenshoe) d'un</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placement or sale of registered shares to the respective initial</w:t>
            </w: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maximum de 20% du nombre total d'actions nominatives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purchaser(s) or underwriter(s); or</w:t>
            </w: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dans un placement ou une vente d'actions nominatives à</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l'/des  acheteur(s)  initial(s)  ou  du/des  souscripteur(s)</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respectif(s); ou</w:t>
            </w:r>
          </w:p>
        </w:tc>
        <w:tc>
          <w:tcPr>
            <w:tcW w:w="0" w:type="dxa"/>
            <w:vAlign w:val="bottom"/>
          </w:tcPr>
          <w:p>
            <w:pPr>
              <w:spacing w:after="0"/>
              <w:rPr>
                <w:sz w:val="1"/>
                <w:szCs w:val="1"/>
                <w:color w:val="auto"/>
              </w:rPr>
            </w:pPr>
          </w:p>
        </w:tc>
      </w:tr>
      <w:tr>
        <w:trPr>
          <w:trHeight w:val="391"/>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e)  for raising of capital (including private placements) in a fast and</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e)   pour lever des capitaux (y compris des placements privés)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flexible  which  probably  could  not  be  reached  without  the</w:t>
            </w: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dans  un  délai  rapide  et  flexible,  ce  qui  ne  pourrait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exclusion  of  the  statutory  pre-emptive  right  of  the  existing</w:t>
            </w: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probablement  pas  être  réalisé  sans  l'exclusion  du  droit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shareholders; or</w:t>
            </w: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préférentiel  de  souscription  statuaire  des  actionnaires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Pr>
          <w:p>
            <w:pPr>
              <w:ind w:left="100"/>
              <w:spacing w:after="0" w:line="202" w:lineRule="exact"/>
              <w:rPr>
                <w:sz w:val="20"/>
                <w:szCs w:val="20"/>
                <w:color w:val="auto"/>
              </w:rPr>
            </w:pPr>
            <w:r>
              <w:rPr>
                <w:rFonts w:ascii="Arial" w:cs="Arial" w:eastAsia="Arial" w:hAnsi="Arial"/>
                <w:sz w:val="18"/>
                <w:szCs w:val="18"/>
                <w:color w:val="auto"/>
              </w:rPr>
              <w:t>existants; ou</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-4389755</wp:posOffset>
            </wp:positionV>
            <wp:extent cx="7246620" cy="5213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213985"/>
                    </a:xfrm>
                    <a:prstGeom prst="rect">
                      <a:avLst/>
                    </a:prstGeom>
                    <a:noFill/>
                  </pic:spPr>
                </pic:pic>
              </a:graphicData>
            </a:graphic>
          </wp:anchor>
        </w:drawing>
      </w:r>
    </w:p>
    <w:p>
      <w:pPr>
        <w:ind w:left="500" w:hanging="406"/>
        <w:spacing w:after="0" w:line="23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CO;</w:t>
      </w:r>
    </w:p>
    <w:tbl>
      <w:tblPr>
        <w:tblLayout w:type="fixed"/>
        <w:tblInd w:w="480" w:type="dxa"/>
        <w:tblCellMar>
          <w:top w:w="0" w:type="dxa"/>
          <w:left w:w="0" w:type="dxa"/>
          <w:bottom w:w="0" w:type="dxa"/>
          <w:right w:w="0" w:type="dxa"/>
        </w:tblCellMar>
      </w:tblPr>
      <w:tr>
        <w:trPr>
          <w:trHeight w:val="203"/>
        </w:trPr>
        <w:tc>
          <w:tcPr>
            <w:tcW w:w="2840" w:type="dxa"/>
            <w:vAlign w:val="bottom"/>
          </w:tcPr>
          <w:p>
            <w:pPr>
              <w:spacing w:after="0" w:line="203" w:lineRule="exact"/>
              <w:rPr>
                <w:sz w:val="20"/>
                <w:szCs w:val="20"/>
                <w:color w:val="auto"/>
              </w:rPr>
            </w:pPr>
            <w:r>
              <w:rPr>
                <w:rFonts w:ascii="Arial" w:cs="Arial" w:eastAsia="Arial" w:hAnsi="Arial"/>
                <w:sz w:val="18"/>
                <w:szCs w:val="18"/>
                <w:color w:val="auto"/>
              </w:rPr>
              <w:t>or</w:t>
            </w:r>
          </w:p>
        </w:tc>
        <w:tc>
          <w:tcPr>
            <w:tcW w:w="2940" w:type="dxa"/>
            <w:vAlign w:val="bottom"/>
          </w:tcPr>
          <w:p>
            <w:pPr>
              <w:ind w:left="2700"/>
              <w:spacing w:after="0" w:line="203" w:lineRule="exact"/>
              <w:rPr>
                <w:sz w:val="20"/>
                <w:szCs w:val="20"/>
                <w:color w:val="auto"/>
              </w:rPr>
            </w:pPr>
            <w:r>
              <w:rPr>
                <w:rFonts w:ascii="Arial" w:cs="Arial" w:eastAsia="Arial" w:hAnsi="Arial"/>
                <w:sz w:val="18"/>
                <w:szCs w:val="18"/>
                <w:color w:val="auto"/>
              </w:rPr>
              <w:t>f)</w:t>
            </w:r>
          </w:p>
        </w:tc>
        <w:tc>
          <w:tcPr>
            <w:tcW w:w="5060" w:type="dxa"/>
            <w:vAlign w:val="bottom"/>
          </w:tcPr>
          <w:p>
            <w:pPr>
              <w:ind w:left="220"/>
              <w:spacing w:after="0" w:line="203" w:lineRule="exact"/>
              <w:rPr>
                <w:sz w:val="20"/>
                <w:szCs w:val="20"/>
                <w:color w:val="auto"/>
              </w:rPr>
            </w:pPr>
            <w:r>
              <w:rPr>
                <w:rFonts w:ascii="Arial" w:cs="Arial" w:eastAsia="Arial" w:hAnsi="Arial"/>
                <w:sz w:val="18"/>
                <w:szCs w:val="18"/>
                <w:color w:val="auto"/>
              </w:rPr>
              <w:t>pour d'autres motifs valables au sens de l'article 652b al. 2</w:t>
            </w:r>
          </w:p>
        </w:tc>
      </w:tr>
      <w:tr>
        <w:trPr>
          <w:trHeight w:val="203"/>
        </w:trPr>
        <w:tc>
          <w:tcPr>
            <w:tcW w:w="28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060" w:type="dxa"/>
            <w:vAlign w:val="bottom"/>
          </w:tcPr>
          <w:p>
            <w:pPr>
              <w:ind w:left="140"/>
              <w:spacing w:after="0" w:line="202" w:lineRule="exact"/>
              <w:rPr>
                <w:sz w:val="20"/>
                <w:szCs w:val="20"/>
                <w:color w:val="auto"/>
              </w:rPr>
            </w:pPr>
            <w:r>
              <w:rPr>
                <w:rFonts w:ascii="Arial" w:cs="Arial" w:eastAsia="Arial" w:hAnsi="Arial"/>
                <w:sz w:val="18"/>
                <w:szCs w:val="18"/>
                <w:color w:val="auto"/>
              </w:rPr>
              <w:t>CO; ou</w:t>
            </w:r>
          </w:p>
        </w:tc>
      </w:tr>
    </w:tbl>
    <w:p>
      <w:pPr>
        <w:ind w:left="600" w:hanging="506"/>
        <w:spacing w:after="0" w:line="23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following a shareholder or a group of shareholders acting in</w:t>
      </w:r>
    </w:p>
    <w:tbl>
      <w:tblPr>
        <w:tblLayout w:type="fixed"/>
        <w:tblInd w:w="0" w:type="dxa"/>
        <w:tblCellMar>
          <w:top w:w="0" w:type="dxa"/>
          <w:left w:w="0" w:type="dxa"/>
          <w:bottom w:w="0" w:type="dxa"/>
          <w:right w:w="0" w:type="dxa"/>
        </w:tblCellMar>
      </w:tblPr>
      <w:tr>
        <w:trPr>
          <w:trHeight w:val="203"/>
        </w:trPr>
        <w:tc>
          <w:tcPr>
            <w:tcW w:w="3840" w:type="dxa"/>
            <w:vAlign w:val="bottom"/>
          </w:tcPr>
          <w:p>
            <w:pPr>
              <w:ind w:left="480"/>
              <w:spacing w:after="0" w:line="203" w:lineRule="exact"/>
              <w:rPr>
                <w:sz w:val="20"/>
                <w:szCs w:val="20"/>
                <w:color w:val="auto"/>
              </w:rPr>
            </w:pPr>
            <w:r>
              <w:rPr>
                <w:rFonts w:ascii="Arial" w:cs="Arial" w:eastAsia="Arial" w:hAnsi="Arial"/>
                <w:sz w:val="18"/>
                <w:szCs w:val="18"/>
                <w:color w:val="auto"/>
              </w:rPr>
              <w:t>concert having</w:t>
            </w:r>
          </w:p>
        </w:tc>
        <w:tc>
          <w:tcPr>
            <w:tcW w:w="2460" w:type="dxa"/>
            <w:vAlign w:val="bottom"/>
          </w:tcPr>
          <w:p>
            <w:pPr>
              <w:ind w:left="2180"/>
              <w:spacing w:after="0" w:line="203" w:lineRule="exact"/>
              <w:rPr>
                <w:sz w:val="20"/>
                <w:szCs w:val="20"/>
                <w:color w:val="auto"/>
              </w:rPr>
            </w:pPr>
            <w:r>
              <w:rPr>
                <w:rFonts w:ascii="Arial" w:cs="Arial" w:eastAsia="Arial" w:hAnsi="Arial"/>
                <w:sz w:val="18"/>
                <w:szCs w:val="18"/>
                <w:color w:val="auto"/>
              </w:rPr>
              <w:t>g)</w:t>
            </w:r>
          </w:p>
        </w:tc>
        <w:tc>
          <w:tcPr>
            <w:tcW w:w="5120" w:type="dxa"/>
            <w:vAlign w:val="bottom"/>
          </w:tcPr>
          <w:p>
            <w:pPr>
              <w:ind w:left="280"/>
              <w:spacing w:after="0" w:line="203" w:lineRule="exact"/>
              <w:rPr>
                <w:sz w:val="20"/>
                <w:szCs w:val="20"/>
                <w:color w:val="auto"/>
              </w:rPr>
            </w:pPr>
            <w:r>
              <w:rPr>
                <w:rFonts w:ascii="Arial" w:cs="Arial" w:eastAsia="Arial" w:hAnsi="Arial"/>
                <w:sz w:val="18"/>
                <w:szCs w:val="18"/>
                <w:color w:val="auto"/>
              </w:rPr>
              <w:t>suite à l'accumulation par un actionnaire ou un groupe</w:t>
            </w:r>
          </w:p>
        </w:tc>
      </w:tr>
      <w:tr>
        <w:trPr>
          <w:trHeight w:val="217"/>
        </w:trPr>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d'actionnaires agissant de</w:t>
            </w:r>
          </w:p>
        </w:tc>
      </w:tr>
      <w:tr>
        <w:trPr>
          <w:trHeight w:val="176"/>
        </w:trPr>
        <w:tc>
          <w:tcPr>
            <w:tcW w:w="38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249" w:right="2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360"/>
              <w:spacing w:after="0"/>
              <w:rPr>
                <w:sz w:val="20"/>
                <w:szCs w:val="20"/>
                <w:color w:val="auto"/>
              </w:rPr>
            </w:pPr>
            <w:r>
              <w:rPr>
                <w:rFonts w:ascii="Arial" w:cs="Arial" w:eastAsia="Arial" w:hAnsi="Arial"/>
                <w:sz w:val="15"/>
                <w:szCs w:val="15"/>
                <w:color w:val="auto"/>
                <w:w w:val="71"/>
              </w:rPr>
              <w:t>4</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4"/>
        </w:trPr>
        <w:tc>
          <w:tcPr>
            <w:tcW w:w="5740" w:type="dxa"/>
            <w:vAlign w:val="bottom"/>
            <w:tcBorders>
              <w:left w:val="single" w:sz="8" w:color="auto"/>
              <w:right w:val="single" w:sz="8" w:color="auto"/>
            </w:tcBorders>
          </w:tcPr>
          <w:p>
            <w:pPr>
              <w:ind w:left="100"/>
              <w:spacing w:after="0" w:line="264" w:lineRule="exact"/>
              <w:rPr>
                <w:sz w:val="20"/>
                <w:szCs w:val="20"/>
                <w:color w:val="auto"/>
              </w:rPr>
            </w:pPr>
            <w:r>
              <w:rPr>
                <w:rFonts w:ascii="Arial" w:cs="Arial" w:eastAsia="Arial" w:hAnsi="Arial"/>
                <w:sz w:val="18"/>
                <w:szCs w:val="18"/>
                <w:color w:val="auto"/>
              </w:rPr>
              <w:t xml:space="preserve">accumulated shareholdings in excess of 33 </w:t>
            </w:r>
            <w:r>
              <w:rPr>
                <w:rFonts w:ascii="Arial" w:cs="Arial" w:eastAsia="Arial" w:hAnsi="Arial"/>
                <w:sz w:val="30"/>
                <w:szCs w:val="30"/>
                <w:color w:val="auto"/>
                <w:vertAlign w:val="superscript"/>
              </w:rPr>
              <w:t>1</w:t>
            </w:r>
            <w:r>
              <w:rPr>
                <w:rFonts w:ascii="Arial" w:cs="Arial" w:eastAsia="Arial" w:hAnsi="Arial"/>
                <w:sz w:val="18"/>
                <w:szCs w:val="18"/>
                <w:color w:val="auto"/>
              </w:rPr>
              <w:t>/  % of the share capital</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line="264" w:lineRule="exact"/>
              <w:rPr>
                <w:sz w:val="20"/>
                <w:szCs w:val="20"/>
                <w:color w:val="auto"/>
              </w:rPr>
            </w:pPr>
            <w:r>
              <w:rPr>
                <w:rFonts w:ascii="Arial" w:cs="Arial" w:eastAsia="Arial" w:hAnsi="Arial"/>
                <w:sz w:val="18"/>
                <w:szCs w:val="18"/>
                <w:color w:val="auto"/>
              </w:rPr>
              <w:t xml:space="preserve">concert de participations supérieures à 33 </w:t>
            </w:r>
            <w:r>
              <w:rPr>
                <w:rFonts w:ascii="Arial" w:cs="Arial" w:eastAsia="Arial" w:hAnsi="Arial"/>
                <w:sz w:val="30"/>
                <w:szCs w:val="30"/>
                <w:color w:val="auto"/>
                <w:vertAlign w:val="superscript"/>
              </w:rPr>
              <w:t>1</w:t>
            </w:r>
            <w:r>
              <w:rPr>
                <w:rFonts w:ascii="Arial" w:cs="Arial" w:eastAsia="Arial" w:hAnsi="Arial"/>
                <w:sz w:val="18"/>
                <w:szCs w:val="18"/>
                <w:color w:val="auto"/>
              </w:rPr>
              <w:t>/  % du capital-actions</w:t>
            </w:r>
          </w:p>
        </w:tc>
      </w:tr>
      <w:tr>
        <w:trPr>
          <w:trHeight w:val="67"/>
        </w:trPr>
        <w:tc>
          <w:tcPr>
            <w:tcW w:w="5740" w:type="dxa"/>
            <w:vAlign w:val="bottom"/>
            <w:tcBorders>
              <w:left w:val="single" w:sz="8" w:color="auto"/>
              <w:right w:val="single" w:sz="8" w:color="auto"/>
            </w:tcBorders>
          </w:tcPr>
          <w:p>
            <w:pPr>
              <w:ind w:left="3740"/>
              <w:spacing w:after="0" w:line="67" w:lineRule="exact"/>
              <w:rPr>
                <w:sz w:val="20"/>
                <w:szCs w:val="20"/>
                <w:color w:val="auto"/>
              </w:rPr>
            </w:pPr>
            <w:r>
              <w:rPr>
                <w:rFonts w:ascii="Arial" w:cs="Arial" w:eastAsia="Arial" w:hAnsi="Arial"/>
                <w:sz w:val="6"/>
                <w:szCs w:val="6"/>
                <w:color w:val="auto"/>
              </w:rPr>
              <w:t>3</w:t>
            </w:r>
          </w:p>
        </w:tc>
        <w:tc>
          <w:tcPr>
            <w:tcW w:w="220" w:type="dxa"/>
            <w:vAlign w:val="bottom"/>
            <w:tcBorders>
              <w:right w:val="single" w:sz="8" w:color="auto"/>
            </w:tcBorders>
          </w:tcPr>
          <w:p>
            <w:pPr>
              <w:spacing w:after="0"/>
              <w:rPr>
                <w:sz w:val="5"/>
                <w:szCs w:val="5"/>
                <w:color w:val="auto"/>
              </w:rPr>
            </w:pPr>
          </w:p>
        </w:tc>
        <w:tc>
          <w:tcPr>
            <w:tcW w:w="5460" w:type="dxa"/>
            <w:vAlign w:val="bottom"/>
            <w:tcBorders>
              <w:right w:val="single" w:sz="8" w:color="auto"/>
            </w:tcBorders>
          </w:tcPr>
          <w:p>
            <w:pPr>
              <w:ind w:left="3580"/>
              <w:spacing w:after="0" w:line="67" w:lineRule="exact"/>
              <w:rPr>
                <w:sz w:val="20"/>
                <w:szCs w:val="20"/>
                <w:color w:val="auto"/>
              </w:rPr>
            </w:pPr>
            <w:r>
              <w:rPr>
                <w:rFonts w:ascii="Arial" w:cs="Arial" w:eastAsia="Arial" w:hAnsi="Arial"/>
                <w:sz w:val="6"/>
                <w:szCs w:val="6"/>
                <w:color w:val="auto"/>
              </w:rPr>
              <w:t>3</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registered in the commercial register without having submitted to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inscrit au registre du commerce sans avoir soumis aux autres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other shareholders a takeover offer recommended by the Board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une  offre  publique  d'achat  recommandée  par  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or for the defense of an actual, threatened or potential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conseil d'administration, ou pour la défense d'une offre publique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takeover bid, in relation to which the Board of Directors, upon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d'achat réelle, imminente ou potentielle, pour laquelle le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consultation with an independent financial adviser retained by it, has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après consultation avec un conseiller financier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not recommended to the shareholders acceptance on the basis that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indépendant retenu par lui, n'a pas recommandé l'acceptation aux</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Board of Directors has not found the takeover bid to be financially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car il a estimé que l'offre publique d'achat n'était pas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fair to the shareholders.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financièrement équitable pour les actionnaires.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acquisition of registered shares out of authorized capital increase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L'acquisition  d'actions  nominatives  dans  le  cadre  d'une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share capital for general purposes and any transfers of registered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augmentation autorisée du capital-actions à des fins générales et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shares shall be subject to the restrictions specified in Article 4 of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les transferts d'actions nominatives sont soumis aux restrictions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Articles of Association.</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prévues à l'article 4 des statuts.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41"/>
        </w:trPr>
        <w:tc>
          <w:tcPr>
            <w:tcW w:w="5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3b Conditional Capital Increase for Bonds and Similar Debt</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Art. 3b Augmentation conditionnelle du capital-actions pour</w:t>
            </w:r>
          </w:p>
        </w:tc>
      </w:tr>
      <w:tr>
        <w:trPr>
          <w:trHeight w:val="239"/>
        </w:trPr>
        <w:tc>
          <w:tcPr>
            <w:tcW w:w="574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Instruments</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640"/>
              <w:spacing w:after="0"/>
              <w:rPr>
                <w:sz w:val="20"/>
                <w:szCs w:val="20"/>
                <w:color w:val="auto"/>
              </w:rPr>
            </w:pPr>
            <w:r>
              <w:rPr>
                <w:rFonts w:ascii="Arial" w:cs="Arial" w:eastAsia="Arial" w:hAnsi="Arial"/>
                <w:sz w:val="18"/>
                <w:szCs w:val="18"/>
                <w:b w:val="1"/>
                <w:bCs w:val="1"/>
                <w:color w:val="auto"/>
              </w:rPr>
              <w:t>les obligations et instruments de dettes similaire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 capital of the Company shall be increased by a maximum</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capital-actions de la société peut être augmenté d'un montant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amount of CHF 91'867.50 through the issue of a maximum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maximum de CHF 91'867.50 par l'émission d'un maximum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4'593'375 registered shares, payable in full, each with a nominal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4'593'375 actions nominatives, d'une valeur nominale de CHF</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value of CHF 0.02 through the exercise of conversion and/or option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0.02 chacune, à libérer entièrement, suite à l'exercice de droits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warrant  rights  granted  in  connection  with  bonds  or  similar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conversion et/ou d'option ou de bons de souscription accordés en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instruments,  issued  or  to  be  issued  by  the  Company  or  by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relation avec des obligations ou d'instruments similaires, émis ou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subsidiaries of the Company, including convertible debt instruments.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devant être émis par la société ou par des filiales de la société, y</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compris les instruments d'emprunt convertibles.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Shareholders'  subscription  rights  are  excluded.  Shareholders'</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droit de souscription préférentiel des actionnaires est exclu.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advance subscription rights with regard to the new bonds or similar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Les  droits  de  souscription  préférentiels  préalables  des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instruments may be restricted or excluded by decision of the Board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à l'égard des nouvelles obligations ou instruments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in  order  to  finance  or  re-finance  the  acquisition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similaires peuvent être limités ou exclus par décision du conseil</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companies, parts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d'administration afin de financer</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360"/>
              <w:spacing w:after="0"/>
              <w:rPr>
                <w:sz w:val="20"/>
                <w:szCs w:val="20"/>
                <w:color w:val="auto"/>
              </w:rPr>
            </w:pPr>
            <w:r>
              <w:rPr>
                <w:rFonts w:ascii="Arial" w:cs="Arial" w:eastAsia="Arial" w:hAnsi="Arial"/>
                <w:sz w:val="15"/>
                <w:szCs w:val="15"/>
                <w:color w:val="auto"/>
                <w:w w:val="71"/>
              </w:rPr>
              <w:t>5</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of companies  or  holdings,  or  new  investments  planned  by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ou de refinancer l'acquisition d'entreprises, parts d'entreprises ou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or in order to issue convertible bonds and warrants on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holdings, ou de nouveaux investissements prévus par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international capital markets or through private placement. If advance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société, ou en vue d'émettre des obligations convertibles et des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subscription rights are excluded, then (1) the instruments are to be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bons de souscription sur les marchés internationaux de capitaux</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placed at market conditions, (2) the exercise period is not to exceed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ou par placement privé. Si les droits de souscription préférentiels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ten years from the date of issue for warrants and twenty years for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préalables sont exclus, (1) les instruments doivent être attribués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conversion rights and (3) the conversion or exercise price for the new</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aux conditions du marché, (2) la période d'exercice ne doit pas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shares is to be set at least in line with the market conditions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dépasser dix ans à partir de la date d'émission des bons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prevailing at the date on which the instruments are issued.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souscription et vingt ans pour les droits de conversion et (3) le prix</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respective holders of conversion and/or option or warrant rights are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conversion ou d'exercice des actions nouvelles doit être fixé au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entitled to subscribe the new shares.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moins aux conditions du marché prévalant à la date à laquelle les</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instruments sont émis. Les détenteurs respectifs de droits de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conversion et/ou option ou de bons de souscription ont le droit de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souscrire les nouvelles actions.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acquisition  of  registered  shares  through  the  exercise  of</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L'acquisition d'actions nominatives par l'exercice de droits ou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conversion rights or warrants and any transfers of registered shares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bons de conversion et les transferts d'actions nominatives sont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shall be subject to the restrictions specified in Article 4 of the Articles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assujetties aux restrictions prévues par l'article 4 des statuts.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of Association.</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18"/>
                <w:szCs w:val="18"/>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4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3c Conditional Share Capital Increase for Employee Benefit</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3c Augmentation conditionnelle du capital-actions pour</w:t>
            </w:r>
          </w:p>
        </w:tc>
      </w:tr>
      <w:tr>
        <w:trPr>
          <w:trHeight w:val="239"/>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Plans</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640"/>
              <w:spacing w:after="0"/>
              <w:rPr>
                <w:sz w:val="20"/>
                <w:szCs w:val="20"/>
                <w:color w:val="auto"/>
              </w:rPr>
            </w:pPr>
            <w:r>
              <w:rPr>
                <w:rFonts w:ascii="Arial" w:cs="Arial" w:eastAsia="Arial" w:hAnsi="Arial"/>
                <w:sz w:val="18"/>
                <w:szCs w:val="18"/>
                <w:b w:val="1"/>
                <w:bCs w:val="1"/>
                <w:color w:val="auto"/>
              </w:rPr>
              <w:t>les plans d'avantages sociaux</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 capital of the Company shall be increased by an amount</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capital social de la société sera augmenté d'un montant 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not exceeding CHF 110'241 through the issue of a maximum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dépassant pas CHF 110'241 par l'émission d'un maximum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5'512'050 registered shares, payable in full, each with a nominal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5'512'050  actions  nominatives,  entièrement  libérées,  chacune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value of CHF 0.02, in connection with the exercise of option rights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avec  une  valeur  nominale  de  CHF  0.02,  dans  le  cadre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granted to any employee of the Company or a subsidiary, and any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l'exercice de droits d'option accordés à tout employé de la Société</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consultant, members of the Board of Directors, or other person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ou d'une succursale, et à tout consultant, aux membres du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providing services to the Company or a subsidiary.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ou à autres personnes fournissant des services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faveur de la société ou d'une filiale.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Shareholders' subscription rights shall be excluded with regard to</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droit de souscription préférentiel des actionnaires est exclu à</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these shares. These new registered shares may be issued at a</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l'égard de ces actions. Ces nouvelles actions nominatives peuvent</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360"/>
              <w:spacing w:after="0"/>
              <w:rPr>
                <w:sz w:val="20"/>
                <w:szCs w:val="20"/>
                <w:color w:val="auto"/>
              </w:rPr>
            </w:pPr>
            <w:r>
              <w:rPr>
                <w:rFonts w:ascii="Arial" w:cs="Arial" w:eastAsia="Arial" w:hAnsi="Arial"/>
                <w:sz w:val="15"/>
                <w:szCs w:val="15"/>
                <w:color w:val="auto"/>
                <w:w w:val="71"/>
              </w:rPr>
              <w:t>6</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price below the current market price. The Board of Directors shall</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être émises à un prix inférieur au prix du marché actuel. Le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specify the precise conditions of issue including the issue price of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doit préciser les conditions précises d'émission, y</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compris le prix d'émission des actions.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acquisition of registered shares in connection with employee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L'acquisition  d'actions  nominatives  dans  le  cadre  de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participation and any further transfers of registered shares shall be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participation  des  employés  et  d'autres  transferts  d'actions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subject to the restrictions specified in Article 4 of the Articles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nominatives sont soumis aux restrictions prévues à l'article 4 des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statuts.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 Share Register</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 Registre des actions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Company shall maintain a share register in which it shall register</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société tient un registre des actions nominatives, dans lequel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name, first name and place of residence (in case of legal persons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sont inscrits le nom, le prénom et l'adresse (dans le cas d'une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place of incorporation) of the owners and usufructuaries of its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morale, le siège) des propriétaires et des usufruitiers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registered  shares.  Natural  and  legal  persons  as  well  as  legal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actions. Les personnes physiques et morales ainsi que les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representatives of minors etc. entitled by law to the voting rights of a</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représentants légaux des mineurs etc. autorisés par la loi à voter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 which they do not own will be noted in the share register upon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alors qu'ils ne sont pas propriétaires des actions seront, sur</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request.</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demande, inscrits dans le registre des actions.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Upon request, acquirers of shares will be registered in the share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Sur demande, les acquéreurs d'actions seront inscrits dans 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register without limitation as shareholders if they expressly certify that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registre  des  actions  sans  limitation  comme  actionnaires  s'ils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they acquired the shares in their own name and for their own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attestent expressément qu'ils ont acquis les actions en leur propre</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account.</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nom et pour leur propre compte.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Persons who do not expressly declare in the registration application</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personnes  qui  ne  déclarent  pas  expressément  dans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that they are holding the shares on their own account (thereafter: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demande  d'inscription  qu'ils  détiennent  les  actions  pour  leur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nominees)  shall  forthwith  be  entered  on  the  share  register  as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propre compte (par la suite: les candidats) doivent immédiatement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with voting rights up to a maximum of 3 percent of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être inscrits dans le registre des actions comme actionnaires avec</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 capital. Beyond that limit, registered shares of nominees shall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droit de vote pour un maximum de 3 pour cent du capital-actions.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only be entered as voting if the nominees in question confirm in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Au-delà de cette limite, les actions nominatives des candidats 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writing that they are willing to disclose the names, addresses and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sont inscrites avec droit de vote que si les candidats en question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shareholdings of the persons on whose account they hold 0.5 percent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confirment  par  écrit  qu'ils  sont  prêts  à  divulguer  les  noms,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more of the share capital. The Board of Directors concludes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adresses  et  participations  des  personnes  pour  le  compte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agreements with nominees that among other things govern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desquelles ils détiennent 0,5 pour cent ou plus du capital-actions.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representation of shareholders and the voting rights.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 conseil d'administration conclut des accords avec les candidats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qui, entre autres choses,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360"/>
              <w:spacing w:after="0"/>
              <w:rPr>
                <w:sz w:val="20"/>
                <w:szCs w:val="20"/>
                <w:color w:val="auto"/>
              </w:rPr>
            </w:pPr>
            <w:r>
              <w:rPr>
                <w:rFonts w:ascii="Arial" w:cs="Arial" w:eastAsia="Arial" w:hAnsi="Arial"/>
                <w:sz w:val="15"/>
                <w:szCs w:val="15"/>
                <w:color w:val="auto"/>
                <w:w w:val="71"/>
              </w:rPr>
              <w:t>7</w:t>
            </w:r>
          </w:p>
        </w:tc>
        <w:tc>
          <w:tcPr>
            <w:tcW w:w="0" w:type="dxa"/>
            <w:vAlign w:val="bottom"/>
          </w:tcPr>
          <w:p>
            <w:pPr>
              <w:spacing w:after="0"/>
              <w:rPr>
                <w:sz w:val="1"/>
                <w:szCs w:val="1"/>
                <w:color w:val="auto"/>
              </w:rPr>
            </w:pP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740" w:type="dxa"/>
            <w:vAlign w:val="bottom"/>
            <w:tcBorders>
              <w:left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régissent la représentation des actionnaires et des droits de vote.</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After hearing the registered shareholder or nominee, the Board of</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Après avoir entendu l'actionnaire enregistré ou le candidat, le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may remove entries in the share register with retroactive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conseil d'administration peut supprimer des inscriptions dans le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effect as per the date of entry, if such entry was based on false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registre des actions avec effet rétroactif à la date d'inscription, si</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information. The party affected must be informed of such removal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cette inscription était basée sur de fausses informations. La partie</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immediately.</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touchée doit être immédiatement informée de cette suppression.</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individual or legal entity may, directly or indirectly, formally,</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Aucune personne physique ou morale ne peut, directement ou</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constructively or beneficially own (as defined in the next paragraph</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indirectement, formellement ou implicitement détenir à son profit</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below) or otherwise control voting rights ("Controlled Shares") with</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(comme défini dans le paragraphe ci-dessous) ou, d'une autre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15"/>
                <w:szCs w:val="15"/>
                <w:color w:val="auto"/>
              </w:rPr>
              <w:t xml:space="preserve">respect to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or more of the registered share capital recorded in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18"/>
                <w:szCs w:val="18"/>
                <w:color w:val="auto"/>
              </w:rPr>
              <w:t>manière, contrôler le droit de vote (les "Actions Contrôlées") de 33</w:t>
            </w:r>
          </w:p>
        </w:tc>
        <w:tc>
          <w:tcPr>
            <w:tcW w:w="0" w:type="dxa"/>
            <w:vAlign w:val="bottom"/>
          </w:tcPr>
          <w:p>
            <w:pPr>
              <w:spacing w:after="0"/>
              <w:rPr>
                <w:sz w:val="1"/>
                <w:szCs w:val="1"/>
                <w:color w:val="auto"/>
              </w:rPr>
            </w:pPr>
          </w:p>
        </w:tc>
      </w:tr>
      <w:tr>
        <w:trPr>
          <w:trHeight w:val="269"/>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Commercial Register except if such individual or legal entity has</w:t>
            </w:r>
          </w:p>
        </w:tc>
        <w:tc>
          <w:tcPr>
            <w:tcW w:w="220" w:type="dxa"/>
            <w:vAlign w:val="bottom"/>
            <w:tcBorders>
              <w:right w:val="single" w:sz="8" w:color="auto"/>
            </w:tcBorders>
          </w:tcPr>
          <w:p>
            <w:pPr>
              <w:spacing w:after="0"/>
              <w:rPr>
                <w:sz w:val="23"/>
                <w:szCs w:val="23"/>
                <w:color w:val="auto"/>
              </w:rPr>
            </w:pPr>
          </w:p>
        </w:tc>
        <w:tc>
          <w:tcPr>
            <w:tcW w:w="5460" w:type="dxa"/>
            <w:vAlign w:val="bottom"/>
            <w:tcBorders>
              <w:right w:val="single" w:sz="8" w:color="auto"/>
            </w:tcBorders>
          </w:tcPr>
          <w:p>
            <w:pPr>
              <w:ind w:left="60"/>
              <w:spacing w:after="0" w:line="269" w:lineRule="exact"/>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 ou plus du capital-actions nominatif tel qu'inscrit au registre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submitted prior to the acquisition of such Controlled Shares an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commerce sauf si cette personne physique ou morale a</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orderly tender offer to all shareholders with a minimum price of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présenté avant l'acquisition de ces Actions Contrôlée une offre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higher of (i) the volume weighted average price of the last 60 trading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publique d'achat en bonne et due forme à tous les actionnaires à</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days prior to the publication of the tender offer or (ii) the highest price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 prix minimum équivalent au montant le plus élevé entre (i) le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paid by such individual or legal entity in the 12 months preceding to</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cours moyen pondéré en fonction du volume des 60 derniers jours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publication of the tender offer. Those associated through capital,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bourse précédant la publication de l'offre publique d'achat et (ii)</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voting power, joint management or in any other way, or joining for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 plus haut prix payé par cette personne physique ou morale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acquisition  of  shares,  shall  be  regarded  as  one  person.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dans les 12 mois précédant la publication de l'offre publique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3" w:lineRule="exact"/>
              <w:rPr>
                <w:sz w:val="20"/>
                <w:szCs w:val="20"/>
                <w:color w:val="auto"/>
              </w:rPr>
            </w:pPr>
            <w:r>
              <w:rPr>
                <w:rFonts w:ascii="Arial" w:cs="Arial" w:eastAsia="Arial" w:hAnsi="Arial"/>
                <w:sz w:val="15"/>
                <w:szCs w:val="15"/>
                <w:color w:val="auto"/>
              </w:rPr>
              <w:t xml:space="preserve">registered shares exceeding the limit of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and not benefiting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3" w:lineRule="exact"/>
              <w:rPr>
                <w:sz w:val="20"/>
                <w:szCs w:val="20"/>
                <w:color w:val="auto"/>
              </w:rPr>
            </w:pPr>
            <w:r>
              <w:rPr>
                <w:rFonts w:ascii="Arial" w:cs="Arial" w:eastAsia="Arial" w:hAnsi="Arial"/>
                <w:sz w:val="18"/>
                <w:szCs w:val="18"/>
                <w:color w:val="auto"/>
              </w:rPr>
              <w:t>d'achat. Les personnes associées par le capital, les droits de vote,</w:t>
            </w:r>
          </w:p>
        </w:tc>
        <w:tc>
          <w:tcPr>
            <w:tcW w:w="0" w:type="dxa"/>
            <w:vAlign w:val="bottom"/>
          </w:tcPr>
          <w:p>
            <w:pPr>
              <w:spacing w:after="0"/>
              <w:rPr>
                <w:sz w:val="1"/>
                <w:szCs w:val="1"/>
                <w:color w:val="auto"/>
              </w:rPr>
            </w:pPr>
          </w:p>
        </w:tc>
      </w:tr>
      <w:tr>
        <w:trPr>
          <w:trHeight w:val="202"/>
        </w:trPr>
        <w:tc>
          <w:tcPr>
            <w:tcW w:w="5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from the exemption regarding a tender offer shall be entered in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rPr>
              <w:t>une gestion commune ou de toute autre manière, ou qui se</w:t>
            </w:r>
          </w:p>
        </w:tc>
        <w:tc>
          <w:tcPr>
            <w:tcW w:w="0" w:type="dxa"/>
            <w:vAlign w:val="bottom"/>
          </w:tcPr>
          <w:p>
            <w:pPr>
              <w:spacing w:after="0"/>
              <w:rPr>
                <w:sz w:val="1"/>
                <w:szCs w:val="1"/>
                <w:color w:val="auto"/>
              </w:rPr>
            </w:pPr>
          </w:p>
        </w:tc>
      </w:tr>
      <w:tr>
        <w:trPr>
          <w:trHeight w:val="68"/>
        </w:trPr>
        <w:tc>
          <w:tcPr>
            <w:tcW w:w="5740" w:type="dxa"/>
            <w:vAlign w:val="bottom"/>
            <w:tcBorders>
              <w:left w:val="single" w:sz="8" w:color="auto"/>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5460" w:type="dxa"/>
            <w:vAlign w:val="bottom"/>
            <w:tcBorders>
              <w:right w:val="single" w:sz="8" w:color="auto"/>
            </w:tcBorders>
            <w:vMerge w:val="restart"/>
          </w:tcPr>
          <w:p>
            <w:pPr>
              <w:ind w:left="60"/>
              <w:spacing w:after="0" w:line="202" w:lineRule="exact"/>
              <w:rPr>
                <w:sz w:val="20"/>
                <w:szCs w:val="20"/>
                <w:color w:val="auto"/>
              </w:rPr>
            </w:pPr>
            <w:r>
              <w:rPr>
                <w:rFonts w:ascii="Arial" w:cs="Arial" w:eastAsia="Arial" w:hAnsi="Arial"/>
                <w:sz w:val="18"/>
                <w:szCs w:val="18"/>
                <w:color w:val="auto"/>
              </w:rPr>
              <w:t>joignent pour une acquisition d'actions, sont considérées comme</w:t>
            </w:r>
          </w:p>
        </w:tc>
        <w:tc>
          <w:tcPr>
            <w:tcW w:w="0" w:type="dxa"/>
            <w:vAlign w:val="bottom"/>
          </w:tcPr>
          <w:p>
            <w:pPr>
              <w:spacing w:after="0"/>
              <w:rPr>
                <w:sz w:val="1"/>
                <w:szCs w:val="1"/>
                <w:color w:val="auto"/>
              </w:rPr>
            </w:pPr>
          </w:p>
        </w:tc>
      </w:tr>
      <w:tr>
        <w:trPr>
          <w:trHeight w:val="135"/>
        </w:trPr>
        <w:tc>
          <w:tcPr>
            <w:tcW w:w="5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 register as shares without voting rights.</w:t>
            </w:r>
          </w:p>
        </w:tc>
        <w:tc>
          <w:tcPr>
            <w:tcW w:w="220" w:type="dxa"/>
            <w:vAlign w:val="bottom"/>
            <w:tcBorders>
              <w:right w:val="single" w:sz="8" w:color="auto"/>
            </w:tcBorders>
          </w:tcPr>
          <w:p>
            <w:pPr>
              <w:spacing w:after="0"/>
              <w:rPr>
                <w:sz w:val="11"/>
                <w:szCs w:val="11"/>
                <w:color w:val="auto"/>
              </w:rPr>
            </w:pPr>
          </w:p>
        </w:tc>
        <w:tc>
          <w:tcPr>
            <w:tcW w:w="54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740" w:type="dxa"/>
            <w:vAlign w:val="bottom"/>
            <w:tcBorders>
              <w:left w:val="single" w:sz="8" w:color="auto"/>
              <w:right w:val="single" w:sz="8" w:color="auto"/>
            </w:tcBorders>
            <w:vMerge w:val="continue"/>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5460" w:type="dxa"/>
            <w:vAlign w:val="bottom"/>
            <w:tcBorders>
              <w:right w:val="single" w:sz="8" w:color="auto"/>
            </w:tcBorders>
            <w:vMerge w:val="restart"/>
          </w:tcPr>
          <w:p>
            <w:pPr>
              <w:ind w:left="60"/>
              <w:spacing w:after="0" w:line="203" w:lineRule="exact"/>
              <w:rPr>
                <w:sz w:val="20"/>
                <w:szCs w:val="20"/>
                <w:color w:val="auto"/>
              </w:rPr>
            </w:pPr>
            <w:r>
              <w:rPr>
                <w:rFonts w:ascii="Arial" w:cs="Arial" w:eastAsia="Arial" w:hAnsi="Arial"/>
                <w:sz w:val="18"/>
                <w:szCs w:val="18"/>
                <w:color w:val="auto"/>
              </w:rPr>
              <w:t>une personne. Les actions nominatives dépassant la limite de 33</w:t>
            </w:r>
          </w:p>
        </w:tc>
        <w:tc>
          <w:tcPr>
            <w:tcW w:w="0" w:type="dxa"/>
            <w:vAlign w:val="bottom"/>
          </w:tcPr>
          <w:p>
            <w:pPr>
              <w:spacing w:after="0"/>
              <w:rPr>
                <w:sz w:val="1"/>
                <w:szCs w:val="1"/>
                <w:color w:val="auto"/>
              </w:rPr>
            </w:pPr>
          </w:p>
        </w:tc>
      </w:tr>
      <w:tr>
        <w:trPr>
          <w:trHeight w:val="121"/>
        </w:trPr>
        <w:tc>
          <w:tcPr>
            <w:tcW w:w="5740" w:type="dxa"/>
            <w:vAlign w:val="bottom"/>
            <w:tcBorders>
              <w:left w:val="single" w:sz="8" w:color="auto"/>
              <w:right w:val="single" w:sz="8" w:color="auto"/>
            </w:tcBorders>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740" w:type="dxa"/>
            <w:vAlign w:val="bottom"/>
            <w:tcBorders>
              <w:left w:val="single" w:sz="8" w:color="auto"/>
              <w:right w:val="single" w:sz="8" w:color="auto"/>
            </w:tcBorders>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5460" w:type="dxa"/>
            <w:vAlign w:val="bottom"/>
            <w:tcBorders>
              <w:right w:val="single" w:sz="8" w:color="auto"/>
            </w:tcBorders>
          </w:tcPr>
          <w:p>
            <w:pPr>
              <w:ind w:left="60"/>
              <w:spacing w:after="0" w:line="269" w:lineRule="exact"/>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 et ne bénéficiant pas de l'exemption relative à une offre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publique d'achat sont inscrites dans le registre des actions comme</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des actions sans droit de vote.</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 the purposes of this Article 4, "Controlled Shares" in reference to</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Aux fins du présent article 4, Actions Contrôlées signifie en</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any individual or entity means: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référence à toute personne physique ou morale:</w:t>
            </w:r>
          </w:p>
        </w:tc>
        <w:tc>
          <w:tcPr>
            <w:tcW w:w="0" w:type="dxa"/>
            <w:vAlign w:val="bottom"/>
          </w:tcPr>
          <w:p>
            <w:pPr>
              <w:spacing w:after="0"/>
              <w:rPr>
                <w:sz w:val="1"/>
                <w:szCs w:val="1"/>
                <w:color w:val="auto"/>
              </w:rPr>
            </w:pP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   all shares of the Company directly, indirectly or constructively</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   toutes actions directement, indirectement ou implicitement</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owned by such individual or entity; provided that</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détenues par cette personne physique ou morale,</w:t>
            </w:r>
          </w:p>
        </w:tc>
        <w:tc>
          <w:tcPr>
            <w:tcW w:w="0" w:type="dxa"/>
            <w:vAlign w:val="bottom"/>
          </w:tcPr>
          <w:p>
            <w:pPr>
              <w:spacing w:after="0"/>
              <w:rPr>
                <w:sz w:val="1"/>
                <w:szCs w:val="1"/>
                <w:color w:val="auto"/>
              </w:rPr>
            </w:pPr>
          </w:p>
        </w:tc>
      </w:tr>
      <w:tr>
        <w:trPr>
          <w:trHeight w:val="257"/>
        </w:trPr>
        <w:tc>
          <w:tcPr>
            <w:tcW w:w="5740" w:type="dxa"/>
            <w:vAlign w:val="bottom"/>
            <w:tcBorders>
              <w:left w:val="single" w:sz="8" w:color="auto"/>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9" w:right="239" w:bottom="1440" w:gutter="0" w:footer="0" w:header="0"/>
        </w:sectPr>
      </w:pPr>
    </w:p>
    <w:bookmarkStart w:id="15" w:name="page16"/>
    <w:bookmarkEnd w:id="15"/>
    <w:p>
      <w:pPr>
        <w:ind w:left="11298"/>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246620" cy="4905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905375"/>
                    </a:xfrm>
                    <a:prstGeom prst="rect">
                      <a:avLst/>
                    </a:prstGeom>
                    <a:noFill/>
                  </pic:spPr>
                </pic:pic>
              </a:graphicData>
            </a:graphic>
          </wp:anchor>
        </w:drawing>
      </w:r>
    </w:p>
    <w:p>
      <w:pPr>
        <w:sectPr>
          <w:pgSz w:w="11900" w:h="16838" w:orient="portrait"/>
          <w:cols w:equalWidth="0" w:num="1">
            <w:col w:w="11398"/>
          </w:cols>
          <w:pgMar w:left="262" w:top="249" w:right="2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both"/>
        <w:ind w:left="758" w:hanging="376"/>
        <w:spacing w:after="0"/>
        <w:tabs>
          <w:tab w:leader="none" w:pos="7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shares owned, directly or indirectly, by or for a partnership, or trust or estate will be considered as being owned proportionately by its partners, or beneficiaries; and</w:t>
      </w:r>
    </w:p>
    <w:p>
      <w:pPr>
        <w:spacing w:after="0" w:line="189" w:lineRule="exact"/>
        <w:rPr>
          <w:rFonts w:ascii="Arial" w:cs="Arial" w:eastAsia="Arial" w:hAnsi="Arial"/>
          <w:sz w:val="18"/>
          <w:szCs w:val="18"/>
          <w:color w:val="auto"/>
        </w:rPr>
      </w:pPr>
    </w:p>
    <w:p>
      <w:pPr>
        <w:jc w:val="both"/>
        <w:ind w:left="758" w:hanging="376"/>
        <w:spacing w:after="0" w:line="239" w:lineRule="auto"/>
        <w:tabs>
          <w:tab w:leader="none" w:pos="7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shares owned, directly or indirectly, by or for a corporation will be considered as being owned proportionately by any shareholder owning 50% or more of the outstanding voting shares of such corporation; and</w:t>
      </w:r>
    </w:p>
    <w:p>
      <w:pPr>
        <w:spacing w:after="0" w:line="188" w:lineRule="exact"/>
        <w:rPr>
          <w:rFonts w:ascii="Arial" w:cs="Arial" w:eastAsia="Arial" w:hAnsi="Arial"/>
          <w:sz w:val="18"/>
          <w:szCs w:val="18"/>
          <w:color w:val="auto"/>
        </w:rPr>
      </w:pPr>
    </w:p>
    <w:p>
      <w:pPr>
        <w:ind w:left="758" w:hanging="376"/>
        <w:spacing w:after="0" w:line="246" w:lineRule="auto"/>
        <w:tabs>
          <w:tab w:leader="none" w:pos="877"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shares subject to options, warrants or other similar rights shall be deemed to be owned; and</w:t>
      </w:r>
    </w:p>
    <w:p>
      <w:pPr>
        <w:spacing w:after="0" w:line="183" w:lineRule="exact"/>
        <w:rPr>
          <w:rFonts w:ascii="Arial" w:cs="Arial" w:eastAsia="Arial" w:hAnsi="Arial"/>
          <w:sz w:val="18"/>
          <w:szCs w:val="18"/>
          <w:color w:val="auto"/>
        </w:rPr>
      </w:pPr>
    </w:p>
    <w:p>
      <w:pPr>
        <w:ind w:left="378" w:hanging="378"/>
        <w:spacing w:after="0" w:line="246" w:lineRule="auto"/>
        <w:tabs>
          <w:tab w:leader="none" w:pos="3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shares of the Company directly, indirectly beneficially owned by such individual or entity; provided that</w:t>
      </w:r>
    </w:p>
    <w:p>
      <w:pPr>
        <w:spacing w:after="0" w:line="183" w:lineRule="exact"/>
        <w:rPr>
          <w:rFonts w:ascii="Arial" w:cs="Arial" w:eastAsia="Arial" w:hAnsi="Arial"/>
          <w:sz w:val="18"/>
          <w:szCs w:val="18"/>
          <w:color w:val="auto"/>
        </w:rPr>
      </w:pPr>
    </w:p>
    <w:p>
      <w:pPr>
        <w:jc w:val="both"/>
        <w:ind w:left="758" w:hanging="376"/>
        <w:spacing w:after="0" w:line="239" w:lineRule="auto"/>
        <w:tabs>
          <w:tab w:leader="none" w:pos="8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beneficial owner of a security includes any person who, directly or indirectly, through any contract, arrangement, understanding, relationship, or otherwise alone or together with other such persons has or shares:</w:t>
      </w:r>
    </w:p>
    <w:p>
      <w:pPr>
        <w:spacing w:after="0" w:line="188" w:lineRule="exact"/>
        <w:rPr>
          <w:rFonts w:ascii="Arial" w:cs="Arial" w:eastAsia="Arial" w:hAnsi="Arial"/>
          <w:sz w:val="18"/>
          <w:szCs w:val="18"/>
          <w:color w:val="auto"/>
        </w:rPr>
      </w:pPr>
    </w:p>
    <w:p>
      <w:pPr>
        <w:ind w:left="1158" w:right="20" w:hanging="392"/>
        <w:spacing w:after="0" w:line="246" w:lineRule="auto"/>
        <w:tabs>
          <w:tab w:leader="none" w:pos="1247" w:val="left"/>
        </w:tabs>
        <w:numPr>
          <w:ilvl w:val="2"/>
          <w:numId w:val="11"/>
        </w:numPr>
        <w:rPr>
          <w:rFonts w:ascii="Arial" w:cs="Arial" w:eastAsia="Arial" w:hAnsi="Arial"/>
          <w:sz w:val="18"/>
          <w:szCs w:val="18"/>
          <w:color w:val="auto"/>
        </w:rPr>
      </w:pPr>
      <w:r>
        <w:rPr>
          <w:rFonts w:ascii="Arial" w:cs="Arial" w:eastAsia="Arial" w:hAnsi="Arial"/>
          <w:sz w:val="18"/>
          <w:szCs w:val="18"/>
          <w:color w:val="auto"/>
        </w:rPr>
        <w:t>voting power which includes the power to vote, or to direct the voting of, such security; and/or</w:t>
      </w:r>
    </w:p>
    <w:p>
      <w:pPr>
        <w:spacing w:after="0" w:line="183" w:lineRule="exact"/>
        <w:rPr>
          <w:rFonts w:ascii="Arial" w:cs="Arial" w:eastAsia="Arial" w:hAnsi="Arial"/>
          <w:sz w:val="18"/>
          <w:szCs w:val="18"/>
          <w:color w:val="auto"/>
        </w:rPr>
      </w:pPr>
    </w:p>
    <w:p>
      <w:pPr>
        <w:ind w:left="1158" w:hanging="392"/>
        <w:spacing w:after="0" w:line="246" w:lineRule="auto"/>
        <w:tabs>
          <w:tab w:leader="none" w:pos="1196" w:val="left"/>
        </w:tabs>
        <w:numPr>
          <w:ilvl w:val="2"/>
          <w:numId w:val="11"/>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or to direct the disposition of, such security.</w:t>
      </w:r>
    </w:p>
    <w:p>
      <w:pPr>
        <w:spacing w:after="0" w:line="183" w:lineRule="exact"/>
        <w:rPr>
          <w:rFonts w:ascii="Arial" w:cs="Arial" w:eastAsia="Arial" w:hAnsi="Arial"/>
          <w:sz w:val="18"/>
          <w:szCs w:val="18"/>
          <w:color w:val="auto"/>
        </w:rPr>
      </w:pPr>
    </w:p>
    <w:p>
      <w:pPr>
        <w:jc w:val="both"/>
        <w:ind w:left="758" w:hanging="376"/>
        <w:spacing w:after="0" w:line="239" w:lineRule="auto"/>
        <w:tabs>
          <w:tab w:leader="none" w:pos="78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person who, directly or indirectly, creates or uses a trust, proxy, power of attorney, pooling arrangement or any other contract, arrangement, or device with the purpose or effect of divesting such person of beneficial ownership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840740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430"/>
        <w:spacing w:after="0"/>
        <w:rPr>
          <w:sz w:val="20"/>
          <w:szCs w:val="20"/>
          <w:color w:val="auto"/>
        </w:rPr>
      </w:pPr>
      <w:r>
        <w:rPr>
          <w:rFonts w:ascii="Arial" w:cs="Arial" w:eastAsia="Arial" w:hAnsi="Arial"/>
          <w:sz w:val="18"/>
          <w:szCs w:val="18"/>
          <w:color w:val="auto"/>
        </w:rPr>
        <w:t>à condition que</w:t>
      </w:r>
    </w:p>
    <w:p>
      <w:pPr>
        <w:spacing w:after="0" w:line="198" w:lineRule="exact"/>
        <w:rPr>
          <w:sz w:val="20"/>
          <w:szCs w:val="20"/>
          <w:color w:val="auto"/>
        </w:rPr>
      </w:pPr>
    </w:p>
    <w:p>
      <w:pPr>
        <w:jc w:val="both"/>
        <w:ind w:left="770" w:right="20" w:hanging="387"/>
        <w:spacing w:after="0" w:line="238" w:lineRule="auto"/>
        <w:tabs>
          <w:tab w:leader="none" w:pos="7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les actions détenues, directement ou indirectement, par ou pour un partenariat, une fiducie ou une communauté d'héritiers sont considérées comme étant détenues proportionnellement par leurs partenaires ou bénéficiaires; et</w:t>
      </w:r>
    </w:p>
    <w:p>
      <w:pPr>
        <w:spacing w:after="0" w:line="189" w:lineRule="exact"/>
        <w:rPr>
          <w:rFonts w:ascii="Arial" w:cs="Arial" w:eastAsia="Arial" w:hAnsi="Arial"/>
          <w:sz w:val="18"/>
          <w:szCs w:val="18"/>
          <w:color w:val="auto"/>
        </w:rPr>
      </w:pPr>
    </w:p>
    <w:p>
      <w:pPr>
        <w:jc w:val="both"/>
        <w:ind w:left="770" w:right="20" w:hanging="387"/>
        <w:spacing w:after="0" w:line="238" w:lineRule="auto"/>
        <w:tabs>
          <w:tab w:leader="none" w:pos="787"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les actions détenues, directement ou indirectement, par ou pour une société seront considérées comme étant détenues proportionnellement par tout actionnaire détenant 50% ou plus des actions avec droit de vote en circulation de cette société; et</w:t>
      </w:r>
    </w:p>
    <w:p>
      <w:pPr>
        <w:spacing w:after="0" w:line="189" w:lineRule="exact"/>
        <w:rPr>
          <w:rFonts w:ascii="Arial" w:cs="Arial" w:eastAsia="Arial" w:hAnsi="Arial"/>
          <w:sz w:val="18"/>
          <w:szCs w:val="18"/>
          <w:color w:val="auto"/>
        </w:rPr>
      </w:pPr>
    </w:p>
    <w:p>
      <w:pPr>
        <w:jc w:val="both"/>
        <w:ind w:left="770" w:right="20" w:hanging="387"/>
        <w:spacing w:after="0"/>
        <w:tabs>
          <w:tab w:leader="none" w:pos="103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les actions sujettes à des options, des bons de souscription ou autres droits semblables sont réputées être détenues; et</w:t>
      </w:r>
    </w:p>
    <w:p>
      <w:pPr>
        <w:spacing w:after="0" w:line="189" w:lineRule="exact"/>
        <w:rPr>
          <w:rFonts w:ascii="Arial" w:cs="Arial" w:eastAsia="Arial" w:hAnsi="Arial"/>
          <w:sz w:val="18"/>
          <w:szCs w:val="18"/>
          <w:color w:val="auto"/>
        </w:rPr>
      </w:pPr>
    </w:p>
    <w:p>
      <w:pPr>
        <w:jc w:val="both"/>
        <w:ind w:left="390" w:right="20" w:hanging="390"/>
        <w:spacing w:after="0"/>
        <w:tabs>
          <w:tab w:leader="none" w:pos="7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toutes actions de la société détenues directement, indirectement ou à son profit par cette personne physique ou morale, à condition que</w:t>
      </w:r>
    </w:p>
    <w:p>
      <w:pPr>
        <w:spacing w:after="0" w:line="189" w:lineRule="exact"/>
        <w:rPr>
          <w:rFonts w:ascii="Arial" w:cs="Arial" w:eastAsia="Arial" w:hAnsi="Arial"/>
          <w:sz w:val="18"/>
          <w:szCs w:val="18"/>
          <w:color w:val="auto"/>
        </w:rPr>
      </w:pPr>
    </w:p>
    <w:p>
      <w:pPr>
        <w:jc w:val="both"/>
        <w:ind w:left="770" w:right="20" w:hanging="387"/>
        <w:spacing w:after="0" w:line="239" w:lineRule="auto"/>
        <w:tabs>
          <w:tab w:leader="none" w:pos="7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un bénéficiaire effectif d'un titre comprend toute personne qui, directement ou indirectement, par le biais d'un contrat, d'un accord, d'une entente, d'une relation, ou autrement, seul ou avec d'autres personnes a ou partage:</w:t>
      </w:r>
    </w:p>
    <w:p>
      <w:pPr>
        <w:spacing w:after="0" w:line="188" w:lineRule="exact"/>
        <w:rPr>
          <w:rFonts w:ascii="Arial" w:cs="Arial" w:eastAsia="Arial" w:hAnsi="Arial"/>
          <w:sz w:val="18"/>
          <w:szCs w:val="18"/>
          <w:color w:val="auto"/>
        </w:rPr>
      </w:pPr>
    </w:p>
    <w:p>
      <w:pPr>
        <w:ind w:left="1150" w:right="20" w:hanging="383"/>
        <w:spacing w:after="0" w:line="246" w:lineRule="auto"/>
        <w:tabs>
          <w:tab w:leader="none" w:pos="1177" w:val="left"/>
        </w:tabs>
        <w:numPr>
          <w:ilvl w:val="2"/>
          <w:numId w:val="13"/>
        </w:numPr>
        <w:rPr>
          <w:rFonts w:ascii="Arial" w:cs="Arial" w:eastAsia="Arial" w:hAnsi="Arial"/>
          <w:sz w:val="18"/>
          <w:szCs w:val="18"/>
          <w:color w:val="auto"/>
        </w:rPr>
      </w:pPr>
      <w:r>
        <w:rPr>
          <w:rFonts w:ascii="Arial" w:cs="Arial" w:eastAsia="Arial" w:hAnsi="Arial"/>
          <w:sz w:val="18"/>
          <w:szCs w:val="18"/>
          <w:color w:val="auto"/>
        </w:rPr>
        <w:t>le pouvoir de voter, y compris le pouvoir de voter ou de diriger le vote d'un tel titre; et/ou</w:t>
      </w:r>
    </w:p>
    <w:p>
      <w:pPr>
        <w:spacing w:after="0" w:line="183" w:lineRule="exact"/>
        <w:rPr>
          <w:rFonts w:ascii="Arial" w:cs="Arial" w:eastAsia="Arial" w:hAnsi="Arial"/>
          <w:sz w:val="18"/>
          <w:szCs w:val="18"/>
          <w:color w:val="auto"/>
        </w:rPr>
      </w:pPr>
    </w:p>
    <w:p>
      <w:pPr>
        <w:ind w:left="1150" w:right="20" w:hanging="383"/>
        <w:spacing w:after="0" w:line="246" w:lineRule="auto"/>
        <w:tabs>
          <w:tab w:leader="none" w:pos="1167" w:val="left"/>
        </w:tabs>
        <w:numPr>
          <w:ilvl w:val="2"/>
          <w:numId w:val="13"/>
        </w:numPr>
        <w:rPr>
          <w:rFonts w:ascii="Arial" w:cs="Arial" w:eastAsia="Arial" w:hAnsi="Arial"/>
          <w:sz w:val="18"/>
          <w:szCs w:val="18"/>
          <w:color w:val="auto"/>
        </w:rPr>
      </w:pPr>
      <w:r>
        <w:rPr>
          <w:rFonts w:ascii="Arial" w:cs="Arial" w:eastAsia="Arial" w:hAnsi="Arial"/>
          <w:sz w:val="18"/>
          <w:szCs w:val="18"/>
          <w:color w:val="auto"/>
        </w:rPr>
        <w:t>le pouvoir d'investir, y compris le pouvoir de disposer ou de diriger la disposition d'un tel titre.</w:t>
      </w:r>
    </w:p>
    <w:p>
      <w:pPr>
        <w:spacing w:after="0" w:line="183" w:lineRule="exact"/>
        <w:rPr>
          <w:rFonts w:ascii="Arial" w:cs="Arial" w:eastAsia="Arial" w:hAnsi="Arial"/>
          <w:sz w:val="18"/>
          <w:szCs w:val="18"/>
          <w:color w:val="auto"/>
        </w:rPr>
      </w:pPr>
    </w:p>
    <w:p>
      <w:pPr>
        <w:jc w:val="both"/>
        <w:ind w:left="770" w:right="20" w:hanging="387"/>
        <w:spacing w:after="0" w:line="238" w:lineRule="auto"/>
        <w:tabs>
          <w:tab w:leader="none" w:pos="7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Toute personne qui, directement ou indirectement, crée ou utilise une fiducie, une procuration, un pooling ou tout autre contrat, accord, ou un dispositif ayant pour objet ou pour effet de priver cette personne de la propriété effective des actions de la</w:t>
      </w:r>
    </w:p>
    <w:p>
      <w:pPr>
        <w:sectPr>
          <w:pgSz w:w="11900" w:h="16838" w:orient="portrait"/>
          <w:cols w:equalWidth="0" w:num="2">
            <w:col w:w="5698" w:space="230"/>
            <w:col w:w="5470"/>
          </w:cols>
          <w:pgMar w:left="262" w:top="249" w:right="239" w:bottom="1440" w:gutter="0" w:footer="0" w:header="0"/>
          <w:type w:val="continuous"/>
        </w:sectPr>
      </w:pPr>
    </w:p>
    <w:bookmarkStart w:id="16" w:name="page17"/>
    <w:bookmarkEnd w:id="16"/>
    <w:p>
      <w:pPr>
        <w:ind w:left="112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46620" cy="4176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176395"/>
                    </a:xfrm>
                    <a:prstGeom prst="rect">
                      <a:avLst/>
                    </a:prstGeom>
                    <a:noFill/>
                  </pic:spPr>
                </pic:pic>
              </a:graphicData>
            </a:graphic>
          </wp:anchor>
        </w:drawing>
      </w:r>
    </w:p>
    <w:p>
      <w:pPr>
        <w:sectPr>
          <w:pgSz w:w="11900" w:h="16838" w:orient="portrait"/>
          <w:cols w:equalWidth="0" w:num="1">
            <w:col w:w="11320"/>
          </w:cols>
          <w:pgMar w:left="340" w:top="249" w:right="239" w:bottom="1440" w:gutter="0" w:footer="0" w:header="0"/>
        </w:sectPr>
      </w:pPr>
    </w:p>
    <w:p>
      <w:pPr>
        <w:spacing w:after="0" w:line="191" w:lineRule="exact"/>
        <w:rPr>
          <w:sz w:val="20"/>
          <w:szCs w:val="20"/>
          <w:color w:val="auto"/>
        </w:rPr>
      </w:pPr>
    </w:p>
    <w:p>
      <w:pPr>
        <w:jc w:val="both"/>
        <w:ind w:left="760" w:hanging="35"/>
        <w:spacing w:after="0" w:line="239" w:lineRule="auto"/>
        <w:rPr>
          <w:sz w:val="20"/>
          <w:szCs w:val="20"/>
          <w:color w:val="auto"/>
        </w:rPr>
      </w:pPr>
      <w:r>
        <w:rPr>
          <w:rFonts w:ascii="Arial" w:cs="Arial" w:eastAsia="Arial" w:hAnsi="Arial"/>
          <w:sz w:val="18"/>
          <w:szCs w:val="18"/>
          <w:color w:val="auto"/>
        </w:rPr>
        <w:t>shares of the Company or preventing the vesting of such beneficial ownership as part of a plan or scheme to evade the provisions of these articles of association shall be deemed to be the beneficial owner of such shares.</w:t>
      </w:r>
    </w:p>
    <w:p>
      <w:pPr>
        <w:spacing w:after="0" w:line="188" w:lineRule="exact"/>
        <w:rPr>
          <w:sz w:val="20"/>
          <w:szCs w:val="20"/>
          <w:color w:val="auto"/>
        </w:rPr>
      </w:pPr>
    </w:p>
    <w:p>
      <w:pPr>
        <w:jc w:val="both"/>
        <w:ind w:left="760" w:hanging="384"/>
        <w:spacing w:after="0" w:line="236" w:lineRule="auto"/>
        <w:tabs>
          <w:tab w:leader="none" w:pos="8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shares if that person has the right to acquire beneficial ownership of such shares within 60 days, including but not limited to any right acquired: (A) through the exercise of any option, warrant or right; (B) through the conversion of a security; (C) pursuant to the power to revoke a trust, discretionary account, or similar arrangement; or (D) pursuant to the automatic termination of a trust, discretionary account or similar arrangement.</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limit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 of the registered share capital also applies to the</w:t>
      </w:r>
    </w:p>
    <w:p>
      <w:pPr>
        <w:spacing w:after="0" w:line="4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subscription for, or acquisition of, registered shares by exercising option or convertible rights arising from registered or bearer securities or any other securities issued by the Company or third parties, as well as by means of exercising purchased preemptive rights arising from either registered or bearer shares. The registered shares exceeding</w:t>
      </w:r>
    </w:p>
    <w:p>
      <w:pPr>
        <w:spacing w:after="0" w:line="3"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 xml:space="preserve">the limit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 shall be entered in the share register as shares without voting rights.</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may in special cases approve exceptions to the above regulations. The Board of Directors is in addition authorized, after due consultation with the person concerned, to delete with retroactive effect entries in the share register which were effected on the basis of false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369570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both"/>
        <w:ind w:left="760" w:right="80" w:hanging="18"/>
        <w:spacing w:after="0" w:line="239" w:lineRule="auto"/>
        <w:rPr>
          <w:sz w:val="20"/>
          <w:szCs w:val="20"/>
          <w:color w:val="auto"/>
        </w:rPr>
      </w:pPr>
      <w:r>
        <w:rPr>
          <w:rFonts w:ascii="Arial" w:cs="Arial" w:eastAsia="Arial" w:hAnsi="Arial"/>
          <w:sz w:val="18"/>
          <w:szCs w:val="18"/>
          <w:color w:val="auto"/>
        </w:rPr>
        <w:t>société ou d'en empêcher l'acquisition effective au moyen d'un plan ou programme visant à se soustraire aux dispositions de ces statuts est réputée être le propriétaire effectif de ces actions.</w:t>
      </w:r>
    </w:p>
    <w:p>
      <w:pPr>
        <w:spacing w:after="0" w:line="188" w:lineRule="exact"/>
        <w:rPr>
          <w:sz w:val="20"/>
          <w:szCs w:val="20"/>
          <w:color w:val="auto"/>
        </w:rPr>
      </w:pPr>
    </w:p>
    <w:p>
      <w:pPr>
        <w:jc w:val="both"/>
        <w:ind w:left="760" w:right="80" w:hanging="375"/>
        <w:spacing w:after="0" w:line="236" w:lineRule="auto"/>
        <w:tabs>
          <w:tab w:leader="none" w:pos="899"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 personne est réputée être propriétaire effective d'actions si cette personne a le droit d'acquérir la propriété effective de ces actions dans les 60 jours, y compris, mais pas limité à un droit acquis: (A) au moyen de l'exercice d'une option, d'un bon ou d'un droit de souscription; (B) par la conversion d'un titre; (C) en vertu du pouvoir de révoquer une fiducie, compte discrétionnaire ou accord semblable; ou (D) conformément à la résiliation automatique d'une fiducie, compte discrétionnaire ou accord semblable.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La limite de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 du capital-actions nominatif s'applique</w:t>
      </w:r>
    </w:p>
    <w:p>
      <w:pPr>
        <w:spacing w:after="0" w:line="21"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également à la souscription ou l'acquisition d'actions nominatives par l'exercice d'options ou de droits convertibles découlant de titres nominatifs ou au porteur ou d'autres titres émis par la société ou par des tiers, ainsi que par le biais de l'exercice de droits de souscription préférentiels achetés découlant d'actions nominatives ou au porteur. Les actions nominatives dépassant la limite de 33</w:t>
      </w:r>
    </w:p>
    <w:p>
      <w:pPr>
        <w:spacing w:after="0" w:line="5" w:lineRule="exact"/>
        <w:rPr>
          <w:sz w:val="20"/>
          <w:szCs w:val="20"/>
          <w:color w:val="auto"/>
        </w:rPr>
      </w:pPr>
    </w:p>
    <w:p>
      <w:pPr>
        <w:jc w:val="both"/>
        <w:ind w:right="100"/>
        <w:spacing w:after="0" w:line="211"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 sont inscrites dans le registre des actions comme des actions sans droit de vote.</w:t>
      </w:r>
    </w:p>
    <w:p>
      <w:pPr>
        <w:spacing w:after="0" w:line="190"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Le conseil d'administration peut dans des cas particuliers approuver des exceptions aux règles précitées. Il est en outre autorisé, après consultation avec la personne concernée, de supprimer avec effet rétroactif des inscriptions du registre des actions qui ont été effectuées sur la base de fausses informations.</w:t>
      </w:r>
    </w:p>
    <w:p>
      <w:pPr>
        <w:sectPr>
          <w:pgSz w:w="11900" w:h="16838" w:orient="portrait"/>
          <w:cols w:equalWidth="0" w:num="2">
            <w:col w:w="5540" w:space="380"/>
            <w:col w:w="5400"/>
          </w:cols>
          <w:pgMar w:left="340" w:top="249" w:right="239" w:bottom="1440" w:gutter="0" w:footer="0" w:header="0"/>
          <w:type w:val="continuous"/>
        </w:sectPr>
      </w:pPr>
    </w:p>
    <w:bookmarkStart w:id="17" w:name="page18"/>
    <w:bookmarkEnd w:id="17"/>
    <w:tbl>
      <w:tblPr>
        <w:tblLayout w:type="fixed"/>
        <w:tblInd w:w="1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900" w:type="dxa"/>
            <w:vAlign w:val="bottom"/>
          </w:tcPr>
          <w:p>
            <w:pPr>
              <w:ind w:left="4720"/>
              <w:spacing w:after="0"/>
              <w:rPr>
                <w:sz w:val="20"/>
                <w:szCs w:val="20"/>
                <w:color w:val="auto"/>
              </w:rPr>
            </w:pPr>
            <w:r>
              <w:rPr>
                <w:rFonts w:ascii="Arial" w:cs="Arial" w:eastAsia="Arial" w:hAnsi="Arial"/>
                <w:sz w:val="16"/>
                <w:szCs w:val="16"/>
                <w:color w:val="auto"/>
                <w:w w:val="78"/>
              </w:rPr>
              <w:t>10</w:t>
            </w:r>
          </w:p>
        </w:tc>
      </w:tr>
      <w:tr>
        <w:trPr>
          <w:trHeight w:val="101"/>
        </w:trPr>
        <w:tc>
          <w:tcPr>
            <w:tcW w:w="57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900" w:type="dxa"/>
            <w:vAlign w:val="bottom"/>
            <w:tcBorders>
              <w:bottom w:val="single" w:sz="8" w:color="auto"/>
            </w:tcBorders>
          </w:tcPr>
          <w:p>
            <w:pPr>
              <w:spacing w:after="0"/>
              <w:rPr>
                <w:sz w:val="8"/>
                <w:szCs w:val="8"/>
                <w:color w:val="auto"/>
              </w:rPr>
            </w:pPr>
          </w:p>
        </w:tc>
      </w:tr>
      <w:tr>
        <w:trPr>
          <w:trHeight w:val="241"/>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5 Share Certificates and</w:t>
            </w:r>
          </w:p>
        </w:tc>
        <w:tc>
          <w:tcPr>
            <w:tcW w:w="220" w:type="dxa"/>
            <w:vAlign w:val="bottom"/>
            <w:tcBorders>
              <w:right w:val="single" w:sz="8" w:color="auto"/>
            </w:tcBorders>
          </w:tcPr>
          <w:p>
            <w:pPr>
              <w:spacing w:after="0"/>
              <w:rPr>
                <w:sz w:val="20"/>
                <w:szCs w:val="20"/>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rPr>
              <w:t>Art. 5</w:t>
            </w:r>
          </w:p>
        </w:tc>
        <w:tc>
          <w:tcPr>
            <w:tcW w:w="490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Certificats d'actions et titres</w:t>
            </w:r>
          </w:p>
        </w:tc>
      </w:tr>
      <w:tr>
        <w:trPr>
          <w:trHeight w:val="239"/>
        </w:trPr>
        <w:tc>
          <w:tcPr>
            <w:tcW w:w="420" w:type="dxa"/>
            <w:vAlign w:val="bottom"/>
            <w:tcBorders>
              <w:left w:val="single" w:sz="8" w:color="auto"/>
            </w:tcBorders>
          </w:tcPr>
          <w:p>
            <w:pPr>
              <w:spacing w:after="0"/>
              <w:rPr>
                <w:sz w:val="20"/>
                <w:szCs w:val="20"/>
                <w:color w:val="auto"/>
              </w:rPr>
            </w:pPr>
          </w:p>
        </w:tc>
        <w:tc>
          <w:tcPr>
            <w:tcW w:w="53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Intermediated Securities</w:t>
            </w:r>
          </w:p>
        </w:tc>
        <w:tc>
          <w:tcPr>
            <w:tcW w:w="22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4900" w:type="dxa"/>
            <w:vAlign w:val="bottom"/>
            <w:tcBorders>
              <w:right w:val="single" w:sz="8" w:color="auto"/>
            </w:tcBorders>
          </w:tcPr>
          <w:p>
            <w:pPr>
              <w:ind w:left="340"/>
              <w:spacing w:after="0"/>
              <w:rPr>
                <w:sz w:val="20"/>
                <w:szCs w:val="20"/>
                <w:color w:val="auto"/>
              </w:rPr>
            </w:pPr>
            <w:r>
              <w:rPr>
                <w:rFonts w:ascii="Arial" w:cs="Arial" w:eastAsia="Arial" w:hAnsi="Arial"/>
                <w:sz w:val="18"/>
                <w:szCs w:val="18"/>
                <w:b w:val="1"/>
                <w:bCs w:val="1"/>
                <w:color w:val="auto"/>
              </w:rPr>
              <w:t>intermédiés</w:t>
            </w:r>
          </w:p>
        </w:tc>
      </w:tr>
      <w:tr>
        <w:trPr>
          <w:trHeight w:val="391"/>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Company may issue registered shares in the form of single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peut émettre des actions nominatives sous forme de</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certificates, global certificates and uncertificated securities. Under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certificats  individuels,  de  certificats  globaux  et  de  titres</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conditions set forth by statutory law, the Company may convert its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dématérialisés. Dans les conditions prévues par la loi, la société</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registered shares from one form into another form at any time and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peut convertir ses actions nominatives d'une forme en une autre</w:t>
            </w:r>
          </w:p>
        </w:tc>
      </w:tr>
      <w:tr>
        <w:trPr>
          <w:trHeight w:val="21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without the approval of the shareholders.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forme, à tout moment et sans l'approbation des actionnaires.</w:t>
            </w: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shareholder  has  no  right  to  demand  a  conversion  of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L'actionnaire n'a pas le droit d'exiger une conversion d'actions</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registered shares. Each shareholder may, however, at any time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nominatives. Chaque actionnaire peut toutefois, à tout moment,</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request a written confirmation from the Company of the registered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demander une confirmation écrite de la société du nombres</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shares held by such shareholder, as reflected in the share register.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d'actions  nominatives  détenues  par  cet  actionnaire  telles</w:t>
            </w:r>
          </w:p>
        </w:tc>
      </w:tr>
      <w:tr>
        <w:trPr>
          <w:trHeight w:val="217"/>
        </w:trPr>
        <w:tc>
          <w:tcPr>
            <w:tcW w:w="420" w:type="dxa"/>
            <w:vAlign w:val="bottom"/>
            <w:tcBorders>
              <w:left w:val="single" w:sz="8" w:color="auto"/>
            </w:tcBorders>
          </w:tcPr>
          <w:p>
            <w:pPr>
              <w:spacing w:after="0"/>
              <w:rPr>
                <w:sz w:val="18"/>
                <w:szCs w:val="18"/>
                <w:color w:val="auto"/>
              </w:rPr>
            </w:pPr>
          </w:p>
        </w:tc>
        <w:tc>
          <w:tcPr>
            <w:tcW w:w="53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qu'inscrites au registre du commerce.</w:t>
            </w: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transfer of intermediated securities and the pledging of these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transfert des titres intermédiés et la mise en gage de ces titres</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intermediated securities shall be based on the provisions of the Swiss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intermédiés suivent les dispositions de la Loi fédérale sur les titres</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Federal  Intermediated  Securities  Act.  Transfer  of  propriety  as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intermédiés. Le transfert de propriété à titre de sûreté par cession</w:t>
            </w:r>
          </w:p>
        </w:tc>
      </w:tr>
      <w:tr>
        <w:trPr>
          <w:trHeight w:val="21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collateral by means of written assignment are not permitted.</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écrite n'est pas autorisé.</w:t>
            </w: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6 Exercise of Shareholders Right</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6 Exercice des droits des actionnaires</w:t>
            </w:r>
          </w:p>
        </w:tc>
      </w:tr>
      <w:tr>
        <w:trPr>
          <w:trHeight w:val="391"/>
        </w:trPr>
        <w:tc>
          <w:tcPr>
            <w:tcW w:w="420" w:type="dxa"/>
            <w:vAlign w:val="bottom"/>
            <w:tcBorders>
              <w:left w:val="single" w:sz="8" w:color="auto"/>
            </w:tcBorders>
          </w:tcPr>
          <w:p>
            <w:pPr>
              <w:spacing w:after="0"/>
              <w:rPr>
                <w:sz w:val="24"/>
                <w:szCs w:val="24"/>
                <w:color w:val="auto"/>
              </w:rPr>
            </w:pPr>
          </w:p>
        </w:tc>
        <w:tc>
          <w:tcPr>
            <w:tcW w:w="532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actions sont indivisibles et la société ne reconnaît qu'un seul</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shares are indivisible and the Company recognizes only one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représentant par action.</w:t>
            </w:r>
          </w:p>
        </w:tc>
      </w:tr>
      <w:tr>
        <w:trPr>
          <w:trHeight w:val="21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single representative per share.</w:t>
            </w:r>
          </w:p>
        </w:tc>
        <w:tc>
          <w:tcPr>
            <w:tcW w:w="2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4900" w:type="dxa"/>
            <w:vAlign w:val="bottom"/>
            <w:tcBorders>
              <w:right w:val="single" w:sz="8" w:color="auto"/>
            </w:tcBorders>
          </w:tcPr>
          <w:p>
            <w:pPr>
              <w:spacing w:after="0"/>
              <w:rPr>
                <w:sz w:val="18"/>
                <w:szCs w:val="18"/>
                <w:color w:val="auto"/>
              </w:rPr>
            </w:pP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right to vote and the other rights pertaining to a registered share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droit de vote et les autres droits relatifs à une action nominative</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may only be exercised by a shareholder, a usufructuary or a nominee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ne peut être exercé que par un actionnaire, un usufruitier ou un</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who is registered with the right to vote in the share register and by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candidat qui est inscrit avec le droit de vote dans le registre des</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persons who are entitled by law to the voting rights of a share.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actions et par des personnes autorisées par la loi à exercer les</w:t>
            </w:r>
          </w:p>
        </w:tc>
      </w:tr>
      <w:tr>
        <w:trPr>
          <w:trHeight w:val="217"/>
        </w:trPr>
        <w:tc>
          <w:tcPr>
            <w:tcW w:w="420" w:type="dxa"/>
            <w:vAlign w:val="bottom"/>
            <w:tcBorders>
              <w:left w:val="single" w:sz="8" w:color="auto"/>
            </w:tcBorders>
          </w:tcPr>
          <w:p>
            <w:pPr>
              <w:spacing w:after="0"/>
              <w:rPr>
                <w:sz w:val="18"/>
                <w:szCs w:val="18"/>
                <w:color w:val="auto"/>
              </w:rPr>
            </w:pPr>
          </w:p>
        </w:tc>
        <w:tc>
          <w:tcPr>
            <w:tcW w:w="53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droits de vote d'une action.</w:t>
            </w: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III. CORPORATE STRUCTURE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III. STRUCTURE DE LA SOCIÉTÉ</w:t>
            </w: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7 Organization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7 Organisation</w:t>
            </w:r>
          </w:p>
        </w:tc>
      </w:tr>
      <w:tr>
        <w:trPr>
          <w:trHeight w:val="405"/>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corporate bodies are: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organes de la société sont:</w:t>
            </w:r>
          </w:p>
        </w:tc>
      </w:tr>
      <w:tr>
        <w:trPr>
          <w:trHeight w:val="405"/>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A.</w:t>
            </w:r>
          </w:p>
        </w:tc>
        <w:tc>
          <w:tcPr>
            <w:tcW w:w="5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General Meeting;</w:t>
            </w:r>
          </w:p>
        </w:tc>
        <w:tc>
          <w:tcPr>
            <w:tcW w:w="220" w:type="dxa"/>
            <w:vAlign w:val="bottom"/>
            <w:tcBorders>
              <w:right w:val="single" w:sz="8" w:color="auto"/>
            </w:tcBorders>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A.</w:t>
            </w: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L'assemblé générale;</w:t>
            </w:r>
          </w:p>
        </w:tc>
      </w:tr>
      <w:tr>
        <w:trPr>
          <w:trHeight w:val="405"/>
        </w:trPr>
        <w:tc>
          <w:tcPr>
            <w:tcW w:w="4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B.</w:t>
            </w:r>
          </w:p>
        </w:tc>
        <w:tc>
          <w:tcPr>
            <w:tcW w:w="53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the Board of Directors;</w:t>
            </w:r>
          </w:p>
        </w:tc>
        <w:tc>
          <w:tcPr>
            <w:tcW w:w="220" w:type="dxa"/>
            <w:vAlign w:val="bottom"/>
            <w:tcBorders>
              <w:right w:val="single" w:sz="8" w:color="auto"/>
            </w:tcBorders>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B.</w:t>
            </w:r>
          </w:p>
        </w:tc>
        <w:tc>
          <w:tcPr>
            <w:tcW w:w="4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Le conseil d'administration;</w:t>
            </w:r>
          </w:p>
        </w:tc>
      </w:tr>
      <w:tr>
        <w:trPr>
          <w:trHeight w:val="54"/>
        </w:trPr>
        <w:tc>
          <w:tcPr>
            <w:tcW w:w="420" w:type="dxa"/>
            <w:vAlign w:val="bottom"/>
            <w:tcBorders>
              <w:left w:val="single" w:sz="8" w:color="auto"/>
              <w:bottom w:val="single" w:sz="8" w:color="auto"/>
            </w:tcBorders>
          </w:tcPr>
          <w:p>
            <w:pPr>
              <w:spacing w:after="0"/>
              <w:rPr>
                <w:sz w:val="4"/>
                <w:szCs w:val="4"/>
                <w:color w:val="auto"/>
              </w:rPr>
            </w:pPr>
          </w:p>
        </w:tc>
        <w:tc>
          <w:tcPr>
            <w:tcW w:w="53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900" w:type="dxa"/>
            <w:vAlign w:val="bottom"/>
            <w:tcBorders>
              <w:bottom w:val="single" w:sz="8" w:color="auto"/>
              <w:right w:val="single" w:sz="8" w:color="auto"/>
            </w:tcBorders>
          </w:tcPr>
          <w:p>
            <w:pPr>
              <w:spacing w:after="0"/>
              <w:rPr>
                <w:sz w:val="4"/>
                <w:szCs w:val="4"/>
                <w:color w:val="auto"/>
              </w:rPr>
            </w:pPr>
          </w:p>
        </w:tc>
      </w:tr>
      <w:tr>
        <w:trPr>
          <w:trHeight w:val="102"/>
        </w:trPr>
        <w:tc>
          <w:tcPr>
            <w:tcW w:w="420" w:type="dxa"/>
            <w:vAlign w:val="bottom"/>
            <w:tcBorders>
              <w:bottom w:val="single" w:sz="8" w:color="auto"/>
            </w:tcBorders>
          </w:tcPr>
          <w:p>
            <w:pPr>
              <w:spacing w:after="0"/>
              <w:rPr>
                <w:sz w:val="8"/>
                <w:szCs w:val="8"/>
                <w:color w:val="auto"/>
              </w:rPr>
            </w:pPr>
          </w:p>
        </w:tc>
        <w:tc>
          <w:tcPr>
            <w:tcW w:w="5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90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11</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 the Auditors.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 l'organe de révision.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IV. THE GENERAL MEETING</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IV. L'ASSEMBLÉE GÉNÉRALE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8 Powers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8 Pouvoirs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General Meeting is the supreme body of the Company. It has the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 des actionnaires est le pouvoir suprême de</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following non delegable powers: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société. Elle a les droits intransmissibles suivants: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  to adopt and amend the Articles of Association (Articles 651a,</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  adapter et modifier les statuts (articles 651a, 652g, 653g et</w:t>
            </w:r>
          </w:p>
        </w:tc>
      </w:tr>
      <w:tr>
        <w:trPr>
          <w:trHeight w:val="217"/>
        </w:trPr>
        <w:tc>
          <w:tcPr>
            <w:tcW w:w="574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652g, 653g und 653i CO remain reserved);</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653i CO sont réservés);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12</w:t>
            </w:r>
          </w:p>
        </w:tc>
      </w:tr>
      <w:tr>
        <w:trPr>
          <w:trHeight w:val="101"/>
        </w:trPr>
        <w:tc>
          <w:tcPr>
            <w:tcW w:w="320" w:type="dxa"/>
            <w:vAlign w:val="bottom"/>
            <w:tcBorders>
              <w:bottom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5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to elect and remove the members of the Board of Directors,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b) nommer et révoquer les membres du conseil d'administration,</w:t>
            </w:r>
          </w:p>
        </w:tc>
      </w:tr>
      <w:tr>
        <w:trPr>
          <w:trHeight w:val="203"/>
        </w:trPr>
        <w:tc>
          <w:tcPr>
            <w:tcW w:w="320" w:type="dxa"/>
            <w:vAlign w:val="bottom"/>
            <w:tcBorders>
              <w:left w:val="single" w:sz="8" w:color="auto"/>
            </w:tcBorders>
          </w:tcPr>
          <w:p>
            <w:pPr>
              <w:spacing w:after="0"/>
              <w:rPr>
                <w:sz w:val="17"/>
                <w:szCs w:val="17"/>
                <w:color w:val="auto"/>
              </w:rPr>
            </w:pPr>
          </w:p>
        </w:tc>
        <w:tc>
          <w:tcPr>
            <w:tcW w:w="54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Chairman  of  the  Board  of  Directors,  the  members  of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le président du conseil d'administration, les membres du comité</w:t>
            </w:r>
          </w:p>
        </w:tc>
      </w:tr>
      <w:tr>
        <w:trPr>
          <w:trHeight w:val="203"/>
        </w:trPr>
        <w:tc>
          <w:tcPr>
            <w:tcW w:w="320" w:type="dxa"/>
            <w:vAlign w:val="bottom"/>
            <w:tcBorders>
              <w:left w:val="single" w:sz="8" w:color="auto"/>
            </w:tcBorders>
          </w:tcPr>
          <w:p>
            <w:pPr>
              <w:spacing w:after="0"/>
              <w:rPr>
                <w:sz w:val="17"/>
                <w:szCs w:val="17"/>
                <w:color w:val="auto"/>
              </w:rPr>
            </w:pPr>
          </w:p>
        </w:tc>
        <w:tc>
          <w:tcPr>
            <w:tcW w:w="54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Compensation Committee,  the  Auditors  and  the  Independent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de  rémunération,  l'organe  de  révision  et  le  mandataire</w:t>
            </w:r>
          </w:p>
        </w:tc>
      </w:tr>
      <w:tr>
        <w:trPr>
          <w:trHeight w:val="217"/>
        </w:trPr>
        <w:tc>
          <w:tcPr>
            <w:tcW w:w="320" w:type="dxa"/>
            <w:vAlign w:val="bottom"/>
            <w:tcBorders>
              <w:left w:val="single" w:sz="8" w:color="auto"/>
            </w:tcBorders>
          </w:tcPr>
          <w:p>
            <w:pPr>
              <w:spacing w:after="0"/>
              <w:rPr>
                <w:sz w:val="18"/>
                <w:szCs w:val="18"/>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Proxy;</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indépendant;</w:t>
            </w: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c) to approve the management report and the annual accounts and to</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c) approuver le rapport de gestion et les comptes annuels et</w:t>
            </w:r>
          </w:p>
        </w:tc>
      </w:tr>
      <w:tr>
        <w:trPr>
          <w:trHeight w:val="203"/>
        </w:trPr>
        <w:tc>
          <w:tcPr>
            <w:tcW w:w="320" w:type="dxa"/>
            <w:vAlign w:val="bottom"/>
            <w:tcBorders>
              <w:left w:val="single" w:sz="8" w:color="auto"/>
            </w:tcBorders>
          </w:tcPr>
          <w:p>
            <w:pPr>
              <w:spacing w:after="0"/>
              <w:rPr>
                <w:sz w:val="17"/>
                <w:szCs w:val="17"/>
                <w:color w:val="auto"/>
              </w:rPr>
            </w:pPr>
          </w:p>
        </w:tc>
        <w:tc>
          <w:tcPr>
            <w:tcW w:w="54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determine the allocation of profits, in particular with regard to</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déterminer la répartition des bénéfices, en particulier en ce qui</w:t>
            </w:r>
          </w:p>
        </w:tc>
      </w:tr>
      <w:tr>
        <w:trPr>
          <w:trHeight w:val="217"/>
        </w:trPr>
        <w:tc>
          <w:tcPr>
            <w:tcW w:w="320" w:type="dxa"/>
            <w:vAlign w:val="bottom"/>
            <w:tcBorders>
              <w:left w:val="single" w:sz="8" w:color="auto"/>
            </w:tcBorders>
          </w:tcPr>
          <w:p>
            <w:pPr>
              <w:spacing w:after="0"/>
              <w:rPr>
                <w:sz w:val="18"/>
                <w:szCs w:val="18"/>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dividends and bonus payments;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concerne les dividendes et les bonus;</w:t>
            </w:r>
          </w:p>
        </w:tc>
      </w:tr>
      <w:tr>
        <w:trPr>
          <w:trHeight w:val="54"/>
        </w:trPr>
        <w:tc>
          <w:tcPr>
            <w:tcW w:w="320" w:type="dxa"/>
            <w:vAlign w:val="bottom"/>
            <w:tcBorders>
              <w:left w:val="single" w:sz="8" w:color="auto"/>
              <w:bottom w:val="single" w:sz="8" w:color="auto"/>
            </w:tcBorders>
          </w:tcPr>
          <w:p>
            <w:pPr>
              <w:spacing w:after="0"/>
              <w:rPr>
                <w:sz w:val="4"/>
                <w:szCs w:val="4"/>
                <w:color w:val="auto"/>
              </w:rPr>
            </w:pPr>
          </w:p>
        </w:tc>
        <w:tc>
          <w:tcPr>
            <w:tcW w:w="54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32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9"/>
              </w:rPr>
              <w:t>d)</w:t>
            </w:r>
          </w:p>
        </w:tc>
        <w:tc>
          <w:tcPr>
            <w:tcW w:w="5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to discharge the members of the Board of Directors and of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d) donner décharge aux membres du conseil d'administration et</w:t>
            </w:r>
          </w:p>
        </w:tc>
      </w:tr>
      <w:tr>
        <w:trPr>
          <w:trHeight w:val="217"/>
        </w:trPr>
        <w:tc>
          <w:tcPr>
            <w:tcW w:w="320" w:type="dxa"/>
            <w:vAlign w:val="bottom"/>
            <w:tcBorders>
              <w:left w:val="single" w:sz="8" w:color="auto"/>
            </w:tcBorders>
          </w:tcPr>
          <w:p>
            <w:pPr>
              <w:spacing w:after="0"/>
              <w:rPr>
                <w:sz w:val="18"/>
                <w:szCs w:val="18"/>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Committee;</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au comité exécutif;</w:t>
            </w:r>
          </w:p>
        </w:tc>
      </w:tr>
      <w:tr>
        <w:trPr>
          <w:trHeight w:val="54"/>
        </w:trPr>
        <w:tc>
          <w:tcPr>
            <w:tcW w:w="320" w:type="dxa"/>
            <w:vAlign w:val="bottom"/>
            <w:tcBorders>
              <w:left w:val="single" w:sz="8" w:color="auto"/>
              <w:bottom w:val="single" w:sz="8" w:color="auto"/>
            </w:tcBorders>
          </w:tcPr>
          <w:p>
            <w:pPr>
              <w:spacing w:after="0"/>
              <w:rPr>
                <w:sz w:val="4"/>
                <w:szCs w:val="4"/>
                <w:color w:val="auto"/>
              </w:rPr>
            </w:pPr>
          </w:p>
        </w:tc>
        <w:tc>
          <w:tcPr>
            <w:tcW w:w="54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32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e)</w:t>
            </w:r>
          </w:p>
        </w:tc>
        <w:tc>
          <w:tcPr>
            <w:tcW w:w="5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to approve the total compensation paid to the Board of Directors</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e)  approuver  la  rémunération  totale  versée  au  conseil</w:t>
            </w:r>
          </w:p>
        </w:tc>
      </w:tr>
      <w:tr>
        <w:trPr>
          <w:trHeight w:val="203"/>
        </w:trPr>
        <w:tc>
          <w:tcPr>
            <w:tcW w:w="320" w:type="dxa"/>
            <w:vAlign w:val="bottom"/>
            <w:tcBorders>
              <w:left w:val="single" w:sz="8" w:color="auto"/>
            </w:tcBorders>
          </w:tcPr>
          <w:p>
            <w:pPr>
              <w:spacing w:after="0"/>
              <w:rPr>
                <w:sz w:val="17"/>
                <w:szCs w:val="17"/>
                <w:color w:val="auto"/>
              </w:rPr>
            </w:pPr>
          </w:p>
        </w:tc>
        <w:tc>
          <w:tcPr>
            <w:tcW w:w="54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and the Executive Committee as per Articles 32 and 33 below;</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d'administration  et  au  comité  exécutif  conformément  aux</w:t>
            </w:r>
          </w:p>
        </w:tc>
      </w:tr>
      <w:tr>
        <w:trPr>
          <w:trHeight w:val="217"/>
        </w:trPr>
        <w:tc>
          <w:tcPr>
            <w:tcW w:w="320" w:type="dxa"/>
            <w:vAlign w:val="bottom"/>
            <w:tcBorders>
              <w:left w:val="single" w:sz="8" w:color="auto"/>
            </w:tcBorders>
          </w:tcPr>
          <w:p>
            <w:pPr>
              <w:spacing w:after="0"/>
              <w:rPr>
                <w:sz w:val="18"/>
                <w:szCs w:val="18"/>
                <w:color w:val="auto"/>
              </w:rPr>
            </w:pPr>
          </w:p>
        </w:tc>
        <w:tc>
          <w:tcPr>
            <w:tcW w:w="54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l'articles 32 et 33 ci-dessous;</w:t>
            </w: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f)  to pass resolutions concerning all matters which are reserved to</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 prendre les décisions sur toutes les affaires qui sont attribuées</w:t>
            </w:r>
          </w:p>
        </w:tc>
      </w:tr>
      <w:tr>
        <w:trPr>
          <w:trHeight w:val="203"/>
        </w:trPr>
        <w:tc>
          <w:tcPr>
            <w:tcW w:w="320" w:type="dxa"/>
            <w:vAlign w:val="bottom"/>
            <w:tcBorders>
              <w:left w:val="single" w:sz="8" w:color="auto"/>
            </w:tcBorders>
          </w:tcPr>
          <w:p>
            <w:pPr>
              <w:spacing w:after="0"/>
              <w:rPr>
                <w:sz w:val="17"/>
                <w:szCs w:val="17"/>
                <w:color w:val="auto"/>
              </w:rPr>
            </w:pPr>
          </w:p>
        </w:tc>
        <w:tc>
          <w:tcPr>
            <w:tcW w:w="54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the authority of the General Meeting by law or by the Articles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à l'assemblée générale par la loi ou les statuts.</w:t>
            </w:r>
          </w:p>
        </w:tc>
      </w:tr>
      <w:tr>
        <w:trPr>
          <w:trHeight w:val="217"/>
        </w:trPr>
        <w:tc>
          <w:tcPr>
            <w:tcW w:w="320" w:type="dxa"/>
            <w:vAlign w:val="bottom"/>
            <w:tcBorders>
              <w:left w:val="single" w:sz="8" w:color="auto"/>
            </w:tcBorders>
          </w:tcPr>
          <w:p>
            <w:pPr>
              <w:spacing w:after="0"/>
              <w:rPr>
                <w:sz w:val="18"/>
                <w:szCs w:val="18"/>
                <w:color w:val="auto"/>
              </w:rPr>
            </w:pPr>
          </w:p>
        </w:tc>
        <w:tc>
          <w:tcPr>
            <w:tcW w:w="5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18"/>
                <w:szCs w:val="18"/>
                <w:color w:val="auto"/>
              </w:rPr>
            </w:pP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9 Ordinary General Meeting</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9 Assemblée générale ordinaire</w:t>
            </w:r>
          </w:p>
        </w:tc>
      </w:tr>
      <w:tr>
        <w:trPr>
          <w:trHeight w:val="391"/>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Ordinary General Meeting shall be held annually within six</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 ordinaire aura lieu chaque année dans les</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months after the close of the business year at such time and at such</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six mois qui suivent la clôture de l'exercice à la date et à l'endroit,</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location, which may be within or outside Switzerland, as determined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qui peut être en ou hors de la Suisse, tel que déterminé par le</w:t>
            </w:r>
          </w:p>
        </w:tc>
      </w:tr>
      <w:tr>
        <w:trPr>
          <w:trHeight w:val="21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by the Board of Directors.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conseil d'administration.</w:t>
            </w: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10 Extraordinary General Meeting</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10 Assemblée générale extraordinaire</w:t>
            </w:r>
          </w:p>
        </w:tc>
      </w:tr>
      <w:tr>
        <w:trPr>
          <w:trHeight w:val="391"/>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Extraordinary General Meetings may be called by resolution of the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assemblées   générales   extraordinaires   peuvent   être</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General Meeting, the Auditors or the Board of Directors, or by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convoquées par décision de l'assemblée générale, l'organe de</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shareholders with voting powers, provided they represent at least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révision ou le conseil d'administration, ou par des actionnaires</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10% of the share capital and who submit (a)(1) a request signed by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avec droit de vote, à condition qu'ils représentent au moins 10%</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such shareholder(s) that specifies the item(s) to be included on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capital-actions et qu'ils soumettent (a) (1) une demande signée</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agenda, (2) the respective proposals of the shareholders and (3)</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par le(s)dit(s) actionnaire(s) qui spécifie les objets à faire figurer</w:t>
            </w: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evidence of the required shareholdings recorded in the share register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sur  l'ordre  du  jour,  (2)  les  propositions  respectives  de  ces</w:t>
            </w:r>
          </w:p>
        </w:tc>
      </w:tr>
      <w:tr>
        <w:trPr>
          <w:trHeight w:val="21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and (b) such other information as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actionnaires et (3) la preuve des participations requises</w:t>
            </w:r>
          </w:p>
        </w:tc>
      </w:tr>
      <w:tr>
        <w:trPr>
          <w:trHeight w:val="257"/>
        </w:trPr>
        <w:tc>
          <w:tcPr>
            <w:tcW w:w="320" w:type="dxa"/>
            <w:vAlign w:val="bottom"/>
            <w:tcBorders>
              <w:left w:val="single" w:sz="8" w:color="auto"/>
              <w:bottom w:val="single" w:sz="8" w:color="auto"/>
            </w:tcBorders>
          </w:tcPr>
          <w:p>
            <w:pPr>
              <w:spacing w:after="0"/>
              <w:rPr>
                <w:sz w:val="22"/>
                <w:szCs w:val="22"/>
                <w:color w:val="auto"/>
              </w:rPr>
            </w:pPr>
          </w:p>
        </w:tc>
        <w:tc>
          <w:tcPr>
            <w:tcW w:w="542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60" w:type="dxa"/>
            <w:vAlign w:val="bottom"/>
            <w:tcBorders>
              <w:bottom w:val="single" w:sz="8" w:color="auto"/>
              <w:right w:val="single" w:sz="8" w:color="auto"/>
            </w:tcBorders>
          </w:tcPr>
          <w:p>
            <w:pPr>
              <w:spacing w:after="0"/>
              <w:rPr>
                <w:sz w:val="22"/>
                <w:szCs w:val="22"/>
                <w:color w:val="auto"/>
              </w:rPr>
            </w:pPr>
          </w:p>
        </w:tc>
      </w:tr>
      <w:tr>
        <w:trPr>
          <w:trHeight w:val="102"/>
        </w:trPr>
        <w:tc>
          <w:tcPr>
            <w:tcW w:w="320" w:type="dxa"/>
            <w:vAlign w:val="bottom"/>
            <w:tcBorders>
              <w:bottom w:val="single" w:sz="8" w:color="auto"/>
            </w:tcBorders>
          </w:tcPr>
          <w:p>
            <w:pPr>
              <w:spacing w:after="0"/>
              <w:rPr>
                <w:sz w:val="8"/>
                <w:szCs w:val="8"/>
                <w:color w:val="auto"/>
              </w:rPr>
            </w:pPr>
          </w:p>
        </w:tc>
        <w:tc>
          <w:tcPr>
            <w:tcW w:w="5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13</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would be required to be included in a proxy statement pursuant to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inscrites dans le registre des actions et (b) les autres informations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rules of the country where the Company's shares are primarily listed.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qui  doivent  être  mentionnées  dans  une  déclaration  (proxy</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statement) conformément aux règles du pays où les actions de la</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société sont principalement cotées.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4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11 Notice and Agenda of</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11 Convocations et ordres du jour</w:t>
            </w:r>
          </w:p>
        </w:tc>
      </w:tr>
      <w:tr>
        <w:trPr>
          <w:trHeight w:val="239"/>
        </w:trPr>
        <w:tc>
          <w:tcPr>
            <w:tcW w:w="574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Shareholders' Meetings</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des assemblées générales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Notice of a General Meeting of Shareholders shall be given by the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 est convoquée par le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Board of Directors or, if necessary, by the Auditor, not later than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ou, si nécessaire, par l'organe de révision, au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twenty calendar days prior to the date of the General Meeting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moins 20 jours avant la tenue de l'assemblée générale des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Notice of the General Meeting of Shareholders shall be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La convocation à l'assemblée générale des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given by way of a one-time announcement in the official means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doit être faite au moyen d'une seule publication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publication of the Company pursuant to Article 46 of these Articles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conformément à l'article 46 de ces statuts. La période de préavis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Association.  The  notice  period  shall  be  deemed  to  have  been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sera réputée avoir été respectée si la convocation à l'assemblée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observed  if  notice  of  the  General  Meeting  of  Shareholders  is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des actionnaires est publiée conformément à l'article 46</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published in such official means of publication, it being understood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ces statuts, étant entendu que la date de publication ne doit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that the date of publication shall not be computed in the notice period.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pas être calculée dans la période de préavis. Les actionnaires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of record may in addition be informed of the General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inscrits peuvent en outre être informés de l'assemblée générale</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Meeting of Shareholders by ordinary mail or e-mail.</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des actionnaires par courrier ordinaire ou par e-mail.</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notice of a General Meeting of Shareholders shall specify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convocation à l'assemblée générale des actionnaires doit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items on the agenda and the proposals of the Board of Directors and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préciser les objets de l'ordre du jour et les propositions du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shareholder(s)  who  requested  that  a  General  Meeting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et l'/les actionnaire(s) qui a/ont demandé que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be held or an item be included on the agenda, and, in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l'assemblée générale des actionnaires ait lieu ou qu'un objet soit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event of elections, the name(s) of the candidate(s) that has 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inscrit à l'ordre du jour, et, dans le cas d'élections, le/les nom(s)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have been put on the ballot for election.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du/des candidat(s) qui a ou ont été mis sur le bulletin de vote pour</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l'élection.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state the matters on the agenda.</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doit indiquer les objets de l'ordre du</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jour.</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Shareholders who represent an aggregate of at least 10 percent of</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actionnaires qui représentent un total d'au moins 10 pour cent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share capital or together representing shares with a nominal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capital-actions  ou  qui  représentent  ensemble  une  valeur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value of 1 million Swiss francs may demand that an item be placed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nominale de CHF 1 million d'actions peuvent exiger qu'un objet</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on the agenda of a General Meeting of Shareholders. A request</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soit inscrit à l'ordre du jour d'une assemblée générale des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14</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for inclusion of an item on the agenda must be requested in writing</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actionnaires. Une demande d'inscription d'un objet à l'ordre du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delivered to or mailed and received at the registered office of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jour doit être faite par écrit et remise ou envoyée et reçue au siège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at least 120 calendar days before the first anniversary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la société au moins 120 jours avant le premier anniversaire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date  that  the  Company's  proxy  statement  was  released to</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 date à laquelle la déclaration (proxy statement) de la Société 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in connection with the previous year's ordinary General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été communiquée aux actionnaires lors de l'assemblée générale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of Shareholders. However, if no ordinary General Meeting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ordinaire des actionnaires de l'année précédente. Toutefois, si</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was held in the previous year or if the date of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aucune assemblée générale ordinaire des actionnaires n'a eu lieu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ordinary General Meeting of Shareholders has been changed by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l'année précédente ou si la date de l'assemblée générale ordinaire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more than 30 calendar days from the date contemplated at the time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actionnaires a été modifiée de plus de 30 jours calendaires à</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the previous year's proxy statement, request for inclusion of an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compter de la date prévue au moment de la déclaration (proxy</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item on the agenda must be requested not fewer than the later of (i)</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statement) de l'année précédente, une demande d'inscription d'un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150 calendar days prior to the date of the contemplated annual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objet à l'ordre du jour doit être demandée au moins à la date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or (ii) the date which is ten calendar days after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plus tardive entre (i) 150 jours calendaires avant la date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date of the first public announcement or other notification to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l'assemblée générale ordinaire envisagée ou (ii) la date qui est dix</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of  the  date  of  the  contemplated  annual  General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jours calendaires plus tard que la date de la première annonce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To be timely  for  an  extraordinary  General  Meeting,  a</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publique  ou  autre  notification  aux  actionnaires  de  la  date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notice to the Secretary must be delivered to or mailed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envisagée de l'assemblée générale ordinaire. Pour être dans les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received at the registered office of the Company not fewer than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délais pour une assemblée générale extraordinaire, l'avis d'un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later of (i) 120 calendar days before the date of the extraordinary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 au secrétaire doit être livré ou envoyé et reçu au siège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of Shareholders or (ii) the date which is ten calendar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la société au moins à la date la plus tardive entre (i) 120 jours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days  after  the  date  of  the  first  public  announcement  or  other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calendaires avant la date de l'assemblée générale extraordinaire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notification to the shareholders of the date of the contemplated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actionnaires ou (ii) la date qui est dix jours calendaires plus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extraordinary General Meeting of Shareholders.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tard que la date de la première annonce publique ou autre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notification aux actionnaires de la date envisagée de l'assemblée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générale extraordinaire des actionnaires.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Each request for inclusion of an item on the agenda must include (i) a</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Chaque demande d'inscription d'un objet à l'ordre du jour doit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brief description of the business desired to be brought before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inclure (i) une brève description de l'affaire qui sera soumise à</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and  the  reasons  for  conducting  such  business  at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l'assemblée  et  les  raisons  pour  lesquelles  cette  affaire  est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(ii)  the  name  and  address,  as  they  appear  on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soumise  à  l'assemblée;  (ii)  le  nom  et  l'adresse,  tels  qu'ils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Company's register of shareholders, of the shareholder proposing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apparaissent dans le registre des actionnaires de la société,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such business; (iii) the number of shares of the Company which are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l'/des actionnaire(s) proposant un tel objet; (iii) le nombre d'actions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beneficially owned by such shareholder;</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de la société effectivement détenues par (un)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15</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(iv) the dates upon which the shareholder acquired such shares; (v)</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tel(s) actionnaire(s); (iv) les dates auxquelles l'/les actionnaire(s)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documentary support for any claim of beneficial ownership; (vi) any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a/ont acquis ces actions; (v) l'appui documentaire pour toute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material interest of such shareholder in such business; and (vii) a</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revendication de propriété effective; (vi) un intérêt important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statement in support of the matter and, for proposals sought to be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cet/ces  actionnaire(s)  par  rapport  à  cet  objet;  et  (vii)  une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included in the Company's proxy statement, any other information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déclaration à l'appui de cet objet et, pour les propositions devant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required by Securities and Exchange Commission Rule "14a-8".</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être incluses dans la déclaration (proxy statement) de la société,</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toute autre information requise par la Securities and Exchange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Commission règle "14a-8".</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 addition, if the shareholder intends to solicit proxies from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En  outre,  si  un  actionnaire  a  l'intention  de  solliciter  des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of the Company, such shareholder shall notify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procurations des actionnaires de la société, cet actionnaire doit en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of this intent in accordance with Securities and Exchange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informer la société conformément aux dispositions de la Securities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Commission Rule "14a-4" and/or Rule "14a-8".</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and Exchange Commission règle "14a-4" et "14a-8".</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resolution may be passed at a General Meeting of Shareholders</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Aucune décision ne peut être adoptée lors d'une assemblée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concerning an item in relation to which due notice was not given.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des actionnaires si un objet n'a pas été inscrit à l'ordre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Proposals made during a General Meeting of Shareholders to (i)</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jour dans le délai de préavis. Les propositions faites au cours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convene a extraordinary General Meeting or (ii) initiate a special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d'une assemblée générale des actionnaires pour (i) convoquer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investigation in accordance with article 697a of the Swiss Code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une assemblée générale extraordinaire ou (ii) instituer un contrôle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Obligations are not subject to the due notice requirement set forth</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spécial au sens de l'article 697a CO ne sont pas soumises à</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herein.</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l'obligation d'inscription prévue dans ces statuts.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 advance notice is required to propose motions on duly notified</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Aucun préavis n'est nécessaire pour proposer des motions sur les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agenda items and to debate items without passing resolutions.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objets inscrits à l'ordre du jour ou débattre desdits objets sans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prendre de décisions.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12 Documentation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12 Documents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annual  business  report,  the  compensation  report  and  the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rapport de gestion annuel, le rapport de rémunération et 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Auditor's  report  must  be  submitted  for  examination  by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rapport du réviseur doivent être présentés aux actionnaires pour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at the registered office of the Company at least 20 days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examen au siège de la société au moins 20 jours avant la date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prior to the date of the Ordinary General Meeting. Each shareholder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l'assemblée  générale  ordinaire.  Chaque  actionnaire  peut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may request that a copy of this documentation be sent to him</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demander une copie de ces documents qui doivent lui être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promptly by e-mail. Such right shall be included in the invitation to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envoyés promptement par e-mail. Ce droit doit être mentionné</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General Meeting.</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l'invitation à l'assemblée générale.</w:t>
            </w:r>
          </w:p>
        </w:tc>
      </w:tr>
      <w:tr>
        <w:trPr>
          <w:trHeight w:val="257"/>
        </w:trPr>
        <w:tc>
          <w:tcPr>
            <w:tcW w:w="5740" w:type="dxa"/>
            <w:vAlign w:val="bottom"/>
            <w:tcBorders>
              <w:left w:val="single" w:sz="8" w:color="auto"/>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60" w:type="dxa"/>
            <w:vAlign w:val="bottom"/>
            <w:tcBorders>
              <w:bottom w:val="single" w:sz="8" w:color="auto"/>
              <w:right w:val="single" w:sz="8" w:color="auto"/>
            </w:tcBorders>
          </w:tcPr>
          <w:p>
            <w:pPr>
              <w:spacing w:after="0"/>
              <w:rPr>
                <w:sz w:val="22"/>
                <w:szCs w:val="22"/>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16</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13 Meeting of All Shareholders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13 Assemblée universelle</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Shareholders or their proxies representing all shares issued may hold</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propriétaires ou les représentants de la totalité des actions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 General Meeting without observing the formalities required for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peuvent, s'il n'y a pas d'opposition, tenir une assemblée générale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calling a meeting, unless objection is raised. At such a meeting,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sans observer les formes prévues pour sa convocation. Aussi</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discussions may be held and resolutions passed on all matters within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longtemps que les propriétaires ou les représentants de la totalité</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scope of the powers of a General Meeting for so long as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actions sont présents, cette assemblée a le droit de délibérer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or proxies representing all shares issued are present.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et de statuer valablement sur tous les objets qui sont du ressort de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14 Chairman and Scrutineers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14 Président et scrutateurs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Chairman of the Board of Directors shall preside over the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 est présidée par le président du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In his absence, a member of the Board of Directors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En cas d'empêchement, un autre membre du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another Chairman of the Meeting designated by the General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conseil  d'administration  ou  un  président  ad  hoc  nommé  par</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Meeting shall preside.</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 préside celle-ci.</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Chairman of the Meeting shall designate a Secretary and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président de l'assemblée générale désigne un secrétaire et les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scrutineers who need not be shareholders.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scrutateurs qui ne doivent pas nécessairement être actionnaires.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15 Minutes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15 Procès-verbal</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is responsible for the keeping of the minutes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est responsable de la tenue du procès-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the Meeting, which shall state the number, kind, nominal value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verbal de l'assemblée, qui doit indiquer le nombre, le type,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shares represented by the shareholders, by the corporate bodies and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valeur nominale des actions représentées par les actionnaires, par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by  the  independent  proxy  and  gives  information  on resolutions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les organes sociaux et par le représentant indépendant et donne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passed, elections, requests for information and information as well as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informations sur les décisions adoptées, les élections, les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declarations given by the shareholders. The minutes shall be signed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demandes de renseignements et les informations ainsi que les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by the Chairman and the Secretary.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déclarations faites par les actionnaires. Le procès-verbal est signé</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 le président et le secrétaire.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shareholders are entitled to inspect the minutes.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actionnaires ont le droit d'examiner le procès-verbal.</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16 Right to Vote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16 Droit de vote</w:t>
            </w:r>
          </w:p>
        </w:tc>
      </w:tr>
      <w:tr>
        <w:trPr>
          <w:trHeight w:val="405"/>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Each share entitles to one vote.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Chaque action donne droit à une voix.</w:t>
            </w:r>
          </w:p>
        </w:tc>
      </w:tr>
      <w:tr>
        <w:trPr>
          <w:trHeight w:val="257"/>
        </w:trPr>
        <w:tc>
          <w:tcPr>
            <w:tcW w:w="5740" w:type="dxa"/>
            <w:vAlign w:val="bottom"/>
            <w:tcBorders>
              <w:left w:val="single" w:sz="8" w:color="auto"/>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60" w:type="dxa"/>
            <w:vAlign w:val="bottom"/>
            <w:tcBorders>
              <w:bottom w:val="single" w:sz="8" w:color="auto"/>
              <w:right w:val="single" w:sz="8" w:color="auto"/>
            </w:tcBorders>
          </w:tcPr>
          <w:p>
            <w:pPr>
              <w:spacing w:after="0"/>
              <w:rPr>
                <w:sz w:val="22"/>
                <w:szCs w:val="22"/>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Each shareholder may be represented at a General Meeting by any</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Chaque  actionnaire  peut  se  faire  représenter  à  l'assemblée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 who is so authorized by a written proxy. A proxy need not be a</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générale par toute personne qui est autorisée par une procuration</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écrite.  Le  représentant  ne  doit  pas  nécessairement  être  un</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actionnaire.</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Each shareholder may be represented by the Independent Proxy.</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Chaque actionnaire peut se faire représenter par le représentant</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requirements regarding proxies and instructions are determined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indépendant. Les exigences en matière de procurations et les</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by the Board of Directors.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instructions sont déterminées par le conseil d'administration.</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17 Resolutions and Elections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Art. 17 Décisions and élections</w:t>
            </w:r>
          </w:p>
        </w:tc>
        <w:tc>
          <w:tcPr>
            <w:tcW w:w="0" w:type="dxa"/>
            <w:vAlign w:val="bottom"/>
          </w:tcPr>
          <w:p>
            <w:pPr>
              <w:spacing w:after="0"/>
              <w:rPr>
                <w:sz w:val="1"/>
                <w:szCs w:val="1"/>
                <w:color w:val="auto"/>
              </w:rPr>
            </w:pP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All voting and elections are held openly or electronically. A written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Tous votes et élections sont tenus ouvertement ou par voie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voting or election shall be held if instructed so by the Chairman or if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électronique.  Sur  instruction  du  président  ou  de  l'assemblée</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decided by the General Meeting.</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générale, un vote ou une élection doit être tenu par écrit.</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General Meeting shall pass its resolutions and carry out its</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Sous réserve des dispositions impératives de la loi ou des statuts,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elections with the simple majority of the votes cast regardless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l'assemblée  générale  prend  ses  décisions  et  procède  aux</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abstentions and empty or invalid votes, unless statutory law 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élections à la majorité simple des voix émises. En cas de partage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articles of association state otherwise. In the event of tie votes,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égal des voix, la requête sera refusée. Le président n'a pas voix</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request shall be refused. The Chairman shall not have a casting vote.</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prépondérante.</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 resolution of the General Meeting passed by at least two thirds of</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Une décision de l'assemblée générale recueillant au moins les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represented  share  votes  and  the  absolute  majority  of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deux tiers des voix attribuées aux actions représentées et la</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represented shares par value is required for: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3"/>
          </w:tcPr>
          <w:p>
            <w:pPr>
              <w:ind w:left="60"/>
              <w:spacing w:after="0" w:line="202" w:lineRule="exact"/>
              <w:rPr>
                <w:sz w:val="20"/>
                <w:szCs w:val="20"/>
                <w:color w:val="auto"/>
              </w:rPr>
            </w:pPr>
            <w:r>
              <w:rPr>
                <w:rFonts w:ascii="Arial" w:cs="Arial" w:eastAsia="Arial" w:hAnsi="Arial"/>
                <w:sz w:val="18"/>
                <w:szCs w:val="18"/>
                <w:color w:val="auto"/>
              </w:rPr>
              <w:t>majorité  absolue  des  valeurs  nominales  représentées  est</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  The cases listed in art. 704 para. 1 CO, i.e.:</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3"/>
          </w:tcPr>
          <w:p>
            <w:pPr>
              <w:ind w:left="60"/>
              <w:spacing w:after="0"/>
              <w:rPr>
                <w:sz w:val="20"/>
                <w:szCs w:val="20"/>
                <w:color w:val="auto"/>
              </w:rPr>
            </w:pPr>
            <w:r>
              <w:rPr>
                <w:rFonts w:ascii="Arial" w:cs="Arial" w:eastAsia="Arial" w:hAnsi="Arial"/>
                <w:sz w:val="18"/>
                <w:szCs w:val="18"/>
                <w:color w:val="auto"/>
              </w:rPr>
              <w:t>nécessaire pour:</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80" w:type="dxa"/>
            <w:vAlign w:val="bottom"/>
            <w:vMerge w:val="restart"/>
          </w:tcPr>
          <w:p>
            <w:pPr>
              <w:ind w:left="60"/>
              <w:spacing w:after="0"/>
              <w:rPr>
                <w:sz w:val="20"/>
                <w:szCs w:val="20"/>
                <w:color w:val="auto"/>
              </w:rPr>
            </w:pPr>
            <w:r>
              <w:rPr>
                <w:rFonts w:ascii="Arial" w:cs="Arial" w:eastAsia="Arial" w:hAnsi="Arial"/>
                <w:sz w:val="18"/>
                <w:szCs w:val="18"/>
                <w:color w:val="auto"/>
              </w:rPr>
              <w:t>a)</w:t>
            </w:r>
          </w:p>
        </w:tc>
        <w:tc>
          <w:tcPr>
            <w:tcW w:w="508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les cas énumérés dans l'art. 704 al. 1 CO, i.e.: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color w:val="auto"/>
              </w:rPr>
              <w:t>(i)   the change of the company purpose;</w:t>
            </w:r>
          </w:p>
        </w:tc>
        <w:tc>
          <w:tcPr>
            <w:tcW w:w="220" w:type="dxa"/>
            <w:vAlign w:val="bottom"/>
            <w:tcBorders>
              <w:right w:val="single" w:sz="8" w:color="auto"/>
            </w:tcBorders>
          </w:tcPr>
          <w:p>
            <w:pPr>
              <w:spacing w:after="0"/>
              <w:rPr>
                <w:sz w:val="17"/>
                <w:szCs w:val="17"/>
                <w:color w:val="auto"/>
              </w:rPr>
            </w:pPr>
          </w:p>
        </w:tc>
        <w:tc>
          <w:tcPr>
            <w:tcW w:w="380" w:type="dxa"/>
            <w:vAlign w:val="bottom"/>
            <w:vMerge w:val="continue"/>
          </w:tcPr>
          <w:p>
            <w:pPr>
              <w:spacing w:after="0"/>
              <w:rPr>
                <w:sz w:val="17"/>
                <w:szCs w:val="17"/>
                <w:color w:val="auto"/>
              </w:rPr>
            </w:pPr>
          </w:p>
        </w:tc>
        <w:tc>
          <w:tcPr>
            <w:tcW w:w="50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08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(i)   la modification du but social;</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vMerge w:val="restart"/>
          </w:tcPr>
          <w:p>
            <w:pPr>
              <w:ind w:left="480"/>
              <w:spacing w:after="0"/>
              <w:rPr>
                <w:sz w:val="20"/>
                <w:szCs w:val="20"/>
                <w:color w:val="auto"/>
              </w:rPr>
            </w:pPr>
            <w:r>
              <w:rPr>
                <w:rFonts w:ascii="Arial" w:cs="Arial" w:eastAsia="Arial" w:hAnsi="Arial"/>
                <w:sz w:val="18"/>
                <w:szCs w:val="18"/>
                <w:color w:val="auto"/>
              </w:rPr>
              <w:t>(ii)  the creation of shares with privileged voting rights;</w:t>
            </w:r>
          </w:p>
        </w:tc>
        <w:tc>
          <w:tcPr>
            <w:tcW w:w="2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0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574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(iii)  the restriction of the transferability of registered shares;</w:t>
            </w:r>
          </w:p>
        </w:tc>
        <w:tc>
          <w:tcPr>
            <w:tcW w:w="22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(ii)  l'introduction d'actions à droit de vote privilégié;</w:t>
            </w:r>
          </w:p>
        </w:tc>
        <w:tc>
          <w:tcPr>
            <w:tcW w:w="0" w:type="dxa"/>
            <w:vAlign w:val="bottom"/>
          </w:tcPr>
          <w:p>
            <w:pPr>
              <w:spacing w:after="0"/>
              <w:rPr>
                <w:sz w:val="1"/>
                <w:szCs w:val="1"/>
                <w:color w:val="auto"/>
              </w:rPr>
            </w:pPr>
          </w:p>
        </w:tc>
      </w:tr>
      <w:tr>
        <w:trPr>
          <w:trHeight w:val="391"/>
        </w:trPr>
        <w:tc>
          <w:tcPr>
            <w:tcW w:w="574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(iv)  an increase of capital, authorized or subject to a condition;</w:t>
            </w:r>
          </w:p>
        </w:tc>
        <w:tc>
          <w:tcPr>
            <w:tcW w:w="22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(iii)</w:t>
            </w:r>
          </w:p>
        </w:tc>
        <w:tc>
          <w:tcPr>
            <w:tcW w:w="462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la  restriction  de  la  transmissibilité  des  actions</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nominatives;</w:t>
            </w:r>
          </w:p>
        </w:tc>
        <w:tc>
          <w:tcPr>
            <w:tcW w:w="0" w:type="dxa"/>
            <w:vAlign w:val="bottom"/>
          </w:tcPr>
          <w:p>
            <w:pPr>
              <w:spacing w:after="0"/>
              <w:rPr>
                <w:sz w:val="1"/>
                <w:szCs w:val="1"/>
                <w:color w:val="auto"/>
              </w:rPr>
            </w:pPr>
          </w:p>
        </w:tc>
      </w:tr>
      <w:tr>
        <w:trPr>
          <w:trHeight w:val="391"/>
        </w:trPr>
        <w:tc>
          <w:tcPr>
            <w:tcW w:w="5740" w:type="dxa"/>
            <w:vAlign w:val="bottom"/>
            <w:tcBorders>
              <w:left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8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(iv)   l'augmentation autorisée ou conditionnelle du capital-</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actions;</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9"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0" w:type="dxa"/>
            <w:vAlign w:val="bottom"/>
          </w:tcPr>
          <w:p>
            <w:pPr>
              <w:ind w:left="4420"/>
              <w:spacing w:after="0"/>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101"/>
        </w:trPr>
        <w:tc>
          <w:tcPr>
            <w:tcW w:w="82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20" w:type="dxa"/>
            <w:vAlign w:val="bottom"/>
          </w:tcPr>
          <w:p>
            <w:pPr>
              <w:ind w:left="480"/>
              <w:spacing w:after="0"/>
              <w:rPr>
                <w:sz w:val="20"/>
                <w:szCs w:val="20"/>
                <w:color w:val="auto"/>
              </w:rPr>
            </w:pPr>
            <w:r>
              <w:rPr>
                <w:rFonts w:ascii="Arial" w:cs="Arial" w:eastAsia="Arial" w:hAnsi="Arial"/>
                <w:sz w:val="18"/>
                <w:szCs w:val="18"/>
                <w:color w:val="auto"/>
              </w:rPr>
              <w:t>(v)</w:t>
            </w:r>
          </w:p>
        </w:tc>
        <w:tc>
          <w:tcPr>
            <w:tcW w:w="5240" w:type="dxa"/>
            <w:vAlign w:val="bottom"/>
          </w:tcPr>
          <w:p>
            <w:pPr>
              <w:ind w:left="120"/>
              <w:spacing w:after="0"/>
              <w:rPr>
                <w:sz w:val="20"/>
                <w:szCs w:val="20"/>
                <w:color w:val="auto"/>
              </w:rPr>
            </w:pPr>
            <w:r>
              <w:rPr>
                <w:rFonts w:ascii="Arial" w:cs="Arial" w:eastAsia="Arial" w:hAnsi="Arial"/>
                <w:sz w:val="18"/>
                <w:szCs w:val="18"/>
                <w:color w:val="auto"/>
              </w:rPr>
              <w:t>an increase of capital out of equity, against contribution in</w:t>
            </w:r>
          </w:p>
        </w:tc>
        <w:tc>
          <w:tcPr>
            <w:tcW w:w="760" w:type="dxa"/>
            <w:vAlign w:val="bottom"/>
          </w:tcPr>
          <w:p>
            <w:pPr>
              <w:ind w:left="420"/>
              <w:spacing w:after="0"/>
              <w:rPr>
                <w:sz w:val="20"/>
                <w:szCs w:val="20"/>
                <w:color w:val="auto"/>
              </w:rPr>
            </w:pPr>
            <w:r>
              <w:rPr>
                <w:rFonts w:ascii="Arial" w:cs="Arial" w:eastAsia="Arial" w:hAnsi="Arial"/>
                <w:sz w:val="18"/>
                <w:szCs w:val="18"/>
                <w:color w:val="auto"/>
              </w:rPr>
              <w:t>(v)</w:t>
            </w:r>
          </w:p>
        </w:tc>
        <w:tc>
          <w:tcPr>
            <w:tcW w:w="4600" w:type="dxa"/>
            <w:vAlign w:val="bottom"/>
          </w:tcPr>
          <w:p>
            <w:pPr>
              <w:ind w:left="120"/>
              <w:spacing w:after="0"/>
              <w:rPr>
                <w:sz w:val="20"/>
                <w:szCs w:val="20"/>
                <w:color w:val="auto"/>
              </w:rPr>
            </w:pPr>
            <w:r>
              <w:rPr>
                <w:rFonts w:ascii="Arial" w:cs="Arial" w:eastAsia="Arial" w:hAnsi="Arial"/>
                <w:sz w:val="18"/>
                <w:szCs w:val="18"/>
                <w:color w:val="auto"/>
              </w:rPr>
              <w:t>l'augmentation du capital-actions au moyen des fonds</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5240" w:type="dxa"/>
            <w:vAlign w:val="bottom"/>
          </w:tcPr>
          <w:p>
            <w:pPr>
              <w:ind w:left="40"/>
              <w:spacing w:after="0" w:line="202" w:lineRule="exact"/>
              <w:rPr>
                <w:sz w:val="20"/>
                <w:szCs w:val="20"/>
                <w:color w:val="auto"/>
              </w:rPr>
            </w:pPr>
            <w:r>
              <w:rPr>
                <w:rFonts w:ascii="Arial" w:cs="Arial" w:eastAsia="Arial" w:hAnsi="Arial"/>
                <w:sz w:val="18"/>
                <w:szCs w:val="18"/>
                <w:color w:val="auto"/>
              </w:rPr>
              <w:t>kind, or for the purpose of acquisition of assets and the</w:t>
            </w:r>
          </w:p>
        </w:tc>
        <w:tc>
          <w:tcPr>
            <w:tcW w:w="760" w:type="dxa"/>
            <w:vAlign w:val="bottom"/>
          </w:tcPr>
          <w:p>
            <w:pPr>
              <w:spacing w:after="0"/>
              <w:rPr>
                <w:sz w:val="17"/>
                <w:szCs w:val="17"/>
                <w:color w:val="auto"/>
              </w:rPr>
            </w:pPr>
          </w:p>
        </w:tc>
        <w:tc>
          <w:tcPr>
            <w:tcW w:w="4600" w:type="dxa"/>
            <w:vAlign w:val="bottom"/>
          </w:tcPr>
          <w:p>
            <w:pPr>
              <w:ind w:left="40"/>
              <w:spacing w:after="0" w:line="202" w:lineRule="exact"/>
              <w:rPr>
                <w:sz w:val="20"/>
                <w:szCs w:val="20"/>
                <w:color w:val="auto"/>
              </w:rPr>
            </w:pPr>
            <w:r>
              <w:rPr>
                <w:rFonts w:ascii="Arial" w:cs="Arial" w:eastAsia="Arial" w:hAnsi="Arial"/>
                <w:sz w:val="18"/>
                <w:szCs w:val="18"/>
                <w:color w:val="auto"/>
              </w:rPr>
              <w:t>propres, contre apport en nature ou en vue d'une</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5240" w:type="dxa"/>
            <w:vAlign w:val="bottom"/>
          </w:tcPr>
          <w:p>
            <w:pPr>
              <w:ind w:left="40"/>
              <w:spacing w:after="0"/>
              <w:rPr>
                <w:sz w:val="20"/>
                <w:szCs w:val="20"/>
                <w:color w:val="auto"/>
              </w:rPr>
            </w:pPr>
            <w:r>
              <w:rPr>
                <w:rFonts w:ascii="Arial" w:cs="Arial" w:eastAsia="Arial" w:hAnsi="Arial"/>
                <w:sz w:val="18"/>
                <w:szCs w:val="18"/>
                <w:color w:val="auto"/>
              </w:rPr>
              <w:t>granting of special benefits;</w:t>
            </w:r>
          </w:p>
        </w:tc>
        <w:tc>
          <w:tcPr>
            <w:tcW w:w="760" w:type="dxa"/>
            <w:vAlign w:val="bottom"/>
          </w:tcPr>
          <w:p>
            <w:pPr>
              <w:spacing w:after="0"/>
              <w:rPr>
                <w:sz w:val="18"/>
                <w:szCs w:val="18"/>
                <w:color w:val="auto"/>
              </w:rPr>
            </w:pPr>
          </w:p>
        </w:tc>
        <w:tc>
          <w:tcPr>
            <w:tcW w:w="4600" w:type="dxa"/>
            <w:vAlign w:val="bottom"/>
          </w:tcPr>
          <w:p>
            <w:pPr>
              <w:ind w:left="40"/>
              <w:spacing w:after="0"/>
              <w:rPr>
                <w:sz w:val="20"/>
                <w:szCs w:val="20"/>
                <w:color w:val="auto"/>
              </w:rPr>
            </w:pPr>
            <w:r>
              <w:rPr>
                <w:rFonts w:ascii="Arial" w:cs="Arial" w:eastAsia="Arial" w:hAnsi="Arial"/>
                <w:sz w:val="18"/>
                <w:szCs w:val="18"/>
                <w:color w:val="auto"/>
              </w:rPr>
              <w:t>reprise de biens et l'octroi d'avantages particuliers;</w:t>
            </w:r>
          </w:p>
        </w:tc>
        <w:tc>
          <w:tcPr>
            <w:tcW w:w="0" w:type="dxa"/>
            <w:vAlign w:val="bottom"/>
          </w:tcPr>
          <w:p>
            <w:pPr>
              <w:spacing w:after="0"/>
              <w:rPr>
                <w:sz w:val="1"/>
                <w:szCs w:val="1"/>
                <w:color w:val="auto"/>
              </w:rPr>
            </w:pPr>
          </w:p>
        </w:tc>
      </w:tr>
      <w:tr>
        <w:trPr>
          <w:trHeight w:val="391"/>
        </w:trPr>
        <w:tc>
          <w:tcPr>
            <w:tcW w:w="820" w:type="dxa"/>
            <w:vAlign w:val="bottom"/>
          </w:tcPr>
          <w:p>
            <w:pPr>
              <w:ind w:left="480"/>
              <w:spacing w:after="0"/>
              <w:rPr>
                <w:sz w:val="20"/>
                <w:szCs w:val="20"/>
                <w:color w:val="auto"/>
              </w:rPr>
            </w:pPr>
            <w:r>
              <w:rPr>
                <w:rFonts w:ascii="Arial" w:cs="Arial" w:eastAsia="Arial" w:hAnsi="Arial"/>
                <w:sz w:val="18"/>
                <w:szCs w:val="18"/>
                <w:color w:val="auto"/>
              </w:rPr>
              <w:t>(vi)</w:t>
            </w:r>
          </w:p>
        </w:tc>
        <w:tc>
          <w:tcPr>
            <w:tcW w:w="5240" w:type="dxa"/>
            <w:vAlign w:val="bottom"/>
          </w:tcPr>
          <w:p>
            <w:pPr>
              <w:ind w:left="60"/>
              <w:spacing w:after="0"/>
              <w:rPr>
                <w:sz w:val="20"/>
                <w:szCs w:val="20"/>
                <w:color w:val="auto"/>
              </w:rPr>
            </w:pPr>
            <w:r>
              <w:rPr>
                <w:rFonts w:ascii="Arial" w:cs="Arial" w:eastAsia="Arial" w:hAnsi="Arial"/>
                <w:sz w:val="18"/>
                <w:szCs w:val="18"/>
                <w:color w:val="auto"/>
              </w:rPr>
              <w:t>the limitation or withdrawal of subscription rights;</w:t>
            </w:r>
          </w:p>
        </w:tc>
        <w:tc>
          <w:tcPr>
            <w:tcW w:w="760" w:type="dxa"/>
            <w:vAlign w:val="bottom"/>
          </w:tcPr>
          <w:p>
            <w:pPr>
              <w:ind w:left="420"/>
              <w:spacing w:after="0"/>
              <w:rPr>
                <w:sz w:val="20"/>
                <w:szCs w:val="20"/>
                <w:color w:val="auto"/>
              </w:rPr>
            </w:pPr>
            <w:r>
              <w:rPr>
                <w:rFonts w:ascii="Arial" w:cs="Arial" w:eastAsia="Arial" w:hAnsi="Arial"/>
                <w:sz w:val="18"/>
                <w:szCs w:val="18"/>
                <w:color w:val="auto"/>
              </w:rPr>
              <w:t>(vi)</w:t>
            </w:r>
          </w:p>
        </w:tc>
        <w:tc>
          <w:tcPr>
            <w:tcW w:w="4600" w:type="dxa"/>
            <w:vAlign w:val="bottom"/>
          </w:tcPr>
          <w:p>
            <w:pPr>
              <w:ind w:left="100"/>
              <w:spacing w:after="0"/>
              <w:rPr>
                <w:sz w:val="20"/>
                <w:szCs w:val="20"/>
                <w:color w:val="auto"/>
              </w:rPr>
            </w:pPr>
            <w:r>
              <w:rPr>
                <w:rFonts w:ascii="Arial" w:cs="Arial" w:eastAsia="Arial" w:hAnsi="Arial"/>
                <w:sz w:val="18"/>
                <w:szCs w:val="18"/>
                <w:color w:val="auto"/>
              </w:rPr>
              <w:t>la limitation ou la suppression du droit de souscription</w:t>
            </w:r>
          </w:p>
        </w:tc>
        <w:tc>
          <w:tcPr>
            <w:tcW w:w="0" w:type="dxa"/>
            <w:vAlign w:val="bottom"/>
          </w:tcPr>
          <w:p>
            <w:pPr>
              <w:spacing w:after="0"/>
              <w:rPr>
                <w:sz w:val="1"/>
                <w:szCs w:val="1"/>
                <w:color w:val="auto"/>
              </w:rPr>
            </w:pPr>
          </w:p>
        </w:tc>
      </w:tr>
      <w:tr>
        <w:trPr>
          <w:trHeight w:val="217"/>
        </w:trPr>
        <w:tc>
          <w:tcPr>
            <w:tcW w:w="820" w:type="dxa"/>
            <w:vAlign w:val="bottom"/>
            <w:vMerge w:val="restart"/>
          </w:tcPr>
          <w:p>
            <w:pPr>
              <w:ind w:left="480"/>
              <w:spacing w:after="0"/>
              <w:rPr>
                <w:sz w:val="20"/>
                <w:szCs w:val="20"/>
                <w:color w:val="auto"/>
              </w:rPr>
            </w:pPr>
            <w:r>
              <w:rPr>
                <w:rFonts w:ascii="Arial" w:cs="Arial" w:eastAsia="Arial" w:hAnsi="Arial"/>
                <w:sz w:val="18"/>
                <w:szCs w:val="18"/>
                <w:color w:val="auto"/>
              </w:rPr>
              <w:t>(vii)</w:t>
            </w:r>
          </w:p>
        </w:tc>
        <w:tc>
          <w:tcPr>
            <w:tcW w:w="5240" w:type="dxa"/>
            <w:vAlign w:val="bottom"/>
            <w:vMerge w:val="restart"/>
          </w:tcPr>
          <w:p>
            <w:pPr>
              <w:ind w:left="40"/>
              <w:spacing w:after="0"/>
              <w:rPr>
                <w:sz w:val="20"/>
                <w:szCs w:val="20"/>
                <w:color w:val="auto"/>
              </w:rPr>
            </w:pPr>
            <w:r>
              <w:rPr>
                <w:rFonts w:ascii="Arial" w:cs="Arial" w:eastAsia="Arial" w:hAnsi="Arial"/>
                <w:sz w:val="18"/>
                <w:szCs w:val="18"/>
                <w:color w:val="auto"/>
              </w:rPr>
              <w:t>the change of the domicile of the Company; and</w:t>
            </w:r>
          </w:p>
        </w:tc>
        <w:tc>
          <w:tcPr>
            <w:tcW w:w="760" w:type="dxa"/>
            <w:vAlign w:val="bottom"/>
          </w:tcPr>
          <w:p>
            <w:pPr>
              <w:spacing w:after="0"/>
              <w:rPr>
                <w:sz w:val="18"/>
                <w:szCs w:val="18"/>
                <w:color w:val="auto"/>
              </w:rPr>
            </w:pPr>
          </w:p>
        </w:tc>
        <w:tc>
          <w:tcPr>
            <w:tcW w:w="4600" w:type="dxa"/>
            <w:vAlign w:val="bottom"/>
          </w:tcPr>
          <w:p>
            <w:pPr>
              <w:ind w:left="40"/>
              <w:spacing w:after="0"/>
              <w:rPr>
                <w:sz w:val="20"/>
                <w:szCs w:val="20"/>
                <w:color w:val="auto"/>
              </w:rPr>
            </w:pPr>
            <w:r>
              <w:rPr>
                <w:rFonts w:ascii="Arial" w:cs="Arial" w:eastAsia="Arial" w:hAnsi="Arial"/>
                <w:sz w:val="18"/>
                <w:szCs w:val="18"/>
                <w:color w:val="auto"/>
              </w:rPr>
              <w:t>préférentiel;</w:t>
            </w:r>
          </w:p>
        </w:tc>
        <w:tc>
          <w:tcPr>
            <w:tcW w:w="0" w:type="dxa"/>
            <w:vAlign w:val="bottom"/>
          </w:tcPr>
          <w:p>
            <w:pPr>
              <w:spacing w:after="0"/>
              <w:rPr>
                <w:sz w:val="1"/>
                <w:szCs w:val="1"/>
                <w:color w:val="auto"/>
              </w:rPr>
            </w:pPr>
          </w:p>
        </w:tc>
      </w:tr>
      <w:tr>
        <w:trPr>
          <w:trHeight w:val="203"/>
        </w:trPr>
        <w:tc>
          <w:tcPr>
            <w:tcW w:w="820" w:type="dxa"/>
            <w:vAlign w:val="bottom"/>
            <w:vMerge w:val="continue"/>
          </w:tcPr>
          <w:p>
            <w:pPr>
              <w:spacing w:after="0"/>
              <w:rPr>
                <w:sz w:val="17"/>
                <w:szCs w:val="17"/>
                <w:color w:val="auto"/>
              </w:rPr>
            </w:pPr>
          </w:p>
        </w:tc>
        <w:tc>
          <w:tcPr>
            <w:tcW w:w="5240" w:type="dxa"/>
            <w:vAlign w:val="bottom"/>
            <w:vMerge w:val="continue"/>
          </w:tcPr>
          <w:p>
            <w:pPr>
              <w:spacing w:after="0"/>
              <w:rPr>
                <w:sz w:val="17"/>
                <w:szCs w:val="17"/>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(vii)</w:t>
            </w:r>
          </w:p>
        </w:tc>
        <w:tc>
          <w:tcPr>
            <w:tcW w:w="4600" w:type="dxa"/>
            <w:vAlign w:val="bottom"/>
            <w:vMerge w:val="restart"/>
          </w:tcPr>
          <w:p>
            <w:pPr>
              <w:ind w:left="40"/>
              <w:spacing w:after="0"/>
              <w:rPr>
                <w:sz w:val="20"/>
                <w:szCs w:val="20"/>
                <w:color w:val="auto"/>
              </w:rPr>
            </w:pPr>
            <w:r>
              <w:rPr>
                <w:rFonts w:ascii="Arial" w:cs="Arial" w:eastAsia="Arial" w:hAnsi="Arial"/>
                <w:sz w:val="18"/>
                <w:szCs w:val="18"/>
                <w:color w:val="auto"/>
              </w:rPr>
              <w:t>le transfert du siège de la société; et</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-1079500</wp:posOffset>
            </wp:positionV>
            <wp:extent cx="7246620" cy="5213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213985"/>
                    </a:xfrm>
                    <a:prstGeom prst="rect">
                      <a:avLst/>
                    </a:prstGeom>
                    <a:noFill/>
                  </pic:spPr>
                </pic:pic>
              </a:graphicData>
            </a:graphic>
          </wp:anchor>
        </w:drawing>
      </w:r>
    </w:p>
    <w:p>
      <w:pPr>
        <w:ind w:left="480"/>
        <w:spacing w:after="0" w:line="234" w:lineRule="auto"/>
        <w:rPr>
          <w:sz w:val="20"/>
          <w:szCs w:val="20"/>
          <w:color w:val="auto"/>
        </w:rPr>
      </w:pPr>
      <w:r>
        <w:rPr>
          <w:rFonts w:ascii="Arial" w:cs="Arial" w:eastAsia="Arial" w:hAnsi="Arial"/>
          <w:sz w:val="18"/>
          <w:szCs w:val="18"/>
          <w:color w:val="auto"/>
        </w:rPr>
        <w:t>(viii) the liquidation of the Company;</w:t>
      </w:r>
    </w:p>
    <w:p>
      <w:pPr>
        <w:ind w:left="6480"/>
        <w:spacing w:after="0" w:line="235" w:lineRule="auto"/>
        <w:rPr>
          <w:sz w:val="20"/>
          <w:szCs w:val="20"/>
          <w:color w:val="auto"/>
        </w:rPr>
      </w:pPr>
      <w:r>
        <w:rPr>
          <w:rFonts w:ascii="Arial" w:cs="Arial" w:eastAsia="Arial" w:hAnsi="Arial"/>
          <w:sz w:val="18"/>
          <w:szCs w:val="18"/>
          <w:color w:val="auto"/>
        </w:rPr>
        <w:t>(viii) la dissolution de la société;</w:t>
      </w:r>
    </w:p>
    <w:p>
      <w:pPr>
        <w:ind w:left="480" w:hanging="386"/>
        <w:spacing w:after="0" w:line="235"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merger, de-merger or conversion of the Company (subject to</w:t>
      </w:r>
    </w:p>
    <w:tbl>
      <w:tblPr>
        <w:tblLayout w:type="fixed"/>
        <w:tblInd w:w="480" w:type="dxa"/>
        <w:tblCellMar>
          <w:top w:w="0" w:type="dxa"/>
          <w:left w:w="0" w:type="dxa"/>
          <w:bottom w:w="0" w:type="dxa"/>
          <w:right w:w="0" w:type="dxa"/>
        </w:tblCellMar>
      </w:tblPr>
      <w:tr>
        <w:trPr>
          <w:trHeight w:val="203"/>
        </w:trPr>
        <w:tc>
          <w:tcPr>
            <w:tcW w:w="3400" w:type="dxa"/>
            <w:vAlign w:val="bottom"/>
          </w:tcPr>
          <w:p>
            <w:pPr>
              <w:spacing w:after="0" w:line="203" w:lineRule="exact"/>
              <w:rPr>
                <w:sz w:val="20"/>
                <w:szCs w:val="20"/>
                <w:color w:val="auto"/>
              </w:rPr>
            </w:pPr>
            <w:r>
              <w:rPr>
                <w:rFonts w:ascii="Arial" w:cs="Arial" w:eastAsia="Arial" w:hAnsi="Arial"/>
                <w:sz w:val="18"/>
                <w:szCs w:val="18"/>
                <w:color w:val="auto"/>
              </w:rPr>
              <w:t>mandatory law);</w:t>
            </w:r>
          </w:p>
        </w:tc>
        <w:tc>
          <w:tcPr>
            <w:tcW w:w="2460" w:type="dxa"/>
            <w:vAlign w:val="bottom"/>
          </w:tcPr>
          <w:p>
            <w:pPr>
              <w:ind w:left="2140"/>
              <w:spacing w:after="0" w:line="203" w:lineRule="exact"/>
              <w:rPr>
                <w:sz w:val="20"/>
                <w:szCs w:val="20"/>
                <w:color w:val="auto"/>
              </w:rPr>
            </w:pPr>
            <w:r>
              <w:rPr>
                <w:rFonts w:ascii="Arial" w:cs="Arial" w:eastAsia="Arial" w:hAnsi="Arial"/>
                <w:sz w:val="18"/>
                <w:szCs w:val="18"/>
                <w:color w:val="auto"/>
              </w:rPr>
              <w:t>b)</w:t>
            </w:r>
          </w:p>
        </w:tc>
        <w:tc>
          <w:tcPr>
            <w:tcW w:w="5000" w:type="dxa"/>
            <w:vAlign w:val="bottom"/>
          </w:tcPr>
          <w:p>
            <w:pPr>
              <w:ind w:left="260"/>
              <w:spacing w:after="0" w:line="203" w:lineRule="exact"/>
              <w:rPr>
                <w:sz w:val="20"/>
                <w:szCs w:val="20"/>
                <w:color w:val="auto"/>
              </w:rPr>
            </w:pPr>
            <w:r>
              <w:rPr>
                <w:rFonts w:ascii="Arial" w:cs="Arial" w:eastAsia="Arial" w:hAnsi="Arial"/>
                <w:sz w:val="18"/>
                <w:szCs w:val="18"/>
                <w:color w:val="auto"/>
              </w:rPr>
              <w:t>la fusion, la scission ou la conversion de la société (sous</w:t>
            </w:r>
          </w:p>
        </w:tc>
      </w:tr>
      <w:tr>
        <w:trPr>
          <w:trHeight w:val="203"/>
        </w:trPr>
        <w:tc>
          <w:tcPr>
            <w:tcW w:w="34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000" w:type="dxa"/>
            <w:vAlign w:val="bottom"/>
          </w:tcPr>
          <w:p>
            <w:pPr>
              <w:ind w:left="140"/>
              <w:spacing w:after="0" w:line="202" w:lineRule="exact"/>
              <w:rPr>
                <w:sz w:val="20"/>
                <w:szCs w:val="20"/>
                <w:color w:val="auto"/>
              </w:rPr>
            </w:pPr>
            <w:r>
              <w:rPr>
                <w:rFonts w:ascii="Arial" w:cs="Arial" w:eastAsia="Arial" w:hAnsi="Arial"/>
                <w:sz w:val="18"/>
                <w:szCs w:val="18"/>
                <w:color w:val="auto"/>
              </w:rPr>
              <w:t>réserve des dispositions impératives);</w:t>
            </w:r>
          </w:p>
        </w:tc>
      </w:tr>
    </w:tbl>
    <w:p>
      <w:pPr>
        <w:ind w:left="520" w:hanging="426"/>
        <w:spacing w:after="0" w:line="234"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alleviating or withdrawal of restrictions upon the transfer of</w:t>
      </w:r>
    </w:p>
    <w:tbl>
      <w:tblPr>
        <w:tblLayout w:type="fixed"/>
        <w:tblInd w:w="480" w:type="dxa"/>
        <w:tblCellMar>
          <w:top w:w="0" w:type="dxa"/>
          <w:left w:w="0" w:type="dxa"/>
          <w:bottom w:w="0" w:type="dxa"/>
          <w:right w:w="0" w:type="dxa"/>
        </w:tblCellMar>
      </w:tblPr>
      <w:tr>
        <w:trPr>
          <w:trHeight w:val="203"/>
        </w:trPr>
        <w:tc>
          <w:tcPr>
            <w:tcW w:w="3480" w:type="dxa"/>
            <w:vAlign w:val="bottom"/>
          </w:tcPr>
          <w:p>
            <w:pPr>
              <w:spacing w:after="0" w:line="203" w:lineRule="exact"/>
              <w:rPr>
                <w:sz w:val="20"/>
                <w:szCs w:val="20"/>
                <w:color w:val="auto"/>
              </w:rPr>
            </w:pPr>
            <w:r>
              <w:rPr>
                <w:rFonts w:ascii="Arial" w:cs="Arial" w:eastAsia="Arial" w:hAnsi="Arial"/>
                <w:sz w:val="18"/>
                <w:szCs w:val="18"/>
                <w:color w:val="auto"/>
              </w:rPr>
              <w:t>registered shares;</w:t>
            </w:r>
          </w:p>
        </w:tc>
        <w:tc>
          <w:tcPr>
            <w:tcW w:w="2360" w:type="dxa"/>
            <w:vAlign w:val="bottom"/>
          </w:tcPr>
          <w:p>
            <w:pPr>
              <w:ind w:left="2060"/>
              <w:spacing w:after="0" w:line="203" w:lineRule="exact"/>
              <w:rPr>
                <w:sz w:val="20"/>
                <w:szCs w:val="20"/>
                <w:color w:val="auto"/>
              </w:rPr>
            </w:pPr>
            <w:r>
              <w:rPr>
                <w:rFonts w:ascii="Arial" w:cs="Arial" w:eastAsia="Arial" w:hAnsi="Arial"/>
                <w:sz w:val="18"/>
                <w:szCs w:val="18"/>
                <w:color w:val="auto"/>
              </w:rPr>
              <w:t>c)</w:t>
            </w:r>
          </w:p>
        </w:tc>
        <w:tc>
          <w:tcPr>
            <w:tcW w:w="5000" w:type="dxa"/>
            <w:vAlign w:val="bottom"/>
          </w:tcPr>
          <w:p>
            <w:pPr>
              <w:ind w:left="460"/>
              <w:spacing w:after="0" w:line="203" w:lineRule="exact"/>
              <w:rPr>
                <w:sz w:val="20"/>
                <w:szCs w:val="20"/>
                <w:color w:val="auto"/>
              </w:rPr>
            </w:pPr>
            <w:r>
              <w:rPr>
                <w:rFonts w:ascii="Arial" w:cs="Arial" w:eastAsia="Arial" w:hAnsi="Arial"/>
                <w:sz w:val="18"/>
                <w:szCs w:val="18"/>
                <w:color w:val="auto"/>
              </w:rPr>
              <w:t>l'atténuation ou la suppression des restrictions sur le</w:t>
            </w:r>
          </w:p>
        </w:tc>
      </w:tr>
      <w:tr>
        <w:trPr>
          <w:trHeight w:val="203"/>
        </w:trPr>
        <w:tc>
          <w:tcPr>
            <w:tcW w:w="3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0" w:type="dxa"/>
            <w:vAlign w:val="bottom"/>
          </w:tcPr>
          <w:p>
            <w:pPr>
              <w:ind w:left="160"/>
              <w:spacing w:after="0" w:line="202" w:lineRule="exact"/>
              <w:rPr>
                <w:sz w:val="20"/>
                <w:szCs w:val="20"/>
                <w:color w:val="auto"/>
              </w:rPr>
            </w:pPr>
            <w:r>
              <w:rPr>
                <w:rFonts w:ascii="Arial" w:cs="Arial" w:eastAsia="Arial" w:hAnsi="Arial"/>
                <w:sz w:val="18"/>
                <w:szCs w:val="18"/>
                <w:color w:val="auto"/>
              </w:rPr>
              <w:t>transfert des actions nominatives;</w:t>
            </w:r>
          </w:p>
        </w:tc>
      </w:tr>
    </w:tbl>
    <w:p>
      <w:pPr>
        <w:ind w:left="500" w:hanging="406"/>
        <w:spacing w:after="0" w:line="23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of registered shares into bearer shares and vice</w:t>
      </w: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5500" w:type="dxa"/>
            <w:vAlign w:val="bottom"/>
          </w:tcPr>
          <w:p>
            <w:pPr>
              <w:ind w:left="140"/>
              <w:spacing w:after="0" w:line="203" w:lineRule="exact"/>
              <w:rPr>
                <w:sz w:val="20"/>
                <w:szCs w:val="20"/>
                <w:color w:val="auto"/>
              </w:rPr>
            </w:pPr>
            <w:r>
              <w:rPr>
                <w:rFonts w:ascii="Arial" w:cs="Arial" w:eastAsia="Arial" w:hAnsi="Arial"/>
                <w:sz w:val="18"/>
                <w:szCs w:val="18"/>
                <w:color w:val="auto"/>
              </w:rPr>
              <w:t>versa; and</w:t>
            </w:r>
          </w:p>
        </w:tc>
        <w:tc>
          <w:tcPr>
            <w:tcW w:w="620" w:type="dxa"/>
            <w:vAlign w:val="bottom"/>
          </w:tcPr>
          <w:p>
            <w:pPr>
              <w:ind w:left="180"/>
              <w:spacing w:after="0" w:line="203" w:lineRule="exact"/>
              <w:rPr>
                <w:sz w:val="20"/>
                <w:szCs w:val="20"/>
                <w:color w:val="auto"/>
              </w:rPr>
            </w:pPr>
            <w:r>
              <w:rPr>
                <w:rFonts w:ascii="Arial" w:cs="Arial" w:eastAsia="Arial" w:hAnsi="Arial"/>
                <w:sz w:val="18"/>
                <w:szCs w:val="18"/>
                <w:color w:val="auto"/>
              </w:rPr>
              <w:t>d)</w:t>
            </w:r>
          </w:p>
        </w:tc>
        <w:tc>
          <w:tcPr>
            <w:tcW w:w="4960" w:type="dxa"/>
            <w:vAlign w:val="bottom"/>
          </w:tcPr>
          <w:p>
            <w:pPr>
              <w:jc w:val="right"/>
              <w:spacing w:after="0" w:line="203" w:lineRule="exact"/>
              <w:rPr>
                <w:sz w:val="20"/>
                <w:szCs w:val="20"/>
                <w:color w:val="auto"/>
              </w:rPr>
            </w:pPr>
            <w:r>
              <w:rPr>
                <w:rFonts w:ascii="Arial" w:cs="Arial" w:eastAsia="Arial" w:hAnsi="Arial"/>
                <w:sz w:val="18"/>
                <w:szCs w:val="18"/>
                <w:color w:val="auto"/>
              </w:rPr>
              <w:t>la conversion d'actions nominatives en actions au porteur et</w:t>
            </w:r>
          </w:p>
        </w:tc>
        <w:tc>
          <w:tcPr>
            <w:tcW w:w="0" w:type="dxa"/>
            <w:vAlign w:val="bottom"/>
          </w:tcPr>
          <w:p>
            <w:pPr>
              <w:spacing w:after="0"/>
              <w:rPr>
                <w:sz w:val="1"/>
                <w:szCs w:val="1"/>
                <w:color w:val="auto"/>
              </w:rPr>
            </w:pPr>
          </w:p>
        </w:tc>
      </w:tr>
      <w:tr>
        <w:trPr>
          <w:trHeight w:val="217"/>
        </w:trPr>
        <w:tc>
          <w:tcPr>
            <w:tcW w:w="5840" w:type="dxa"/>
            <w:vAlign w:val="bottom"/>
            <w:gridSpan w:val="2"/>
            <w:vMerge w:val="restart"/>
          </w:tcPr>
          <w:p>
            <w:pPr>
              <w:ind w:left="100"/>
              <w:spacing w:after="0"/>
              <w:rPr>
                <w:sz w:val="20"/>
                <w:szCs w:val="20"/>
                <w:color w:val="auto"/>
              </w:rPr>
            </w:pPr>
            <w:r>
              <w:rPr>
                <w:rFonts w:ascii="Arial" w:cs="Arial" w:eastAsia="Arial" w:hAnsi="Arial"/>
                <w:sz w:val="18"/>
                <w:szCs w:val="18"/>
                <w:color w:val="auto"/>
              </w:rPr>
              <w:t>e)  the amendment or elimination of the provisions of Article 4 and 29</w:t>
            </w:r>
          </w:p>
        </w:tc>
        <w:tc>
          <w:tcPr>
            <w:tcW w:w="62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vice versa; et</w:t>
            </w:r>
          </w:p>
        </w:tc>
        <w:tc>
          <w:tcPr>
            <w:tcW w:w="0" w:type="dxa"/>
            <w:vAlign w:val="bottom"/>
          </w:tcPr>
          <w:p>
            <w:pPr>
              <w:spacing w:after="0"/>
              <w:rPr>
                <w:sz w:val="1"/>
                <w:szCs w:val="1"/>
                <w:color w:val="auto"/>
              </w:rPr>
            </w:pPr>
          </w:p>
        </w:tc>
      </w:tr>
      <w:tr>
        <w:trPr>
          <w:trHeight w:val="188"/>
        </w:trPr>
        <w:tc>
          <w:tcPr>
            <w:tcW w:w="5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00" w:type="dxa"/>
            <w:vAlign w:val="bottom"/>
          </w:tcPr>
          <w:p>
            <w:pPr>
              <w:ind w:left="80"/>
              <w:spacing w:after="0" w:line="202" w:lineRule="exact"/>
              <w:rPr>
                <w:sz w:val="20"/>
                <w:szCs w:val="20"/>
                <w:color w:val="auto"/>
              </w:rPr>
            </w:pPr>
            <w:r>
              <w:rPr>
                <w:rFonts w:ascii="Arial" w:cs="Arial" w:eastAsia="Arial" w:hAnsi="Arial"/>
                <w:sz w:val="18"/>
                <w:szCs w:val="18"/>
                <w:color w:val="auto"/>
              </w:rPr>
              <w:t>of the Articles of Association as well as those contained in this</w:t>
            </w:r>
          </w:p>
        </w:tc>
        <w:tc>
          <w:tcPr>
            <w:tcW w:w="5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   la modification ou la suppression des dispositions des</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00" w:type="dxa"/>
            <w:vAlign w:val="bottom"/>
          </w:tcPr>
          <w:p>
            <w:pPr>
              <w:ind w:left="80"/>
              <w:spacing w:after="0" w:line="202" w:lineRule="exact"/>
              <w:rPr>
                <w:sz w:val="20"/>
                <w:szCs w:val="20"/>
                <w:color w:val="auto"/>
              </w:rPr>
            </w:pPr>
            <w:r>
              <w:rPr>
                <w:rFonts w:ascii="Arial" w:cs="Arial" w:eastAsia="Arial" w:hAnsi="Arial"/>
                <w:sz w:val="18"/>
                <w:szCs w:val="18"/>
                <w:color w:val="auto"/>
              </w:rPr>
              <w:t>Article 17.</w:t>
            </w:r>
          </w:p>
        </w:tc>
        <w:tc>
          <w:tcPr>
            <w:tcW w:w="620" w:type="dxa"/>
            <w:vAlign w:val="bottom"/>
          </w:tcPr>
          <w:p>
            <w:pPr>
              <w:spacing w:after="0"/>
              <w:rPr>
                <w:sz w:val="17"/>
                <w:szCs w:val="17"/>
                <w:color w:val="auto"/>
              </w:rPr>
            </w:pPr>
          </w:p>
        </w:tc>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articles 4 et 29 des statuts ainsi que ceux contenues dans le</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présent article 17.</w:t>
            </w:r>
          </w:p>
        </w:tc>
        <w:tc>
          <w:tcPr>
            <w:tcW w:w="0" w:type="dxa"/>
            <w:vAlign w:val="bottom"/>
          </w:tcPr>
          <w:p>
            <w:pPr>
              <w:spacing w:after="0"/>
              <w:rPr>
                <w:sz w:val="1"/>
                <w:szCs w:val="1"/>
                <w:color w:val="auto"/>
              </w:rPr>
            </w:pPr>
          </w:p>
        </w:tc>
      </w:tr>
      <w:tr>
        <w:trPr>
          <w:trHeight w:val="54"/>
        </w:trPr>
        <w:tc>
          <w:tcPr>
            <w:tcW w:w="5840" w:type="dxa"/>
            <w:vAlign w:val="bottom"/>
            <w:tcBorders>
              <w:bottom w:val="single" w:sz="8" w:color="auto"/>
            </w:tcBorders>
            <w:gridSpan w:val="2"/>
          </w:tcPr>
          <w:p>
            <w:pPr>
              <w:spacing w:after="0"/>
              <w:rPr>
                <w:sz w:val="4"/>
                <w:szCs w:val="4"/>
                <w:color w:val="auto"/>
              </w:rPr>
            </w:pPr>
          </w:p>
        </w:tc>
        <w:tc>
          <w:tcPr>
            <w:tcW w:w="55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840" w:type="dxa"/>
            <w:vAlign w:val="bottom"/>
            <w:gridSpan w:val="2"/>
          </w:tcPr>
          <w:p>
            <w:pPr>
              <w:ind w:left="100"/>
              <w:spacing w:after="0"/>
              <w:rPr>
                <w:sz w:val="20"/>
                <w:szCs w:val="20"/>
                <w:color w:val="auto"/>
              </w:rPr>
            </w:pPr>
            <w:r>
              <w:rPr>
                <w:rFonts w:ascii="Arial" w:cs="Arial" w:eastAsia="Arial" w:hAnsi="Arial"/>
                <w:sz w:val="18"/>
                <w:szCs w:val="18"/>
                <w:b w:val="1"/>
                <w:bCs w:val="1"/>
                <w:color w:val="auto"/>
              </w:rPr>
              <w:t>Art. 18 Votes on Compensation</w:t>
            </w:r>
          </w:p>
        </w:tc>
        <w:tc>
          <w:tcPr>
            <w:tcW w:w="5580" w:type="dxa"/>
            <w:vAlign w:val="bottom"/>
            <w:gridSpan w:val="2"/>
          </w:tcPr>
          <w:p>
            <w:pPr>
              <w:ind w:left="180"/>
              <w:spacing w:after="0"/>
              <w:rPr>
                <w:sz w:val="20"/>
                <w:szCs w:val="20"/>
                <w:color w:val="auto"/>
              </w:rPr>
            </w:pPr>
            <w:r>
              <w:rPr>
                <w:rFonts w:ascii="Arial" w:cs="Arial" w:eastAsia="Arial" w:hAnsi="Arial"/>
                <w:sz w:val="18"/>
                <w:szCs w:val="18"/>
                <w:b w:val="1"/>
                <w:bCs w:val="1"/>
                <w:color w:val="auto"/>
              </w:rPr>
              <w:t>Art. 18 Votes sur la rémunération</w:t>
            </w:r>
          </w:p>
        </w:tc>
        <w:tc>
          <w:tcPr>
            <w:tcW w:w="0" w:type="dxa"/>
            <w:vAlign w:val="bottom"/>
          </w:tcPr>
          <w:p>
            <w:pPr>
              <w:spacing w:after="0"/>
              <w:rPr>
                <w:sz w:val="1"/>
                <w:szCs w:val="1"/>
                <w:color w:val="auto"/>
              </w:rPr>
            </w:pPr>
          </w:p>
        </w:tc>
      </w:tr>
      <w:tr>
        <w:trPr>
          <w:trHeight w:val="391"/>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Each  year,  the  General  Meeting  separately  approves  the  total</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Chaque année, l'assemblée générale approuve séparément les</w:t>
            </w:r>
          </w:p>
        </w:tc>
        <w:tc>
          <w:tcPr>
            <w:tcW w:w="0" w:type="dxa"/>
            <w:vAlign w:val="bottom"/>
          </w:tcPr>
          <w:p>
            <w:pPr>
              <w:spacing w:after="0"/>
              <w:rPr>
                <w:sz w:val="1"/>
                <w:szCs w:val="1"/>
                <w:color w:val="auto"/>
              </w:rPr>
            </w:pPr>
          </w:p>
        </w:tc>
      </w:tr>
      <w:tr>
        <w:trPr>
          <w:trHeight w:val="203"/>
        </w:trPr>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maximum amounts proposed by the Board of Directors pursuant to</w:t>
            </w:r>
          </w:p>
        </w:tc>
        <w:tc>
          <w:tcPr>
            <w:tcW w:w="5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montants   totaux   maximaux   proposés   par   le   conseil</w:t>
            </w:r>
          </w:p>
        </w:tc>
        <w:tc>
          <w:tcPr>
            <w:tcW w:w="0" w:type="dxa"/>
            <w:vAlign w:val="bottom"/>
          </w:tcPr>
          <w:p>
            <w:pPr>
              <w:spacing w:after="0"/>
              <w:rPr>
                <w:sz w:val="1"/>
                <w:szCs w:val="1"/>
                <w:color w:val="auto"/>
              </w:rPr>
            </w:pPr>
          </w:p>
        </w:tc>
      </w:tr>
      <w:tr>
        <w:trPr>
          <w:trHeight w:val="203"/>
        </w:trPr>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Articles 32 and 33 of the Articles of Association for:</w:t>
            </w:r>
          </w:p>
        </w:tc>
        <w:tc>
          <w:tcPr>
            <w:tcW w:w="5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d'administration conformément aux articles 32 et 33 des statuts</w:t>
            </w:r>
          </w:p>
        </w:tc>
        <w:tc>
          <w:tcPr>
            <w:tcW w:w="0" w:type="dxa"/>
            <w:vAlign w:val="bottom"/>
          </w:tcPr>
          <w:p>
            <w:pPr>
              <w:spacing w:after="0"/>
              <w:rPr>
                <w:sz w:val="1"/>
                <w:szCs w:val="1"/>
                <w:color w:val="auto"/>
              </w:rPr>
            </w:pPr>
          </w:p>
        </w:tc>
      </w:tr>
      <w:tr>
        <w:trPr>
          <w:trHeight w:val="217"/>
        </w:trPr>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a)</w:t>
            </w:r>
          </w:p>
        </w:tc>
        <w:tc>
          <w:tcPr>
            <w:tcW w:w="5500" w:type="dxa"/>
            <w:vAlign w:val="bottom"/>
            <w:vMerge w:val="restart"/>
          </w:tcPr>
          <w:p>
            <w:pPr>
              <w:ind w:left="300"/>
              <w:spacing w:after="0"/>
              <w:rPr>
                <w:sz w:val="20"/>
                <w:szCs w:val="20"/>
                <w:color w:val="auto"/>
              </w:rPr>
            </w:pPr>
            <w:r>
              <w:rPr>
                <w:rFonts w:ascii="Arial" w:cs="Arial" w:eastAsia="Arial" w:hAnsi="Arial"/>
                <w:sz w:val="18"/>
                <w:szCs w:val="18"/>
                <w:color w:val="auto"/>
              </w:rPr>
              <w:t>the non-performance-related compensation of the Board of</w:t>
            </w:r>
          </w:p>
        </w:tc>
        <w:tc>
          <w:tcPr>
            <w:tcW w:w="620" w:type="dxa"/>
            <w:vAlign w:val="bottom"/>
          </w:tcPr>
          <w:p>
            <w:pPr>
              <w:ind w:left="180"/>
              <w:spacing w:after="0"/>
              <w:rPr>
                <w:sz w:val="20"/>
                <w:szCs w:val="20"/>
                <w:color w:val="auto"/>
              </w:rPr>
            </w:pPr>
            <w:r>
              <w:rPr>
                <w:rFonts w:ascii="Arial" w:cs="Arial" w:eastAsia="Arial" w:hAnsi="Arial"/>
                <w:sz w:val="18"/>
                <w:szCs w:val="18"/>
                <w:color w:val="auto"/>
              </w:rPr>
              <w:t>pour:</w:t>
            </w: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40" w:type="dxa"/>
            <w:vAlign w:val="bottom"/>
            <w:vMerge w:val="continue"/>
          </w:tcPr>
          <w:p>
            <w:pPr>
              <w:spacing w:after="0"/>
              <w:rPr>
                <w:sz w:val="16"/>
                <w:szCs w:val="16"/>
                <w:color w:val="auto"/>
              </w:rPr>
            </w:pPr>
          </w:p>
        </w:tc>
        <w:tc>
          <w:tcPr>
            <w:tcW w:w="55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00" w:type="dxa"/>
            <w:vAlign w:val="bottom"/>
          </w:tcPr>
          <w:p>
            <w:pPr>
              <w:ind w:left="140"/>
              <w:spacing w:after="0" w:line="202" w:lineRule="exact"/>
              <w:rPr>
                <w:sz w:val="20"/>
                <w:szCs w:val="20"/>
                <w:color w:val="auto"/>
              </w:rPr>
            </w:pPr>
            <w:r>
              <w:rPr>
                <w:rFonts w:ascii="Arial" w:cs="Arial" w:eastAsia="Arial" w:hAnsi="Arial"/>
                <w:sz w:val="18"/>
                <w:szCs w:val="18"/>
                <w:color w:val="auto"/>
              </w:rPr>
              <w:t>Directors for the next term of office;</w:t>
            </w:r>
          </w:p>
        </w:tc>
        <w:tc>
          <w:tcPr>
            <w:tcW w:w="620" w:type="dxa"/>
            <w:vAlign w:val="bottom"/>
          </w:tcPr>
          <w:p>
            <w:pPr>
              <w:ind w:left="180"/>
              <w:spacing w:after="0" w:line="202" w:lineRule="exact"/>
              <w:rPr>
                <w:sz w:val="20"/>
                <w:szCs w:val="20"/>
                <w:color w:val="auto"/>
              </w:rPr>
            </w:pPr>
            <w:r>
              <w:rPr>
                <w:rFonts w:ascii="Arial" w:cs="Arial" w:eastAsia="Arial" w:hAnsi="Arial"/>
                <w:sz w:val="18"/>
                <w:szCs w:val="18"/>
                <w:color w:val="auto"/>
              </w:rPr>
              <w:t>a)</w:t>
            </w:r>
          </w:p>
        </w:tc>
        <w:tc>
          <w:tcPr>
            <w:tcW w:w="4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la rémunération non liée à la performance du conseil</w:t>
            </w:r>
          </w:p>
        </w:tc>
        <w:tc>
          <w:tcPr>
            <w:tcW w:w="0" w:type="dxa"/>
            <w:vAlign w:val="bottom"/>
          </w:tcPr>
          <w:p>
            <w:pPr>
              <w:spacing w:after="0"/>
              <w:rPr>
                <w:sz w:val="1"/>
                <w:szCs w:val="1"/>
                <w:color w:val="auto"/>
              </w:rPr>
            </w:pPr>
          </w:p>
        </w:tc>
      </w:tr>
      <w:tr>
        <w:trPr>
          <w:trHeight w:val="217"/>
        </w:trPr>
        <w:tc>
          <w:tcPr>
            <w:tcW w:w="5840" w:type="dxa"/>
            <w:vAlign w:val="bottom"/>
            <w:gridSpan w:val="2"/>
            <w:vMerge w:val="restart"/>
          </w:tcPr>
          <w:p>
            <w:pPr>
              <w:ind w:left="100"/>
              <w:spacing w:after="0"/>
              <w:rPr>
                <w:sz w:val="20"/>
                <w:szCs w:val="20"/>
                <w:color w:val="auto"/>
              </w:rPr>
            </w:pPr>
            <w:r>
              <w:rPr>
                <w:rFonts w:ascii="Arial" w:cs="Arial" w:eastAsia="Arial" w:hAnsi="Arial"/>
                <w:sz w:val="18"/>
                <w:szCs w:val="18"/>
                <w:color w:val="auto"/>
              </w:rPr>
              <w:t>b)   a possible additional compensation of the Board of Directors for</w:t>
            </w:r>
          </w:p>
        </w:tc>
        <w:tc>
          <w:tcPr>
            <w:tcW w:w="62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d'administration pour le prochain mandat;</w:t>
            </w:r>
          </w:p>
        </w:tc>
        <w:tc>
          <w:tcPr>
            <w:tcW w:w="0" w:type="dxa"/>
            <w:vAlign w:val="bottom"/>
          </w:tcPr>
          <w:p>
            <w:pPr>
              <w:spacing w:after="0"/>
              <w:rPr>
                <w:sz w:val="1"/>
                <w:szCs w:val="1"/>
                <w:color w:val="auto"/>
              </w:rPr>
            </w:pPr>
          </w:p>
        </w:tc>
      </w:tr>
      <w:tr>
        <w:trPr>
          <w:trHeight w:val="188"/>
        </w:trPr>
        <w:tc>
          <w:tcPr>
            <w:tcW w:w="5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00" w:type="dxa"/>
            <w:vAlign w:val="bottom"/>
          </w:tcPr>
          <w:p>
            <w:pPr>
              <w:ind w:left="140"/>
              <w:spacing w:after="0" w:line="202" w:lineRule="exact"/>
              <w:rPr>
                <w:sz w:val="20"/>
                <w:szCs w:val="20"/>
                <w:color w:val="auto"/>
              </w:rPr>
            </w:pPr>
            <w:r>
              <w:rPr>
                <w:rFonts w:ascii="Arial" w:cs="Arial" w:eastAsia="Arial" w:hAnsi="Arial"/>
                <w:sz w:val="18"/>
                <w:szCs w:val="18"/>
                <w:color w:val="auto"/>
              </w:rPr>
              <w:t>the preceding business year;</w:t>
            </w:r>
          </w:p>
        </w:tc>
        <w:tc>
          <w:tcPr>
            <w:tcW w:w="620" w:type="dxa"/>
            <w:vAlign w:val="bottom"/>
          </w:tcPr>
          <w:p>
            <w:pPr>
              <w:ind w:left="180"/>
              <w:spacing w:after="0" w:line="202" w:lineRule="exact"/>
              <w:rPr>
                <w:sz w:val="20"/>
                <w:szCs w:val="20"/>
                <w:color w:val="auto"/>
              </w:rPr>
            </w:pPr>
            <w:r>
              <w:rPr>
                <w:rFonts w:ascii="Arial" w:cs="Arial" w:eastAsia="Arial" w:hAnsi="Arial"/>
                <w:sz w:val="18"/>
                <w:szCs w:val="18"/>
                <w:color w:val="auto"/>
              </w:rPr>
              <w:t>b)</w:t>
            </w:r>
          </w:p>
        </w:tc>
        <w:tc>
          <w:tcPr>
            <w:tcW w:w="4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une éventuelle rémunération supplémentaire du conseil</w:t>
            </w:r>
          </w:p>
        </w:tc>
        <w:tc>
          <w:tcPr>
            <w:tcW w:w="0" w:type="dxa"/>
            <w:vAlign w:val="bottom"/>
          </w:tcPr>
          <w:p>
            <w:pPr>
              <w:spacing w:after="0"/>
              <w:rPr>
                <w:sz w:val="1"/>
                <w:szCs w:val="1"/>
                <w:color w:val="auto"/>
              </w:rPr>
            </w:pPr>
          </w:p>
        </w:tc>
      </w:tr>
      <w:tr>
        <w:trPr>
          <w:trHeight w:val="217"/>
        </w:trPr>
        <w:tc>
          <w:tcPr>
            <w:tcW w:w="340" w:type="dxa"/>
            <w:vAlign w:val="bottom"/>
            <w:vMerge w:val="restart"/>
          </w:tcPr>
          <w:p>
            <w:pPr>
              <w:ind w:left="100"/>
              <w:spacing w:after="0"/>
              <w:rPr>
                <w:sz w:val="20"/>
                <w:szCs w:val="20"/>
                <w:color w:val="auto"/>
              </w:rPr>
            </w:pPr>
            <w:r>
              <w:rPr>
                <w:rFonts w:ascii="Arial" w:cs="Arial" w:eastAsia="Arial" w:hAnsi="Arial"/>
                <w:sz w:val="18"/>
                <w:szCs w:val="18"/>
                <w:color w:val="auto"/>
              </w:rPr>
              <w:t>c)</w:t>
            </w:r>
          </w:p>
        </w:tc>
        <w:tc>
          <w:tcPr>
            <w:tcW w:w="5500" w:type="dxa"/>
            <w:vAlign w:val="bottom"/>
            <w:vMerge w:val="restart"/>
          </w:tcPr>
          <w:p>
            <w:pPr>
              <w:ind w:left="280"/>
              <w:spacing w:after="0"/>
              <w:rPr>
                <w:sz w:val="20"/>
                <w:szCs w:val="20"/>
                <w:color w:val="auto"/>
              </w:rPr>
            </w:pPr>
            <w:r>
              <w:rPr>
                <w:rFonts w:ascii="Arial" w:cs="Arial" w:eastAsia="Arial" w:hAnsi="Arial"/>
                <w:sz w:val="18"/>
                <w:szCs w:val="18"/>
                <w:color w:val="auto"/>
              </w:rPr>
              <w:t>the non-performance-related compensation of the Executive</w:t>
            </w:r>
          </w:p>
        </w:tc>
        <w:tc>
          <w:tcPr>
            <w:tcW w:w="62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d'administration pour l'exercice précédent;</w:t>
            </w:r>
          </w:p>
        </w:tc>
        <w:tc>
          <w:tcPr>
            <w:tcW w:w="0" w:type="dxa"/>
            <w:vAlign w:val="bottom"/>
          </w:tcPr>
          <w:p>
            <w:pPr>
              <w:spacing w:after="0"/>
              <w:rPr>
                <w:sz w:val="1"/>
                <w:szCs w:val="1"/>
                <w:color w:val="auto"/>
              </w:rPr>
            </w:pPr>
          </w:p>
        </w:tc>
      </w:tr>
      <w:tr>
        <w:trPr>
          <w:trHeight w:val="188"/>
        </w:trPr>
        <w:tc>
          <w:tcPr>
            <w:tcW w:w="340" w:type="dxa"/>
            <w:vAlign w:val="bottom"/>
            <w:vMerge w:val="continue"/>
          </w:tcPr>
          <w:p>
            <w:pPr>
              <w:spacing w:after="0"/>
              <w:rPr>
                <w:sz w:val="16"/>
                <w:szCs w:val="16"/>
                <w:color w:val="auto"/>
              </w:rPr>
            </w:pPr>
          </w:p>
        </w:tc>
        <w:tc>
          <w:tcPr>
            <w:tcW w:w="55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00" w:type="dxa"/>
            <w:vAlign w:val="bottom"/>
          </w:tcPr>
          <w:p>
            <w:pPr>
              <w:ind w:left="140"/>
              <w:spacing w:after="0" w:line="202" w:lineRule="exact"/>
              <w:rPr>
                <w:sz w:val="20"/>
                <w:szCs w:val="20"/>
                <w:color w:val="auto"/>
              </w:rPr>
            </w:pPr>
            <w:r>
              <w:rPr>
                <w:rFonts w:ascii="Arial" w:cs="Arial" w:eastAsia="Arial" w:hAnsi="Arial"/>
                <w:sz w:val="18"/>
                <w:szCs w:val="18"/>
                <w:color w:val="auto"/>
              </w:rPr>
              <w:t>Committee for the 12-month period starting on 1 July following</w:t>
            </w:r>
          </w:p>
        </w:tc>
        <w:tc>
          <w:tcPr>
            <w:tcW w:w="620" w:type="dxa"/>
            <w:vAlign w:val="bottom"/>
          </w:tcPr>
          <w:p>
            <w:pPr>
              <w:ind w:left="180"/>
              <w:spacing w:after="0" w:line="202" w:lineRule="exact"/>
              <w:rPr>
                <w:sz w:val="20"/>
                <w:szCs w:val="20"/>
                <w:color w:val="auto"/>
              </w:rPr>
            </w:pPr>
            <w:r>
              <w:rPr>
                <w:rFonts w:ascii="Arial" w:cs="Arial" w:eastAsia="Arial" w:hAnsi="Arial"/>
                <w:sz w:val="18"/>
                <w:szCs w:val="18"/>
                <w:color w:val="auto"/>
              </w:rPr>
              <w:t>c)</w:t>
            </w:r>
          </w:p>
        </w:tc>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la rémunération non liée à la performance du comité exécutif</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00" w:type="dxa"/>
            <w:vAlign w:val="bottom"/>
          </w:tcPr>
          <w:p>
            <w:pPr>
              <w:ind w:left="140"/>
              <w:spacing w:after="0" w:line="202" w:lineRule="exact"/>
              <w:rPr>
                <w:sz w:val="20"/>
                <w:szCs w:val="20"/>
                <w:color w:val="auto"/>
              </w:rPr>
            </w:pPr>
            <w:r>
              <w:rPr>
                <w:rFonts w:ascii="Arial" w:cs="Arial" w:eastAsia="Arial" w:hAnsi="Arial"/>
                <w:sz w:val="18"/>
                <w:szCs w:val="18"/>
                <w:color w:val="auto"/>
              </w:rPr>
              <w:t>the Ordinary General Meeting;</w:t>
            </w:r>
          </w:p>
        </w:tc>
        <w:tc>
          <w:tcPr>
            <w:tcW w:w="620" w:type="dxa"/>
            <w:vAlign w:val="bottom"/>
          </w:tcPr>
          <w:p>
            <w:pPr>
              <w:spacing w:after="0"/>
              <w:rPr>
                <w:sz w:val="17"/>
                <w:szCs w:val="17"/>
                <w:color w:val="auto"/>
              </w:rPr>
            </w:pPr>
          </w:p>
        </w:tc>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pour la période de 12 mois commençant le 1er juillet après</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chaque assemblée générale ordinaire;</w:t>
            </w:r>
          </w:p>
        </w:tc>
        <w:tc>
          <w:tcPr>
            <w:tcW w:w="0" w:type="dxa"/>
            <w:vAlign w:val="bottom"/>
          </w:tcPr>
          <w:p>
            <w:pPr>
              <w:spacing w:after="0"/>
              <w:rPr>
                <w:sz w:val="1"/>
                <w:szCs w:val="1"/>
                <w:color w:val="auto"/>
              </w:rPr>
            </w:pPr>
          </w:p>
        </w:tc>
      </w:tr>
      <w:tr>
        <w:trPr>
          <w:trHeight w:val="419"/>
        </w:trPr>
        <w:tc>
          <w:tcPr>
            <w:tcW w:w="3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9" w:right="239" w:bottom="1440"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100" w:type="dxa"/>
            <w:vAlign w:val="bottom"/>
          </w:tcPr>
          <w:p>
            <w:pPr>
              <w:ind w:left="4900"/>
              <w:spacing w:after="0"/>
              <w:rPr>
                <w:sz w:val="20"/>
                <w:szCs w:val="20"/>
                <w:color w:val="auto"/>
              </w:rPr>
            </w:pPr>
            <w:r>
              <w:rPr>
                <w:rFonts w:ascii="Arial" w:cs="Arial" w:eastAsia="Arial" w:hAnsi="Arial"/>
                <w:sz w:val="16"/>
                <w:szCs w:val="16"/>
                <w:color w:val="auto"/>
                <w:w w:val="89"/>
              </w:rPr>
              <w:t>19</w:t>
            </w:r>
          </w:p>
        </w:tc>
      </w:tr>
      <w:tr>
        <w:trPr>
          <w:trHeight w:val="370"/>
        </w:trPr>
        <w:tc>
          <w:tcPr>
            <w:tcW w:w="5980" w:type="dxa"/>
            <w:vAlign w:val="bottom"/>
            <w:gridSpan w:val="2"/>
          </w:tcPr>
          <w:p>
            <w:pPr>
              <w:ind w:left="80"/>
              <w:spacing w:after="0"/>
              <w:rPr>
                <w:sz w:val="20"/>
                <w:szCs w:val="20"/>
                <w:color w:val="auto"/>
              </w:rPr>
            </w:pPr>
            <w:r>
              <w:rPr>
                <w:rFonts w:ascii="Arial" w:cs="Arial" w:eastAsia="Arial" w:hAnsi="Arial"/>
                <w:sz w:val="18"/>
                <w:szCs w:val="18"/>
                <w:color w:val="auto"/>
              </w:rPr>
              <w:t>d)   the variable compensation for the Executive Committee for the</w:t>
            </w:r>
          </w:p>
        </w:tc>
        <w:tc>
          <w:tcPr>
            <w:tcW w:w="360" w:type="dxa"/>
            <w:vAlign w:val="bottom"/>
          </w:tcPr>
          <w:p>
            <w:pPr>
              <w:ind w:left="40"/>
              <w:spacing w:after="0"/>
              <w:rPr>
                <w:sz w:val="20"/>
                <w:szCs w:val="20"/>
                <w:color w:val="auto"/>
              </w:rPr>
            </w:pPr>
            <w:r>
              <w:rPr>
                <w:rFonts w:ascii="Arial" w:cs="Arial" w:eastAsia="Arial" w:hAnsi="Arial"/>
                <w:sz w:val="18"/>
                <w:szCs w:val="18"/>
                <w:color w:val="auto"/>
              </w:rPr>
              <w:t>d)</w:t>
            </w:r>
          </w:p>
        </w:tc>
        <w:tc>
          <w:tcPr>
            <w:tcW w:w="5100" w:type="dxa"/>
            <w:vAlign w:val="bottom"/>
          </w:tcPr>
          <w:p>
            <w:pPr>
              <w:ind w:left="160"/>
              <w:spacing w:after="0"/>
              <w:rPr>
                <w:sz w:val="20"/>
                <w:szCs w:val="20"/>
                <w:color w:val="auto"/>
              </w:rPr>
            </w:pPr>
            <w:r>
              <w:rPr>
                <w:rFonts w:ascii="Arial" w:cs="Arial" w:eastAsia="Arial" w:hAnsi="Arial"/>
                <w:sz w:val="18"/>
                <w:szCs w:val="18"/>
                <w:color w:val="auto"/>
              </w:rPr>
              <w:t>la rémunération variable pour le comité exécutif pour l'année</w:t>
            </w:r>
          </w:p>
        </w:tc>
      </w:tr>
      <w:tr>
        <w:trPr>
          <w:trHeight w:val="217"/>
        </w:trPr>
        <w:tc>
          <w:tcPr>
            <w:tcW w:w="5980" w:type="dxa"/>
            <w:vAlign w:val="bottom"/>
            <w:gridSpan w:val="2"/>
          </w:tcPr>
          <w:p>
            <w:pPr>
              <w:ind w:left="460"/>
              <w:spacing w:after="0"/>
              <w:rPr>
                <w:sz w:val="20"/>
                <w:szCs w:val="20"/>
                <w:color w:val="auto"/>
              </w:rPr>
            </w:pPr>
            <w:r>
              <w:rPr>
                <w:rFonts w:ascii="Arial" w:cs="Arial" w:eastAsia="Arial" w:hAnsi="Arial"/>
                <w:sz w:val="18"/>
                <w:szCs w:val="18"/>
                <w:color w:val="auto"/>
              </w:rPr>
              <w:t>current year;</w:t>
            </w:r>
          </w:p>
        </w:tc>
        <w:tc>
          <w:tcPr>
            <w:tcW w:w="36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en cours;</w:t>
            </w:r>
          </w:p>
        </w:tc>
      </w:tr>
      <w:tr>
        <w:trPr>
          <w:trHeight w:val="391"/>
        </w:trPr>
        <w:tc>
          <w:tcPr>
            <w:tcW w:w="5980" w:type="dxa"/>
            <w:vAlign w:val="bottom"/>
            <w:gridSpan w:val="2"/>
          </w:tcPr>
          <w:p>
            <w:pPr>
              <w:ind w:left="80"/>
              <w:spacing w:after="0"/>
              <w:rPr>
                <w:sz w:val="20"/>
                <w:szCs w:val="20"/>
                <w:color w:val="auto"/>
              </w:rPr>
            </w:pPr>
            <w:r>
              <w:rPr>
                <w:rFonts w:ascii="Arial" w:cs="Arial" w:eastAsia="Arial" w:hAnsi="Arial"/>
                <w:sz w:val="18"/>
                <w:szCs w:val="18"/>
                <w:color w:val="auto"/>
              </w:rPr>
              <w:t>e)   the grant of options or shares in the Company to the Board of</w:t>
            </w:r>
          </w:p>
        </w:tc>
        <w:tc>
          <w:tcPr>
            <w:tcW w:w="360" w:type="dxa"/>
            <w:vAlign w:val="bottom"/>
          </w:tcPr>
          <w:p>
            <w:pPr>
              <w:ind w:left="40"/>
              <w:spacing w:after="0"/>
              <w:rPr>
                <w:sz w:val="20"/>
                <w:szCs w:val="20"/>
                <w:color w:val="auto"/>
              </w:rPr>
            </w:pPr>
            <w:r>
              <w:rPr>
                <w:rFonts w:ascii="Arial" w:cs="Arial" w:eastAsia="Arial" w:hAnsi="Arial"/>
                <w:sz w:val="18"/>
                <w:szCs w:val="18"/>
                <w:color w:val="auto"/>
              </w:rPr>
              <w:t>e)</w:t>
            </w:r>
          </w:p>
        </w:tc>
        <w:tc>
          <w:tcPr>
            <w:tcW w:w="5100" w:type="dxa"/>
            <w:vAlign w:val="bottom"/>
          </w:tcPr>
          <w:p>
            <w:pPr>
              <w:ind w:left="420"/>
              <w:spacing w:after="0"/>
              <w:rPr>
                <w:sz w:val="20"/>
                <w:szCs w:val="20"/>
                <w:color w:val="auto"/>
              </w:rPr>
            </w:pPr>
            <w:r>
              <w:rPr>
                <w:rFonts w:ascii="Arial" w:cs="Arial" w:eastAsia="Arial" w:hAnsi="Arial"/>
                <w:sz w:val="18"/>
                <w:szCs w:val="18"/>
                <w:color w:val="auto"/>
              </w:rPr>
              <w:t>l'octroi d'options ou d'actions de la société au conseil</w:t>
            </w:r>
          </w:p>
        </w:tc>
      </w:tr>
      <w:tr>
        <w:trPr>
          <w:trHeight w:val="217"/>
        </w:trPr>
        <w:tc>
          <w:tcPr>
            <w:tcW w:w="5980" w:type="dxa"/>
            <w:vAlign w:val="bottom"/>
            <w:gridSpan w:val="2"/>
          </w:tcPr>
          <w:p>
            <w:pPr>
              <w:ind w:left="460"/>
              <w:spacing w:after="0"/>
              <w:rPr>
                <w:sz w:val="20"/>
                <w:szCs w:val="20"/>
                <w:color w:val="auto"/>
              </w:rPr>
            </w:pPr>
            <w:r>
              <w:rPr>
                <w:rFonts w:ascii="Arial" w:cs="Arial" w:eastAsia="Arial" w:hAnsi="Arial"/>
                <w:sz w:val="18"/>
                <w:szCs w:val="18"/>
                <w:color w:val="auto"/>
              </w:rPr>
              <w:t>Directors and the Executive Committee.</w:t>
            </w:r>
          </w:p>
        </w:tc>
        <w:tc>
          <w:tcPr>
            <w:tcW w:w="360" w:type="dxa"/>
            <w:vAlign w:val="bottom"/>
          </w:tcPr>
          <w:p>
            <w:pPr>
              <w:spacing w:after="0"/>
              <w:rPr>
                <w:sz w:val="18"/>
                <w:szCs w:val="18"/>
                <w:color w:val="auto"/>
              </w:rPr>
            </w:pPr>
          </w:p>
        </w:tc>
        <w:tc>
          <w:tcPr>
            <w:tcW w:w="5100" w:type="dxa"/>
            <w:vAlign w:val="bottom"/>
          </w:tcPr>
          <w:p>
            <w:pPr>
              <w:ind w:left="140"/>
              <w:spacing w:after="0"/>
              <w:rPr>
                <w:sz w:val="20"/>
                <w:szCs w:val="20"/>
                <w:color w:val="auto"/>
              </w:rPr>
            </w:pPr>
            <w:r>
              <w:rPr>
                <w:rFonts w:ascii="Arial" w:cs="Arial" w:eastAsia="Arial" w:hAnsi="Arial"/>
                <w:sz w:val="18"/>
                <w:szCs w:val="18"/>
                <w:color w:val="auto"/>
              </w:rPr>
              <w:t>d'administration et au comité exécutif.</w:t>
            </w:r>
          </w:p>
        </w:tc>
      </w:tr>
      <w:tr>
        <w:trPr>
          <w:trHeight w:val="54"/>
        </w:trPr>
        <w:tc>
          <w:tcPr>
            <w:tcW w:w="5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60" w:type="dxa"/>
            <w:vAlign w:val="bottom"/>
            <w:gridSpan w:val="2"/>
          </w:tcPr>
          <w:p>
            <w:pPr>
              <w:spacing w:after="0"/>
              <w:rPr>
                <w:sz w:val="4"/>
                <w:szCs w:val="4"/>
                <w:color w:val="auto"/>
              </w:rPr>
            </w:pPr>
          </w:p>
        </w:tc>
      </w:tr>
      <w:tr>
        <w:trPr>
          <w:trHeight w:val="269"/>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respective total compensation amounts include social security</w:t>
            </w:r>
          </w:p>
        </w:tc>
        <w:tc>
          <w:tcPr>
            <w:tcW w:w="240" w:type="dxa"/>
            <w:vAlign w:val="bottom"/>
            <w:tcBorders>
              <w:right w:val="single" w:sz="8" w:color="auto"/>
            </w:tcBorders>
          </w:tcPr>
          <w:p>
            <w:pPr>
              <w:spacing w:after="0"/>
              <w:rPr>
                <w:sz w:val="23"/>
                <w:szCs w:val="23"/>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montants totaux de rémunération respectifs comprennent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occupational  pension  contributions  for  the  benefit  of  the</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sécurité sociale et les cotisations de retraite professionnelle au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members of the Board of Directors, the Executive Committee and the</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profit des membres du conseil d'administration, du comité exécutif</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w:t>
            </w:r>
          </w:p>
        </w:tc>
        <w:tc>
          <w:tcPr>
            <w:tcW w:w="24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et de la société.</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If the General Meeting refuses to approve a respective motion by the</w:t>
            </w:r>
          </w:p>
        </w:tc>
        <w:tc>
          <w:tcPr>
            <w:tcW w:w="24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Si l'assemblée générale refuse d'approuver une motion soumise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Board of Directors, the Board of Directors may either submit a new</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par le conseil d'administration, le conseil d'administration peut, soit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motion  at  the  same  meeting  or  determine  a  maximum  total</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présenter une nouvelle motion à la même séance ou déterminer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remuneration or several maximum partial remunerations, subject to</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une rémunération maximale totale ou plusieurs rémunérations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relevant principles of the compensation, or submit a new motion</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maximales partielles, sous réserve des principes concernant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the next General Meeting for approval. The Company may pay</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rémunération, soit soumettre une nouvelle motion à la prochaine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remunerations within the framework of the maximum total or partial</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assemblée générale pour approbation. La société peut verser des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remuneration and subject to the approval by the General Meeting.</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rémunérations dans le cadre de la rémunération maximale totale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ou partielle et sous réserve de l'approbation par l'assemblée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générale.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19 Independent Proxy</w:t>
            </w:r>
          </w:p>
        </w:tc>
        <w:tc>
          <w:tcPr>
            <w:tcW w:w="24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19 Représentant indépendant</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Independent Proxy shall be elected by the Ordinary General</w:t>
            </w:r>
          </w:p>
        </w:tc>
        <w:tc>
          <w:tcPr>
            <w:tcW w:w="24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représentant indépendant est élu par l'assemblée générale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Meeting for a term of one year until the end of the next Ordinary</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ordinaire pour une durée d'un an jusqu'à la fin de la prochaine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Re-election is permitted. The Independent Proxy</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assemblée générale ordinaire. Une réélection est possible. 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informs the Company about number, type, par value and category of</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représentant indépendant informe la société sur le nombre, 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represented shares. The Chairman of the Board discloses the</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type, la valeur nominale et la catégorie des actions représentées.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information  to  the  General  Meeting.  The  other  duties  of  the</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Le  président  du  conseil  d'administration  communique  ces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Independent  Proxy  are  determined  by  the  applicable  statutory</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informations à l'assemblée générale. Les autres fonctions du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provisions.</w:t>
            </w:r>
          </w:p>
        </w:tc>
        <w:tc>
          <w:tcPr>
            <w:tcW w:w="24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représentant indépendant sont déterminées par les dispositions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statutaires applicables.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10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10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249" w:right="219" w:bottom="1440"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20</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V. BOARD OF DIRECTORS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V. CONSEIL D'ADMINISTRATION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20 Number of Members, Term of Office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20 Nombre de membres, durée de la fonction</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consist of at least 3 and not more than 9</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se compose d'au minimum 3 et au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members. The chairman and the members of the Board of Directors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maximum 9 membres. Le président et les membres du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are individually elected by the General Meeting for a term of one year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sont  élus  individuellement  par  l'assemblée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until the end of the next Ordinary General Meeting, provided that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pour un mandat d'un an jusqu'à la fin de la prochaine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he/she does not resign or is not replaced during his term.</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assemblée  générale  ordinaire,  à  condition  qu'il/elle  ne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démissionne pas ou ne soit pas remplacé(e) durant son mandat.</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members of the Board of Directors may be re-elected without</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membres du conseil d'administration peuvent être réélus sans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limitation. The maximum age limit of members of the Board shall be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limitation. La limite d’âge des membres du conseil d'administration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75 years. When a member of the Board of Directors reaches this age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est fixée à 75 ans. Lorsqu'un membre du conseil d'administration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limit during his term of office, such term shall automatically extend to</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atteint cette limite d'âge durant son mandat, ledit mandat sera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next ordinary shareholders' meeting. The shareholders' meeting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automatiquement  prolongé  jusqu'à  la  prochaine  assemblée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may resolve to grant an exception to the age limit.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ordinaire. L'assemblée générale des actionnaires peut</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décider d'accorder une dérogation à la limite d'âge.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21 Constitution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21 Constitution</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Subject to the powers of the General Meeting, the Board of Directors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Sous réserve des pouvoirs de l'assemblée générale, le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determines its own organization. It appoints a Secretary who needs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détermine sa propre organisation. Il nomme un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not be a member of the Board of Directors.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secrétaire qui ne doit pas nécessairement être un membre du</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conseil d'administration.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22 Function, Organization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22 Fonction, organisation</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 is the Board of Director's duty to lead the Company and to</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exerce la direction de la société et en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supervise the management. The Board of Director represents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supervise la gestion. Le conseil d'administration représente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and may take decisions on all affairs which are not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société et peut prendre les décisions sur toutes les affaires qui 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assigned to any other body of the Company by law, the Articles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sont pas attribuées à un autre organe de la société par la loi, les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Association or the organizational regulations.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statuts ou le règlement d'organisation.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enact the organizational regulations and</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édicte le règlement d'organisation et</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arrange for the appropriate contractual relationships.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s'occupe des relations contractuelles appropriées.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60" w:type="dxa"/>
            <w:vAlign w:val="bottom"/>
          </w:tcPr>
          <w:p>
            <w:pPr>
              <w:ind w:left="4980"/>
              <w:spacing w:after="0"/>
              <w:rPr>
                <w:sz w:val="20"/>
                <w:szCs w:val="20"/>
                <w:color w:val="auto"/>
              </w:rPr>
            </w:pPr>
            <w:r>
              <w:rPr>
                <w:rFonts w:ascii="Arial" w:cs="Arial" w:eastAsia="Arial" w:hAnsi="Arial"/>
                <w:sz w:val="16"/>
                <w:szCs w:val="16"/>
                <w:color w:val="auto"/>
                <w:w w:val="89"/>
              </w:rPr>
              <w:t>21</w:t>
            </w:r>
          </w:p>
        </w:tc>
      </w:tr>
      <w:tr>
        <w:trPr>
          <w:trHeight w:val="101"/>
        </w:trPr>
        <w:tc>
          <w:tcPr>
            <w:tcW w:w="5840" w:type="dxa"/>
            <w:vAlign w:val="bottom"/>
            <w:tcBorders>
              <w:bottom w:val="single" w:sz="8" w:color="auto"/>
            </w:tcBorders>
          </w:tcPr>
          <w:p>
            <w:pPr>
              <w:spacing w:after="0"/>
              <w:rPr>
                <w:sz w:val="8"/>
                <w:szCs w:val="8"/>
                <w:color w:val="auto"/>
              </w:rPr>
            </w:pPr>
          </w:p>
        </w:tc>
        <w:tc>
          <w:tcPr>
            <w:tcW w:w="5580" w:type="dxa"/>
            <w:vAlign w:val="bottom"/>
            <w:tcBorders>
              <w:bottom w:val="single" w:sz="8" w:color="auto"/>
            </w:tcBorders>
            <w:gridSpan w:val="2"/>
          </w:tcPr>
          <w:p>
            <w:pPr>
              <w:spacing w:after="0"/>
              <w:rPr>
                <w:sz w:val="8"/>
                <w:szCs w:val="8"/>
                <w:color w:val="auto"/>
              </w:rPr>
            </w:pPr>
          </w:p>
        </w:tc>
      </w:tr>
      <w:tr>
        <w:trPr>
          <w:trHeight w:val="277"/>
        </w:trPr>
        <w:tc>
          <w:tcPr>
            <w:tcW w:w="5840" w:type="dxa"/>
            <w:vAlign w:val="bottom"/>
          </w:tcPr>
          <w:p>
            <w:pPr>
              <w:ind w:left="100"/>
              <w:spacing w:after="0"/>
              <w:rPr>
                <w:sz w:val="20"/>
                <w:szCs w:val="20"/>
                <w:color w:val="auto"/>
              </w:rPr>
            </w:pPr>
            <w:r>
              <w:rPr>
                <w:rFonts w:ascii="Arial" w:cs="Arial" w:eastAsia="Arial" w:hAnsi="Arial"/>
                <w:sz w:val="18"/>
                <w:szCs w:val="18"/>
                <w:b w:val="1"/>
                <w:bCs w:val="1"/>
                <w:color w:val="auto"/>
              </w:rPr>
              <w:t>Art. 23 Powers</w:t>
            </w:r>
          </w:p>
        </w:tc>
        <w:tc>
          <w:tcPr>
            <w:tcW w:w="5580" w:type="dxa"/>
            <w:vAlign w:val="bottom"/>
            <w:gridSpan w:val="2"/>
          </w:tcPr>
          <w:p>
            <w:pPr>
              <w:ind w:left="180"/>
              <w:spacing w:after="0"/>
              <w:rPr>
                <w:sz w:val="20"/>
                <w:szCs w:val="20"/>
                <w:color w:val="auto"/>
              </w:rPr>
            </w:pPr>
            <w:r>
              <w:rPr>
                <w:rFonts w:ascii="Arial" w:cs="Arial" w:eastAsia="Arial" w:hAnsi="Arial"/>
                <w:sz w:val="18"/>
                <w:szCs w:val="18"/>
                <w:b w:val="1"/>
                <w:bCs w:val="1"/>
                <w:color w:val="auto"/>
              </w:rPr>
              <w:t>Art. 23 Pouvoirs</w:t>
            </w:r>
          </w:p>
        </w:tc>
      </w:tr>
      <w:tr>
        <w:trPr>
          <w:trHeight w:val="391"/>
        </w:trPr>
        <w:tc>
          <w:tcPr>
            <w:tcW w:w="5840" w:type="dxa"/>
            <w:vAlign w:val="bottom"/>
          </w:tcPr>
          <w:p>
            <w:pPr>
              <w:ind w:left="100"/>
              <w:spacing w:after="0"/>
              <w:rPr>
                <w:sz w:val="20"/>
                <w:szCs w:val="20"/>
                <w:color w:val="auto"/>
              </w:rPr>
            </w:pPr>
            <w:r>
              <w:rPr>
                <w:rFonts w:ascii="Arial" w:cs="Arial" w:eastAsia="Arial" w:hAnsi="Arial"/>
                <w:sz w:val="18"/>
                <w:szCs w:val="18"/>
                <w:color w:val="auto"/>
              </w:rPr>
              <w:t>The  Board  of  Directors  has  the  following  non-delegable  and</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Le conseil d'administration a les attributions intransmissibles et</w:t>
            </w:r>
          </w:p>
        </w:tc>
      </w:tr>
      <w:tr>
        <w:trPr>
          <w:trHeight w:val="217"/>
        </w:trPr>
        <w:tc>
          <w:tcPr>
            <w:tcW w:w="5840" w:type="dxa"/>
            <w:vAlign w:val="bottom"/>
          </w:tcPr>
          <w:p>
            <w:pPr>
              <w:ind w:left="100"/>
              <w:spacing w:after="0"/>
              <w:rPr>
                <w:sz w:val="20"/>
                <w:szCs w:val="20"/>
                <w:color w:val="auto"/>
              </w:rPr>
            </w:pPr>
            <w:r>
              <w:rPr>
                <w:rFonts w:ascii="Arial" w:cs="Arial" w:eastAsia="Arial" w:hAnsi="Arial"/>
                <w:sz w:val="18"/>
                <w:szCs w:val="18"/>
                <w:color w:val="auto"/>
              </w:rPr>
              <w:t>inalienable duties:</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inaliénables suivantes:</w:t>
            </w:r>
          </w:p>
        </w:tc>
      </w:tr>
      <w:tr>
        <w:trPr>
          <w:trHeight w:val="391"/>
        </w:trPr>
        <w:tc>
          <w:tcPr>
            <w:tcW w:w="5840" w:type="dxa"/>
            <w:vAlign w:val="bottom"/>
          </w:tcPr>
          <w:p>
            <w:pPr>
              <w:ind w:left="100"/>
              <w:spacing w:after="0"/>
              <w:rPr>
                <w:sz w:val="20"/>
                <w:szCs w:val="20"/>
                <w:color w:val="auto"/>
              </w:rPr>
            </w:pPr>
            <w:r>
              <w:rPr>
                <w:rFonts w:ascii="Arial" w:cs="Arial" w:eastAsia="Arial" w:hAnsi="Arial"/>
                <w:sz w:val="18"/>
                <w:szCs w:val="18"/>
                <w:color w:val="auto"/>
              </w:rPr>
              <w:t>a)   the overall management of the company and the issuing of all</w:t>
            </w:r>
          </w:p>
        </w:tc>
        <w:tc>
          <w:tcPr>
            <w:tcW w:w="420" w:type="dxa"/>
            <w:vAlign w:val="bottom"/>
          </w:tcPr>
          <w:p>
            <w:pPr>
              <w:ind w:left="180"/>
              <w:spacing w:after="0"/>
              <w:rPr>
                <w:sz w:val="20"/>
                <w:szCs w:val="20"/>
                <w:color w:val="auto"/>
              </w:rPr>
            </w:pPr>
            <w:r>
              <w:rPr>
                <w:rFonts w:ascii="Arial" w:cs="Arial" w:eastAsia="Arial" w:hAnsi="Arial"/>
                <w:sz w:val="18"/>
                <w:szCs w:val="18"/>
                <w:color w:val="auto"/>
              </w:rPr>
              <w:t>a)</w:t>
            </w:r>
          </w:p>
        </w:tc>
        <w:tc>
          <w:tcPr>
            <w:tcW w:w="5160" w:type="dxa"/>
            <w:vAlign w:val="bottom"/>
          </w:tcPr>
          <w:p>
            <w:pPr>
              <w:ind w:left="300"/>
              <w:spacing w:after="0"/>
              <w:rPr>
                <w:sz w:val="20"/>
                <w:szCs w:val="20"/>
                <w:color w:val="auto"/>
              </w:rPr>
            </w:pPr>
            <w:r>
              <w:rPr>
                <w:rFonts w:ascii="Arial" w:cs="Arial" w:eastAsia="Arial" w:hAnsi="Arial"/>
                <w:sz w:val="18"/>
                <w:szCs w:val="18"/>
                <w:color w:val="auto"/>
              </w:rPr>
              <w:t>exercer  la  haute  direction  de  la  société  et  établir  les</w:t>
            </w:r>
          </w:p>
        </w:tc>
      </w:tr>
      <w:tr>
        <w:trPr>
          <w:trHeight w:val="217"/>
        </w:trPr>
        <w:tc>
          <w:tcPr>
            <w:tcW w:w="5840" w:type="dxa"/>
            <w:vAlign w:val="bottom"/>
          </w:tcPr>
          <w:p>
            <w:pPr>
              <w:ind w:left="480"/>
              <w:spacing w:after="0"/>
              <w:rPr>
                <w:sz w:val="20"/>
                <w:szCs w:val="20"/>
                <w:color w:val="auto"/>
              </w:rPr>
            </w:pPr>
            <w:r>
              <w:rPr>
                <w:rFonts w:ascii="Arial" w:cs="Arial" w:eastAsia="Arial" w:hAnsi="Arial"/>
                <w:sz w:val="18"/>
                <w:szCs w:val="18"/>
                <w:color w:val="auto"/>
              </w:rPr>
              <w:t>necessary directives;</w:t>
            </w:r>
          </w:p>
        </w:tc>
        <w:tc>
          <w:tcPr>
            <w:tcW w:w="4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instructions nécessaires;</w:t>
            </w:r>
          </w:p>
        </w:tc>
      </w:tr>
      <w:tr>
        <w:trPr>
          <w:trHeight w:val="405"/>
        </w:trPr>
        <w:tc>
          <w:tcPr>
            <w:tcW w:w="5840" w:type="dxa"/>
            <w:vAlign w:val="bottom"/>
          </w:tcPr>
          <w:p>
            <w:pPr>
              <w:ind w:left="100"/>
              <w:spacing w:after="0"/>
              <w:rPr>
                <w:sz w:val="20"/>
                <w:szCs w:val="20"/>
                <w:color w:val="auto"/>
              </w:rPr>
            </w:pPr>
            <w:r>
              <w:rPr>
                <w:rFonts w:ascii="Arial" w:cs="Arial" w:eastAsia="Arial" w:hAnsi="Arial"/>
                <w:sz w:val="18"/>
                <w:szCs w:val="18"/>
                <w:color w:val="auto"/>
              </w:rPr>
              <w:t>b)  determination of the company's organisation;</w:t>
            </w:r>
          </w:p>
        </w:tc>
        <w:tc>
          <w:tcPr>
            <w:tcW w:w="420" w:type="dxa"/>
            <w:vAlign w:val="bottom"/>
          </w:tcPr>
          <w:p>
            <w:pPr>
              <w:ind w:left="180"/>
              <w:spacing w:after="0"/>
              <w:rPr>
                <w:sz w:val="20"/>
                <w:szCs w:val="20"/>
                <w:color w:val="auto"/>
              </w:rPr>
            </w:pPr>
            <w:r>
              <w:rPr>
                <w:rFonts w:ascii="Arial" w:cs="Arial" w:eastAsia="Arial" w:hAnsi="Arial"/>
                <w:sz w:val="18"/>
                <w:szCs w:val="18"/>
                <w:color w:val="auto"/>
              </w:rPr>
              <w:t>b)</w:t>
            </w:r>
          </w:p>
        </w:tc>
        <w:tc>
          <w:tcPr>
            <w:tcW w:w="5160" w:type="dxa"/>
            <w:vAlign w:val="bottom"/>
          </w:tcPr>
          <w:p>
            <w:pPr>
              <w:ind w:left="80"/>
              <w:spacing w:after="0"/>
              <w:rPr>
                <w:sz w:val="20"/>
                <w:szCs w:val="20"/>
                <w:color w:val="auto"/>
              </w:rPr>
            </w:pPr>
            <w:r>
              <w:rPr>
                <w:rFonts w:ascii="Arial" w:cs="Arial" w:eastAsia="Arial" w:hAnsi="Arial"/>
                <w:sz w:val="18"/>
                <w:szCs w:val="18"/>
                <w:color w:val="auto"/>
              </w:rPr>
              <w:t>fixer l'organisation;</w:t>
            </w:r>
          </w:p>
        </w:tc>
      </w:tr>
      <w:tr>
        <w:trPr>
          <w:trHeight w:val="391"/>
        </w:trPr>
        <w:tc>
          <w:tcPr>
            <w:tcW w:w="5840" w:type="dxa"/>
            <w:vAlign w:val="bottom"/>
          </w:tcPr>
          <w:p>
            <w:pPr>
              <w:ind w:left="100"/>
              <w:spacing w:after="0"/>
              <w:rPr>
                <w:sz w:val="20"/>
                <w:szCs w:val="20"/>
                <w:color w:val="auto"/>
              </w:rPr>
            </w:pPr>
            <w:r>
              <w:rPr>
                <w:rFonts w:ascii="Arial" w:cs="Arial" w:eastAsia="Arial" w:hAnsi="Arial"/>
                <w:sz w:val="18"/>
                <w:szCs w:val="18"/>
                <w:color w:val="auto"/>
              </w:rPr>
              <w:t>c)  the organisation of the accounting, financial control and financial</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c)  fixer les principes de la comptabilité et du contrôle financier</w:t>
            </w:r>
          </w:p>
        </w:tc>
      </w:tr>
      <w:tr>
        <w:trPr>
          <w:trHeight w:val="203"/>
        </w:trPr>
        <w:tc>
          <w:tcPr>
            <w:tcW w:w="5840" w:type="dxa"/>
            <w:vAlign w:val="bottom"/>
          </w:tcPr>
          <w:p>
            <w:pPr>
              <w:ind w:left="480"/>
              <w:spacing w:after="0" w:line="202" w:lineRule="exact"/>
              <w:rPr>
                <w:sz w:val="20"/>
                <w:szCs w:val="20"/>
                <w:color w:val="auto"/>
              </w:rPr>
            </w:pPr>
            <w:r>
              <w:rPr>
                <w:rFonts w:ascii="Arial" w:cs="Arial" w:eastAsia="Arial" w:hAnsi="Arial"/>
                <w:sz w:val="18"/>
                <w:szCs w:val="18"/>
                <w:color w:val="auto"/>
              </w:rPr>
              <w:t>planning systems as required for management of the company;</w:t>
            </w:r>
          </w:p>
        </w:tc>
        <w:tc>
          <w:tcPr>
            <w:tcW w:w="420" w:type="dxa"/>
            <w:vAlign w:val="bottom"/>
          </w:tcPr>
          <w:p>
            <w:pPr>
              <w:spacing w:after="0"/>
              <w:rPr>
                <w:sz w:val="17"/>
                <w:szCs w:val="17"/>
                <w:color w:val="auto"/>
              </w:rPr>
            </w:pPr>
          </w:p>
        </w:tc>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ainsi  que  le  plan  financier  pour  autant  que  celui-ci  soit</w:t>
            </w:r>
          </w:p>
        </w:tc>
      </w:tr>
      <w:tr>
        <w:trPr>
          <w:trHeight w:val="203"/>
        </w:trPr>
        <w:tc>
          <w:tcPr>
            <w:tcW w:w="5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nécessaire à la gestion de la société;</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-1722755</wp:posOffset>
            </wp:positionV>
            <wp:extent cx="7246620" cy="5308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308600"/>
                    </a:xfrm>
                    <a:prstGeom prst="rect">
                      <a:avLst/>
                    </a:prstGeom>
                    <a:noFill/>
                  </pic:spPr>
                </pic:pic>
              </a:graphicData>
            </a:graphic>
          </wp:anchor>
        </w:drawing>
      </w:r>
    </w:p>
    <w:p>
      <w:pPr>
        <w:ind w:left="700" w:hanging="606"/>
        <w:spacing w:after="0" w:line="23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w:t>
      </w:r>
    </w:p>
    <w:tbl>
      <w:tblPr>
        <w:tblLayout w:type="fixed"/>
        <w:tblInd w:w="100" w:type="dxa"/>
        <w:tblCellMar>
          <w:top w:w="0" w:type="dxa"/>
          <w:left w:w="0" w:type="dxa"/>
          <w:bottom w:w="0" w:type="dxa"/>
          <w:right w:w="0" w:type="dxa"/>
        </w:tblCellMar>
      </w:tblPr>
      <w:tr>
        <w:trPr>
          <w:trHeight w:val="203"/>
        </w:trPr>
        <w:tc>
          <w:tcPr>
            <w:tcW w:w="5740" w:type="dxa"/>
            <w:vAlign w:val="bottom"/>
          </w:tcPr>
          <w:p>
            <w:pPr>
              <w:ind w:left="380"/>
              <w:spacing w:after="0" w:line="203" w:lineRule="exact"/>
              <w:rPr>
                <w:sz w:val="20"/>
                <w:szCs w:val="20"/>
                <w:color w:val="auto"/>
              </w:rPr>
            </w:pPr>
            <w:r>
              <w:rPr>
                <w:rFonts w:ascii="Arial" w:cs="Arial" w:eastAsia="Arial" w:hAnsi="Arial"/>
                <w:sz w:val="18"/>
                <w:szCs w:val="18"/>
                <w:color w:val="auto"/>
              </w:rPr>
              <w:t>managing and representing the company;</w:t>
            </w:r>
          </w:p>
        </w:tc>
        <w:tc>
          <w:tcPr>
            <w:tcW w:w="5500" w:type="dxa"/>
            <w:vAlign w:val="bottom"/>
          </w:tcPr>
          <w:p>
            <w:pPr>
              <w:ind w:left="180"/>
              <w:spacing w:after="0" w:line="203" w:lineRule="exact"/>
              <w:rPr>
                <w:sz w:val="20"/>
                <w:szCs w:val="20"/>
                <w:color w:val="auto"/>
              </w:rPr>
            </w:pPr>
            <w:r>
              <w:rPr>
                <w:rFonts w:ascii="Arial" w:cs="Arial" w:eastAsia="Arial" w:hAnsi="Arial"/>
                <w:sz w:val="18"/>
                <w:szCs w:val="18"/>
                <w:color w:val="auto"/>
              </w:rPr>
              <w:t>d)  nommer et révoquer les personnes chargées de la gestion et</w:t>
            </w:r>
          </w:p>
        </w:tc>
        <w:tc>
          <w:tcPr>
            <w:tcW w:w="0" w:type="dxa"/>
            <w:vAlign w:val="bottom"/>
          </w:tcPr>
          <w:p>
            <w:pPr>
              <w:spacing w:after="0"/>
              <w:rPr>
                <w:sz w:val="1"/>
                <w:szCs w:val="1"/>
                <w:color w:val="auto"/>
              </w:rPr>
            </w:pPr>
          </w:p>
        </w:tc>
      </w:tr>
      <w:tr>
        <w:trPr>
          <w:trHeight w:val="217"/>
        </w:trPr>
        <w:tc>
          <w:tcPr>
            <w:tcW w:w="5740" w:type="dxa"/>
            <w:vAlign w:val="bottom"/>
            <w:vMerge w:val="restart"/>
          </w:tcPr>
          <w:p>
            <w:pPr>
              <w:spacing w:after="0"/>
              <w:rPr>
                <w:sz w:val="20"/>
                <w:szCs w:val="20"/>
                <w:color w:val="auto"/>
              </w:rPr>
            </w:pPr>
            <w:r>
              <w:rPr>
                <w:rFonts w:ascii="Arial" w:cs="Arial" w:eastAsia="Arial" w:hAnsi="Arial"/>
                <w:sz w:val="18"/>
                <w:szCs w:val="18"/>
                <w:color w:val="auto"/>
              </w:rPr>
              <w:t>e)   overall supervision of the persons entrusted with managing the</w:t>
            </w:r>
          </w:p>
        </w:tc>
        <w:tc>
          <w:tcPr>
            <w:tcW w:w="5500" w:type="dxa"/>
            <w:vAlign w:val="bottom"/>
          </w:tcPr>
          <w:p>
            <w:pPr>
              <w:ind w:left="520"/>
              <w:spacing w:after="0"/>
              <w:rPr>
                <w:sz w:val="20"/>
                <w:szCs w:val="20"/>
                <w:color w:val="auto"/>
              </w:rPr>
            </w:pPr>
            <w:r>
              <w:rPr>
                <w:rFonts w:ascii="Arial" w:cs="Arial" w:eastAsia="Arial" w:hAnsi="Arial"/>
                <w:sz w:val="18"/>
                <w:szCs w:val="18"/>
                <w:color w:val="auto"/>
              </w:rPr>
              <w:t>de la représentation;</w:t>
            </w:r>
          </w:p>
        </w:tc>
        <w:tc>
          <w:tcPr>
            <w:tcW w:w="0" w:type="dxa"/>
            <w:vAlign w:val="bottom"/>
          </w:tcPr>
          <w:p>
            <w:pPr>
              <w:spacing w:after="0"/>
              <w:rPr>
                <w:sz w:val="1"/>
                <w:szCs w:val="1"/>
                <w:color w:val="auto"/>
              </w:rPr>
            </w:pPr>
          </w:p>
        </w:tc>
      </w:tr>
      <w:tr>
        <w:trPr>
          <w:trHeight w:val="188"/>
        </w:trPr>
        <w:tc>
          <w:tcPr>
            <w:tcW w:w="5740" w:type="dxa"/>
            <w:vAlign w:val="bottom"/>
            <w:vMerge w:val="continue"/>
          </w:tcPr>
          <w:p>
            <w:pPr>
              <w:spacing w:after="0"/>
              <w:rPr>
                <w:sz w:val="16"/>
                <w:szCs w:val="16"/>
                <w:color w:val="auto"/>
              </w:rPr>
            </w:pPr>
          </w:p>
        </w:tc>
        <w:tc>
          <w:tcPr>
            <w:tcW w:w="5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380"/>
              <w:spacing w:after="0" w:line="202" w:lineRule="exact"/>
              <w:rPr>
                <w:sz w:val="20"/>
                <w:szCs w:val="20"/>
                <w:color w:val="auto"/>
              </w:rPr>
            </w:pPr>
            <w:r>
              <w:rPr>
                <w:rFonts w:ascii="Arial" w:cs="Arial" w:eastAsia="Arial" w:hAnsi="Arial"/>
                <w:sz w:val="18"/>
                <w:szCs w:val="18"/>
                <w:color w:val="auto"/>
              </w:rPr>
              <w:t>company, in particular with regard to compliance with the law,</w:t>
            </w:r>
          </w:p>
        </w:tc>
        <w:tc>
          <w:tcPr>
            <w:tcW w:w="5500" w:type="dxa"/>
            <w:vAlign w:val="bottom"/>
          </w:tcPr>
          <w:p>
            <w:pPr>
              <w:ind w:left="180"/>
              <w:spacing w:after="0" w:line="202" w:lineRule="exact"/>
              <w:rPr>
                <w:sz w:val="20"/>
                <w:szCs w:val="20"/>
                <w:color w:val="auto"/>
              </w:rPr>
            </w:pPr>
            <w:r>
              <w:rPr>
                <w:rFonts w:ascii="Arial" w:cs="Arial" w:eastAsia="Arial" w:hAnsi="Arial"/>
                <w:sz w:val="18"/>
                <w:szCs w:val="18"/>
                <w:color w:val="auto"/>
              </w:rPr>
              <w:t>e)  exercer la haute surveillance sur les personnes chargées de la</w:t>
            </w:r>
          </w:p>
        </w:tc>
        <w:tc>
          <w:tcPr>
            <w:tcW w:w="0" w:type="dxa"/>
            <w:vAlign w:val="bottom"/>
          </w:tcPr>
          <w:p>
            <w:pPr>
              <w:spacing w:after="0"/>
              <w:rPr>
                <w:sz w:val="1"/>
                <w:szCs w:val="1"/>
                <w:color w:val="auto"/>
              </w:rPr>
            </w:pPr>
          </w:p>
        </w:tc>
      </w:tr>
      <w:tr>
        <w:trPr>
          <w:trHeight w:val="203"/>
        </w:trPr>
        <w:tc>
          <w:tcPr>
            <w:tcW w:w="5740" w:type="dxa"/>
            <w:vAlign w:val="bottom"/>
          </w:tcPr>
          <w:p>
            <w:pPr>
              <w:ind w:left="380"/>
              <w:spacing w:after="0" w:line="202" w:lineRule="exact"/>
              <w:rPr>
                <w:sz w:val="20"/>
                <w:szCs w:val="20"/>
                <w:color w:val="auto"/>
              </w:rPr>
            </w:pPr>
            <w:r>
              <w:rPr>
                <w:rFonts w:ascii="Arial" w:cs="Arial" w:eastAsia="Arial" w:hAnsi="Arial"/>
                <w:sz w:val="18"/>
                <w:szCs w:val="18"/>
                <w:color w:val="auto"/>
              </w:rPr>
              <w:t>articles of association, operational regulations and directives;</w:t>
            </w:r>
          </w:p>
        </w:tc>
        <w:tc>
          <w:tcPr>
            <w:tcW w:w="5500" w:type="dxa"/>
            <w:vAlign w:val="bottom"/>
          </w:tcPr>
          <w:p>
            <w:pPr>
              <w:ind w:left="520"/>
              <w:spacing w:after="0" w:line="202" w:lineRule="exact"/>
              <w:rPr>
                <w:sz w:val="20"/>
                <w:szCs w:val="20"/>
                <w:color w:val="auto"/>
              </w:rPr>
            </w:pPr>
            <w:r>
              <w:rPr>
                <w:rFonts w:ascii="Arial" w:cs="Arial" w:eastAsia="Arial" w:hAnsi="Arial"/>
                <w:sz w:val="18"/>
                <w:szCs w:val="18"/>
                <w:color w:val="auto"/>
                <w:w w:val="99"/>
              </w:rPr>
              <w:t>gestion pour s'assurer notamment qu'elles observent la loi, les</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17"/>
                <w:szCs w:val="17"/>
                <w:color w:val="auto"/>
              </w:rPr>
            </w:pPr>
          </w:p>
        </w:tc>
        <w:tc>
          <w:tcPr>
            <w:tcW w:w="5500" w:type="dxa"/>
            <w:vAlign w:val="bottom"/>
          </w:tcPr>
          <w:p>
            <w:pPr>
              <w:ind w:left="520"/>
              <w:spacing w:after="0" w:line="202" w:lineRule="exact"/>
              <w:rPr>
                <w:sz w:val="20"/>
                <w:szCs w:val="20"/>
                <w:color w:val="auto"/>
              </w:rPr>
            </w:pPr>
            <w:r>
              <w:rPr>
                <w:rFonts w:ascii="Arial" w:cs="Arial" w:eastAsia="Arial" w:hAnsi="Arial"/>
                <w:sz w:val="18"/>
                <w:szCs w:val="18"/>
                <w:color w:val="auto"/>
              </w:rPr>
              <w:t>statuts, les règlements et les instructions données;</w:t>
            </w:r>
          </w:p>
        </w:tc>
        <w:tc>
          <w:tcPr>
            <w:tcW w:w="0" w:type="dxa"/>
            <w:vAlign w:val="bottom"/>
          </w:tcPr>
          <w:p>
            <w:pPr>
              <w:spacing w:after="0"/>
              <w:rPr>
                <w:sz w:val="1"/>
                <w:szCs w:val="1"/>
                <w:color w:val="auto"/>
              </w:rPr>
            </w:pPr>
          </w:p>
        </w:tc>
      </w:tr>
    </w:tbl>
    <w:p>
      <w:pPr>
        <w:ind w:left="620" w:hanging="526"/>
        <w:spacing w:after="0" w:line="234"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w:t>
      </w:r>
    </w:p>
    <w:tbl>
      <w:tblPr>
        <w:tblLayout w:type="fixed"/>
        <w:tblInd w:w="480" w:type="dxa"/>
        <w:tblCellMar>
          <w:top w:w="0" w:type="dxa"/>
          <w:left w:w="0" w:type="dxa"/>
          <w:bottom w:w="0" w:type="dxa"/>
          <w:right w:w="0" w:type="dxa"/>
        </w:tblCellMar>
      </w:tblPr>
      <w:tr>
        <w:trPr>
          <w:trHeight w:val="203"/>
        </w:trPr>
        <w:tc>
          <w:tcPr>
            <w:tcW w:w="4600" w:type="dxa"/>
            <w:vAlign w:val="bottom"/>
          </w:tcPr>
          <w:p>
            <w:pPr>
              <w:spacing w:after="0" w:line="203" w:lineRule="exact"/>
              <w:rPr>
                <w:sz w:val="20"/>
                <w:szCs w:val="20"/>
                <w:color w:val="auto"/>
              </w:rPr>
            </w:pPr>
            <w:r>
              <w:rPr>
                <w:rFonts w:ascii="Arial" w:cs="Arial" w:eastAsia="Arial" w:hAnsi="Arial"/>
                <w:sz w:val="18"/>
                <w:szCs w:val="18"/>
                <w:color w:val="auto"/>
              </w:rPr>
              <w:t>meeting and implementation of its resolutions;</w:t>
            </w:r>
          </w:p>
        </w:tc>
        <w:tc>
          <w:tcPr>
            <w:tcW w:w="6260" w:type="dxa"/>
            <w:vAlign w:val="bottom"/>
          </w:tcPr>
          <w:p>
            <w:pPr>
              <w:ind w:left="940"/>
              <w:spacing w:after="0" w:line="203" w:lineRule="exact"/>
              <w:rPr>
                <w:sz w:val="20"/>
                <w:szCs w:val="20"/>
                <w:color w:val="auto"/>
              </w:rPr>
            </w:pPr>
            <w:r>
              <w:rPr>
                <w:rFonts w:ascii="Arial" w:cs="Arial" w:eastAsia="Arial" w:hAnsi="Arial"/>
                <w:sz w:val="18"/>
                <w:szCs w:val="18"/>
                <w:color w:val="auto"/>
              </w:rPr>
              <w:t>f)  établir le rapport de gestion, préparer l'assemblée générale et</w:t>
            </w:r>
          </w:p>
        </w:tc>
      </w:tr>
      <w:tr>
        <w:trPr>
          <w:trHeight w:val="203"/>
        </w:trPr>
        <w:tc>
          <w:tcPr>
            <w:tcW w:w="4600" w:type="dxa"/>
            <w:vAlign w:val="bottom"/>
          </w:tcPr>
          <w:p>
            <w:pPr>
              <w:spacing w:after="0"/>
              <w:rPr>
                <w:sz w:val="17"/>
                <w:szCs w:val="17"/>
                <w:color w:val="auto"/>
              </w:rPr>
            </w:pPr>
          </w:p>
        </w:tc>
        <w:tc>
          <w:tcPr>
            <w:tcW w:w="6260" w:type="dxa"/>
            <w:vAlign w:val="bottom"/>
          </w:tcPr>
          <w:p>
            <w:pPr>
              <w:ind w:left="1280"/>
              <w:spacing w:after="0" w:line="202" w:lineRule="exact"/>
              <w:rPr>
                <w:sz w:val="20"/>
                <w:szCs w:val="20"/>
                <w:color w:val="auto"/>
              </w:rPr>
            </w:pPr>
            <w:r>
              <w:rPr>
                <w:rFonts w:ascii="Arial" w:cs="Arial" w:eastAsia="Arial" w:hAnsi="Arial"/>
                <w:sz w:val="18"/>
                <w:szCs w:val="18"/>
                <w:color w:val="auto"/>
              </w:rPr>
              <w:t>exécuter ses décisions;</w:t>
            </w:r>
          </w:p>
        </w:tc>
      </w:tr>
    </w:tbl>
    <w:p>
      <w:pPr>
        <w:ind w:left="640" w:hanging="546"/>
        <w:spacing w:after="0" w:line="234"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preparation of the compensation report and to request</w:t>
      </w:r>
    </w:p>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3" w:lineRule="exact"/>
              <w:rPr>
                <w:sz w:val="20"/>
                <w:szCs w:val="20"/>
                <w:color w:val="auto"/>
              </w:rPr>
            </w:pPr>
            <w:r>
              <w:rPr>
                <w:rFonts w:ascii="Arial" w:cs="Arial" w:eastAsia="Arial" w:hAnsi="Arial"/>
                <w:sz w:val="18"/>
                <w:szCs w:val="18"/>
                <w:color w:val="auto"/>
              </w:rPr>
              <w:t>approval by the General Meeting regarding compensation of the</w:t>
            </w:r>
          </w:p>
        </w:tc>
        <w:tc>
          <w:tcPr>
            <w:tcW w:w="5580" w:type="dxa"/>
            <w:vAlign w:val="bottom"/>
          </w:tcPr>
          <w:p>
            <w:pPr>
              <w:ind w:left="180"/>
              <w:spacing w:after="0" w:line="203" w:lineRule="exact"/>
              <w:rPr>
                <w:sz w:val="20"/>
                <w:szCs w:val="20"/>
                <w:color w:val="auto"/>
              </w:rPr>
            </w:pPr>
            <w:r>
              <w:rPr>
                <w:rFonts w:ascii="Arial" w:cs="Arial" w:eastAsia="Arial" w:hAnsi="Arial"/>
                <w:sz w:val="18"/>
                <w:szCs w:val="18"/>
                <w:color w:val="auto"/>
              </w:rPr>
              <w:t>g)   la préparation du rapport de rémunération et de demander</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Board of Directors and the Executive Committee; and</w:t>
            </w:r>
          </w:p>
        </w:tc>
        <w:tc>
          <w:tcPr>
            <w:tcW w:w="5580" w:type="dxa"/>
            <w:vAlign w:val="bottom"/>
          </w:tcPr>
          <w:p>
            <w:pPr>
              <w:ind w:left="520"/>
              <w:spacing w:after="0" w:line="202" w:lineRule="exact"/>
              <w:rPr>
                <w:sz w:val="20"/>
                <w:szCs w:val="20"/>
                <w:color w:val="auto"/>
              </w:rPr>
            </w:pPr>
            <w:r>
              <w:rPr>
                <w:rFonts w:ascii="Arial" w:cs="Arial" w:eastAsia="Arial" w:hAnsi="Arial"/>
                <w:sz w:val="18"/>
                <w:szCs w:val="18"/>
                <w:color w:val="auto"/>
              </w:rPr>
              <w:t>l'approbation par l'assemblée générale en ce qui concerne la</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5580" w:type="dxa"/>
            <w:vAlign w:val="bottom"/>
          </w:tcPr>
          <w:p>
            <w:pPr>
              <w:ind w:left="520"/>
              <w:spacing w:after="0" w:line="202" w:lineRule="exact"/>
              <w:rPr>
                <w:sz w:val="20"/>
                <w:szCs w:val="20"/>
                <w:color w:val="auto"/>
              </w:rPr>
            </w:pPr>
            <w:r>
              <w:rPr>
                <w:rFonts w:ascii="Arial" w:cs="Arial" w:eastAsia="Arial" w:hAnsi="Arial"/>
                <w:sz w:val="18"/>
                <w:szCs w:val="18"/>
                <w:color w:val="auto"/>
              </w:rPr>
              <w:t>rémunération du conseil d'administration et du comité exécutif;</w:t>
            </w:r>
          </w:p>
        </w:tc>
        <w:tc>
          <w:tcPr>
            <w:tcW w:w="0" w:type="dxa"/>
            <w:vAlign w:val="bottom"/>
          </w:tcPr>
          <w:p>
            <w:pPr>
              <w:spacing w:after="0"/>
              <w:rPr>
                <w:sz w:val="1"/>
                <w:szCs w:val="1"/>
                <w:color w:val="auto"/>
              </w:rPr>
            </w:pPr>
          </w:p>
        </w:tc>
      </w:tr>
      <w:tr>
        <w:trPr>
          <w:trHeight w:val="203"/>
        </w:trPr>
        <w:tc>
          <w:tcPr>
            <w:tcW w:w="360" w:type="dxa"/>
            <w:vAlign w:val="bottom"/>
          </w:tcPr>
          <w:p>
            <w:pPr>
              <w:ind w:left="100"/>
              <w:spacing w:after="0" w:line="202" w:lineRule="exact"/>
              <w:rPr>
                <w:sz w:val="20"/>
                <w:szCs w:val="20"/>
                <w:color w:val="auto"/>
              </w:rPr>
            </w:pPr>
            <w:r>
              <w:rPr>
                <w:rFonts w:ascii="Arial" w:cs="Arial" w:eastAsia="Arial" w:hAnsi="Arial"/>
                <w:sz w:val="18"/>
                <w:szCs w:val="18"/>
                <w:color w:val="auto"/>
              </w:rPr>
              <w:t>h)</w:t>
            </w:r>
          </w:p>
        </w:tc>
        <w:tc>
          <w:tcPr>
            <w:tcW w:w="5480" w:type="dxa"/>
            <w:vAlign w:val="bottom"/>
          </w:tcPr>
          <w:p>
            <w:pPr>
              <w:ind w:left="300"/>
              <w:spacing w:after="0" w:line="202" w:lineRule="exact"/>
              <w:rPr>
                <w:sz w:val="20"/>
                <w:szCs w:val="20"/>
                <w:color w:val="auto"/>
              </w:rPr>
            </w:pPr>
            <w:r>
              <w:rPr>
                <w:rFonts w:ascii="Arial" w:cs="Arial" w:eastAsia="Arial" w:hAnsi="Arial"/>
                <w:sz w:val="18"/>
                <w:szCs w:val="18"/>
                <w:color w:val="auto"/>
              </w:rPr>
              <w:t>notification of the court in the event that the company is</w:t>
            </w:r>
          </w:p>
        </w:tc>
        <w:tc>
          <w:tcPr>
            <w:tcW w:w="5580" w:type="dxa"/>
            <w:vAlign w:val="bottom"/>
          </w:tcPr>
          <w:p>
            <w:pPr>
              <w:ind w:left="520"/>
              <w:spacing w:after="0" w:line="202" w:lineRule="exact"/>
              <w:rPr>
                <w:sz w:val="20"/>
                <w:szCs w:val="20"/>
                <w:color w:val="auto"/>
              </w:rPr>
            </w:pPr>
            <w:r>
              <w:rPr>
                <w:rFonts w:ascii="Arial" w:cs="Arial" w:eastAsia="Arial" w:hAnsi="Arial"/>
                <w:sz w:val="18"/>
                <w:szCs w:val="18"/>
                <w:color w:val="auto"/>
              </w:rPr>
              <w:t>et</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overindebted.</w:t>
            </w:r>
          </w:p>
        </w:tc>
        <w:tc>
          <w:tcPr>
            <w:tcW w:w="5580" w:type="dxa"/>
            <w:vAlign w:val="bottom"/>
            <w:vMerge w:val="restart"/>
          </w:tcPr>
          <w:p>
            <w:pPr>
              <w:ind w:left="180"/>
              <w:spacing w:after="0"/>
              <w:rPr>
                <w:sz w:val="20"/>
                <w:szCs w:val="20"/>
                <w:color w:val="auto"/>
              </w:rPr>
            </w:pPr>
            <w:r>
              <w:rPr>
                <w:rFonts w:ascii="Arial" w:cs="Arial" w:eastAsia="Arial" w:hAnsi="Arial"/>
                <w:sz w:val="18"/>
                <w:szCs w:val="18"/>
                <w:color w:val="auto"/>
              </w:rPr>
              <w:t>h)  informer le juge en cas de surendettement.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5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840" w:type="dxa"/>
            <w:vAlign w:val="bottom"/>
            <w:tcBorders>
              <w:bottom w:val="single" w:sz="8" w:color="auto"/>
            </w:tcBorders>
            <w:gridSpan w:val="2"/>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The board of directors may assign responsibility for preparing and</w:t>
            </w:r>
          </w:p>
        </w:tc>
        <w:tc>
          <w:tcPr>
            <w:tcW w:w="5580" w:type="dxa"/>
            <w:vAlign w:val="bottom"/>
          </w:tcPr>
          <w:p>
            <w:pPr>
              <w:ind w:left="180"/>
              <w:spacing w:after="0"/>
              <w:rPr>
                <w:sz w:val="20"/>
                <w:szCs w:val="20"/>
                <w:color w:val="auto"/>
              </w:rPr>
            </w:pPr>
            <w:r>
              <w:rPr>
                <w:rFonts w:ascii="Arial" w:cs="Arial" w:eastAsia="Arial" w:hAnsi="Arial"/>
                <w:sz w:val="18"/>
                <w:szCs w:val="18"/>
                <w:color w:val="auto"/>
              </w:rPr>
              <w:t>Le conseil  d'administration  peut  déléguer  à  un  ou  plusieurs</w:t>
            </w:r>
          </w:p>
        </w:tc>
        <w:tc>
          <w:tcPr>
            <w:tcW w:w="0" w:type="dxa"/>
            <w:vAlign w:val="bottom"/>
          </w:tcPr>
          <w:p>
            <w:pPr>
              <w:spacing w:after="0"/>
              <w:rPr>
                <w:sz w:val="1"/>
                <w:szCs w:val="1"/>
                <w:color w:val="auto"/>
              </w:rPr>
            </w:pPr>
          </w:p>
        </w:tc>
      </w:tr>
      <w:tr>
        <w:trPr>
          <w:trHeight w:val="203"/>
        </w:trPr>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implementing its resolutions or monitoring transactions to committees</w:t>
            </w:r>
          </w:p>
        </w:tc>
        <w:tc>
          <w:tcPr>
            <w:tcW w:w="5580" w:type="dxa"/>
            <w:vAlign w:val="bottom"/>
          </w:tcPr>
          <w:p>
            <w:pPr>
              <w:ind w:left="180"/>
              <w:spacing w:after="0" w:line="202" w:lineRule="exact"/>
              <w:rPr>
                <w:sz w:val="20"/>
                <w:szCs w:val="20"/>
                <w:color w:val="auto"/>
              </w:rPr>
            </w:pPr>
            <w:r>
              <w:rPr>
                <w:rFonts w:ascii="Arial" w:cs="Arial" w:eastAsia="Arial" w:hAnsi="Arial"/>
                <w:sz w:val="18"/>
                <w:szCs w:val="18"/>
                <w:color w:val="auto"/>
              </w:rPr>
              <w:t>membres,  regroupés  en  comités,  la  charge  de  préparer  et</w:t>
            </w:r>
          </w:p>
        </w:tc>
        <w:tc>
          <w:tcPr>
            <w:tcW w:w="0" w:type="dxa"/>
            <w:vAlign w:val="bottom"/>
          </w:tcPr>
          <w:p>
            <w:pPr>
              <w:spacing w:after="0"/>
              <w:rPr>
                <w:sz w:val="1"/>
                <w:szCs w:val="1"/>
                <w:color w:val="auto"/>
              </w:rPr>
            </w:pPr>
          </w:p>
        </w:tc>
      </w:tr>
      <w:tr>
        <w:trPr>
          <w:trHeight w:val="203"/>
        </w:trPr>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or individual members. It must ensure appropriate reporting to its</w:t>
            </w:r>
          </w:p>
        </w:tc>
        <w:tc>
          <w:tcPr>
            <w:tcW w:w="5580" w:type="dxa"/>
            <w:vAlign w:val="bottom"/>
          </w:tcPr>
          <w:p>
            <w:pPr>
              <w:ind w:left="180"/>
              <w:spacing w:after="0" w:line="202" w:lineRule="exact"/>
              <w:rPr>
                <w:sz w:val="20"/>
                <w:szCs w:val="20"/>
                <w:color w:val="auto"/>
              </w:rPr>
            </w:pPr>
            <w:r>
              <w:rPr>
                <w:rFonts w:ascii="Arial" w:cs="Arial" w:eastAsia="Arial" w:hAnsi="Arial"/>
                <w:sz w:val="18"/>
                <w:szCs w:val="18"/>
                <w:color w:val="auto"/>
              </w:rPr>
              <w:t>d'exécuter ses décisions ou de surveiller certaines affaires. Il veille</w:t>
            </w:r>
          </w:p>
        </w:tc>
        <w:tc>
          <w:tcPr>
            <w:tcW w:w="0" w:type="dxa"/>
            <w:vAlign w:val="bottom"/>
          </w:tcPr>
          <w:p>
            <w:pPr>
              <w:spacing w:after="0"/>
              <w:rPr>
                <w:sz w:val="1"/>
                <w:szCs w:val="1"/>
                <w:color w:val="auto"/>
              </w:rPr>
            </w:pPr>
          </w:p>
        </w:tc>
      </w:tr>
      <w:tr>
        <w:trPr>
          <w:trHeight w:val="217"/>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members.</w:t>
            </w:r>
          </w:p>
        </w:tc>
        <w:tc>
          <w:tcPr>
            <w:tcW w:w="5580" w:type="dxa"/>
            <w:vAlign w:val="bottom"/>
          </w:tcPr>
          <w:p>
            <w:pPr>
              <w:ind w:left="180"/>
              <w:spacing w:after="0"/>
              <w:rPr>
                <w:sz w:val="20"/>
                <w:szCs w:val="20"/>
                <w:color w:val="auto"/>
              </w:rPr>
            </w:pPr>
            <w:r>
              <w:rPr>
                <w:rFonts w:ascii="Arial" w:cs="Arial" w:eastAsia="Arial" w:hAnsi="Arial"/>
                <w:sz w:val="18"/>
                <w:szCs w:val="18"/>
                <w:color w:val="auto"/>
              </w:rPr>
              <w:t>à ce que ses membres soient convenablement informés.</w:t>
            </w:r>
          </w:p>
        </w:tc>
        <w:tc>
          <w:tcPr>
            <w:tcW w:w="0" w:type="dxa"/>
            <w:vAlign w:val="bottom"/>
          </w:tcPr>
          <w:p>
            <w:pPr>
              <w:spacing w:after="0"/>
              <w:rPr>
                <w:sz w:val="1"/>
                <w:szCs w:val="1"/>
                <w:color w:val="auto"/>
              </w:rPr>
            </w:pPr>
          </w:p>
        </w:tc>
      </w:tr>
      <w:tr>
        <w:trPr>
          <w:trHeight w:val="54"/>
        </w:trPr>
        <w:tc>
          <w:tcPr>
            <w:tcW w:w="5840" w:type="dxa"/>
            <w:vAlign w:val="bottom"/>
            <w:tcBorders>
              <w:bottom w:val="single" w:sz="8" w:color="auto"/>
            </w:tcBorders>
            <w:gridSpan w:val="2"/>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840" w:type="dxa"/>
            <w:vAlign w:val="bottom"/>
            <w:gridSpan w:val="2"/>
          </w:tcPr>
          <w:p>
            <w:pPr>
              <w:ind w:left="100"/>
              <w:spacing w:after="0"/>
              <w:rPr>
                <w:sz w:val="20"/>
                <w:szCs w:val="20"/>
                <w:color w:val="auto"/>
              </w:rPr>
            </w:pPr>
            <w:r>
              <w:rPr>
                <w:rFonts w:ascii="Arial" w:cs="Arial" w:eastAsia="Arial" w:hAnsi="Arial"/>
                <w:sz w:val="18"/>
                <w:szCs w:val="18"/>
                <w:b w:val="1"/>
                <w:bCs w:val="1"/>
                <w:color w:val="auto"/>
              </w:rPr>
              <w:t>Art. 24 Representation of the Company</w:t>
            </w:r>
          </w:p>
        </w:tc>
        <w:tc>
          <w:tcPr>
            <w:tcW w:w="5580" w:type="dxa"/>
            <w:vAlign w:val="bottom"/>
          </w:tcPr>
          <w:p>
            <w:pPr>
              <w:ind w:left="180"/>
              <w:spacing w:after="0"/>
              <w:rPr>
                <w:sz w:val="20"/>
                <w:szCs w:val="20"/>
                <w:color w:val="auto"/>
              </w:rPr>
            </w:pPr>
            <w:r>
              <w:rPr>
                <w:rFonts w:ascii="Arial" w:cs="Arial" w:eastAsia="Arial" w:hAnsi="Arial"/>
                <w:sz w:val="18"/>
                <w:szCs w:val="18"/>
                <w:b w:val="1"/>
                <w:bCs w:val="1"/>
                <w:color w:val="auto"/>
              </w:rPr>
              <w:t>Art. 24 Représentation de la société</w:t>
            </w:r>
          </w:p>
        </w:tc>
        <w:tc>
          <w:tcPr>
            <w:tcW w:w="0" w:type="dxa"/>
            <w:vAlign w:val="bottom"/>
          </w:tcPr>
          <w:p>
            <w:pPr>
              <w:spacing w:after="0"/>
              <w:rPr>
                <w:sz w:val="1"/>
                <w:szCs w:val="1"/>
                <w:color w:val="auto"/>
              </w:rPr>
            </w:pPr>
          </w:p>
        </w:tc>
      </w:tr>
      <w:tr>
        <w:trPr>
          <w:trHeight w:val="391"/>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The Board of Directors shall assign the persons with signatory power</w:t>
            </w:r>
          </w:p>
        </w:tc>
        <w:tc>
          <w:tcPr>
            <w:tcW w:w="5580" w:type="dxa"/>
            <w:vAlign w:val="bottom"/>
          </w:tcPr>
          <w:p>
            <w:pPr>
              <w:ind w:left="180"/>
              <w:spacing w:after="0"/>
              <w:rPr>
                <w:sz w:val="20"/>
                <w:szCs w:val="20"/>
                <w:color w:val="auto"/>
              </w:rPr>
            </w:pPr>
            <w:r>
              <w:rPr>
                <w:rFonts w:ascii="Arial" w:cs="Arial" w:eastAsia="Arial" w:hAnsi="Arial"/>
                <w:sz w:val="18"/>
                <w:szCs w:val="18"/>
                <w:color w:val="auto"/>
              </w:rPr>
              <w:t>Le  conseil  d'administration  nomme  les  personnes  pouvant</w:t>
            </w:r>
          </w:p>
        </w:tc>
        <w:tc>
          <w:tcPr>
            <w:tcW w:w="0" w:type="dxa"/>
            <w:vAlign w:val="bottom"/>
          </w:tcPr>
          <w:p>
            <w:pPr>
              <w:spacing w:after="0"/>
              <w:rPr>
                <w:sz w:val="1"/>
                <w:szCs w:val="1"/>
                <w:color w:val="auto"/>
              </w:rPr>
            </w:pPr>
          </w:p>
        </w:tc>
      </w:tr>
      <w:tr>
        <w:trPr>
          <w:trHeight w:val="217"/>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for the company and the kind of signatory power.</w:t>
            </w:r>
          </w:p>
        </w:tc>
        <w:tc>
          <w:tcPr>
            <w:tcW w:w="5580" w:type="dxa"/>
            <w:vAlign w:val="bottom"/>
          </w:tcPr>
          <w:p>
            <w:pPr>
              <w:ind w:left="180"/>
              <w:spacing w:after="0"/>
              <w:rPr>
                <w:sz w:val="20"/>
                <w:szCs w:val="20"/>
                <w:color w:val="auto"/>
              </w:rPr>
            </w:pPr>
            <w:r>
              <w:rPr>
                <w:rFonts w:ascii="Arial" w:cs="Arial" w:eastAsia="Arial" w:hAnsi="Arial"/>
                <w:sz w:val="18"/>
                <w:szCs w:val="18"/>
                <w:color w:val="auto"/>
              </w:rPr>
              <w:t>représenter la société ainsi que le mode de signature.</w:t>
            </w:r>
          </w:p>
        </w:tc>
        <w:tc>
          <w:tcPr>
            <w:tcW w:w="0" w:type="dxa"/>
            <w:vAlign w:val="bottom"/>
          </w:tcPr>
          <w:p>
            <w:pPr>
              <w:spacing w:after="0"/>
              <w:rPr>
                <w:sz w:val="1"/>
                <w:szCs w:val="1"/>
                <w:color w:val="auto"/>
              </w:rPr>
            </w:pPr>
          </w:p>
        </w:tc>
      </w:tr>
      <w:tr>
        <w:trPr>
          <w:trHeight w:val="378"/>
        </w:trPr>
        <w:tc>
          <w:tcPr>
            <w:tcW w:w="36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9" w:right="239" w:bottom="1440" w:gutter="0" w:footer="0" w:header="0"/>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22</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25 Delegation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25 Délégation</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Moreover, the Board of Directors is authorized to delegate, in part or</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outre, le conseil d'administration peut, dans les limites de la loi,</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entirely, the management and the representation of the Company,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déléguer, en partie ou entièrement, la gestion et la représentation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within the limits of the law, to one or more individual directors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la société à un ou plusieurs administrateurs (délégués) ou à</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(Delegates) or to third parties pursuant to organizational regulations.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des tiers conformément au règlement d'organisation.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26 Meetings, Resolutions and Minutes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26 Réunions, décisions et procès-verbal</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organization of the meetings, the presence quorum and the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L'organisation des réunions, le quorum de présence et l'adoption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passing of resolutions of the Board of Directors is determined by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décisions du conseil d'administration sont prévus dans 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organizational regulations. No presence quorum is required for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règlement  d'organisation.  Aucun  quorum  de  présence  n'est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approval of the capital increase.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nécessaire pour l'approbation d'un rapport  d'augmentation  de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capital.</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Resolutions  may  be  passed  via  telephone  or  videoconference.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Les décisions peuvent être prises par téléphone ou par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Resolutions may also be passed by way of circulation, provided that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vidéoconférence. Les décisions peuvent également être prises par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 member requests oral deliberation.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voie de circulation, à condition qu'aucun membre ne demande une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délibération orale.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Minutes are kept of the board's discussions and resolutions and</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délibérations et les décisions du conseil d'administration sont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signed by the chairman and the minute-taker.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consignées dans un procès-verbal signé par le président et le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rédacteur du procès-verbal.</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27 Right to information and inspection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27 Droit aux renseignements et à la consultation</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Any member of the board of directors may request information on any</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Chaque membre du conseil d'administration a le droit d'obtenir</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 business.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des renseignements sur toutes les affaires de la société.</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Outside meetings, any member may request information from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dehors des séances, chaque membre du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persons entrusted with managing the company's business concerning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peut exiger des personnes chargées de la gestion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company's  business  performance  and,  with  the  chairman's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renseignements sur la marche de l'entreprise et, avec</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authorisation, specific transactions.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l'autorisation du président, sur des affaires déterminées.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Where required for the performance of his duties, any member may</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la mesure où cela est nécessaire à l'accomplissement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request the chairman to have books of account and documents made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ses tâches, chaque membre du conseil d'administration peut</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available to him for inspection.</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demander au président la production des livres ou des dossiers.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01"/>
        </w:trPr>
        <w:tc>
          <w:tcPr>
            <w:tcW w:w="5840" w:type="dxa"/>
            <w:vAlign w:val="bottom"/>
            <w:tcBorders>
              <w:bottom w:val="single" w:sz="8" w:color="auto"/>
            </w:tcBorders>
            <w:gridSpan w:val="2"/>
          </w:tcPr>
          <w:p>
            <w:pPr>
              <w:spacing w:after="0"/>
              <w:rPr>
                <w:sz w:val="8"/>
                <w:szCs w:val="8"/>
                <w:color w:val="auto"/>
              </w:rPr>
            </w:pPr>
          </w:p>
        </w:tc>
        <w:tc>
          <w:tcPr>
            <w:tcW w:w="5580" w:type="dxa"/>
            <w:vAlign w:val="bottom"/>
            <w:tcBorders>
              <w:bottom w:val="single" w:sz="8" w:color="auto"/>
            </w:tcBorders>
            <w:gridSpan w:val="2"/>
          </w:tcPr>
          <w:p>
            <w:pPr>
              <w:spacing w:after="0"/>
              <w:rPr>
                <w:sz w:val="8"/>
                <w:szCs w:val="8"/>
                <w:color w:val="auto"/>
              </w:rPr>
            </w:pPr>
          </w:p>
        </w:tc>
      </w:tr>
      <w:tr>
        <w:trPr>
          <w:trHeight w:val="263"/>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If the chairman refuses a request for information, a request to be</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Si le président rejette une demande de renseignement, d'audition</w:t>
            </w:r>
          </w:p>
        </w:tc>
      </w:tr>
      <w:tr>
        <w:trPr>
          <w:trHeight w:val="203"/>
        </w:trPr>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heard or an application to inspect documents, the board of directors</w:t>
            </w:r>
          </w:p>
        </w:tc>
        <w:tc>
          <w:tcPr>
            <w:tcW w:w="5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ou de consultation, le conseil d'administration tranche.</w:t>
            </w:r>
          </w:p>
        </w:tc>
      </w:tr>
      <w:tr>
        <w:trPr>
          <w:trHeight w:val="217"/>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rules on the matter.</w:t>
            </w:r>
          </w:p>
        </w:tc>
        <w:tc>
          <w:tcPr>
            <w:tcW w:w="500" w:type="dxa"/>
            <w:vAlign w:val="bottom"/>
          </w:tcPr>
          <w:p>
            <w:pPr>
              <w:spacing w:after="0"/>
              <w:rPr>
                <w:sz w:val="18"/>
                <w:szCs w:val="18"/>
                <w:color w:val="auto"/>
              </w:rPr>
            </w:pPr>
          </w:p>
        </w:tc>
        <w:tc>
          <w:tcPr>
            <w:tcW w:w="5080" w:type="dxa"/>
            <w:vAlign w:val="bottom"/>
          </w:tcPr>
          <w:p>
            <w:pPr>
              <w:spacing w:after="0"/>
              <w:rPr>
                <w:sz w:val="18"/>
                <w:szCs w:val="18"/>
                <w:color w:val="auto"/>
              </w:rPr>
            </w:pPr>
          </w:p>
        </w:tc>
      </w:tr>
      <w:tr>
        <w:trPr>
          <w:trHeight w:val="54"/>
        </w:trPr>
        <w:tc>
          <w:tcPr>
            <w:tcW w:w="5840" w:type="dxa"/>
            <w:vAlign w:val="bottom"/>
            <w:tcBorders>
              <w:bottom w:val="single" w:sz="8" w:color="auto"/>
            </w:tcBorders>
            <w:gridSpan w:val="2"/>
          </w:tcPr>
          <w:p>
            <w:pPr>
              <w:spacing w:after="0"/>
              <w:rPr>
                <w:sz w:val="4"/>
                <w:szCs w:val="4"/>
                <w:color w:val="auto"/>
              </w:rPr>
            </w:pPr>
          </w:p>
        </w:tc>
        <w:tc>
          <w:tcPr>
            <w:tcW w:w="5580" w:type="dxa"/>
            <w:vAlign w:val="bottom"/>
            <w:tcBorders>
              <w:bottom w:val="single" w:sz="8" w:color="auto"/>
            </w:tcBorders>
            <w:gridSpan w:val="2"/>
          </w:tcPr>
          <w:p>
            <w:pPr>
              <w:spacing w:after="0"/>
              <w:rPr>
                <w:sz w:val="4"/>
                <w:szCs w:val="4"/>
                <w:color w:val="auto"/>
              </w:rPr>
            </w:pPr>
          </w:p>
        </w:tc>
      </w:tr>
      <w:tr>
        <w:trPr>
          <w:trHeight w:val="277"/>
        </w:trPr>
        <w:tc>
          <w:tcPr>
            <w:tcW w:w="5840" w:type="dxa"/>
            <w:vAlign w:val="bottom"/>
            <w:gridSpan w:val="2"/>
          </w:tcPr>
          <w:p>
            <w:pPr>
              <w:ind w:left="100"/>
              <w:spacing w:after="0"/>
              <w:rPr>
                <w:sz w:val="20"/>
                <w:szCs w:val="20"/>
                <w:color w:val="auto"/>
              </w:rPr>
            </w:pPr>
            <w:r>
              <w:rPr>
                <w:rFonts w:ascii="Arial" w:cs="Arial" w:eastAsia="Arial" w:hAnsi="Arial"/>
                <w:sz w:val="18"/>
                <w:szCs w:val="18"/>
                <w:b w:val="1"/>
                <w:bCs w:val="1"/>
                <w:color w:val="auto"/>
              </w:rPr>
              <w:t>Art. 28 Compensation Committee</w:t>
            </w:r>
          </w:p>
        </w:tc>
        <w:tc>
          <w:tcPr>
            <w:tcW w:w="5580" w:type="dxa"/>
            <w:vAlign w:val="bottom"/>
            <w:gridSpan w:val="2"/>
          </w:tcPr>
          <w:p>
            <w:pPr>
              <w:ind w:left="180"/>
              <w:spacing w:after="0"/>
              <w:rPr>
                <w:sz w:val="20"/>
                <w:szCs w:val="20"/>
                <w:color w:val="auto"/>
              </w:rPr>
            </w:pPr>
            <w:r>
              <w:rPr>
                <w:rFonts w:ascii="Arial" w:cs="Arial" w:eastAsia="Arial" w:hAnsi="Arial"/>
                <w:sz w:val="18"/>
                <w:szCs w:val="18"/>
                <w:b w:val="1"/>
                <w:bCs w:val="1"/>
                <w:color w:val="auto"/>
              </w:rPr>
              <w:t>Art. 28 Comité de rémunération</w:t>
            </w:r>
          </w:p>
        </w:tc>
      </w:tr>
      <w:tr>
        <w:trPr>
          <w:trHeight w:val="391"/>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The Compensation Committee shall comprise at least 2 members.</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Le comité de rémunération se compose d'au moins 2 membres.</w:t>
            </w:r>
          </w:p>
        </w:tc>
      </w:tr>
      <w:tr>
        <w:trPr>
          <w:trHeight w:val="203"/>
        </w:trPr>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The members of the Compensation Committee shall be individually</w:t>
            </w:r>
          </w:p>
        </w:tc>
        <w:tc>
          <w:tcPr>
            <w:tcW w:w="5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Les  membres  du  comité  de  rémunération  sont  élus  par</w:t>
            </w:r>
          </w:p>
        </w:tc>
      </w:tr>
      <w:tr>
        <w:trPr>
          <w:trHeight w:val="203"/>
        </w:trPr>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elected by the Ordinary General Meeting from among the members of</w:t>
            </w:r>
          </w:p>
        </w:tc>
        <w:tc>
          <w:tcPr>
            <w:tcW w:w="5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l'assemblée générale ordinaire parmi les membres du conseil</w:t>
            </w:r>
          </w:p>
        </w:tc>
      </w:tr>
      <w:tr>
        <w:trPr>
          <w:trHeight w:val="203"/>
        </w:trPr>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the Board of Directors for a term of one year until the next Ordinary</w:t>
            </w:r>
          </w:p>
        </w:tc>
        <w:tc>
          <w:tcPr>
            <w:tcW w:w="5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d'administration pour un mandat d'un an jusqu'à la prochaine</w:t>
            </w:r>
          </w:p>
        </w:tc>
      </w:tr>
      <w:tr>
        <w:trPr>
          <w:trHeight w:val="203"/>
        </w:trPr>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General  Meeting.  Re-election  is  permitted.  The  Compensation</w:t>
            </w:r>
          </w:p>
        </w:tc>
        <w:tc>
          <w:tcPr>
            <w:tcW w:w="5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assemblée générale ordinaire. Une réélection est possible. Le</w:t>
            </w:r>
          </w:p>
        </w:tc>
      </w:tr>
      <w:tr>
        <w:trPr>
          <w:trHeight w:val="217"/>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Committee has the following duties:</w:t>
            </w:r>
          </w:p>
        </w:tc>
        <w:tc>
          <w:tcPr>
            <w:tcW w:w="5580" w:type="dxa"/>
            <w:vAlign w:val="bottom"/>
            <w:gridSpan w:val="2"/>
          </w:tcPr>
          <w:p>
            <w:pPr>
              <w:ind w:left="180"/>
              <w:spacing w:after="0"/>
              <w:rPr>
                <w:sz w:val="20"/>
                <w:szCs w:val="20"/>
                <w:color w:val="auto"/>
              </w:rPr>
            </w:pPr>
            <w:r>
              <w:rPr>
                <w:rFonts w:ascii="Arial" w:cs="Arial" w:eastAsia="Arial" w:hAnsi="Arial"/>
                <w:sz w:val="18"/>
                <w:szCs w:val="18"/>
                <w:color w:val="auto"/>
              </w:rPr>
              <w:t>comité de rémunération a les fonctions suivantes:</w:t>
            </w:r>
          </w:p>
        </w:tc>
      </w:tr>
      <w:tr>
        <w:trPr>
          <w:trHeight w:val="391"/>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a)  to draw up principles for compensation of members of the Board</w:t>
            </w:r>
          </w:p>
        </w:tc>
        <w:tc>
          <w:tcPr>
            <w:tcW w:w="500" w:type="dxa"/>
            <w:vAlign w:val="bottom"/>
          </w:tcPr>
          <w:p>
            <w:pPr>
              <w:ind w:left="180"/>
              <w:spacing w:after="0"/>
              <w:rPr>
                <w:sz w:val="20"/>
                <w:szCs w:val="20"/>
                <w:color w:val="auto"/>
              </w:rPr>
            </w:pPr>
            <w:r>
              <w:rPr>
                <w:rFonts w:ascii="Arial" w:cs="Arial" w:eastAsia="Arial" w:hAnsi="Arial"/>
                <w:sz w:val="18"/>
                <w:szCs w:val="18"/>
                <w:color w:val="auto"/>
              </w:rPr>
              <w:t>a)</w:t>
            </w:r>
          </w:p>
        </w:tc>
        <w:tc>
          <w:tcPr>
            <w:tcW w:w="5080" w:type="dxa"/>
            <w:vAlign w:val="bottom"/>
          </w:tcPr>
          <w:p>
            <w:pPr>
              <w:jc w:val="right"/>
              <w:ind w:right="11"/>
              <w:spacing w:after="0"/>
              <w:rPr>
                <w:sz w:val="20"/>
                <w:szCs w:val="20"/>
                <w:color w:val="auto"/>
              </w:rPr>
            </w:pPr>
            <w:r>
              <w:rPr>
                <w:rFonts w:ascii="Arial" w:cs="Arial" w:eastAsia="Arial" w:hAnsi="Arial"/>
                <w:sz w:val="18"/>
                <w:szCs w:val="18"/>
                <w:color w:val="auto"/>
              </w:rPr>
              <w:t>élaborer des principes de rémunération des membres du</w:t>
            </w: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of Directors and the Executive Committee and to submit them to</w:t>
            </w:r>
          </w:p>
        </w:tc>
        <w:tc>
          <w:tcPr>
            <w:tcW w:w="500" w:type="dxa"/>
            <w:vAlign w:val="bottom"/>
          </w:tcPr>
          <w:p>
            <w:pPr>
              <w:spacing w:after="0"/>
              <w:rPr>
                <w:sz w:val="17"/>
                <w:szCs w:val="17"/>
                <w:color w:val="auto"/>
              </w:rPr>
            </w:pPr>
          </w:p>
        </w:tc>
        <w:tc>
          <w:tcPr>
            <w:tcW w:w="50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conseil d'administration et du comité exécutif et de les</w:t>
            </w:r>
          </w:p>
        </w:tc>
      </w:tr>
      <w:tr>
        <w:trPr>
          <w:trHeight w:val="217"/>
        </w:trPr>
        <w:tc>
          <w:tcPr>
            <w:tcW w:w="36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the Board of Directors for approval;</w:t>
            </w:r>
          </w:p>
        </w:tc>
        <w:tc>
          <w:tcPr>
            <w:tcW w:w="500" w:type="dxa"/>
            <w:vAlign w:val="bottom"/>
          </w:tcPr>
          <w:p>
            <w:pPr>
              <w:spacing w:after="0"/>
              <w:rPr>
                <w:sz w:val="18"/>
                <w:szCs w:val="18"/>
                <w:color w:val="auto"/>
              </w:rPr>
            </w:pPr>
          </w:p>
        </w:tc>
        <w:tc>
          <w:tcPr>
            <w:tcW w:w="5080" w:type="dxa"/>
            <w:vAlign w:val="bottom"/>
          </w:tcPr>
          <w:p>
            <w:pPr>
              <w:jc w:val="right"/>
              <w:ind w:right="431"/>
              <w:spacing w:after="0"/>
              <w:rPr>
                <w:sz w:val="20"/>
                <w:szCs w:val="20"/>
                <w:color w:val="auto"/>
              </w:rPr>
            </w:pPr>
            <w:r>
              <w:rPr>
                <w:rFonts w:ascii="Arial" w:cs="Arial" w:eastAsia="Arial" w:hAnsi="Arial"/>
                <w:sz w:val="18"/>
                <w:szCs w:val="18"/>
                <w:color w:val="auto"/>
              </w:rPr>
              <w:t>soumettre au conseil d'administration pour approbation;</w:t>
            </w:r>
          </w:p>
        </w:tc>
      </w:tr>
      <w:tr>
        <w:trPr>
          <w:trHeight w:val="391"/>
        </w:trPr>
        <w:tc>
          <w:tcPr>
            <w:tcW w:w="360" w:type="dxa"/>
            <w:vAlign w:val="bottom"/>
          </w:tcPr>
          <w:p>
            <w:pPr>
              <w:ind w:left="100"/>
              <w:spacing w:after="0"/>
              <w:rPr>
                <w:sz w:val="20"/>
                <w:szCs w:val="20"/>
                <w:color w:val="auto"/>
              </w:rPr>
            </w:pPr>
            <w:r>
              <w:rPr>
                <w:rFonts w:ascii="Arial" w:cs="Arial" w:eastAsia="Arial" w:hAnsi="Arial"/>
                <w:sz w:val="18"/>
                <w:szCs w:val="18"/>
                <w:color w:val="auto"/>
              </w:rPr>
              <w:t>b)</w:t>
            </w:r>
          </w:p>
        </w:tc>
        <w:tc>
          <w:tcPr>
            <w:tcW w:w="5480" w:type="dxa"/>
            <w:vAlign w:val="bottom"/>
          </w:tcPr>
          <w:p>
            <w:pPr>
              <w:ind w:left="300"/>
              <w:spacing w:after="0"/>
              <w:rPr>
                <w:sz w:val="20"/>
                <w:szCs w:val="20"/>
                <w:color w:val="auto"/>
              </w:rPr>
            </w:pPr>
            <w:r>
              <w:rPr>
                <w:rFonts w:ascii="Arial" w:cs="Arial" w:eastAsia="Arial" w:hAnsi="Arial"/>
                <w:sz w:val="18"/>
                <w:szCs w:val="18"/>
                <w:color w:val="auto"/>
              </w:rPr>
              <w:t>to propose to the Board of Directors the resolution to be</w:t>
            </w:r>
          </w:p>
        </w:tc>
        <w:tc>
          <w:tcPr>
            <w:tcW w:w="500" w:type="dxa"/>
            <w:vAlign w:val="bottom"/>
          </w:tcPr>
          <w:p>
            <w:pPr>
              <w:ind w:left="180"/>
              <w:spacing w:after="0"/>
              <w:rPr>
                <w:sz w:val="20"/>
                <w:szCs w:val="20"/>
                <w:color w:val="auto"/>
              </w:rPr>
            </w:pPr>
            <w:r>
              <w:rPr>
                <w:rFonts w:ascii="Arial" w:cs="Arial" w:eastAsia="Arial" w:hAnsi="Arial"/>
                <w:sz w:val="18"/>
                <w:szCs w:val="18"/>
                <w:color w:val="auto"/>
              </w:rPr>
              <w:t>b)</w:t>
            </w:r>
          </w:p>
        </w:tc>
        <w:tc>
          <w:tcPr>
            <w:tcW w:w="5080" w:type="dxa"/>
            <w:vAlign w:val="bottom"/>
          </w:tcPr>
          <w:p>
            <w:pPr>
              <w:jc w:val="right"/>
              <w:spacing w:after="0"/>
              <w:rPr>
                <w:sz w:val="20"/>
                <w:szCs w:val="20"/>
                <w:color w:val="auto"/>
              </w:rPr>
            </w:pPr>
            <w:r>
              <w:rPr>
                <w:rFonts w:ascii="Arial" w:cs="Arial" w:eastAsia="Arial" w:hAnsi="Arial"/>
                <w:sz w:val="18"/>
                <w:szCs w:val="18"/>
                <w:color w:val="auto"/>
              </w:rPr>
              <w:t>proposer au conseil d'administration la décision sera</w:t>
            </w: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submitted to the Ordinary General Meeting for the maximum</w:t>
            </w:r>
          </w:p>
        </w:tc>
        <w:tc>
          <w:tcPr>
            <w:tcW w:w="500" w:type="dxa"/>
            <w:vAlign w:val="bottom"/>
          </w:tcPr>
          <w:p>
            <w:pPr>
              <w:spacing w:after="0"/>
              <w:rPr>
                <w:sz w:val="17"/>
                <w:szCs w:val="17"/>
                <w:color w:val="auto"/>
              </w:rPr>
            </w:pPr>
          </w:p>
        </w:tc>
        <w:tc>
          <w:tcPr>
            <w:tcW w:w="50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soumise  à  l'assemblée  générale  ordinaire  pour  la</w:t>
            </w:r>
          </w:p>
        </w:tc>
      </w:tr>
      <w:tr>
        <w:trPr>
          <w:trHeight w:val="203"/>
        </w:trPr>
        <w:tc>
          <w:tcPr>
            <w:tcW w:w="3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total compensation of the Board of Directors and Executive</w:t>
            </w:r>
          </w:p>
        </w:tc>
        <w:tc>
          <w:tcPr>
            <w:tcW w:w="500" w:type="dxa"/>
            <w:vAlign w:val="bottom"/>
          </w:tcPr>
          <w:p>
            <w:pPr>
              <w:spacing w:after="0"/>
              <w:rPr>
                <w:sz w:val="17"/>
                <w:szCs w:val="17"/>
                <w:color w:val="auto"/>
              </w:rPr>
            </w:pPr>
          </w:p>
        </w:tc>
        <w:tc>
          <w:tcPr>
            <w:tcW w:w="50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rémunération totale maximale du conseil d'administration et</w:t>
            </w:r>
          </w:p>
        </w:tc>
      </w:tr>
      <w:tr>
        <w:trPr>
          <w:trHeight w:val="217"/>
        </w:trPr>
        <w:tc>
          <w:tcPr>
            <w:tcW w:w="36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Committee;</w:t>
            </w:r>
          </w:p>
        </w:tc>
        <w:tc>
          <w:tcPr>
            <w:tcW w:w="500" w:type="dxa"/>
            <w:vAlign w:val="bottom"/>
          </w:tcPr>
          <w:p>
            <w:pPr>
              <w:spacing w:after="0"/>
              <w:rPr>
                <w:sz w:val="18"/>
                <w:szCs w:val="18"/>
                <w:color w:val="auto"/>
              </w:rPr>
            </w:pPr>
          </w:p>
        </w:tc>
        <w:tc>
          <w:tcPr>
            <w:tcW w:w="5080" w:type="dxa"/>
            <w:vAlign w:val="bottom"/>
          </w:tcPr>
          <w:p>
            <w:pPr>
              <w:jc w:val="right"/>
              <w:ind w:right="3351"/>
              <w:spacing w:after="0"/>
              <w:rPr>
                <w:sz w:val="20"/>
                <w:szCs w:val="20"/>
                <w:color w:val="auto"/>
              </w:rPr>
            </w:pPr>
            <w:r>
              <w:rPr>
                <w:rFonts w:ascii="Arial" w:cs="Arial" w:eastAsia="Arial" w:hAnsi="Arial"/>
                <w:sz w:val="18"/>
                <w:szCs w:val="18"/>
                <w:color w:val="auto"/>
              </w:rPr>
              <w:t>du comité exécutif;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-2726690</wp:posOffset>
            </wp:positionV>
            <wp:extent cx="7246620" cy="508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085715"/>
                    </a:xfrm>
                    <a:prstGeom prst="rect">
                      <a:avLst/>
                    </a:prstGeom>
                    <a:noFill/>
                  </pic:spPr>
                </pic:pic>
              </a:graphicData>
            </a:graphic>
          </wp:anchor>
        </w:drawing>
      </w:r>
    </w:p>
    <w:p>
      <w:pPr>
        <w:spacing w:after="0" w:line="164" w:lineRule="exact"/>
        <w:rPr>
          <w:sz w:val="20"/>
          <w:szCs w:val="20"/>
          <w:color w:val="auto"/>
        </w:rPr>
      </w:pPr>
    </w:p>
    <w:p>
      <w:pPr>
        <w:ind w:left="480" w:hanging="386"/>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and within the bounds of the maximum compensation</w:t>
      </w:r>
    </w:p>
    <w:tbl>
      <w:tblPr>
        <w:tblLayout w:type="fixed"/>
        <w:tblInd w:w="10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approved by the Ordinary General Meeting, to request approval</w:t>
            </w:r>
          </w:p>
        </w:tc>
        <w:tc>
          <w:tcPr>
            <w:tcW w:w="500" w:type="dxa"/>
            <w:vAlign w:val="bottom"/>
          </w:tcPr>
          <w:p>
            <w:pPr>
              <w:ind w:left="180"/>
              <w:spacing w:after="0" w:line="202" w:lineRule="exact"/>
              <w:rPr>
                <w:sz w:val="20"/>
                <w:szCs w:val="20"/>
                <w:color w:val="auto"/>
              </w:rPr>
            </w:pPr>
            <w:r>
              <w:rPr>
                <w:rFonts w:ascii="Arial" w:cs="Arial" w:eastAsia="Arial" w:hAnsi="Arial"/>
                <w:sz w:val="18"/>
                <w:szCs w:val="18"/>
                <w:color w:val="auto"/>
              </w:rPr>
              <w:t>c)</w:t>
            </w:r>
          </w:p>
        </w:tc>
        <w:tc>
          <w:tcPr>
            <w:tcW w:w="5000" w:type="dxa"/>
            <w:vAlign w:val="bottom"/>
          </w:tcPr>
          <w:p>
            <w:pPr>
              <w:jc w:val="right"/>
              <w:spacing w:after="0" w:line="202" w:lineRule="exact"/>
              <w:rPr>
                <w:sz w:val="20"/>
                <w:szCs w:val="20"/>
                <w:color w:val="auto"/>
              </w:rPr>
            </w:pPr>
            <w:r>
              <w:rPr>
                <w:rFonts w:ascii="Arial" w:cs="Arial" w:eastAsia="Arial" w:hAnsi="Arial"/>
                <w:sz w:val="18"/>
                <w:szCs w:val="18"/>
                <w:color w:val="auto"/>
              </w:rPr>
              <w:t>sous réserve et dans les limites de la rémunération</w:t>
            </w:r>
          </w:p>
        </w:tc>
      </w:tr>
      <w:tr>
        <w:trPr>
          <w:trHeight w:val="203"/>
        </w:trPr>
        <w:tc>
          <w:tcPr>
            <w:tcW w:w="2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by  the  Board  of  Directors  of  the  individual  remuneration</w:t>
            </w:r>
          </w:p>
        </w:tc>
        <w:tc>
          <w:tcPr>
            <w:tcW w:w="500" w:type="dxa"/>
            <w:vAlign w:val="bottom"/>
          </w:tcPr>
          <w:p>
            <w:pPr>
              <w:spacing w:after="0"/>
              <w:rPr>
                <w:sz w:val="17"/>
                <w:szCs w:val="17"/>
                <w:color w:val="auto"/>
              </w:rPr>
            </w:pPr>
          </w:p>
        </w:tc>
        <w:tc>
          <w:tcPr>
            <w:tcW w:w="5000" w:type="dxa"/>
            <w:vAlign w:val="bottom"/>
          </w:tcPr>
          <w:p>
            <w:pPr>
              <w:ind w:left="140"/>
              <w:spacing w:after="0" w:line="202" w:lineRule="exact"/>
              <w:rPr>
                <w:sz w:val="20"/>
                <w:szCs w:val="20"/>
                <w:color w:val="auto"/>
              </w:rPr>
            </w:pPr>
            <w:r>
              <w:rPr>
                <w:rFonts w:ascii="Arial" w:cs="Arial" w:eastAsia="Arial" w:hAnsi="Arial"/>
                <w:sz w:val="18"/>
                <w:szCs w:val="18"/>
                <w:color w:val="auto"/>
              </w:rPr>
              <w:t>maximale approuvée par l'assemblée générale ordinaire,</w:t>
            </w:r>
          </w:p>
        </w:tc>
      </w:tr>
      <w:tr>
        <w:trPr>
          <w:trHeight w:val="203"/>
        </w:trPr>
        <w:tc>
          <w:tcPr>
            <w:tcW w:w="2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packages to be paid to members of the Board of Directors and</w:t>
            </w:r>
          </w:p>
        </w:tc>
        <w:tc>
          <w:tcPr>
            <w:tcW w:w="500" w:type="dxa"/>
            <w:vAlign w:val="bottom"/>
          </w:tcPr>
          <w:p>
            <w:pPr>
              <w:spacing w:after="0"/>
              <w:rPr>
                <w:sz w:val="17"/>
                <w:szCs w:val="17"/>
                <w:color w:val="auto"/>
              </w:rPr>
            </w:pPr>
          </w:p>
        </w:tc>
        <w:tc>
          <w:tcPr>
            <w:tcW w:w="5000" w:type="dxa"/>
            <w:vAlign w:val="bottom"/>
          </w:tcPr>
          <w:p>
            <w:pPr>
              <w:ind w:left="140"/>
              <w:spacing w:after="0" w:line="202" w:lineRule="exact"/>
              <w:rPr>
                <w:sz w:val="20"/>
                <w:szCs w:val="20"/>
                <w:color w:val="auto"/>
              </w:rPr>
            </w:pPr>
            <w:r>
              <w:rPr>
                <w:rFonts w:ascii="Arial" w:cs="Arial" w:eastAsia="Arial" w:hAnsi="Arial"/>
                <w:sz w:val="18"/>
                <w:szCs w:val="18"/>
                <w:color w:val="auto"/>
              </w:rPr>
              <w:t>demander l'approbation du conseil d'administration quant</w:t>
            </w:r>
          </w:p>
        </w:tc>
      </w:tr>
      <w:tr>
        <w:trPr>
          <w:trHeight w:val="203"/>
        </w:trPr>
        <w:tc>
          <w:tcPr>
            <w:tcW w:w="2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members of the Executive Committee;</w:t>
            </w:r>
          </w:p>
        </w:tc>
        <w:tc>
          <w:tcPr>
            <w:tcW w:w="500" w:type="dxa"/>
            <w:vAlign w:val="bottom"/>
          </w:tcPr>
          <w:p>
            <w:pPr>
              <w:spacing w:after="0"/>
              <w:rPr>
                <w:sz w:val="17"/>
                <w:szCs w:val="17"/>
                <w:color w:val="auto"/>
              </w:rPr>
            </w:pPr>
          </w:p>
        </w:tc>
        <w:tc>
          <w:tcPr>
            <w:tcW w:w="5000" w:type="dxa"/>
            <w:vAlign w:val="bottom"/>
          </w:tcPr>
          <w:p>
            <w:pPr>
              <w:ind w:left="140"/>
              <w:spacing w:after="0" w:line="202" w:lineRule="exact"/>
              <w:rPr>
                <w:sz w:val="20"/>
                <w:szCs w:val="20"/>
                <w:color w:val="auto"/>
              </w:rPr>
            </w:pPr>
            <w:r>
              <w:rPr>
                <w:rFonts w:ascii="Arial" w:cs="Arial" w:eastAsia="Arial" w:hAnsi="Arial"/>
                <w:sz w:val="18"/>
                <w:szCs w:val="18"/>
                <w:color w:val="auto"/>
              </w:rPr>
              <w:t>aux paquets de rémunération individuels devant être versés</w:t>
            </w:r>
          </w:p>
        </w:tc>
      </w:tr>
      <w:tr>
        <w:trPr>
          <w:trHeight w:val="203"/>
        </w:trPr>
        <w:tc>
          <w:tcPr>
            <w:tcW w:w="2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0" w:type="dxa"/>
            <w:vAlign w:val="bottom"/>
          </w:tcPr>
          <w:p>
            <w:pPr>
              <w:ind w:left="140"/>
              <w:spacing w:after="0" w:line="202" w:lineRule="exact"/>
              <w:rPr>
                <w:sz w:val="20"/>
                <w:szCs w:val="20"/>
                <w:color w:val="auto"/>
              </w:rPr>
            </w:pPr>
            <w:r>
              <w:rPr>
                <w:rFonts w:ascii="Arial" w:cs="Arial" w:eastAsia="Arial" w:hAnsi="Arial"/>
                <w:sz w:val="18"/>
                <w:szCs w:val="18"/>
                <w:color w:val="auto"/>
                <w:w w:val="99"/>
              </w:rPr>
              <w:t>aux membres du conseil d'administration et aux membres du</w:t>
            </w: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d)</w:t>
            </w:r>
          </w:p>
        </w:tc>
        <w:tc>
          <w:tcPr>
            <w:tcW w:w="5480" w:type="dxa"/>
            <w:vAlign w:val="bottom"/>
          </w:tcPr>
          <w:p>
            <w:pPr>
              <w:ind w:left="240"/>
              <w:spacing w:after="0" w:line="202" w:lineRule="exact"/>
              <w:rPr>
                <w:sz w:val="20"/>
                <w:szCs w:val="20"/>
                <w:color w:val="auto"/>
              </w:rPr>
            </w:pPr>
            <w:r>
              <w:rPr>
                <w:rFonts w:ascii="Arial" w:cs="Arial" w:eastAsia="Arial" w:hAnsi="Arial"/>
                <w:sz w:val="18"/>
                <w:szCs w:val="18"/>
                <w:color w:val="auto"/>
              </w:rPr>
              <w:t>to request approval by the Board of Directors regarding the</w:t>
            </w:r>
          </w:p>
        </w:tc>
        <w:tc>
          <w:tcPr>
            <w:tcW w:w="500" w:type="dxa"/>
            <w:vAlign w:val="bottom"/>
          </w:tcPr>
          <w:p>
            <w:pPr>
              <w:spacing w:after="0"/>
              <w:rPr>
                <w:sz w:val="17"/>
                <w:szCs w:val="17"/>
                <w:color w:val="auto"/>
              </w:rPr>
            </w:pPr>
          </w:p>
        </w:tc>
        <w:tc>
          <w:tcPr>
            <w:tcW w:w="5000" w:type="dxa"/>
            <w:vAlign w:val="bottom"/>
          </w:tcPr>
          <w:p>
            <w:pPr>
              <w:ind w:left="140"/>
              <w:spacing w:after="0" w:line="202" w:lineRule="exact"/>
              <w:rPr>
                <w:sz w:val="20"/>
                <w:szCs w:val="20"/>
                <w:color w:val="auto"/>
              </w:rPr>
            </w:pPr>
            <w:r>
              <w:rPr>
                <w:rFonts w:ascii="Arial" w:cs="Arial" w:eastAsia="Arial" w:hAnsi="Arial"/>
                <w:sz w:val="18"/>
                <w:szCs w:val="18"/>
                <w:color w:val="auto"/>
              </w:rPr>
              <w:t>comité exécutif;</w:t>
            </w:r>
          </w:p>
        </w:tc>
      </w:tr>
      <w:tr>
        <w:trPr>
          <w:trHeight w:val="203"/>
        </w:trPr>
        <w:tc>
          <w:tcPr>
            <w:tcW w:w="2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determination  of  the  compensation-related  targets  for  the</w:t>
            </w:r>
          </w:p>
        </w:tc>
        <w:tc>
          <w:tcPr>
            <w:tcW w:w="50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Executive Committee;</w:t>
            </w:r>
          </w:p>
        </w:tc>
        <w:tc>
          <w:tcPr>
            <w:tcW w:w="500" w:type="dxa"/>
            <w:vAlign w:val="bottom"/>
          </w:tcPr>
          <w:p>
            <w:pPr>
              <w:ind w:left="180"/>
              <w:spacing w:after="0" w:line="202" w:lineRule="exact"/>
              <w:rPr>
                <w:sz w:val="20"/>
                <w:szCs w:val="20"/>
                <w:color w:val="auto"/>
              </w:rPr>
            </w:pPr>
            <w:r>
              <w:rPr>
                <w:rFonts w:ascii="Arial" w:cs="Arial" w:eastAsia="Arial" w:hAnsi="Arial"/>
                <w:sz w:val="18"/>
                <w:szCs w:val="18"/>
                <w:color w:val="auto"/>
              </w:rPr>
              <w:t>d)</w:t>
            </w:r>
          </w:p>
        </w:tc>
        <w:tc>
          <w:tcPr>
            <w:tcW w:w="5000" w:type="dxa"/>
            <w:vAlign w:val="bottom"/>
          </w:tcPr>
          <w:p>
            <w:pPr>
              <w:jc w:val="right"/>
              <w:spacing w:after="0" w:line="202" w:lineRule="exact"/>
              <w:rPr>
                <w:sz w:val="20"/>
                <w:szCs w:val="20"/>
                <w:color w:val="auto"/>
              </w:rPr>
            </w:pPr>
            <w:r>
              <w:rPr>
                <w:rFonts w:ascii="Arial" w:cs="Arial" w:eastAsia="Arial" w:hAnsi="Arial"/>
                <w:sz w:val="18"/>
                <w:szCs w:val="18"/>
                <w:color w:val="auto"/>
              </w:rPr>
              <w:t>requérir l'approbation du conseil d'administration sur la</w:t>
            </w:r>
          </w:p>
        </w:tc>
      </w:tr>
      <w:tr>
        <w:trPr>
          <w:trHeight w:val="203"/>
        </w:trPr>
        <w:tc>
          <w:tcPr>
            <w:tcW w:w="2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0" w:type="dxa"/>
            <w:vAlign w:val="bottom"/>
          </w:tcPr>
          <w:p>
            <w:pPr>
              <w:ind w:left="140"/>
              <w:spacing w:after="0" w:line="202" w:lineRule="exact"/>
              <w:rPr>
                <w:sz w:val="20"/>
                <w:szCs w:val="20"/>
                <w:color w:val="auto"/>
              </w:rPr>
            </w:pPr>
            <w:r>
              <w:rPr>
                <w:rFonts w:ascii="Arial" w:cs="Arial" w:eastAsia="Arial" w:hAnsi="Arial"/>
                <w:sz w:val="18"/>
                <w:szCs w:val="18"/>
                <w:color w:val="auto"/>
              </w:rPr>
              <w:t>fixation d'objectifs liés à la rémunération pour le comité</w:t>
            </w:r>
          </w:p>
        </w:tc>
      </w:tr>
      <w:tr>
        <w:trPr>
          <w:trHeight w:val="203"/>
        </w:trPr>
        <w:tc>
          <w:tcPr>
            <w:tcW w:w="260" w:type="dxa"/>
            <w:vAlign w:val="bottom"/>
          </w:tcPr>
          <w:p>
            <w:pPr>
              <w:spacing w:after="0" w:line="202" w:lineRule="exact"/>
              <w:rPr>
                <w:sz w:val="20"/>
                <w:szCs w:val="20"/>
                <w:color w:val="auto"/>
              </w:rPr>
            </w:pPr>
            <w:r>
              <w:rPr>
                <w:rFonts w:ascii="Arial" w:cs="Arial" w:eastAsia="Arial" w:hAnsi="Arial"/>
                <w:sz w:val="18"/>
                <w:szCs w:val="18"/>
                <w:color w:val="auto"/>
              </w:rPr>
              <w:t>e)</w:t>
            </w:r>
          </w:p>
        </w:tc>
        <w:tc>
          <w:tcPr>
            <w:tcW w:w="5480" w:type="dxa"/>
            <w:vAlign w:val="bottom"/>
          </w:tcPr>
          <w:p>
            <w:pPr>
              <w:ind w:left="240"/>
              <w:spacing w:after="0" w:line="202" w:lineRule="exact"/>
              <w:rPr>
                <w:sz w:val="20"/>
                <w:szCs w:val="20"/>
                <w:color w:val="auto"/>
              </w:rPr>
            </w:pPr>
            <w:r>
              <w:rPr>
                <w:rFonts w:ascii="Arial" w:cs="Arial" w:eastAsia="Arial" w:hAnsi="Arial"/>
                <w:sz w:val="18"/>
                <w:szCs w:val="18"/>
                <w:color w:val="auto"/>
              </w:rPr>
              <w:t>to request approval by the Board of Directors regarding the</w:t>
            </w:r>
          </w:p>
        </w:tc>
        <w:tc>
          <w:tcPr>
            <w:tcW w:w="500" w:type="dxa"/>
            <w:vAlign w:val="bottom"/>
          </w:tcPr>
          <w:p>
            <w:pPr>
              <w:spacing w:after="0"/>
              <w:rPr>
                <w:sz w:val="17"/>
                <w:szCs w:val="17"/>
                <w:color w:val="auto"/>
              </w:rPr>
            </w:pPr>
          </w:p>
        </w:tc>
        <w:tc>
          <w:tcPr>
            <w:tcW w:w="5000" w:type="dxa"/>
            <w:vAlign w:val="bottom"/>
          </w:tcPr>
          <w:p>
            <w:pPr>
              <w:ind w:left="140"/>
              <w:spacing w:after="0" w:line="202" w:lineRule="exact"/>
              <w:rPr>
                <w:sz w:val="20"/>
                <w:szCs w:val="20"/>
                <w:color w:val="auto"/>
              </w:rPr>
            </w:pPr>
            <w:r>
              <w:rPr>
                <w:rFonts w:ascii="Arial" w:cs="Arial" w:eastAsia="Arial" w:hAnsi="Arial"/>
                <w:sz w:val="18"/>
                <w:szCs w:val="18"/>
                <w:color w:val="auto"/>
              </w:rPr>
              <w:t>exécutif;</w:t>
            </w:r>
          </w:p>
        </w:tc>
      </w:tr>
      <w:tr>
        <w:trPr>
          <w:trHeight w:val="203"/>
        </w:trPr>
        <w:tc>
          <w:tcPr>
            <w:tcW w:w="2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adjustments  to  the  Articles  of  Association  relating  to</w:t>
            </w:r>
          </w:p>
        </w:tc>
        <w:tc>
          <w:tcPr>
            <w:tcW w:w="50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203"/>
        </w:trPr>
        <w:tc>
          <w:tcPr>
            <w:tcW w:w="260" w:type="dxa"/>
            <w:vAlign w:val="bottom"/>
          </w:tcPr>
          <w:p>
            <w:pPr>
              <w:spacing w:after="0"/>
              <w:rPr>
                <w:sz w:val="17"/>
                <w:szCs w:val="17"/>
                <w:color w:val="auto"/>
              </w:rPr>
            </w:pPr>
          </w:p>
        </w:tc>
        <w:tc>
          <w:tcPr>
            <w:tcW w:w="5480" w:type="dxa"/>
            <w:vAlign w:val="bottom"/>
          </w:tcPr>
          <w:p>
            <w:pPr>
              <w:ind w:left="120"/>
              <w:spacing w:after="0" w:line="202" w:lineRule="exact"/>
              <w:rPr>
                <w:sz w:val="20"/>
                <w:szCs w:val="20"/>
                <w:color w:val="auto"/>
              </w:rPr>
            </w:pPr>
            <w:r>
              <w:rPr>
                <w:rFonts w:ascii="Arial" w:cs="Arial" w:eastAsia="Arial" w:hAnsi="Arial"/>
                <w:sz w:val="18"/>
                <w:szCs w:val="18"/>
                <w:color w:val="auto"/>
              </w:rPr>
              <w:t>remuneration; and</w:t>
            </w:r>
          </w:p>
        </w:tc>
        <w:tc>
          <w:tcPr>
            <w:tcW w:w="500" w:type="dxa"/>
            <w:vAlign w:val="bottom"/>
          </w:tcPr>
          <w:p>
            <w:pPr>
              <w:ind w:left="180"/>
              <w:spacing w:after="0" w:line="202" w:lineRule="exact"/>
              <w:rPr>
                <w:sz w:val="20"/>
                <w:szCs w:val="20"/>
                <w:color w:val="auto"/>
              </w:rPr>
            </w:pPr>
            <w:r>
              <w:rPr>
                <w:rFonts w:ascii="Arial" w:cs="Arial" w:eastAsia="Arial" w:hAnsi="Arial"/>
                <w:sz w:val="18"/>
                <w:szCs w:val="18"/>
                <w:color w:val="auto"/>
              </w:rPr>
              <w:t>e)</w:t>
            </w:r>
          </w:p>
        </w:tc>
        <w:tc>
          <w:tcPr>
            <w:tcW w:w="5000" w:type="dxa"/>
            <w:vAlign w:val="bottom"/>
          </w:tcPr>
          <w:p>
            <w:pPr>
              <w:jc w:val="right"/>
              <w:spacing w:after="0" w:line="202" w:lineRule="exact"/>
              <w:rPr>
                <w:sz w:val="20"/>
                <w:szCs w:val="20"/>
                <w:color w:val="auto"/>
              </w:rPr>
            </w:pPr>
            <w:r>
              <w:rPr>
                <w:rFonts w:ascii="Arial" w:cs="Arial" w:eastAsia="Arial" w:hAnsi="Arial"/>
                <w:sz w:val="18"/>
                <w:szCs w:val="18"/>
                <w:color w:val="auto"/>
              </w:rPr>
              <w:t>requérir l'approbation du conseil d'administration sur les</w:t>
            </w:r>
          </w:p>
        </w:tc>
      </w:tr>
      <w:tr>
        <w:trPr>
          <w:trHeight w:val="203"/>
        </w:trPr>
        <w:tc>
          <w:tcPr>
            <w:tcW w:w="2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0" w:type="dxa"/>
            <w:vAlign w:val="bottom"/>
          </w:tcPr>
          <w:p>
            <w:pPr>
              <w:ind w:left="140"/>
              <w:spacing w:after="0" w:line="202" w:lineRule="exact"/>
              <w:rPr>
                <w:sz w:val="20"/>
                <w:szCs w:val="20"/>
                <w:color w:val="auto"/>
              </w:rPr>
            </w:pPr>
            <w:r>
              <w:rPr>
                <w:rFonts w:ascii="Arial" w:cs="Arial" w:eastAsia="Arial" w:hAnsi="Arial"/>
                <w:sz w:val="18"/>
                <w:szCs w:val="18"/>
                <w:color w:val="auto"/>
              </w:rPr>
              <w:t>adaptations des statuts relatives à la rémunération; et</w:t>
            </w:r>
          </w:p>
        </w:tc>
      </w:tr>
    </w:tbl>
    <w:p>
      <w:pPr>
        <w:ind w:left="500" w:hanging="406"/>
        <w:spacing w:after="0" w:line="23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prepare the Compensation Report and submit it to the Board</w:t>
      </w:r>
    </w:p>
    <w:tbl>
      <w:tblPr>
        <w:tblLayout w:type="fixed"/>
        <w:tblInd w:w="0" w:type="dxa"/>
        <w:tblCellMar>
          <w:top w:w="0" w:type="dxa"/>
          <w:left w:w="0" w:type="dxa"/>
          <w:bottom w:w="0" w:type="dxa"/>
          <w:right w:w="0" w:type="dxa"/>
        </w:tblCellMar>
      </w:tblPr>
      <w:tr>
        <w:trPr>
          <w:trHeight w:val="203"/>
        </w:trPr>
        <w:tc>
          <w:tcPr>
            <w:tcW w:w="3740" w:type="dxa"/>
            <w:vAlign w:val="bottom"/>
          </w:tcPr>
          <w:p>
            <w:pPr>
              <w:ind w:left="480"/>
              <w:spacing w:after="0" w:line="203" w:lineRule="exact"/>
              <w:rPr>
                <w:sz w:val="20"/>
                <w:szCs w:val="20"/>
                <w:color w:val="auto"/>
              </w:rPr>
            </w:pPr>
            <w:r>
              <w:rPr>
                <w:rFonts w:ascii="Arial" w:cs="Arial" w:eastAsia="Arial" w:hAnsi="Arial"/>
                <w:sz w:val="18"/>
                <w:szCs w:val="18"/>
                <w:color w:val="auto"/>
              </w:rPr>
              <w:t>of Directors.</w:t>
            </w:r>
          </w:p>
        </w:tc>
        <w:tc>
          <w:tcPr>
            <w:tcW w:w="2560" w:type="dxa"/>
            <w:vAlign w:val="bottom"/>
          </w:tcPr>
          <w:p>
            <w:pPr>
              <w:ind w:left="2280"/>
              <w:spacing w:after="0" w:line="203" w:lineRule="exact"/>
              <w:rPr>
                <w:sz w:val="20"/>
                <w:szCs w:val="20"/>
                <w:color w:val="auto"/>
              </w:rPr>
            </w:pPr>
            <w:r>
              <w:rPr>
                <w:rFonts w:ascii="Arial" w:cs="Arial" w:eastAsia="Arial" w:hAnsi="Arial"/>
                <w:sz w:val="18"/>
                <w:szCs w:val="18"/>
                <w:color w:val="auto"/>
              </w:rPr>
              <w:t>f)</w:t>
            </w:r>
          </w:p>
        </w:tc>
        <w:tc>
          <w:tcPr>
            <w:tcW w:w="5120" w:type="dxa"/>
            <w:vAlign w:val="bottom"/>
          </w:tcPr>
          <w:p>
            <w:pPr>
              <w:ind w:left="280"/>
              <w:spacing w:after="0" w:line="203" w:lineRule="exact"/>
              <w:rPr>
                <w:sz w:val="20"/>
                <w:szCs w:val="20"/>
                <w:color w:val="auto"/>
              </w:rPr>
            </w:pPr>
            <w:r>
              <w:rPr>
                <w:rFonts w:ascii="Arial" w:cs="Arial" w:eastAsia="Arial" w:hAnsi="Arial"/>
                <w:sz w:val="18"/>
                <w:szCs w:val="18"/>
                <w:color w:val="auto"/>
              </w:rPr>
              <w:t>préparer le rapport de rémunération et de le soumettre au</w:t>
            </w:r>
          </w:p>
        </w:tc>
      </w:tr>
      <w:tr>
        <w:trPr>
          <w:trHeight w:val="217"/>
        </w:trPr>
        <w:tc>
          <w:tcPr>
            <w:tcW w:w="37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20" w:type="dxa"/>
            <w:vAlign w:val="bottom"/>
          </w:tcPr>
          <w:p>
            <w:pPr>
              <w:ind w:left="180"/>
              <w:spacing w:after="0"/>
              <w:rPr>
                <w:sz w:val="20"/>
                <w:szCs w:val="20"/>
                <w:color w:val="auto"/>
              </w:rPr>
            </w:pPr>
            <w:r>
              <w:rPr>
                <w:rFonts w:ascii="Arial" w:cs="Arial" w:eastAsia="Arial" w:hAnsi="Arial"/>
                <w:sz w:val="18"/>
                <w:szCs w:val="18"/>
                <w:color w:val="auto"/>
              </w:rPr>
              <w:t>conseil</w:t>
            </w:r>
          </w:p>
        </w:tc>
      </w:tr>
      <w:tr>
        <w:trPr>
          <w:trHeight w:val="176"/>
        </w:trPr>
        <w:tc>
          <w:tcPr>
            <w:tcW w:w="37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249" w:right="239" w:bottom="1440"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24</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set  out  any  further  duties  and</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d'administration.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responsibilities  vested  on  the  Compensation  Committee  in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spacing w:after="0"/>
              <w:rPr>
                <w:sz w:val="17"/>
                <w:szCs w:val="17"/>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Company's Organizational Rules.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 conseil d'administration fixe toutes les autres fonctions et</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responsabilités dévolues au comité de rémunération  dans  le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règlement d'organisation de la société.</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29 Indemnification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29 Indemnisation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 far as is permissible under applicable law, the Company shall</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la  mesure  permise  par  la  loi  applicable,  la  société</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indemnify any current or former member of the Board of Directors,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indemnisera  tout  membre  actuel  ou  ancien  du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former members of the Executive Committee, or any person who is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les anciens membres du comité exécutif, ou toute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serving or has served at the request of the Company as a member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qui sert ou a servi à la demande de la société en tant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Board of Directors or member of the Executive Committee (each</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que membre du conseil d'administration ou membre du comité</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individually, a "Covered Person"), against any expenses, including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exécutif (chacun individuellement, une "Personne Couverte"), pour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attorneys' fees, judgments, fines, and amounts paid in settlement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toutes  les  dépenses,  y  compris  les  honoraires  d'avocat,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actually and reasonably incurred by him or her in connection with any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jugements,  amendes,  et  montants  versés  effectivement  et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threatened, pending, or completed action, suit or proceeding, whether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raisonnablement à titre de règlement dans le cadre de toute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civil, criminal or administrative, to which he or she was, is, or is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 poursuite ou procédure imminente, pendante ou terminée,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threatened  to  be  made  a  party,  or  is  otherwise  involved  (a</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qu'elle soit civile, pénale ou administrative, à laquelle il ou elle 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"Proceeding"). This provision shall not indemnify any Covered Person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été, est, ou est menacé d'être partie, ou est impliqué de toute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against any liability arising out of (a) any fraud or dishonesty in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autre manière (une "Procédure"). Cette disposition ne doit pas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performance of such Covered Person's duty to the Company, or (b)</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indemniser une Personne Couverte contre une responsabilité</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such Covered Party's conscious, intentional or willful or grossly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découlant de (a) une fraude ou une malhonnêteté de cette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negligent breach of the obligation to act honestly and in good faith</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Couverte dans l'exercice de ses fonctions vis-à-vis de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with a view to the best interests of the Company. Notwithstanding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société,  ou  (b)  une  violation  consciente,  intentionnelle  ou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preceding sentence, this section shall not extend to any person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volontaire  ou  gravement  négligente  de  l'obligation  de  cette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holding the office of auditor or special auditor of the Company.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Couverte d'agir avec honnêteté en tenant compte du</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meilleur intérêt de la société. Nonobstant ce qui précède, cette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disposition ne s'étend pas aux personnes qui occupent le poste de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réviseur ou de réviseur spécial de la société.</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 the case of any Proceeding by or in the name of the Company,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le cas de toute Procédure intentée par ou au nom de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shall indemnify each Covered Person against expenses,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société, la société doit indemniser chaque Personne Couverte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including  attorneys'  fees,  actually  and  reasonably  incurred  in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pour  les  dépenses,  y  compris  les  honoraires  d'avocat,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connection  with  the  defense  or  settlement  thereof,  except  no</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effectivement et raisonnablement encourus dans le cadre de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indemnification shall be made in respect of any claim, issue or matter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défense ou du règlement dans le cadre de la Procédure. Aucune</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 to which a</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indemnisation ne sera octroyée pour</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25</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Covered Person shall have been adjudged to be liable for fraud or</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une réclamation, problème ou affaire pour laquelle une Personne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dishonesty in the performance of his or her duty to the Company, 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Couverte est tenue responsable à la suite de fraude ou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for conscious, intentional or willful or grossly negligent breach of his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malhonnêteté dans l'exercice de ses fonctions vis-à-vis de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her obligation to act honestly and in good faith with a view to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société, ou à cause d'une violation consciente, intentionnelle ou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best interests of the Company, unless and only to the extent that a</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volontaire ou gravement négligente de l'obligation de la Personne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court in which such action or suit was brought shall determine upon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Couverte d'agir avec honnêteté en tenant compte du meilleur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application that despite the adjudication of liability, but in view of all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intérêt de la société, sauf et uniquement si un tribunal auquel une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circumstances of the case, such Covered Person is fairly and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telle action ou poursuite a été porté détermine que, malgré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reasonably entitled to indemnity for such expenses as the court shall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reconnaissance de la responsabilité, mais compte tenu de toutes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deem proper. Notwithstanding the preceding sentence, this section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les circonstances du cas d'espèce, cette Personne Couverte 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shall not extend to any person holding the office of auditor or special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équitablement et raisonnablement droit à une indemnisation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auditor of the Company.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ces dépenses, mais uniquement à hauteur du montant que le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tribunal jugera convenable. Nonobstant la phrase précédente,</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cette disposition ne s'étend pas aux personnes qui occupent le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poste de réviseur ou de réviseur spécial de la société.</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Any indemnification under this Article 29 (unless ordered by a court)</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Toute indemnisation  en  vertu  du  présent  article  29  (sauf  si</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shall be made by the Company only as authorized in the specific</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ordonnée par un tribunal) doit être octroyée par la société dans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case  upon  a  determination  that  indemnification  of  the  Covered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chaque cas dans les limites de l'autorisation sur la base d'une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 is proper in the circumstances because such person has met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détermination que l'indemnisation de la Personne Couverte est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applicable Standard of conduct set forth in this Article 29. Such</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appropriée dans les circonstances parce que cette personne 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determination shall be made, with respect to a Covered Person (a) by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satisfait au standard de conduite applicable énoncé dans 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 majority vote of the members of the Board of Directors who are not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présent article 29. Une telle décision concernant une Personne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parties to such proceeding, even though less than a quorum; (b) by a</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Couverte doit être prise (a) par la majorité des votes des membres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committee of such members of the Board of Directors designated by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conseil  d'administration  qui  ne  sont  pas  parties  à  cette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 majority vote of such the Board of Directors, even though less than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procédure, même si le quorum requis n'est pas réuni; (b) par un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 quorum; (c) if there are no such member of the Board of Directors,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comité de membres du conseil d'administration désignés par une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if such member of the Board of Directors so direct, by independent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majorité des votes du conseil d'administration, même si le quorum</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legal counsel in a written opinion; or (d) by the General Meeting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requis n'est pas réuni; (c) s'il n'y a pas de tel membre du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Shareholders. Such determination shall be made, with respect to any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ou si ce membre du conseil d'administration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other Covered Person, by any person or persons having the authority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l'ordonne, par un conseiller juridique indépendant dans un avis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act on the matter on behalf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écrit; ou (d) par l'assemblée générale des actionnaires. Une telle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décision concernant une Personne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26</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Company. To the extent, however, that any Covered Person has</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Couverte doit être prise par une personne ou des personnes ayant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been successful on the merits or otherwise in defense of any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 pouvoir d'agir dans cet affaire au nom de la société. Dans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proceeding, or in defense of any claim, issue or matter therein, such</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mesure, cependant, où une Personne Couverte a gagné sur 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Covered Person shall be indemnified against expenses (including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fond ou autrement dans la défense d'une procédure, ou dans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attorneys' fees) actually and reasonably incurred by such person in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défense de toute réclamation, problème ou affaire dans cette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connection therewith, without the necessity of authorization in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procédure, cette Personne Couverte doit être indemnisée pour les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specific case.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dépenses (y compris les honoraires d'avocat) effectivement et</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raisonnablement encourus dans le cadre de l'affaire en question</w:t>
            </w: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sans qu'il soit nécessaire d'avoir une autorisation dans le cas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spécifique.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 far as is permissible under applicable law, expenses, including</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la mesure permise par la loi applicable, les dépenses, y</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attorneys' fees, incurred in defending any proceeding for which</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compris les honoraires d'avocats, encourus dans la défense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indemnification is permitted pursuant to this Article 29 shall be paid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toute procédure pour laquelle l'indemnisation est permise en vertu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by  the  Company  in  advance  of  the  final  disposition  of  such</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présent article 29, doivent être payées par la société avant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proceeding upon receipt by the Board of Directors of an undertaking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décision finale dans cette procédure à réception par le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by or on behalf of the Covered Person to repay such amount if it shall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d'une  promesse  faite  par  ou  au  nom  de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ultimately  be  determined  that  he  or  she  is  not  entitled  to  be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Couverte  de  rembourser  ce  montant  s'il  s'avère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indemnified by the Company under these Articles of Association.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finalement  que  cette  Personne  Couverte  n'a  pas  droit  à</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l'indemnisation par la société en vertu de ces statuts.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 being the policy of the Company that indemnification of the persons</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politique  de  la  société  prévoit  que  l'indemnisation  des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specified in this Article 29 shall be made to the fullest extent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personnes visées au présent article 29 doit être payée dans toute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permitted by law and the indemnification provided by this Article 29</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 mesure autorisée par la loi et l'indemnisation prévue par cet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shall not be deemed exclusive (a) of any other rights to which those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article 29 ne sera pas considérée comme exclusive (a) d'autres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seeking indemnification or advancement of expenses may be entitled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droits auxquels les personnes demandant une indemnisation ou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under these Articles of Association, any agreement, any insurance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une avance des dépenses ont droit en vertu de ces statuts, d'un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purchased by the Company, vote of shareholders or disinterested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accord,  d'une  assurance  souscrite  par  la  société,  d'un  vote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members of the Board of Directors, or pursuant to the decision of any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d'actionnaires ou de membres du conseil d'administration n'ayant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court of competent jurisdiction, or otherwise, both as to action in his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pas d'intérêt direct, ou en vertu d'une décision d'un tribunal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or her official capacity and as to action in another capacity while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compétent, ou autrement, soit à l'égard d'actions faites en sa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holding such office, or (b) of the power of the Company to indemnify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capacité officielle, soit à l'égard d'actions faites à un autre titre tout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any person who is or was an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 ayant une telle fonction, ou (b) du pouvoir de la société</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d'indemniser toute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34" w:name="page35"/>
    <w:bookmarkEnd w:id="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27</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employee or agent of the Company or of another corporation, joint</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personne qui est ou était un employé ou un mandataire de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venture, trust or other enterprise which he or she is serving or has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société ou d'une autre société, d'une joint venture, d'une fiducie ou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served at the request of the Company, to the same extent and in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d'une autre entreprise pour laquelle il ou elle travaille ou a travaillé</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same situations and subject to the same determinations as are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à la demande de la société, dans la même mesure et dans les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hereinabove set forth with respect to a Covered Person.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mêmes  situations  et  sous  réserve  des  mêmes  principes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concernant une Personne Couverte évoquées ci-dessus.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 used in this Article 29, references to the "Company" include all</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Tel qu'utilisé dans le présent article 29, les références à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constituent corporations in a consolidation or merger in which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"société" comprennent toutes les sociétés ayant fait l'objet d'un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Company or a predecessor to the Company by consolidation 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regroupement ou d'une fusion dans laquelle la société ou un</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merger was involved.</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prédécesseur à la société a été impliqué.</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indemnification provided by this Article 29 shall continue as to a</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L'indemnisation prévue par cet article 29 est maintenue à l'égard</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 who has ceased to be a member of the Board of Directors 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d'une  personne  qui  a  cessé  d'être  un  membre  du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Executive Committee and shall inure to the benefit of their heirs,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ou le comité exécutif et sera en vigueur au</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executors, and administrators.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bénéfice de ses héritiers, exécuteurs et administrateurs.</w:t>
            </w:r>
          </w:p>
        </w:tc>
      </w:tr>
      <w:tr>
        <w:trPr>
          <w:trHeight w:val="257"/>
        </w:trPr>
        <w:tc>
          <w:tcPr>
            <w:tcW w:w="5740" w:type="dxa"/>
            <w:vAlign w:val="bottom"/>
            <w:tcBorders>
              <w:left w:val="single" w:sz="8" w:color="auto"/>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60" w:type="dxa"/>
            <w:vAlign w:val="bottom"/>
            <w:tcBorders>
              <w:bottom w:val="single" w:sz="8" w:color="auto"/>
              <w:right w:val="single" w:sz="8" w:color="auto"/>
            </w:tcBorders>
          </w:tcPr>
          <w:p>
            <w:pPr>
              <w:spacing w:after="0"/>
              <w:rPr>
                <w:sz w:val="22"/>
                <w:szCs w:val="22"/>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VI. AUDITORS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VI. ORGANE DE RÉVISION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30 Election, Term</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30 Élection, durée</w:t>
            </w:r>
          </w:p>
        </w:tc>
      </w:tr>
      <w:tr>
        <w:trPr>
          <w:trHeight w:val="37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General Meeting shall elect one or more accountants as its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 nomme chaque année un ou plusieurs</w:t>
            </w:r>
          </w:p>
        </w:tc>
      </w:tr>
      <w:tr>
        <w:trPr>
          <w:trHeight w:val="22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Auditors in terms of Articles 727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every year with the rights</w:t>
            </w:r>
          </w:p>
        </w:tc>
        <w:tc>
          <w:tcPr>
            <w:tcW w:w="22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réviseurs comme organe de révision selon les articles 727 ss. CO</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 duties determined by law.</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avec les droits et les devoirs déterminés par la loi.</w:t>
            </w:r>
          </w:p>
        </w:tc>
      </w:tr>
      <w:tr>
        <w:trPr>
          <w:trHeight w:val="257"/>
        </w:trPr>
        <w:tc>
          <w:tcPr>
            <w:tcW w:w="5740" w:type="dxa"/>
            <w:vAlign w:val="bottom"/>
            <w:tcBorders>
              <w:left w:val="single" w:sz="8" w:color="auto"/>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60" w:type="dxa"/>
            <w:vAlign w:val="bottom"/>
            <w:tcBorders>
              <w:bottom w:val="single" w:sz="8" w:color="auto"/>
              <w:right w:val="single" w:sz="8" w:color="auto"/>
            </w:tcBorders>
          </w:tcPr>
          <w:p>
            <w:pPr>
              <w:spacing w:after="0"/>
              <w:rPr>
                <w:sz w:val="22"/>
                <w:szCs w:val="22"/>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General Meeting may appoint Special Auditors for a term of up to</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 peut nommer des réviseurs spéciaux pour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three  years  who  provide  the  attestations  required  for  capital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une  durée  de  trois  ans  au  maximum  qui  fournissent  les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increases.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attestations requises pour les augmentations de capital.</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31 Duties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31 Fonctions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Auditors shall perform their duties to audit and report whether the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L'organe de révision vérifie et rapporte si la comptabilité, les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accounting,  the  annual  accounts  and  the  proposal  regarding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comptes annuels et la proposition relative à la répartition des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allocation of profits are in accordance with law and the Articles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bénéfices sont en conformité avec la loi et les statuts.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spacing w:after="0"/>
              <w:rPr>
                <w:sz w:val="18"/>
                <w:szCs w:val="18"/>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VII. COMPENSATION AND RELATED PROVISIONS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VII. RÉMUNÉRATION ET DISPOSITIONS ANALOGUES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4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32 Principles of the Compensationof</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32 Principes de rémunération du</w:t>
            </w:r>
          </w:p>
        </w:tc>
      </w:tr>
      <w:tr>
        <w:trPr>
          <w:trHeight w:val="239"/>
        </w:trPr>
        <w:tc>
          <w:tcPr>
            <w:tcW w:w="574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the Board of Directors</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conseil d'administration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28</w:t>
            </w:r>
          </w:p>
        </w:tc>
        <w:tc>
          <w:tcPr>
            <w:tcW w:w="0" w:type="dxa"/>
            <w:vAlign w:val="bottom"/>
          </w:tcPr>
          <w:p>
            <w:pPr>
              <w:spacing w:after="0"/>
              <w:rPr>
                <w:sz w:val="1"/>
                <w:szCs w:val="1"/>
                <w:color w:val="auto"/>
              </w:rPr>
            </w:pP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compensation payable to the members of the Board of Directors</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rémunération  des  membres  du  conseil  d'administration</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comprises, subject to and within the bounds of the approval by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comprend, sous réserve et dans les limites de l'approbation de la</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of the total compensation, the following elements: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  totale  par  l'assemblée  générale,  les  éléments</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  a fixed basic remuneration;</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suivants: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a)   une rémunération fixe de base;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b)  a fixed committee fee for work in a committee of the Board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740" w:type="dxa"/>
            <w:vAlign w:val="bottom"/>
            <w:tcBorders>
              <w:left w:val="single" w:sz="8" w:color="auto"/>
              <w:right w:val="single" w:sz="8" w:color="auto"/>
            </w:tcBorders>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Directors;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   des frais de commission fixes pour le travail dans un comité</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c)  a lump sum compensation for expenses;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du conseil d'administration;</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   une compensation forfaitaire pour les dépenses;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d)  a number of options or shares in the Company, as further outlined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740" w:type="dxa"/>
            <w:vAlign w:val="bottom"/>
            <w:tcBorders>
              <w:left w:val="single" w:sz="8" w:color="auto"/>
              <w:right w:val="single" w:sz="8" w:color="auto"/>
            </w:tcBorders>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in Art. 41.</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   un nombre d'actions ou d'options dans la société, comme</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520"/>
              <w:spacing w:after="0"/>
              <w:rPr>
                <w:sz w:val="20"/>
                <w:szCs w:val="20"/>
                <w:color w:val="auto"/>
              </w:rPr>
            </w:pPr>
            <w:r>
              <w:rPr>
                <w:rFonts w:ascii="Arial" w:cs="Arial" w:eastAsia="Arial" w:hAnsi="Arial"/>
                <w:sz w:val="18"/>
                <w:szCs w:val="18"/>
                <w:color w:val="auto"/>
              </w:rPr>
              <w:t>détaillée à l'art. 41.</w:t>
            </w:r>
          </w:p>
        </w:tc>
        <w:tc>
          <w:tcPr>
            <w:tcW w:w="0" w:type="dxa"/>
            <w:vAlign w:val="bottom"/>
          </w:tcPr>
          <w:p>
            <w:pPr>
              <w:spacing w:after="0"/>
              <w:rPr>
                <w:sz w:val="1"/>
                <w:szCs w:val="1"/>
                <w:color w:val="auto"/>
              </w:rPr>
            </w:pPr>
          </w:p>
        </w:tc>
      </w:tr>
      <w:tr>
        <w:trPr>
          <w:trHeight w:val="257"/>
        </w:trPr>
        <w:tc>
          <w:tcPr>
            <w:tcW w:w="5740" w:type="dxa"/>
            <w:vAlign w:val="bottom"/>
            <w:tcBorders>
              <w:left w:val="single" w:sz="8" w:color="auto"/>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compensation is paid in cash and in form of options or shares in</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rémunération est versée en espèces et sous forme d'options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Company. The board of directors or, to the extent delegated to it,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ou d'actions de la société. Le conseil d'administration ou, en cas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compensation committee shall determine grant, exercise and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délégation des fonctions, le comité de rémunération doit fixer</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forfeiture conditions. In particular, they may provide for continuation,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les conditions de l'octroi, de l'exercice et de la péremption. En</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acceleration or removal of vesting, exercise and forfeiture conditions,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particulier,  il  peut  prévoir  la  poursuite,  l'accélération  ou  la</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for payment or grant of compensation based upon assumed target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suppression  des  conditions  d'acquisition,  d'exercice  et  de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achievement, or for forfeiture, in each case in the event of pre-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péremption, pour le paiement ou l'octroi d'une rémunération basée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determined events such as a change-of-control or termination of an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sur la réalisation des objectifs supposés, ou pour la péremption,</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employment or mandate agreement. The Company may procure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dans chaque cas, dans le cas d'événements prédéterminés tels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required shares through purchases in the market, from treasury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qu'un changement de contrôle ou la résiliation d'un contrat de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shares or by using contingent or authorized share capital.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travail  ou  d'un  mandat.  La  société  peut  fournir  les  actions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nécessaires par des achats sur le marché, par ses actions propres</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ou en utilisant du capital conditionnel ou autorisé.</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Subject to the approval by the General Meeting, the members of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Sous réserve  de  l'approbation  par  l'assemblée  générale,  les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Board of Directors may receive remuneration in cash at customary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membres  du  conseil  d'administration  peuvent  recevoir  une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conditions for advisory services rendered outside their capacity as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 en espèces dans les conditions habituelles pour des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Board member for the benefit of the Company or companies under its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services consultatifs rendus en-dehors de leur qualité de membre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control. The General Meeting may approve an additional bonus for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conseil pour le bénéfice de la société ou des sociétés sous son</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members of the Board of Directors in exceptional cases.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contrôle.  L'assemblée  générale  peut  approuver  un  bonus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supplémentaire pour les membres du conseil d'administration</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des cas exceptionnels.</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9" w:right="239" w:bottom="1440" w:gutter="0" w:footer="0" w:header="0"/>
        </w:sectPr>
      </w:pPr>
    </w:p>
    <w:bookmarkStart w:id="36" w:name="page37"/>
    <w:bookmarkEnd w:id="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3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01"/>
        </w:trPr>
        <w:tc>
          <w:tcPr>
            <w:tcW w:w="57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compensation may also be paid for activities in companies that</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rémunération peut également être accordée pour des activités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are directly or indirectly controlled by the Company and may be paid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dans  des  entreprises  qui  sont  contrôlées  directement  ou</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by the Company or by a company controlled by it.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indirectement par la société et peuvent être versées par la société</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3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ou par une société contrôlée par elle.</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33 Principles of the Compensation of the Executive</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33 Principe de rémunération du comité exécutif</w:t>
            </w:r>
          </w:p>
        </w:tc>
        <w:tc>
          <w:tcPr>
            <w:tcW w:w="0" w:type="dxa"/>
            <w:vAlign w:val="bottom"/>
          </w:tcPr>
          <w:p>
            <w:pPr>
              <w:spacing w:after="0"/>
              <w:rPr>
                <w:sz w:val="1"/>
                <w:szCs w:val="1"/>
                <w:color w:val="auto"/>
              </w:rPr>
            </w:pPr>
          </w:p>
        </w:tc>
      </w:tr>
      <w:tr>
        <w:trPr>
          <w:trHeight w:val="239"/>
        </w:trPr>
        <w:tc>
          <w:tcPr>
            <w:tcW w:w="360" w:type="dxa"/>
            <w:vAlign w:val="bottom"/>
            <w:tcBorders>
              <w:left w:val="single" w:sz="8" w:color="auto"/>
            </w:tcBorders>
          </w:tcPr>
          <w:p>
            <w:pPr>
              <w:spacing w:after="0"/>
              <w:rPr>
                <w:sz w:val="20"/>
                <w:szCs w:val="20"/>
                <w:color w:val="auto"/>
              </w:rPr>
            </w:pPr>
          </w:p>
        </w:tc>
        <w:tc>
          <w:tcPr>
            <w:tcW w:w="538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Committee</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La rémunération des membres du comité exécutif est soumis à</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compensation  payable  to  the  members  of  the  Executive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l'approbation l'assemblée générale et comprend les éléments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Committee is subject to the approval by the General Meeting and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suivants</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comprises the following elements: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a)   une rémunération fixe payable en espèces;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a)   a fixed remuneration payable in cash;</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80" w:type="dxa"/>
            <w:vAlign w:val="bottom"/>
            <w:vMerge w:val="restart"/>
          </w:tcPr>
          <w:p>
            <w:pPr>
              <w:ind w:left="60"/>
              <w:spacing w:after="0"/>
              <w:rPr>
                <w:sz w:val="20"/>
                <w:szCs w:val="20"/>
                <w:color w:val="auto"/>
              </w:rPr>
            </w:pPr>
            <w:r>
              <w:rPr>
                <w:rFonts w:ascii="Arial" w:cs="Arial" w:eastAsia="Arial" w:hAnsi="Arial"/>
                <w:sz w:val="18"/>
                <w:szCs w:val="18"/>
                <w:color w:val="auto"/>
              </w:rPr>
              <w:t>b)</w:t>
            </w:r>
          </w:p>
        </w:tc>
        <w:tc>
          <w:tcPr>
            <w:tcW w:w="5080" w:type="dxa"/>
            <w:vAlign w:val="bottom"/>
            <w:tcBorders>
              <w:right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une rémunération liée à la performance payable en espèces</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80" w:type="dxa"/>
            <w:vAlign w:val="bottom"/>
            <w:vMerge w:val="continue"/>
          </w:tcPr>
          <w:p>
            <w:pPr>
              <w:spacing w:after="0"/>
              <w:rPr>
                <w:sz w:val="16"/>
                <w:szCs w:val="16"/>
                <w:color w:val="auto"/>
              </w:rPr>
            </w:pPr>
          </w:p>
        </w:tc>
        <w:tc>
          <w:tcPr>
            <w:tcW w:w="50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b)   a performance-related remuneration payable in cash (variable);</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(variable);</w:t>
            </w:r>
          </w:p>
        </w:tc>
        <w:tc>
          <w:tcPr>
            <w:tcW w:w="0" w:type="dxa"/>
            <w:vAlign w:val="bottom"/>
          </w:tcPr>
          <w:p>
            <w:pPr>
              <w:spacing w:after="0"/>
              <w:rPr>
                <w:sz w:val="1"/>
                <w:szCs w:val="1"/>
                <w:color w:val="auto"/>
              </w:rPr>
            </w:pPr>
          </w:p>
        </w:tc>
      </w:tr>
      <w:tr>
        <w:trPr>
          <w:trHeight w:val="391"/>
        </w:trPr>
        <w:tc>
          <w:tcPr>
            <w:tcW w:w="36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c)</w:t>
            </w:r>
          </w:p>
        </w:tc>
        <w:tc>
          <w:tcPr>
            <w:tcW w:w="538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 number of options or shares in the Company, as further</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c)</w:t>
            </w:r>
          </w:p>
        </w:tc>
        <w:tc>
          <w:tcPr>
            <w:tcW w:w="508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un nombre d'actions ou d'options dans la société, comme</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3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outlined in Art. 41.</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détaillée à l'art. 41.</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performance-related remuneration depends on the Company's</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rémunération liée à la performance dépend de la réussite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business success and the individual performance of the member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économique de la société et de la performance individuelle du</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Executive  Committee  based  on  the  achievement  of  pre-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membre du comité exécutif sur la base de la réalisation des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determined targets during a business year. The Board of Directors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objectifs prédéterminés au cours d'une année d'activité. Le conseil</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determines annually at the beginning of each relevant business year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détermine  au  début  de  chaque  exercice  les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decisive  targets  and  their  weighting  upon  proposal  by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objectifs décisifs et leur pondération sur proposition du comité de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Compensation Committee. The amount of the performance-related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rémunération.  Le  montant  de  la  rémunération  liée  à  la</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remuneration  for  each  member  of  the  Executive  Committee  is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performance  pour  chaque  membre  du  comité  exécutif  est</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determined by the Board of Directors and may not exceed 100</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déterminé par le conseil d'administration et ne peut dépasser 100</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percent of the respective individual fixed remuneration for the same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pour cent de la rémunération fixe individuelle respective pour la</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year.</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même année.</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The compensation may also be paid for activities in companies that</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rémunération peut également être versée pour activités dans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are directly or indirectly controlled by the Company and may be paid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 entreprises qui sont contrôlées directement ou indirectement</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by the Company or by a company controlled by it.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par la société et peut être versée par la société ou par une société</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3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contrôlée par elle.</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Art. 34 Compensation for new Members of the Executive</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34 Rémunération pour les nouveaux membres du comité</w:t>
            </w:r>
          </w:p>
        </w:tc>
        <w:tc>
          <w:tcPr>
            <w:tcW w:w="0" w:type="dxa"/>
            <w:vAlign w:val="bottom"/>
          </w:tcPr>
          <w:p>
            <w:pPr>
              <w:spacing w:after="0"/>
              <w:rPr>
                <w:sz w:val="1"/>
                <w:szCs w:val="1"/>
                <w:color w:val="auto"/>
              </w:rPr>
            </w:pPr>
          </w:p>
        </w:tc>
      </w:tr>
      <w:tr>
        <w:trPr>
          <w:trHeight w:val="239"/>
        </w:trPr>
        <w:tc>
          <w:tcPr>
            <w:tcW w:w="360" w:type="dxa"/>
            <w:vAlign w:val="bottom"/>
            <w:tcBorders>
              <w:left w:val="single" w:sz="8" w:color="auto"/>
            </w:tcBorders>
          </w:tcPr>
          <w:p>
            <w:pPr>
              <w:spacing w:after="0"/>
              <w:rPr>
                <w:sz w:val="20"/>
                <w:szCs w:val="20"/>
                <w:color w:val="auto"/>
              </w:rPr>
            </w:pPr>
          </w:p>
        </w:tc>
        <w:tc>
          <w:tcPr>
            <w:tcW w:w="538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Committee</w:t>
            </w: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080" w:type="dxa"/>
            <w:vAlign w:val="bottom"/>
            <w:tcBorders>
              <w:right w:val="single" w:sz="8" w:color="auto"/>
            </w:tcBorders>
          </w:tcPr>
          <w:p>
            <w:pPr>
              <w:jc w:val="right"/>
              <w:ind w:right="3791"/>
              <w:spacing w:after="0"/>
              <w:rPr>
                <w:sz w:val="20"/>
                <w:szCs w:val="20"/>
                <w:color w:val="auto"/>
              </w:rPr>
            </w:pPr>
            <w:r>
              <w:rPr>
                <w:rFonts w:ascii="Arial" w:cs="Arial" w:eastAsia="Arial" w:hAnsi="Arial"/>
                <w:sz w:val="18"/>
                <w:szCs w:val="18"/>
                <w:b w:val="1"/>
                <w:bCs w:val="1"/>
                <w:color w:val="auto"/>
              </w:rPr>
              <w:t>exécutif</w:t>
            </w:r>
          </w:p>
        </w:tc>
        <w:tc>
          <w:tcPr>
            <w:tcW w:w="0" w:type="dxa"/>
            <w:vAlign w:val="bottom"/>
          </w:tcPr>
          <w:p>
            <w:pPr>
              <w:spacing w:after="0"/>
              <w:rPr>
                <w:sz w:val="1"/>
                <w:szCs w:val="1"/>
                <w:color w:val="auto"/>
              </w:rPr>
            </w:pPr>
          </w:p>
        </w:tc>
      </w:tr>
      <w:tr>
        <w:trPr>
          <w:trHeight w:val="405"/>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If new members of the Executive Committee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Si de nouveaux membres du comité exécutif</w:t>
            </w:r>
          </w:p>
        </w:tc>
        <w:tc>
          <w:tcPr>
            <w:tcW w:w="0" w:type="dxa"/>
            <w:vAlign w:val="bottom"/>
          </w:tcPr>
          <w:p>
            <w:pPr>
              <w:spacing w:after="0"/>
              <w:rPr>
                <w:sz w:val="1"/>
                <w:szCs w:val="1"/>
                <w:color w:val="auto"/>
              </w:rPr>
            </w:pPr>
          </w:p>
        </w:tc>
      </w:tr>
      <w:tr>
        <w:trPr>
          <w:trHeight w:val="257"/>
        </w:trPr>
        <w:tc>
          <w:tcPr>
            <w:tcW w:w="360" w:type="dxa"/>
            <w:vAlign w:val="bottom"/>
            <w:tcBorders>
              <w:left w:val="single" w:sz="8" w:color="auto"/>
              <w:bottom w:val="single" w:sz="8" w:color="auto"/>
            </w:tcBorders>
          </w:tcPr>
          <w:p>
            <w:pPr>
              <w:spacing w:after="0"/>
              <w:rPr>
                <w:sz w:val="22"/>
                <w:szCs w:val="22"/>
                <w:color w:val="auto"/>
              </w:rPr>
            </w:pPr>
          </w:p>
        </w:tc>
        <w:tc>
          <w:tcPr>
            <w:tcW w:w="538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0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360" w:type="dxa"/>
            <w:vAlign w:val="bottom"/>
            <w:tcBorders>
              <w:bottom w:val="single" w:sz="8" w:color="auto"/>
            </w:tcBorders>
          </w:tcPr>
          <w:p>
            <w:pPr>
              <w:spacing w:after="0"/>
              <w:rPr>
                <w:sz w:val="8"/>
                <w:szCs w:val="8"/>
                <w:color w:val="auto"/>
              </w:rPr>
            </w:pPr>
          </w:p>
        </w:tc>
        <w:tc>
          <w:tcPr>
            <w:tcW w:w="5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9" w:right="239" w:bottom="1440" w:gutter="0" w:footer="0" w:header="0"/>
        </w:sectPr>
      </w:pPr>
    </w:p>
    <w:bookmarkStart w:id="37" w:name="page38"/>
    <w:bookmarkEnd w:id="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30</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are appointed and take up their position in the Company after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sont nommés et prennent leur position dans la société après que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has approved the maximum total compensation for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l'assemblée générale a approuvé la rémunération totale maximale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members of the Executive Committee for the year in question,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pour les membres du comité exécutif pour l'année en question, les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new members may be paid an additional amount for the period until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nouveaux membres peuvent être payés au moyen d'un montant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next Ordinary Meeting of Shareholder. The additional amount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additionnel pour la période allant jusqu'à la prochaine assemblée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payable to all new members of the Executive Committee may not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ordinaire des actionnaires. Le montant additionnel payable à tous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exceed 50 percent of the respective total compensation already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les nouveaux membres du comité exécutif ne peut pas dépasser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approved by the General Meeting. The additional compensation may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50 pour cent de la rémunération totale respective déjà approuvé</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only be paid if the total compensation amount that has been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par l'assemblée générale. La rémunération additionnelle ne peut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approved by the General Meeting for the compensation of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être versée que si le montant total de la rémunération qui a été</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members of the Executive Committee is insufficient to compensate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approuvé par l'assemblée générale pour la rémunération des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newly appointed members. The General Meeting is not required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membres du comité exécutif est insuffisant pour rémunérer les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vote on this additional amount.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membres nouvellement nommés. L'assemblée générale n'a pas à</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se prononcer sur ce montant supplémentaire.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This additional overall compensation is understood to include any</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Cette rémunération additionnelle globale est sensée comprendre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settlements for any disadvantage suffered as a result of the change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toutes les règlements pour tout inconvénient subi à la suite du</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of job.</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changement de travail.</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35 Expenses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35 Dépenses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Expenses which are not covered by the lump sum compensation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dépenses qui ne sont pas couvertes par l'indemnité forfaitaire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pursuant to the Company's expense regulations shall be reimbursed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conformément  aux  règlements  de  frais  de  la  société  sont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following presentation of the supporting receipts. This additional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remboursées  à  la  suite  de  la  présentation  des  reçus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remuneration is not subject to a separate vote by the General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correspondants.  Cette  rémunération  additionnelle  n'est  pas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Meeting.</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soumise à un vote séparé par l'assemblée générale.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36 Compensation Agreements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36 Accords sur la rémunération</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Agreements on compensation with members of the Board of</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accords  sur  la  rémunération  des  membres  du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may not exceed the term of maximal one year.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ne peuvent pas excéder la durée maximale d'une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année.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Employment agreements of the members of the Executive Committee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contrats de travail des membres du comité exécutif sont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are principally concluded for an indefinite period of time whereas a</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principalement conclus pour une durée indéterminée. Un délai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notice  period  may  not  exceed  12  months.  If  an  employment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préavis ne peut pas excéder 12 mois. Si un accord de travail est</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agreement is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conclu pour une durée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color w:val="auto"/>
        </w:rPr>
        <w:t>31</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57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concluded for a fixed term such term may not exceed one year.</w:t>
            </w:r>
          </w:p>
        </w:tc>
        <w:tc>
          <w:tcPr>
            <w:tcW w:w="220" w:type="dxa"/>
            <w:vAlign w:val="bottom"/>
            <w:tcBorders>
              <w:top w:val="single" w:sz="8" w:color="auto"/>
              <w:right w:val="single" w:sz="8" w:color="auto"/>
            </w:tcBorders>
          </w:tcPr>
          <w:p>
            <w:pPr>
              <w:spacing w:after="0"/>
              <w:rPr>
                <w:sz w:val="24"/>
                <w:szCs w:val="24"/>
                <w:color w:val="auto"/>
              </w:rPr>
            </w:pPr>
          </w:p>
        </w:tc>
        <w:tc>
          <w:tcPr>
            <w:tcW w:w="54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déterminée, telle durée ne peut pas excéder un an.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39" w:name="page40"/>
    <w:bookmarkEnd w:id="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8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8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01"/>
        </w:trPr>
        <w:tc>
          <w:tcPr>
            <w:tcW w:w="820" w:type="dxa"/>
            <w:vAlign w:val="bottom"/>
            <w:tcBorders>
              <w:bottom w:val="single" w:sz="8" w:color="auto"/>
            </w:tcBorders>
          </w:tcPr>
          <w:p>
            <w:pPr>
              <w:spacing w:after="0"/>
              <w:rPr>
                <w:sz w:val="8"/>
                <w:szCs w:val="8"/>
                <w:color w:val="auto"/>
              </w:rPr>
            </w:pPr>
          </w:p>
        </w:tc>
        <w:tc>
          <w:tcPr>
            <w:tcW w:w="4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8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37</w:t>
            </w:r>
          </w:p>
        </w:tc>
        <w:tc>
          <w:tcPr>
            <w:tcW w:w="49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Mandates of a Member of the Board of Directors</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37   Mandats d'un membre du</w:t>
            </w:r>
          </w:p>
        </w:tc>
        <w:tc>
          <w:tcPr>
            <w:tcW w:w="0" w:type="dxa"/>
            <w:vAlign w:val="bottom"/>
          </w:tcPr>
          <w:p>
            <w:pPr>
              <w:spacing w:after="0"/>
              <w:rPr>
                <w:sz w:val="1"/>
                <w:szCs w:val="1"/>
                <w:color w:val="auto"/>
              </w:rPr>
            </w:pPr>
          </w:p>
        </w:tc>
      </w:tr>
      <w:tr>
        <w:trPr>
          <w:trHeight w:val="239"/>
        </w:trPr>
        <w:tc>
          <w:tcPr>
            <w:tcW w:w="820" w:type="dxa"/>
            <w:vAlign w:val="bottom"/>
            <w:tcBorders>
              <w:left w:val="single" w:sz="8" w:color="auto"/>
            </w:tcBorders>
          </w:tcPr>
          <w:p>
            <w:pPr>
              <w:spacing w:after="0"/>
              <w:rPr>
                <w:sz w:val="20"/>
                <w:szCs w:val="20"/>
                <w:color w:val="auto"/>
              </w:rPr>
            </w:pPr>
          </w:p>
        </w:tc>
        <w:tc>
          <w:tcPr>
            <w:tcW w:w="49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outside the Company</w:t>
            </w: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0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conseil d'administration de la société</w:t>
            </w:r>
          </w:p>
        </w:tc>
        <w:tc>
          <w:tcPr>
            <w:tcW w:w="0" w:type="dxa"/>
            <w:vAlign w:val="bottom"/>
          </w:tcPr>
          <w:p>
            <w:pPr>
              <w:spacing w:after="0"/>
              <w:rPr>
                <w:sz w:val="1"/>
                <w:szCs w:val="1"/>
                <w:color w:val="auto"/>
              </w:rPr>
            </w:pPr>
          </w:p>
        </w:tc>
      </w:tr>
      <w:tr>
        <w:trPr>
          <w:trHeight w:val="391"/>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 member of the Board of Directors may cumulatively assume not</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Un membre du conseil d'administration ne peut pas cumuler plus</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more than the following number of mandates in the board of directors,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que  le  nombre  suivant  de  mandats  dans  un  conseil</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the superior management or an administrative body of a legal entity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une  direction  supérieure  ou  un  organisme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which is obliged to be registered in the Swiss commercial register 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administratif d'une personne morale qui est obligée d'être inscrite</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an equivalent foreign register: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au  registre  du  commerce  suisse  ou  un  registre  étranger</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a)   7 mandates for publicly traded companies pursuant to art. 727</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équivalent:</w:t>
            </w:r>
          </w:p>
        </w:tc>
        <w:tc>
          <w:tcPr>
            <w:tcW w:w="0" w:type="dxa"/>
            <w:vAlign w:val="bottom"/>
          </w:tcPr>
          <w:p>
            <w:pPr>
              <w:spacing w:after="0"/>
              <w:rPr>
                <w:sz w:val="1"/>
                <w:szCs w:val="1"/>
                <w:color w:val="auto"/>
              </w:rPr>
            </w:pPr>
          </w:p>
        </w:tc>
      </w:tr>
      <w:tr>
        <w:trPr>
          <w:trHeight w:val="188"/>
        </w:trPr>
        <w:tc>
          <w:tcPr>
            <w:tcW w:w="574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480"/>
              <w:spacing w:after="0" w:line="202" w:lineRule="exact"/>
              <w:rPr>
                <w:sz w:val="20"/>
                <w:szCs w:val="20"/>
                <w:color w:val="auto"/>
              </w:rPr>
            </w:pPr>
            <w:r>
              <w:rPr>
                <w:rFonts w:ascii="Arial" w:cs="Arial" w:eastAsia="Arial" w:hAnsi="Arial"/>
                <w:sz w:val="18"/>
                <w:szCs w:val="18"/>
                <w:color w:val="auto"/>
              </w:rPr>
              <w:t>para. 1 number 1 CO; and</w:t>
            </w:r>
          </w:p>
        </w:tc>
        <w:tc>
          <w:tcPr>
            <w:tcW w:w="220" w:type="dxa"/>
            <w:vAlign w:val="bottom"/>
            <w:tcBorders>
              <w:right w:val="single" w:sz="8" w:color="auto"/>
            </w:tcBorders>
          </w:tcPr>
          <w:p>
            <w:pPr>
              <w:spacing w:after="0"/>
              <w:rPr>
                <w:sz w:val="17"/>
                <w:szCs w:val="17"/>
                <w:color w:val="auto"/>
              </w:rPr>
            </w:pPr>
          </w:p>
        </w:tc>
        <w:tc>
          <w:tcPr>
            <w:tcW w:w="380" w:type="dxa"/>
            <w:vAlign w:val="bottom"/>
          </w:tcPr>
          <w:p>
            <w:pPr>
              <w:ind w:left="60"/>
              <w:spacing w:after="0" w:line="202" w:lineRule="exact"/>
              <w:rPr>
                <w:sz w:val="20"/>
                <w:szCs w:val="20"/>
                <w:color w:val="auto"/>
              </w:rPr>
            </w:pPr>
            <w:r>
              <w:rPr>
                <w:rFonts w:ascii="Arial" w:cs="Arial" w:eastAsia="Arial" w:hAnsi="Arial"/>
                <w:sz w:val="18"/>
                <w:szCs w:val="18"/>
                <w:color w:val="auto"/>
              </w:rPr>
              <w:t>a)</w:t>
            </w:r>
          </w:p>
        </w:tc>
        <w:tc>
          <w:tcPr>
            <w:tcW w:w="50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7 mandats pour les entreprises cotées en bourse selon l'art.</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b)  8 mandates for companies pursuant to art. 727 para. 1 number 2</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727 al. 1 chiffre 1 CO; et</w:t>
            </w:r>
          </w:p>
        </w:tc>
        <w:tc>
          <w:tcPr>
            <w:tcW w:w="0" w:type="dxa"/>
            <w:vAlign w:val="bottom"/>
          </w:tcPr>
          <w:p>
            <w:pPr>
              <w:spacing w:after="0"/>
              <w:rPr>
                <w:sz w:val="1"/>
                <w:szCs w:val="1"/>
                <w:color w:val="auto"/>
              </w:rPr>
            </w:pPr>
          </w:p>
        </w:tc>
      </w:tr>
      <w:tr>
        <w:trPr>
          <w:trHeight w:val="188"/>
        </w:trPr>
        <w:tc>
          <w:tcPr>
            <w:tcW w:w="574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480"/>
              <w:spacing w:after="0" w:line="202" w:lineRule="exact"/>
              <w:rPr>
                <w:sz w:val="20"/>
                <w:szCs w:val="20"/>
                <w:color w:val="auto"/>
              </w:rPr>
            </w:pPr>
            <w:r>
              <w:rPr>
                <w:rFonts w:ascii="Arial" w:cs="Arial" w:eastAsia="Arial" w:hAnsi="Arial"/>
                <w:sz w:val="18"/>
                <w:szCs w:val="18"/>
                <w:color w:val="auto"/>
              </w:rPr>
              <w:t>CO; and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b)   8 mandats pour des entreprises selon l'art. 727 al. 1 chiffre 2</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c)  5 mandates for companies which do not fulfil the criteria under a)</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 et</w:t>
            </w:r>
          </w:p>
        </w:tc>
        <w:tc>
          <w:tcPr>
            <w:tcW w:w="0" w:type="dxa"/>
            <w:vAlign w:val="bottom"/>
          </w:tcPr>
          <w:p>
            <w:pPr>
              <w:spacing w:after="0"/>
              <w:rPr>
                <w:sz w:val="1"/>
                <w:szCs w:val="1"/>
                <w:color w:val="auto"/>
              </w:rPr>
            </w:pPr>
          </w:p>
        </w:tc>
      </w:tr>
      <w:tr>
        <w:trPr>
          <w:trHeight w:val="188"/>
        </w:trPr>
        <w:tc>
          <w:tcPr>
            <w:tcW w:w="574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480"/>
              <w:spacing w:after="0" w:line="202" w:lineRule="exact"/>
              <w:rPr>
                <w:sz w:val="20"/>
                <w:szCs w:val="20"/>
                <w:color w:val="auto"/>
              </w:rPr>
            </w:pPr>
            <w:r>
              <w:rPr>
                <w:rFonts w:ascii="Arial" w:cs="Arial" w:eastAsia="Arial" w:hAnsi="Arial"/>
                <w:sz w:val="18"/>
                <w:szCs w:val="18"/>
                <w:color w:val="auto"/>
              </w:rPr>
              <w:t>and b) above.</w:t>
            </w:r>
          </w:p>
        </w:tc>
        <w:tc>
          <w:tcPr>
            <w:tcW w:w="220" w:type="dxa"/>
            <w:vAlign w:val="bottom"/>
            <w:tcBorders>
              <w:right w:val="single" w:sz="8" w:color="auto"/>
            </w:tcBorders>
          </w:tcPr>
          <w:p>
            <w:pPr>
              <w:spacing w:after="0"/>
              <w:rPr>
                <w:sz w:val="17"/>
                <w:szCs w:val="17"/>
                <w:color w:val="auto"/>
              </w:rPr>
            </w:pPr>
          </w:p>
        </w:tc>
        <w:tc>
          <w:tcPr>
            <w:tcW w:w="380" w:type="dxa"/>
            <w:vAlign w:val="bottom"/>
          </w:tcPr>
          <w:p>
            <w:pPr>
              <w:ind w:left="60"/>
              <w:spacing w:after="0" w:line="202" w:lineRule="exact"/>
              <w:rPr>
                <w:sz w:val="20"/>
                <w:szCs w:val="20"/>
                <w:color w:val="auto"/>
              </w:rPr>
            </w:pPr>
            <w:r>
              <w:rPr>
                <w:rFonts w:ascii="Arial" w:cs="Arial" w:eastAsia="Arial" w:hAnsi="Arial"/>
                <w:sz w:val="18"/>
                <w:szCs w:val="18"/>
                <w:color w:val="auto"/>
              </w:rPr>
              <w:t>c)</w:t>
            </w:r>
          </w:p>
        </w:tc>
        <w:tc>
          <w:tcPr>
            <w:tcW w:w="50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5 mandats pour les entreprises qui ne remplissent pas les</w:t>
            </w:r>
          </w:p>
        </w:tc>
        <w:tc>
          <w:tcPr>
            <w:tcW w:w="0" w:type="dxa"/>
            <w:vAlign w:val="bottom"/>
          </w:tcPr>
          <w:p>
            <w:pPr>
              <w:spacing w:after="0"/>
              <w:rPr>
                <w:sz w:val="1"/>
                <w:szCs w:val="1"/>
                <w:color w:val="auto"/>
              </w:rPr>
            </w:pPr>
          </w:p>
        </w:tc>
      </w:tr>
      <w:tr>
        <w:trPr>
          <w:trHeight w:val="217"/>
        </w:trPr>
        <w:tc>
          <w:tcPr>
            <w:tcW w:w="82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critères sous a) et b) ci-dessus.</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Mandates held in several legal entities each operating under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mandats exercés dans plusieurs entités juridiques opérant</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same management or same beneficial owner (group) are deemed to</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chacune sous la même direction ou le même bénéficiaire effectif</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be a single mandate.</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(groupe) sont réputés être un seul mandat.</w:t>
            </w:r>
          </w:p>
        </w:tc>
        <w:tc>
          <w:tcPr>
            <w:tcW w:w="0" w:type="dxa"/>
            <w:vAlign w:val="bottom"/>
          </w:tcPr>
          <w:p>
            <w:pPr>
              <w:spacing w:after="0"/>
              <w:rPr>
                <w:sz w:val="1"/>
                <w:szCs w:val="1"/>
                <w:color w:val="auto"/>
              </w:rPr>
            </w:pPr>
          </w:p>
        </w:tc>
      </w:tr>
      <w:tr>
        <w:trPr>
          <w:trHeight w:val="54"/>
        </w:trPr>
        <w:tc>
          <w:tcPr>
            <w:tcW w:w="57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If a legal entity fulfills several of the above mentioned criteria, it can</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Si une entité juridique remplit plusieurs des critères mentionnés ci-</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be freely counted towards any category. The following mandates are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dessus, elle peut être librement placée dans une catégorie. Les</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excepted from these restrictions: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mandats suivants sont exceptés de ces restrictions:</w:t>
            </w:r>
          </w:p>
        </w:tc>
        <w:tc>
          <w:tcPr>
            <w:tcW w:w="0" w:type="dxa"/>
            <w:vAlign w:val="bottom"/>
          </w:tcPr>
          <w:p>
            <w:pPr>
              <w:spacing w:after="0"/>
              <w:rPr>
                <w:sz w:val="1"/>
                <w:szCs w:val="1"/>
                <w:color w:val="auto"/>
              </w:rPr>
            </w:pPr>
          </w:p>
        </w:tc>
      </w:tr>
      <w:tr>
        <w:trPr>
          <w:trHeight w:val="391"/>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a)   mandates in legal entities which are controlled by the Company</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a)</w:t>
            </w:r>
          </w:p>
        </w:tc>
        <w:tc>
          <w:tcPr>
            <w:tcW w:w="5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les mandats dans des entités juridiques qui sont contrôlées</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gridSpan w:val="2"/>
          </w:tcPr>
          <w:p>
            <w:pPr>
              <w:ind w:left="480"/>
              <w:spacing w:after="0"/>
              <w:rPr>
                <w:sz w:val="20"/>
                <w:szCs w:val="20"/>
                <w:color w:val="auto"/>
              </w:rPr>
            </w:pPr>
            <w:r>
              <w:rPr>
                <w:rFonts w:ascii="Arial" w:cs="Arial" w:eastAsia="Arial" w:hAnsi="Arial"/>
                <w:sz w:val="18"/>
                <w:szCs w:val="18"/>
                <w:color w:val="auto"/>
              </w:rPr>
              <w:t>or which control the Company;</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par la société ou qui contrôlent la société;</w:t>
            </w:r>
          </w:p>
        </w:tc>
        <w:tc>
          <w:tcPr>
            <w:tcW w:w="0" w:type="dxa"/>
            <w:vAlign w:val="bottom"/>
          </w:tcPr>
          <w:p>
            <w:pPr>
              <w:spacing w:after="0"/>
              <w:rPr>
                <w:sz w:val="1"/>
                <w:szCs w:val="1"/>
                <w:color w:val="auto"/>
              </w:rPr>
            </w:pPr>
          </w:p>
        </w:tc>
      </w:tr>
      <w:tr>
        <w:trPr>
          <w:trHeight w:val="391"/>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b)  honorary mandates in charitable legal entities.</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508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des mandats d'honneur à des personnes morales de</w:t>
            </w:r>
          </w:p>
        </w:tc>
        <w:tc>
          <w:tcPr>
            <w:tcW w:w="0" w:type="dxa"/>
            <w:vAlign w:val="bottom"/>
          </w:tcPr>
          <w:p>
            <w:pPr>
              <w:spacing w:after="0"/>
              <w:rPr>
                <w:sz w:val="1"/>
                <w:szCs w:val="1"/>
                <w:color w:val="auto"/>
              </w:rPr>
            </w:pPr>
          </w:p>
        </w:tc>
      </w:tr>
      <w:tr>
        <w:trPr>
          <w:trHeight w:val="217"/>
        </w:trPr>
        <w:tc>
          <w:tcPr>
            <w:tcW w:w="82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bienfaisance.</w:t>
            </w:r>
          </w:p>
        </w:tc>
        <w:tc>
          <w:tcPr>
            <w:tcW w:w="0" w:type="dxa"/>
            <w:vAlign w:val="bottom"/>
          </w:tcPr>
          <w:p>
            <w:pPr>
              <w:spacing w:after="0"/>
              <w:rPr>
                <w:sz w:val="1"/>
                <w:szCs w:val="1"/>
                <w:color w:val="auto"/>
              </w:rPr>
            </w:pPr>
          </w:p>
        </w:tc>
      </w:tr>
      <w:tr>
        <w:trPr>
          <w:trHeight w:val="54"/>
        </w:trPr>
        <w:tc>
          <w:tcPr>
            <w:tcW w:w="820" w:type="dxa"/>
            <w:vAlign w:val="bottom"/>
            <w:tcBorders>
              <w:left w:val="single" w:sz="8" w:color="auto"/>
              <w:bottom w:val="single" w:sz="8" w:color="auto"/>
            </w:tcBorders>
          </w:tcPr>
          <w:p>
            <w:pPr>
              <w:spacing w:after="0"/>
              <w:rPr>
                <w:sz w:val="4"/>
                <w:szCs w:val="4"/>
                <w:color w:val="auto"/>
              </w:rPr>
            </w:pPr>
          </w:p>
        </w:tc>
        <w:tc>
          <w:tcPr>
            <w:tcW w:w="49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82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Art. 38</w:t>
            </w:r>
          </w:p>
        </w:tc>
        <w:tc>
          <w:tcPr>
            <w:tcW w:w="492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Mandates of a Member of the Executive Committee</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38   Mandats d'un membre du comité exécutif en-dehors</w:t>
            </w:r>
          </w:p>
        </w:tc>
        <w:tc>
          <w:tcPr>
            <w:tcW w:w="0" w:type="dxa"/>
            <w:vAlign w:val="bottom"/>
          </w:tcPr>
          <w:p>
            <w:pPr>
              <w:spacing w:after="0"/>
              <w:rPr>
                <w:sz w:val="1"/>
                <w:szCs w:val="1"/>
                <w:color w:val="auto"/>
              </w:rPr>
            </w:pPr>
          </w:p>
        </w:tc>
      </w:tr>
      <w:tr>
        <w:trPr>
          <w:trHeight w:val="239"/>
        </w:trPr>
        <w:tc>
          <w:tcPr>
            <w:tcW w:w="820" w:type="dxa"/>
            <w:vAlign w:val="bottom"/>
            <w:tcBorders>
              <w:left w:val="single" w:sz="8" w:color="auto"/>
            </w:tcBorders>
          </w:tcPr>
          <w:p>
            <w:pPr>
              <w:spacing w:after="0"/>
              <w:rPr>
                <w:sz w:val="20"/>
                <w:szCs w:val="20"/>
                <w:color w:val="auto"/>
              </w:rPr>
            </w:pPr>
          </w:p>
        </w:tc>
        <w:tc>
          <w:tcPr>
            <w:tcW w:w="49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outside the Company</w:t>
            </w:r>
          </w:p>
        </w:tc>
        <w:tc>
          <w:tcPr>
            <w:tcW w:w="2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50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de la société</w:t>
            </w:r>
          </w:p>
        </w:tc>
        <w:tc>
          <w:tcPr>
            <w:tcW w:w="0" w:type="dxa"/>
            <w:vAlign w:val="bottom"/>
          </w:tcPr>
          <w:p>
            <w:pPr>
              <w:spacing w:after="0"/>
              <w:rPr>
                <w:sz w:val="1"/>
                <w:szCs w:val="1"/>
                <w:color w:val="auto"/>
              </w:rPr>
            </w:pPr>
          </w:p>
        </w:tc>
      </w:tr>
      <w:tr>
        <w:trPr>
          <w:trHeight w:val="391"/>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Each member of the Executive Committee may, with approval of the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Chaque membre du comité exécutif peut, avec l'approbation du</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Board of Directors, cumulatively assume not more than the following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conseil d'administration, cumuler pas plus que le nombre suivant</w:t>
            </w:r>
          </w:p>
        </w:tc>
        <w:tc>
          <w:tcPr>
            <w:tcW w:w="0" w:type="dxa"/>
            <w:vAlign w:val="bottom"/>
          </w:tcPr>
          <w:p>
            <w:pPr>
              <w:spacing w:after="0"/>
              <w:rPr>
                <w:sz w:val="1"/>
                <w:szCs w:val="1"/>
                <w:color w:val="auto"/>
              </w:rPr>
            </w:pPr>
          </w:p>
        </w:tc>
      </w:tr>
      <w:tr>
        <w:trPr>
          <w:trHeight w:val="203"/>
        </w:trPr>
        <w:tc>
          <w:tcPr>
            <w:tcW w:w="5740" w:type="dxa"/>
            <w:vAlign w:val="bottom"/>
            <w:tcBorders>
              <w:left w:val="single" w:sz="8" w:color="auto"/>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number  of  mandates  in  the  board  of  directors,  the  superior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  mandats  dans  un  conseil  d'administration,  une  direction</w:t>
            </w:r>
          </w:p>
        </w:tc>
        <w:tc>
          <w:tcPr>
            <w:tcW w:w="0" w:type="dxa"/>
            <w:vAlign w:val="bottom"/>
          </w:tcPr>
          <w:p>
            <w:pPr>
              <w:spacing w:after="0"/>
              <w:rPr>
                <w:sz w:val="1"/>
                <w:szCs w:val="1"/>
                <w:color w:val="auto"/>
              </w:rPr>
            </w:pPr>
          </w:p>
        </w:tc>
      </w:tr>
      <w:tr>
        <w:trPr>
          <w:trHeight w:val="217"/>
        </w:trPr>
        <w:tc>
          <w:tcPr>
            <w:tcW w:w="574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management or an administrative body of a legal entity which is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supérieure ou un organisme administratif d'une personne</w:t>
            </w:r>
          </w:p>
        </w:tc>
        <w:tc>
          <w:tcPr>
            <w:tcW w:w="0" w:type="dxa"/>
            <w:vAlign w:val="bottom"/>
          </w:tcPr>
          <w:p>
            <w:pPr>
              <w:spacing w:after="0"/>
              <w:rPr>
                <w:sz w:val="1"/>
                <w:szCs w:val="1"/>
                <w:color w:val="auto"/>
              </w:rPr>
            </w:pPr>
          </w:p>
        </w:tc>
      </w:tr>
      <w:tr>
        <w:trPr>
          <w:trHeight w:val="257"/>
        </w:trPr>
        <w:tc>
          <w:tcPr>
            <w:tcW w:w="820" w:type="dxa"/>
            <w:vAlign w:val="bottom"/>
            <w:tcBorders>
              <w:left w:val="single" w:sz="8" w:color="auto"/>
              <w:bottom w:val="single" w:sz="8" w:color="auto"/>
            </w:tcBorders>
          </w:tcPr>
          <w:p>
            <w:pPr>
              <w:spacing w:after="0"/>
              <w:rPr>
                <w:sz w:val="22"/>
                <w:szCs w:val="22"/>
                <w:color w:val="auto"/>
              </w:rPr>
            </w:pPr>
          </w:p>
        </w:tc>
        <w:tc>
          <w:tcPr>
            <w:tcW w:w="492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50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820" w:type="dxa"/>
            <w:vAlign w:val="bottom"/>
            <w:tcBorders>
              <w:bottom w:val="single" w:sz="8" w:color="auto"/>
            </w:tcBorders>
          </w:tcPr>
          <w:p>
            <w:pPr>
              <w:spacing w:after="0"/>
              <w:rPr>
                <w:sz w:val="8"/>
                <w:szCs w:val="8"/>
                <w:color w:val="auto"/>
              </w:rPr>
            </w:pPr>
          </w:p>
        </w:tc>
        <w:tc>
          <w:tcPr>
            <w:tcW w:w="49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9" w:right="239" w:bottom="1440" w:gutter="0" w:footer="0" w:header="0"/>
        </w:sectPr>
      </w:pPr>
    </w:p>
    <w:bookmarkStart w:id="40" w:name="page41"/>
    <w:bookmarkEnd w:id="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gridSpan w:val="2"/>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obliged to be registered in the Swiss commercial register or an</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morale qui est obligée d'être inscrite dans le registre du commerce</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equivalent foreign register:</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suisse ou un registre étranger équivalent:</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   2 mandates for publicly traded companies pursuant to Art. 727</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a)</w:t>
            </w:r>
          </w:p>
        </w:tc>
        <w:tc>
          <w:tcPr>
            <w:tcW w:w="5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 mandats pour les entreprises cotées en bourse selon l'art.</w:t>
            </w:r>
          </w:p>
        </w:tc>
      </w:tr>
      <w:tr>
        <w:trPr>
          <w:trHeight w:val="217"/>
        </w:trPr>
        <w:tc>
          <w:tcPr>
            <w:tcW w:w="574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para. 1 number 1 CO; and</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727 al. 1 chiffre 1 CO; et</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  3 mandates for companies pursuant to Art. 727 para. 1 number 2</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b)   3 mandats pour des entreprises selon l'art. 727 al. 1 chiffre 2</w:t>
            </w:r>
          </w:p>
        </w:tc>
      </w:tr>
      <w:tr>
        <w:trPr>
          <w:trHeight w:val="217"/>
        </w:trPr>
        <w:tc>
          <w:tcPr>
            <w:tcW w:w="574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CO; and</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 et</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   5 mandates for companies which do not fulfil the criteria under</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c)</w:t>
            </w:r>
          </w:p>
        </w:tc>
        <w:tc>
          <w:tcPr>
            <w:tcW w:w="5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 mandats pour les entreprises qui ne remplissent pas les</w:t>
            </w:r>
          </w:p>
        </w:tc>
      </w:tr>
      <w:tr>
        <w:trPr>
          <w:trHeight w:val="217"/>
        </w:trPr>
        <w:tc>
          <w:tcPr>
            <w:tcW w:w="574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litera a) and b) above.</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critères sous a) et b) ci-dessus.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Mandates held in several legal entities each operating under the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mandats exercés dans plusieurs entités juridiques opérant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same management or same beneficial owner (group) are deemed to</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chacun sous la même direction ou même bénéficiaire effectif</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 a single mandate.</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(groupe) sont réputés être un seul mandat.</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If a legal entity fulfills several of the above mentioned criteria, it can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Si une entité juridique remplit plusieurs des critères mentionnés ci-</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 freely counted towards any category. The following mandates are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dessus, elle peut être librement placée dans une catégorie. Les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excepted from this restrictions: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mandats suivants sont exceptés de ces restrictions: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   mandates in legal entities which are controlled by the Company</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a)</w:t>
            </w:r>
          </w:p>
        </w:tc>
        <w:tc>
          <w:tcPr>
            <w:tcW w:w="50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les mandats dans des entités juridiques qui sont contrôlées</w:t>
            </w:r>
          </w:p>
        </w:tc>
      </w:tr>
      <w:tr>
        <w:trPr>
          <w:trHeight w:val="217"/>
        </w:trPr>
        <w:tc>
          <w:tcPr>
            <w:tcW w:w="574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or which control the Company;</w:t>
            </w: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par la société ou qui contrôlent la société;</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  honorary mandates in charitable legal entities.</w:t>
            </w:r>
          </w:p>
        </w:tc>
        <w:tc>
          <w:tcPr>
            <w:tcW w:w="220" w:type="dxa"/>
            <w:vAlign w:val="bottom"/>
            <w:tcBorders>
              <w:right w:val="single" w:sz="8" w:color="auto"/>
            </w:tcBorders>
          </w:tcPr>
          <w:p>
            <w:pPr>
              <w:spacing w:after="0"/>
              <w:rPr>
                <w:sz w:val="24"/>
                <w:szCs w:val="24"/>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rPr>
              <w:t>b)</w:t>
            </w:r>
          </w:p>
        </w:tc>
        <w:tc>
          <w:tcPr>
            <w:tcW w:w="508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mandats d'honneur dans des entités juridiques de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bienfaisance.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39 Loans and Credits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39 Prêts et crédits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members of the Board of Directors and the Executive Committee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membres du conseil d'administration et du comité exécutif ne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may not be granted any loans, credits or securities. Excepted from</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peuvent pas souscrire des prêts, des crédits ou des titres. Sont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above are advances in the maximum amount of CHF 500'000 per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exceptées les avances d'un montant maximum de CHF 500'000</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person for attorneys' fees, court and other similar costs required for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par personne pour les frais d'avocat, des coûts de tribunaux et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defence of third-party liability claims permitted by Article 29.</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d'autres coûts similaires nécessaires à la défense contre des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actions en responsabilité civile autorisés par l'article 29.</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40 Pension Funds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40 Fonds de pension</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Company shall remunerate members of the Board of Directors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ne  doit  rémunérer  les  membres  du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only in respect of the employer's mandatory contributions to social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que du montant dû au titre de contributions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insurance. Above and beyond this, the Company shall not make any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obligatoire de l'employeur à l'assurance sociale. Au-delà de ce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contributions to pension funds or other such pension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montant, la société ne doit pas verser de cotisations à des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institutions de prévoyance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08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41" w:name="page42"/>
    <w:bookmarkEnd w:id="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34</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plans. In exceptional cases, contributions such as these may be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ou à d'autres régimes de retraite. Dans des cas exceptionnels,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made subject to a request by the Compensation Committee and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contributions  comme  celles-ci  peuvent  être  faites  sur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approval of the General Meeting.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demande  au  comité  de  rémunération  et  sous  réserve  de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l'approbation de l'assemblée générale.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Members of the Executive Committee participate in the Company's</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membres du comité exécutif participent aux régimes 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pension plans (the Company's pension fund and the management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retraite de la société (le fond de pension de la société et le régime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pension plan). The pension plans conform to the legal requirements.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retraite  du  management).  Les  régimes  de  retraite  sont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For members of the Executive Committee, the insured income is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conformes aux exigences légales (LPP). Pour les membres du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defined as the fixed remuneration plus 50 percent of the target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comité  exécutif,  le  revenu  assuré  est  défini  comme  la</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performance-related remuneration, up to the legal maximum. Equity-</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 fixe plus les 50 pour cent de la rémunération liée à</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linked income components are not included.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 performance, jusqu'au maximum légal. Les composantes du</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revenu liées au capital propre ne sont pas inclus.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Within the overall compensation approved by the General Meeting,</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la  rémunération  globale  approuvée  par  l'assemblée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Company may make additional payments into the Company's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la   société   pourra   effectuer   des   paiements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pension funds for the benefit of members of the Executive Committee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supplémentaires dans les caisses de retraite de la société pour le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in order to cover any disadvantage suffered as a result of the change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bénéfice des membres du comité exécutif afin de couvrir tout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jobs or to purchase additional pension entitlements. In this context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désavantage subi par suite de la modification de l'emploi ou pour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Company may conclude life insurance policies on behalf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acheter des droits de pension supplémentaires. Dans ce contexte,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members  of  the  Executive  Committee  and  pay  the  insurance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 société peut conclure des contrats d'assurance-vie au nom des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premiums either fully or in part.</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membres du comité exécutif et payer en totalité ou en partie les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primes d'assurance.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Upon retirement, the Company may also grant members of the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À la retraite, la société peut également accorder aux membres du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Executive Committee a bridging pension to cover the period between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comité exécutif, une pension de transition pour couvrir la période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early retirement at 62 and the ordinary age of retirement, if such</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entre la retraite anticipée à 62 ans et l'âge ordinaire de la retraite,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bridging pension does not exceed 100 percent of the total annual</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si cette rente transitoire ne dépasse pas 100 pour cent du dernier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compensation of the respective member last paid.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montant de la rémunération annuelle totale payée au membre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respectif.</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41 Option and Share Plans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41 Options et plan d'actions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Under the Company's Option Plan, the Board of Directors, upon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vertu  du  régime  d'options  de  la  société,  le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proposal of the Compensation Committee, allocates the participating</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sur  proposition  du  comité  de  rémunération,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members of the Executive Committee and the Board of Directors a</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attribue aux membres participants du comité exécutif et du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fixed number of options or shares with a</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un nombre fixe d'options ou d'actions avec une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période de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49" w:right="239" w:bottom="1440" w:gutter="0" w:footer="0" w:header="0"/>
        </w:sectPr>
      </w:pPr>
    </w:p>
    <w:bookmarkStart w:id="42" w:name="page43"/>
    <w:bookmarkEnd w:id="42"/>
    <w:p>
      <w:pPr>
        <w:ind w:left="11146"/>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70485</wp:posOffset>
            </wp:positionV>
            <wp:extent cx="7246620" cy="4733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733925"/>
                    </a:xfrm>
                    <a:prstGeom prst="rect">
                      <a:avLst/>
                    </a:prstGeom>
                    <a:noFill/>
                  </pic:spPr>
                </pic:pic>
              </a:graphicData>
            </a:graphic>
          </wp:anchor>
        </w:drawing>
      </w:r>
    </w:p>
    <w:p>
      <w:pPr>
        <w:sectPr>
          <w:pgSz w:w="11900" w:h="16838" w:orient="portrait"/>
          <w:cols w:equalWidth="0" w:num="1">
            <w:col w:w="11326"/>
          </w:cols>
          <w:pgMar w:left="334" w:top="249" w:right="239" w:bottom="1440" w:gutter="0" w:footer="0" w:header="0"/>
        </w:sectPr>
      </w:pPr>
    </w:p>
    <w:p>
      <w:pPr>
        <w:spacing w:after="0" w:line="191" w:lineRule="exact"/>
        <w:rPr>
          <w:sz w:val="20"/>
          <w:szCs w:val="20"/>
          <w:color w:val="auto"/>
        </w:rPr>
      </w:pPr>
    </w:p>
    <w:p>
      <w:pPr>
        <w:jc w:val="both"/>
        <w:ind w:left="6"/>
        <w:spacing w:after="0" w:line="238" w:lineRule="auto"/>
        <w:rPr>
          <w:sz w:val="20"/>
          <w:szCs w:val="20"/>
          <w:color w:val="auto"/>
        </w:rPr>
      </w:pPr>
      <w:r>
        <w:rPr>
          <w:rFonts w:ascii="Arial" w:cs="Arial" w:eastAsia="Arial" w:hAnsi="Arial"/>
          <w:sz w:val="18"/>
          <w:szCs w:val="18"/>
          <w:color w:val="auto"/>
        </w:rPr>
        <w:t>vesting for a period of at least three years (the vesting period). At the end of the vesting period, participants in the Option Plan are entitled to exercise the options granted against payment of the strike price. These options to acquire shares in the Company or allocated shares are subject to the basic principles set out in the following:</w:t>
      </w:r>
    </w:p>
    <w:p>
      <w:pPr>
        <w:spacing w:after="0" w:line="189" w:lineRule="exact"/>
        <w:rPr>
          <w:sz w:val="20"/>
          <w:szCs w:val="20"/>
          <w:color w:val="auto"/>
        </w:rPr>
      </w:pPr>
    </w:p>
    <w:p>
      <w:pPr>
        <w:ind w:left="386" w:hanging="386"/>
        <w:spacing w:after="0" w:line="246" w:lineRule="auto"/>
        <w:tabs>
          <w:tab w:leader="none" w:pos="5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the sole discretion of the Board of Directors to decide whether to allocate options or shares and to whom;</w:t>
      </w:r>
    </w:p>
    <w:p>
      <w:pPr>
        <w:spacing w:after="0" w:line="183" w:lineRule="exact"/>
        <w:rPr>
          <w:rFonts w:ascii="Arial" w:cs="Arial" w:eastAsia="Arial" w:hAnsi="Arial"/>
          <w:sz w:val="18"/>
          <w:szCs w:val="18"/>
          <w:color w:val="auto"/>
        </w:rPr>
      </w:pPr>
    </w:p>
    <w:p>
      <w:pPr>
        <w:jc w:val="both"/>
        <w:ind w:left="386" w:hanging="386"/>
        <w:spacing w:after="0"/>
        <w:tabs>
          <w:tab w:leader="none" w:pos="6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year, the Board of Directors, upon proposal of the Compensation Committee, stipulates the number of options and shares to be allocated, the date of allocation and the strike price;</w:t>
      </w:r>
    </w:p>
    <w:p>
      <w:pPr>
        <w:spacing w:after="0" w:line="189" w:lineRule="exact"/>
        <w:rPr>
          <w:rFonts w:ascii="Arial" w:cs="Arial" w:eastAsia="Arial" w:hAnsi="Arial"/>
          <w:sz w:val="18"/>
          <w:szCs w:val="18"/>
          <w:color w:val="auto"/>
        </w:rPr>
      </w:pPr>
    </w:p>
    <w:p>
      <w:pPr>
        <w:jc w:val="both"/>
        <w:ind w:left="386" w:hanging="386"/>
        <w:spacing w:after="0"/>
        <w:tabs>
          <w:tab w:leader="none" w:pos="4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option incorporates a non-transferable, pre-emptive, and contingent right to acquire a certain number of Company's shares;</w:t>
      </w:r>
    </w:p>
    <w:p>
      <w:pPr>
        <w:spacing w:after="0" w:line="189" w:lineRule="exact"/>
        <w:rPr>
          <w:rFonts w:ascii="Arial" w:cs="Arial" w:eastAsia="Arial" w:hAnsi="Arial"/>
          <w:sz w:val="18"/>
          <w:szCs w:val="18"/>
          <w:color w:val="auto"/>
        </w:rPr>
      </w:pPr>
    </w:p>
    <w:p>
      <w:pPr>
        <w:jc w:val="both"/>
        <w:ind w:left="386" w:hanging="386"/>
        <w:spacing w:after="0" w:line="236" w:lineRule="auto"/>
        <w:tabs>
          <w:tab w:leader="none" w:pos="41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a change of control (as defined in the Option Plan) or delisting of the Company's shares, the vesting period shall end (accelerated vesting) and the participant shall be entitled to exercise the options on a pro rata basis on the day the transaction that led to the change of control or delisting was executed. It is at the sole discretion of the Board of Directors to decide upon proposal of the Compensation Committee whether the financial objectives have been met;</w:t>
      </w:r>
    </w:p>
    <w:p>
      <w:pPr>
        <w:spacing w:after="0" w:line="194" w:lineRule="exact"/>
        <w:rPr>
          <w:rFonts w:ascii="Arial" w:cs="Arial" w:eastAsia="Arial" w:hAnsi="Arial"/>
          <w:sz w:val="18"/>
          <w:szCs w:val="18"/>
          <w:color w:val="auto"/>
        </w:rPr>
      </w:pPr>
    </w:p>
    <w:p>
      <w:pPr>
        <w:jc w:val="both"/>
        <w:ind w:left="386" w:hanging="386"/>
        <w:spacing w:after="0" w:line="239" w:lineRule="auto"/>
        <w:tabs>
          <w:tab w:leader="none" w:pos="7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individual members of the Executive Committee or the Board of Directors participating in the Option Plan are responsible for paying any taxes or social security contributions and for declaring income correctly to the authorities;</w:t>
      </w:r>
    </w:p>
    <w:p>
      <w:pPr>
        <w:spacing w:after="0" w:line="188" w:lineRule="exact"/>
        <w:rPr>
          <w:rFonts w:ascii="Arial" w:cs="Arial" w:eastAsia="Arial" w:hAnsi="Arial"/>
          <w:sz w:val="18"/>
          <w:szCs w:val="18"/>
          <w:color w:val="auto"/>
        </w:rPr>
      </w:pPr>
    </w:p>
    <w:p>
      <w:pPr>
        <w:ind w:left="386" w:hanging="386"/>
        <w:spacing w:after="0" w:line="246" w:lineRule="auto"/>
        <w:tabs>
          <w:tab w:leader="none" w:pos="5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at the sole discretion of the Board of Directors to decide whether to supplement the Option Plan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494665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blocage d'une période d'au moins trois ans (la "Période de Blocage"). À la fin de la Période de Blocage, les participants au régime d'options sont habilités à exercer les options attribuées contre paiement du prix d'exercice. Ces options d'achat d'actions de la société ou d'actions attribuées sont soumises aux principes de base suivants:</w:t>
      </w:r>
    </w:p>
    <w:p>
      <w:pPr>
        <w:spacing w:after="0" w:line="192" w:lineRule="exact"/>
        <w:rPr>
          <w:sz w:val="20"/>
          <w:szCs w:val="20"/>
          <w:color w:val="auto"/>
        </w:rPr>
      </w:pPr>
    </w:p>
    <w:p>
      <w:pPr>
        <w:ind w:left="460" w:right="80" w:hanging="458"/>
        <w:spacing w:after="0" w:line="246" w:lineRule="auto"/>
        <w:tabs>
          <w:tab w:leader="none" w:pos="5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il relève de la libre appréciation du conseil d'administration de décider si des options ou actions sont attribuées et à qui;</w:t>
      </w:r>
    </w:p>
    <w:p>
      <w:pPr>
        <w:spacing w:after="0" w:line="183" w:lineRule="exact"/>
        <w:rPr>
          <w:rFonts w:ascii="Arial" w:cs="Arial" w:eastAsia="Arial" w:hAnsi="Arial"/>
          <w:sz w:val="18"/>
          <w:szCs w:val="18"/>
          <w:color w:val="auto"/>
        </w:rPr>
      </w:pPr>
    </w:p>
    <w:p>
      <w:pPr>
        <w:jc w:val="both"/>
        <w:ind w:left="460" w:right="80" w:hanging="458"/>
        <w:spacing w:after="0"/>
        <w:tabs>
          <w:tab w:leader="none" w:pos="4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chaque année, le conseil d'administration, sur proposition du comité de rémunération, fixe le nombre d'options et d'actions à attribuer, la date d'attribution et le prix d'exercice;</w:t>
      </w:r>
    </w:p>
    <w:p>
      <w:pPr>
        <w:spacing w:after="0" w:line="189" w:lineRule="exact"/>
        <w:rPr>
          <w:rFonts w:ascii="Arial" w:cs="Arial" w:eastAsia="Arial" w:hAnsi="Arial"/>
          <w:sz w:val="18"/>
          <w:szCs w:val="18"/>
          <w:color w:val="auto"/>
        </w:rPr>
      </w:pPr>
    </w:p>
    <w:p>
      <w:pPr>
        <w:jc w:val="both"/>
        <w:ind w:left="460" w:right="80" w:hanging="458"/>
        <w:spacing w:after="0"/>
        <w:tabs>
          <w:tab w:leader="none" w:pos="7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chaque option comporte un droit non transférable, de souscription préférentielle et optionnel d'acquérir un certain nombre d'actions de la société;</w:t>
      </w:r>
    </w:p>
    <w:p>
      <w:pPr>
        <w:spacing w:after="0" w:line="189" w:lineRule="exact"/>
        <w:rPr>
          <w:rFonts w:ascii="Arial" w:cs="Arial" w:eastAsia="Arial" w:hAnsi="Arial"/>
          <w:sz w:val="18"/>
          <w:szCs w:val="18"/>
          <w:color w:val="auto"/>
        </w:rPr>
      </w:pPr>
    </w:p>
    <w:p>
      <w:pPr>
        <w:jc w:val="both"/>
        <w:ind w:left="460" w:right="80" w:hanging="458"/>
        <w:spacing w:after="0" w:line="236" w:lineRule="auto"/>
        <w:tabs>
          <w:tab w:leader="none" w:pos="4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dans le cas d'un changement de contrôle (tel que défini dans le régime d'options) ou la radiation des actions de la société, la Période de Blocage prend fin (acquisition accélérée) et le participant est en droit d'exercer les options sur une base pro rata le jour de la transaction qui a conduit à un changement de contrôle ou le jour où la radiation a été exécutée. Il relève de la libre appréciation du conseil d'administration de décider, sur proposition du comité de rémunération, si les objectifs financiers ont été atteints;</w:t>
      </w:r>
    </w:p>
    <w:p>
      <w:pPr>
        <w:spacing w:after="0" w:line="193" w:lineRule="exact"/>
        <w:rPr>
          <w:rFonts w:ascii="Arial" w:cs="Arial" w:eastAsia="Arial" w:hAnsi="Arial"/>
          <w:sz w:val="18"/>
          <w:szCs w:val="18"/>
          <w:color w:val="auto"/>
        </w:rPr>
      </w:pPr>
    </w:p>
    <w:p>
      <w:pPr>
        <w:jc w:val="both"/>
        <w:ind w:left="460" w:right="100" w:hanging="458"/>
        <w:spacing w:after="0" w:line="238" w:lineRule="auto"/>
        <w:tabs>
          <w:tab w:leader="none" w:pos="5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 membres individuels du comité exécutif ou du conseil d'administration qui participent au régime d'options sont responsables du paiement de tous les impôts ou cotisations de sécurité sociale et de déclarer correctement le revenu aux autorités;</w:t>
      </w:r>
    </w:p>
    <w:p>
      <w:pPr>
        <w:spacing w:after="0" w:line="189" w:lineRule="exact"/>
        <w:rPr>
          <w:rFonts w:ascii="Arial" w:cs="Arial" w:eastAsia="Arial" w:hAnsi="Arial"/>
          <w:sz w:val="18"/>
          <w:szCs w:val="18"/>
          <w:color w:val="auto"/>
        </w:rPr>
      </w:pPr>
    </w:p>
    <w:p>
      <w:pPr>
        <w:ind w:left="460" w:right="80" w:hanging="458"/>
        <w:spacing w:after="0" w:line="246" w:lineRule="auto"/>
        <w:tabs>
          <w:tab w:leader="none" w:pos="55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il relève de la libre appréciation du conseil d'administration de décider si le régime d'options est complété dans les</w:t>
      </w:r>
    </w:p>
    <w:p>
      <w:pPr>
        <w:sectPr>
          <w:pgSz w:w="11900" w:h="16838" w:orient="portrait"/>
          <w:cols w:equalWidth="0" w:num="2">
            <w:col w:w="5546" w:space="380"/>
            <w:col w:w="5400"/>
          </w:cols>
          <w:pgMar w:left="334" w:top="249" w:right="239" w:bottom="1440" w:gutter="0" w:footer="0" w:header="0"/>
          <w:type w:val="continuous"/>
        </w:sectPr>
      </w:pPr>
    </w:p>
    <w:bookmarkStart w:id="43" w:name="page44"/>
    <w:bookmarkEnd w:id="43"/>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36</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bounds of the principles set out above or to discontinue it.</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limites des principes énoncés ci-dessus ou de l'interrompre.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Company may periodically offer shares in the Company to</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société peut périodiquement offrir des actions de la société aux</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important and long-term employees for a price being at maximum ten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salariés importants et à long terme pour un prix étant au maximum</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percent below the average volume-weighted price of the last 30</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dix pour cent au-dessous du prix moyen pondéré par les volumes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trading days at the stock exchange. Members of the Board of</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30 derniers jours à la bourse. Les membres du conseil</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and the Executive Committee may be included in this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et du comité exécutif peuvent être inclus dans ce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program. The shares acquired thereby shall be blocked for a period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programme. Les actions ainsi acquises seront bloquées pour une</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of at least 3 years.</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période d'au moins 3 ans.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4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VIII. BUSINESS YEAR, ACCOUNTING, ALLOCATION OF</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VIII. EXERCICE, COMPTABILITÉ, RÉPARTITION DES</w:t>
            </w:r>
          </w:p>
        </w:tc>
      </w:tr>
      <w:tr>
        <w:trPr>
          <w:trHeight w:val="239"/>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PROFITS</w:t>
            </w:r>
          </w:p>
        </w:tc>
        <w:tc>
          <w:tcPr>
            <w:tcW w:w="220" w:type="dxa"/>
            <w:vAlign w:val="bottom"/>
            <w:tcBorders>
              <w:right w:val="single" w:sz="8" w:color="auto"/>
            </w:tcBorders>
          </w:tcPr>
          <w:p>
            <w:pPr>
              <w:spacing w:after="0"/>
              <w:rPr>
                <w:sz w:val="20"/>
                <w:szCs w:val="20"/>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BÉNÉFICES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42 Business Year</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42 Exercice</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Board of Directors shall determine the start and the end of the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détermine  le  début  et  la  fin  de</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Company's business year.</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l'exercice de la société.</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43 Accounting</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43 Comptabilité</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annual accounts consist of the profit and loss statement, the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comptes annuels se composent du compte de profits et</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balance  sheet,  the  cash  flow  statement,  the  annex  and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pertes, du bilan, du tableau des flux de trésorerie, de l'annexe et</w:t>
            </w:r>
          </w:p>
        </w:tc>
      </w:tr>
      <w:tr>
        <w:trPr>
          <w:trHeight w:val="185"/>
        </w:trPr>
        <w:tc>
          <w:tcPr>
            <w:tcW w:w="5740" w:type="dxa"/>
            <w:vAlign w:val="bottom"/>
            <w:tcBorders>
              <w:left w:val="single" w:sz="8" w:color="auto"/>
              <w:right w:val="single" w:sz="8" w:color="auto"/>
            </w:tcBorders>
          </w:tcPr>
          <w:p>
            <w:pPr>
              <w:ind w:left="100"/>
              <w:spacing w:after="0" w:line="185" w:lineRule="exact"/>
              <w:rPr>
                <w:sz w:val="20"/>
                <w:szCs w:val="20"/>
                <w:color w:val="auto"/>
              </w:rPr>
            </w:pPr>
            <w:r>
              <w:rPr>
                <w:rFonts w:ascii="Arial" w:cs="Arial" w:eastAsia="Arial" w:hAnsi="Arial"/>
                <w:sz w:val="18"/>
                <w:szCs w:val="18"/>
                <w:color w:val="auto"/>
              </w:rPr>
              <w:t>management report, and shall be drawn up pursuant to the provisions</w:t>
            </w:r>
          </w:p>
        </w:tc>
        <w:tc>
          <w:tcPr>
            <w:tcW w:w="220" w:type="dxa"/>
            <w:vAlign w:val="bottom"/>
            <w:tcBorders>
              <w:right w:val="single" w:sz="8" w:color="auto"/>
            </w:tcBorders>
          </w:tcPr>
          <w:p>
            <w:pPr>
              <w:spacing w:after="0"/>
              <w:rPr>
                <w:sz w:val="16"/>
                <w:szCs w:val="16"/>
                <w:color w:val="auto"/>
              </w:rPr>
            </w:pPr>
          </w:p>
        </w:tc>
        <w:tc>
          <w:tcPr>
            <w:tcW w:w="546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8"/>
                <w:szCs w:val="18"/>
                <w:color w:val="auto"/>
              </w:rPr>
              <w:t>du  rapport  de  gestion,  et  sont  établis  conformément  aux</w:t>
            </w:r>
          </w:p>
        </w:tc>
      </w:tr>
      <w:tr>
        <w:trPr>
          <w:trHeight w:val="22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of the CO, particularly of Articles 958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and the generally</w:t>
            </w:r>
          </w:p>
        </w:tc>
        <w:tc>
          <w:tcPr>
            <w:tcW w:w="220" w:type="dxa"/>
            <w:vAlign w:val="bottom"/>
            <w:tcBorders>
              <w:right w:val="single" w:sz="8" w:color="auto"/>
            </w:tcBorders>
          </w:tcPr>
          <w:p>
            <w:pPr>
              <w:spacing w:after="0"/>
              <w:rPr>
                <w:sz w:val="19"/>
                <w:szCs w:val="19"/>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dispositions du CO, en particulier des articles 958 ss. CO, et aux</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accepted commercial principles and customary rules in that business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principes  commerciaux  généralement  reconnus  et  aux  règles</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area.</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coutumières dans ce secteur d'activité.</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If required by law, the consolidated financial statements shall be</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 requis par la loi, les états financiers consolidés sont établis en</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drawn in accordance with the provisions of Article 962 CO.</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conformité avec les dispositions de l'article 962 CO.</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44 Allocation of Profits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44 Répartition des bénéfices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Subject to the legal provisions regarding distribution of profits, the</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Sous réserve des dispositions légales en matière de répartition</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profit as shown on the balance sheet shall be allocated by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bénéfices, le bénéfice comme indiqué sur le bilan doit être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General Meeting at its discretion after receipt of the proposals of the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alloué à la libre appréciation de l'assemblée générale après</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Board of Directors and the Auditors.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réception  des  propositions  du  conseil  d'administration  et  de</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l'organe de révision.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102"/>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250" w:right="239" w:bottom="1440" w:gutter="0" w:footer="0" w:header="0"/>
        </w:sectPr>
      </w:pPr>
    </w:p>
    <w:bookmarkStart w:id="44" w:name="page45"/>
    <w:bookmarkEnd w:id="44"/>
    <w:p>
      <w:pPr>
        <w:ind w:left="1114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246620" cy="360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ectPr>
          <w:pgSz w:w="11900" w:h="16838" w:orient="portrait"/>
          <w:cols w:equalWidth="0" w:num="1">
            <w:col w:w="11320"/>
          </w:cols>
          <w:pgMar w:left="340" w:top="249" w:right="239" w:bottom="1440" w:gutter="0" w:footer="0" w:header="0"/>
        </w:sectPr>
      </w:pPr>
    </w:p>
    <w:p>
      <w:pPr>
        <w:spacing w:after="0" w:line="19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addition to the legal reserves, the General Meeting may create supplemental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108585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En plus des réserves légales, l'assemblée générale peut créer des réserves supplémentaires.</w:t>
      </w:r>
    </w:p>
    <w:p>
      <w:pPr>
        <w:sectPr>
          <w:pgSz w:w="11900" w:h="16838" w:orient="portrait"/>
          <w:cols w:equalWidth="0" w:num="2">
            <w:col w:w="5540" w:space="380"/>
            <w:col w:w="5400"/>
          </w:cols>
          <w:pgMar w:left="340" w:top="249" w:right="239" w:bottom="1440" w:gutter="0" w:footer="0" w:header="0"/>
          <w:type w:val="continuous"/>
        </w:sectPr>
      </w:pPr>
    </w:p>
    <w:bookmarkStart w:id="45" w:name="page46"/>
    <w:bookmarkEnd w:id="45"/>
    <w:tbl>
      <w:tblPr>
        <w:tblLayout w:type="fixed"/>
        <w:tblInd w:w="10" w:type="dxa"/>
        <w:tblCellMar>
          <w:top w:w="0" w:type="dxa"/>
          <w:left w:w="0" w:type="dxa"/>
          <w:bottom w:w="0" w:type="dxa"/>
          <w:right w:w="0" w:type="dxa"/>
        </w:tblCellMar>
      </w:tblPr>
      <w:tr>
        <w:trPr>
          <w:trHeight w:val="195"/>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ind w:left="5280"/>
              <w:spacing w:after="0"/>
              <w:rPr>
                <w:sz w:val="20"/>
                <w:szCs w:val="20"/>
                <w:color w:val="auto"/>
              </w:rPr>
            </w:pPr>
            <w:r>
              <w:rPr>
                <w:rFonts w:ascii="Arial" w:cs="Arial" w:eastAsia="Arial" w:hAnsi="Arial"/>
                <w:sz w:val="16"/>
                <w:szCs w:val="16"/>
                <w:color w:val="auto"/>
                <w:w w:val="78"/>
              </w:rPr>
              <w:t>38</w:t>
            </w:r>
          </w:p>
        </w:tc>
      </w:tr>
      <w:tr>
        <w:trPr>
          <w:trHeight w:val="101"/>
        </w:trPr>
        <w:tc>
          <w:tcPr>
            <w:tcW w:w="5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Dividends not claimed within five years after the due date shall</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dividendes non réclamés dans les cinq ans après la date</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remain with the Company and be allocated to the general reserves.</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d'échéance restent avec la société et sont attribués aux réserves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générales.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IX. DISSOLUTION AND LIQUIDATION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IX. DISSOLUTION ET LIQUIDATION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45 Dissolution and Liquidation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45 Dissolution et Liquidation</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dissolution and liquidation of the Company shall take place in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dissolution et la liquidation de la société ont lieu en conformité</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accordance with the provisions of the CO.</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avec les dispositions du CO.</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X. NOTICES AND PUBLICATIONS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X. AVIS ET PUBLICATIONS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7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Art. 46 Notices and Publications</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46 Avis et Publications</w:t>
            </w:r>
          </w:p>
        </w:tc>
      </w:tr>
      <w:tr>
        <w:trPr>
          <w:trHeight w:val="391"/>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The Swiss Official Gazette of Commerce is the official publication</w:t>
            </w:r>
          </w:p>
        </w:tc>
        <w:tc>
          <w:tcPr>
            <w:tcW w:w="220" w:type="dxa"/>
            <w:vAlign w:val="bottom"/>
            <w:tcBorders>
              <w:right w:val="single" w:sz="8" w:color="auto"/>
            </w:tcBorders>
          </w:tcPr>
          <w:p>
            <w:pPr>
              <w:spacing w:after="0"/>
              <w:rPr>
                <w:sz w:val="24"/>
                <w:szCs w:val="24"/>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L'organe de publication légal est la Feuille officielle suisse du</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medium.</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commerce.</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 communications and notices to the shareholders shall</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communications et avis aux actionnaires sont effectués par</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be made by publication in the Swiss Official Gazette of Commerce or</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publication dans la Feuille officielle suisse du commerce ou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sent by mail or e-mail to the addresses registered in the share</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envoyés par courrier ou e-mail aux adresses enregistrées dans le</w:t>
            </w:r>
          </w:p>
        </w:tc>
      </w:tr>
      <w:tr>
        <w:trPr>
          <w:trHeight w:val="217"/>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register.</w:t>
            </w: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registre des actions.</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263"/>
        </w:trPr>
        <w:tc>
          <w:tcPr>
            <w:tcW w:w="5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Unless the law provides otherwise, notices shall be given to creditors</w:t>
            </w:r>
          </w:p>
        </w:tc>
        <w:tc>
          <w:tcPr>
            <w:tcW w:w="220" w:type="dxa"/>
            <w:vAlign w:val="bottom"/>
            <w:tcBorders>
              <w:right w:val="single" w:sz="8" w:color="auto"/>
            </w:tcBorders>
          </w:tcPr>
          <w:p>
            <w:pPr>
              <w:spacing w:after="0"/>
              <w:rPr>
                <w:sz w:val="22"/>
                <w:szCs w:val="22"/>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Sauf si la loi en dispose autrement, les avis seront envoyés aux</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by publication in the Swiss Official Gazette of Commerce. The Board</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créanciers par publication dans la Feuille officielle suisse du</w:t>
            </w:r>
          </w:p>
        </w:tc>
      </w:tr>
      <w:tr>
        <w:trPr>
          <w:trHeight w:val="203"/>
        </w:trPr>
        <w:tc>
          <w:tcPr>
            <w:tcW w:w="574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of Directors may assign further means of communication.</w:t>
            </w:r>
          </w:p>
        </w:tc>
        <w:tc>
          <w:tcPr>
            <w:tcW w:w="220" w:type="dxa"/>
            <w:vAlign w:val="bottom"/>
            <w:tcBorders>
              <w:right w:val="single" w:sz="8" w:color="auto"/>
            </w:tcBorders>
          </w:tcPr>
          <w:p>
            <w:pPr>
              <w:spacing w:after="0"/>
              <w:rPr>
                <w:sz w:val="17"/>
                <w:szCs w:val="17"/>
                <w:color w:val="auto"/>
              </w:rPr>
            </w:pPr>
          </w:p>
        </w:tc>
        <w:tc>
          <w:tcPr>
            <w:tcW w:w="546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commerce.  Le  conseil  d'administration  peut  prévoir  d'autres</w:t>
            </w:r>
          </w:p>
        </w:tc>
      </w:tr>
      <w:tr>
        <w:trPr>
          <w:trHeight w:val="217"/>
        </w:trPr>
        <w:tc>
          <w:tcPr>
            <w:tcW w:w="57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moyens de communication.</w:t>
            </w:r>
          </w:p>
        </w:tc>
      </w:tr>
      <w:tr>
        <w:trPr>
          <w:trHeight w:val="54"/>
        </w:trPr>
        <w:tc>
          <w:tcPr>
            <w:tcW w:w="57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60" w:type="dxa"/>
            <w:vAlign w:val="bottom"/>
            <w:tcBorders>
              <w:bottom w:val="single" w:sz="8" w:color="auto"/>
              <w:right w:val="single" w:sz="8" w:color="auto"/>
            </w:tcBorders>
          </w:tcPr>
          <w:p>
            <w:pPr>
              <w:spacing w:after="0"/>
              <w:rPr>
                <w:sz w:val="4"/>
                <w:szCs w:val="4"/>
                <w:color w:val="auto"/>
              </w:rPr>
            </w:pPr>
          </w:p>
        </w:tc>
      </w:tr>
      <w:tr>
        <w:trPr>
          <w:trHeight w:val="412"/>
        </w:trPr>
        <w:tc>
          <w:tcPr>
            <w:tcW w:w="5960" w:type="dxa"/>
            <w:vAlign w:val="bottom"/>
            <w:gridSpan w:val="2"/>
          </w:tcPr>
          <w:p>
            <w:pPr>
              <w:spacing w:after="0"/>
              <w:rPr>
                <w:sz w:val="20"/>
                <w:szCs w:val="20"/>
                <w:color w:val="auto"/>
              </w:rPr>
            </w:pPr>
            <w:r>
              <w:rPr>
                <w:rFonts w:ascii="Arial" w:cs="Arial" w:eastAsia="Arial" w:hAnsi="Arial"/>
                <w:sz w:val="18"/>
                <w:szCs w:val="18"/>
                <w:color w:val="auto"/>
              </w:rPr>
              <w:t>Bâle, le 25 septembre 2016</w:t>
            </w:r>
          </w:p>
        </w:tc>
        <w:tc>
          <w:tcPr>
            <w:tcW w:w="5460" w:type="dxa"/>
            <w:vAlign w:val="bottom"/>
          </w:tcPr>
          <w:p>
            <w:pPr>
              <w:spacing w:after="0"/>
              <w:rPr>
                <w:sz w:val="24"/>
                <w:szCs w:val="24"/>
                <w:color w:val="auto"/>
              </w:rPr>
            </w:pPr>
          </w:p>
        </w:tc>
      </w:tr>
      <w:tr>
        <w:trPr>
          <w:trHeight w:val="297"/>
        </w:trPr>
        <w:tc>
          <w:tcPr>
            <w:tcW w:w="5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4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5</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Registered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4" w:lineRule="auto"/>
        <w:rPr>
          <w:sz w:val="20"/>
          <w:szCs w:val="20"/>
          <w:color w:val="auto"/>
        </w:rPr>
      </w:pPr>
      <w:r>
        <w:rPr>
          <w:rFonts w:ascii="Arial" w:cs="Arial" w:eastAsia="Arial" w:hAnsi="Arial"/>
          <w:sz w:val="18"/>
          <w:szCs w:val="18"/>
          <w:color w:val="auto"/>
        </w:rPr>
        <w:t>EPFL Innovation Park</w:t>
      </w:r>
    </w:p>
    <w:p>
      <w:pPr>
        <w:spacing w:after="0" w:line="235" w:lineRule="auto"/>
        <w:rPr>
          <w:sz w:val="20"/>
          <w:szCs w:val="20"/>
          <w:color w:val="auto"/>
        </w:rPr>
      </w:pPr>
      <w:r>
        <w:rPr>
          <w:rFonts w:ascii="Arial" w:cs="Arial" w:eastAsia="Arial" w:hAnsi="Arial"/>
          <w:sz w:val="18"/>
          <w:szCs w:val="18"/>
          <w:color w:val="auto"/>
        </w:rPr>
        <w:t>Building 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1015 Lausanne</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VISCHER Ltd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Basel</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Aeschenvorstadt 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CH-4010 Basel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Phone +41 58 211 33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33 10</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Zurich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Schützengasse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CH-8021 Zurich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Phone +41 58 211 34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34 10</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Civil Law Notaries 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Basel-City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Basel, 28 September 2016</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 – Registration Statement on Form S-8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This opinion is being rendered at the request of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Registration Statement on Form S-8 filed with the U.S. Securities and Exchange Commission on 28 September 2016 (the "</w:t>
      </w:r>
      <w:r>
        <w:rPr>
          <w:rFonts w:ascii="Arial" w:cs="Arial" w:eastAsia="Arial" w:hAnsi="Arial"/>
          <w:sz w:val="18"/>
          <w:szCs w:val="18"/>
          <w:b w:val="1"/>
          <w:bCs w:val="1"/>
          <w:color w:val="auto"/>
        </w:rPr>
        <w:t>Form S-8</w:t>
      </w:r>
      <w:r>
        <w:rPr>
          <w:rFonts w:ascii="Arial" w:cs="Arial" w:eastAsia="Arial" w:hAnsi="Arial"/>
          <w:sz w:val="18"/>
          <w:szCs w:val="18"/>
          <w:color w:val="auto"/>
        </w:rPr>
        <w:t>", which term does not include any other document or agreement whether or not specifically referred to therein or attached as an exhibit or schedule thereto) relating to the registration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of common shares in the Company, each share currently having a par value of CHF 0.02 (the "</w:t>
      </w:r>
      <w:r>
        <w:rPr>
          <w:rFonts w:ascii="Arial" w:cs="Arial" w:eastAsia="Arial" w:hAnsi="Arial"/>
          <w:sz w:val="18"/>
          <w:szCs w:val="18"/>
          <w:b w:val="1"/>
          <w:bCs w:val="1"/>
          <w:color w:val="auto"/>
        </w:rPr>
        <w:t>Shares</w:t>
      </w:r>
      <w:r>
        <w:rPr>
          <w:rFonts w:ascii="Arial" w:cs="Arial" w:eastAsia="Arial" w:hAnsi="Arial"/>
          <w:sz w:val="18"/>
          <w:szCs w:val="18"/>
          <w:color w:val="auto"/>
        </w:rPr>
        <w:t>"), which may be issued from time to time under the Plans (as defined below). As such counsel, we have been requested to render an opinion as to certain matters of Swiss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understand that the Company is party to the following plans:</w:t>
      </w:r>
    </w:p>
    <w:p>
      <w:pPr>
        <w:spacing w:after="0" w:line="176"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Stock Option Plan - AC Immune, Plan A of 31 December 2004 as amended in June 2015 (the "</w:t>
      </w:r>
      <w:r>
        <w:rPr>
          <w:rFonts w:ascii="Arial" w:cs="Arial" w:eastAsia="Arial" w:hAnsi="Arial"/>
          <w:sz w:val="18"/>
          <w:szCs w:val="18"/>
          <w:b w:val="1"/>
          <w:bCs w:val="1"/>
          <w:color w:val="auto"/>
        </w:rPr>
        <w:t>Plan A</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Employee Stock Option and Share Plan of AC Immune SA (2005 Plan) of 1 January 2006 (the "</w:t>
      </w:r>
      <w:r>
        <w:rPr>
          <w:rFonts w:ascii="Arial" w:cs="Arial" w:eastAsia="Arial" w:hAnsi="Arial"/>
          <w:sz w:val="18"/>
          <w:szCs w:val="18"/>
          <w:b w:val="1"/>
          <w:bCs w:val="1"/>
          <w:color w:val="auto"/>
        </w:rPr>
        <w:t>Plan C1</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equity incentive plan established in 2013 (the "</w:t>
      </w:r>
      <w:r>
        <w:rPr>
          <w:rFonts w:ascii="Arial" w:cs="Arial" w:eastAsia="Arial" w:hAnsi="Arial"/>
          <w:sz w:val="18"/>
          <w:szCs w:val="18"/>
          <w:b w:val="1"/>
          <w:bCs w:val="1"/>
          <w:color w:val="auto"/>
        </w:rPr>
        <w:t>2013 Plan</w:t>
      </w:r>
      <w:r>
        <w:rPr>
          <w:rFonts w:ascii="Arial" w:cs="Arial" w:eastAsia="Arial" w:hAnsi="Arial"/>
          <w:sz w:val="18"/>
          <w:szCs w:val="18"/>
          <w:color w:val="auto"/>
        </w:rPr>
        <w:t>" and together with the Plan A and the Plan C-1, the "</w:t>
      </w:r>
      <w:r>
        <w:rPr>
          <w:rFonts w:ascii="Arial" w:cs="Arial" w:eastAsia="Arial" w:hAnsi="Arial"/>
          <w:sz w:val="18"/>
          <w:szCs w:val="18"/>
          <w:b w:val="1"/>
          <w:bCs w:val="1"/>
          <w:color w:val="auto"/>
        </w:rPr>
        <w:t>Plans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7"/>
        </w:trPr>
        <w:tc>
          <w:tcPr>
            <w:tcW w:w="6420" w:type="dxa"/>
            <w:vAlign w:val="bottom"/>
          </w:tcPr>
          <w:p>
            <w:pPr>
              <w:spacing w:after="0"/>
              <w:rPr>
                <w:sz w:val="20"/>
                <w:szCs w:val="20"/>
                <w:color w:val="auto"/>
              </w:rPr>
            </w:pPr>
            <w:r>
              <w:rPr>
                <w:rFonts w:ascii="Arial" w:cs="Arial" w:eastAsia="Arial" w:hAnsi="Arial"/>
                <w:sz w:val="18"/>
                <w:szCs w:val="18"/>
                <w:color w:val="auto"/>
              </w:rPr>
              <w:t>28 September 2016</w:t>
            </w:r>
          </w:p>
        </w:tc>
        <w:tc>
          <w:tcPr>
            <w:tcW w:w="49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74" w:lineRule="exact"/>
        <w:rPr>
          <w:sz w:val="20"/>
          <w:szCs w:val="20"/>
          <w:color w:val="auto"/>
        </w:rPr>
      </w:pPr>
    </w:p>
    <w:p>
      <w:pPr>
        <w:ind w:left="760" w:hanging="752"/>
        <w:spacing w:after="0"/>
        <w:tabs>
          <w:tab w:leader="none" w:pos="7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OPINION</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Swiss courts. In the absence of statutory or established case law, we base our opinion on our independent professional judgement.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giving this opinion, we have only examined the following documents:</w:t>
      </w:r>
    </w:p>
    <w:p>
      <w:pPr>
        <w:spacing w:after="0" w:line="198" w:lineRule="exact"/>
        <w:rPr>
          <w:sz w:val="20"/>
          <w:szCs w:val="20"/>
          <w:color w:val="auto"/>
        </w:rPr>
      </w:pPr>
    </w:p>
    <w:p>
      <w:pPr>
        <w:ind w:left="760" w:right="20" w:hanging="752"/>
        <w:spacing w:after="0" w:line="246"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original excerpt from the register of commerce of the Canton of Vaud with regard to the Company certified by such register of commerce as of 30 May 2016 (the "</w:t>
      </w:r>
      <w:r>
        <w:rPr>
          <w:rFonts w:ascii="Arial" w:cs="Arial" w:eastAsia="Arial" w:hAnsi="Arial"/>
          <w:sz w:val="18"/>
          <w:szCs w:val="18"/>
          <w:b w:val="1"/>
          <w:bCs w:val="1"/>
          <w:color w:val="auto"/>
        </w:rPr>
        <w:t>Excerpt</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760" w:hanging="752"/>
        <w:spacing w:after="0" w:line="26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pdf copy of the daily journal (</w:t>
      </w:r>
      <w:r>
        <w:rPr>
          <w:rFonts w:ascii="Arial" w:cs="Arial" w:eastAsia="Arial" w:hAnsi="Arial"/>
          <w:sz w:val="18"/>
          <w:szCs w:val="18"/>
          <w:i w:val="1"/>
          <w:iCs w:val="1"/>
          <w:color w:val="auto"/>
        </w:rPr>
        <w:t>Tagebucheintrag</w:t>
      </w:r>
      <w:r>
        <w:rPr>
          <w:rFonts w:ascii="Arial" w:cs="Arial" w:eastAsia="Arial" w:hAnsi="Arial"/>
          <w:sz w:val="18"/>
          <w:szCs w:val="18"/>
          <w:color w:val="auto"/>
        </w:rPr>
        <w:t>) of the register of commerce of the Canton of Vaud with regard to the Company dated 27 September 2016 (the "</w:t>
      </w:r>
      <w:r>
        <w:rPr>
          <w:rFonts w:ascii="Arial" w:cs="Arial" w:eastAsia="Arial" w:hAnsi="Arial"/>
          <w:sz w:val="18"/>
          <w:szCs w:val="18"/>
          <w:b w:val="1"/>
          <w:bCs w:val="1"/>
          <w:color w:val="auto"/>
        </w:rPr>
        <w:t>Daily Register Excerpt</w:t>
      </w:r>
      <w:r>
        <w:rPr>
          <w:rFonts w:ascii="Arial" w:cs="Arial" w:eastAsia="Arial" w:hAnsi="Arial"/>
          <w:sz w:val="18"/>
          <w:szCs w:val="18"/>
          <w:color w:val="auto"/>
        </w:rPr>
        <w:t>" and together with the Excerpt, the "</w:t>
      </w:r>
      <w:r>
        <w:rPr>
          <w:rFonts w:ascii="Arial" w:cs="Arial" w:eastAsia="Arial" w:hAnsi="Arial"/>
          <w:sz w:val="18"/>
          <w:szCs w:val="18"/>
          <w:b w:val="1"/>
          <w:bCs w:val="1"/>
          <w:color w:val="auto"/>
        </w:rPr>
        <w:t>Excerpts</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760" w:hanging="752"/>
        <w:spacing w:after="0" w:line="27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original copy of the notarized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of the Company dated 25 September 2016 (the "</w:t>
      </w:r>
      <w:r>
        <w:rPr>
          <w:rFonts w:ascii="Arial" w:cs="Arial" w:eastAsia="Arial" w:hAnsi="Arial"/>
          <w:sz w:val="18"/>
          <w:szCs w:val="18"/>
          <w:b w:val="1"/>
          <w:bCs w:val="1"/>
          <w:color w:val="auto"/>
        </w:rPr>
        <w:t>Articles</w:t>
      </w:r>
      <w:r>
        <w:rPr>
          <w:rFonts w:ascii="Arial" w:cs="Arial" w:eastAsia="Arial" w:hAnsi="Arial"/>
          <w:sz w:val="18"/>
          <w:szCs w:val="18"/>
          <w:color w:val="auto"/>
        </w:rPr>
        <w:t>"), as filed with the Commercial Register of the Canton of Vaud;</w:t>
      </w:r>
    </w:p>
    <w:p>
      <w:pPr>
        <w:spacing w:after="0" w:line="162" w:lineRule="exact"/>
        <w:rPr>
          <w:rFonts w:ascii="Arial" w:cs="Arial" w:eastAsia="Arial" w:hAnsi="Arial"/>
          <w:sz w:val="18"/>
          <w:szCs w:val="18"/>
          <w:color w:val="auto"/>
        </w:rPr>
      </w:pPr>
    </w:p>
    <w:p>
      <w:pPr>
        <w:ind w:left="760" w:hanging="752"/>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pdf copy of the Plans;</w:t>
      </w:r>
    </w:p>
    <w:p>
      <w:pPr>
        <w:spacing w:after="0" w:line="176" w:lineRule="exact"/>
        <w:rPr>
          <w:rFonts w:ascii="Arial" w:cs="Arial" w:eastAsia="Arial" w:hAnsi="Arial"/>
          <w:sz w:val="18"/>
          <w:szCs w:val="18"/>
          <w:color w:val="auto"/>
        </w:rPr>
      </w:pPr>
    </w:p>
    <w:p>
      <w:pPr>
        <w:ind w:left="760" w:hanging="752"/>
        <w:spacing w:after="0" w:line="27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pdf copy of the resolutions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held on 8 March 2004 and 11 March 2005 with respect to the Plan A (the "</w:t>
      </w:r>
      <w:r>
        <w:rPr>
          <w:rFonts w:ascii="Arial" w:cs="Arial" w:eastAsia="Arial" w:hAnsi="Arial"/>
          <w:sz w:val="18"/>
          <w:szCs w:val="18"/>
          <w:b w:val="1"/>
          <w:bCs w:val="1"/>
          <w:color w:val="auto"/>
        </w:rPr>
        <w:t>Plan A Resolution</w:t>
      </w:r>
      <w:r>
        <w:rPr>
          <w:rFonts w:ascii="Arial" w:cs="Arial" w:eastAsia="Arial" w:hAnsi="Arial"/>
          <w:sz w:val="18"/>
          <w:szCs w:val="18"/>
          <w:color w:val="auto"/>
        </w:rPr>
        <w:t>s");</w:t>
      </w:r>
    </w:p>
    <w:p>
      <w:pPr>
        <w:spacing w:after="0" w:line="140" w:lineRule="exact"/>
        <w:rPr>
          <w:rFonts w:ascii="Arial" w:cs="Arial" w:eastAsia="Arial" w:hAnsi="Arial"/>
          <w:sz w:val="18"/>
          <w:szCs w:val="18"/>
          <w:color w:val="auto"/>
        </w:rPr>
      </w:pPr>
    </w:p>
    <w:p>
      <w:pPr>
        <w:ind w:left="760" w:hanging="752"/>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pdf copy of the resolutions of the Board held on 5 February 2007 with respect to the Plan C1 (the "</w:t>
      </w:r>
      <w:r>
        <w:rPr>
          <w:rFonts w:ascii="Arial" w:cs="Arial" w:eastAsia="Arial" w:hAnsi="Arial"/>
          <w:sz w:val="18"/>
          <w:szCs w:val="18"/>
          <w:b w:val="1"/>
          <w:bCs w:val="1"/>
          <w:color w:val="auto"/>
        </w:rPr>
        <w:t>Plan C1 Resolution</w:t>
      </w:r>
      <w:r>
        <w:rPr>
          <w:rFonts w:ascii="Arial" w:cs="Arial" w:eastAsia="Arial" w:hAnsi="Arial"/>
          <w:sz w:val="18"/>
          <w:szCs w:val="18"/>
          <w:color w:val="auto"/>
        </w:rPr>
        <w:t>"); and</w:t>
      </w:r>
    </w:p>
    <w:p>
      <w:pPr>
        <w:spacing w:after="0" w:line="198" w:lineRule="exact"/>
        <w:rPr>
          <w:rFonts w:ascii="Arial" w:cs="Arial" w:eastAsia="Arial" w:hAnsi="Arial"/>
          <w:sz w:val="18"/>
          <w:szCs w:val="18"/>
          <w:color w:val="auto"/>
        </w:rPr>
      </w:pPr>
    </w:p>
    <w:p>
      <w:pPr>
        <w:ind w:left="760" w:right="20" w:hanging="752"/>
        <w:spacing w:after="0" w:line="27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pdf copy of the resolution of the Board held on 13 February 2013 with respect to the 2013 Plan (the "</w:t>
      </w:r>
      <w:r>
        <w:rPr>
          <w:rFonts w:ascii="Arial" w:cs="Arial" w:eastAsia="Arial" w:hAnsi="Arial"/>
          <w:sz w:val="18"/>
          <w:szCs w:val="18"/>
          <w:b w:val="1"/>
          <w:bCs w:val="1"/>
          <w:color w:val="auto"/>
        </w:rPr>
        <w:t>2013 Plan Resolution</w:t>
      </w:r>
      <w:r>
        <w:rPr>
          <w:rFonts w:ascii="Arial" w:cs="Arial" w:eastAsia="Arial" w:hAnsi="Arial"/>
          <w:sz w:val="18"/>
          <w:szCs w:val="18"/>
          <w:color w:val="auto"/>
        </w:rPr>
        <w:t>" and together with the Plan A Resolution and the Plan C1 Resolution, the "</w:t>
      </w:r>
      <w:r>
        <w:rPr>
          <w:rFonts w:ascii="Arial" w:cs="Arial" w:eastAsia="Arial" w:hAnsi="Arial"/>
          <w:sz w:val="18"/>
          <w:szCs w:val="18"/>
          <w:b w:val="1"/>
          <w:bCs w:val="1"/>
          <w:color w:val="auto"/>
        </w:rPr>
        <w:t>Board Resolutions</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documents referred to above in paragraphs a) to g) are referred to together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have further examined such other records, documents and other instruments as we have deemed necessary or advisable for the purposes of rendering this opinion.</w:t>
      </w:r>
    </w:p>
    <w:p>
      <w:pPr>
        <w:spacing w:after="0" w:line="161" w:lineRule="exact"/>
        <w:rPr>
          <w:sz w:val="20"/>
          <w:szCs w:val="20"/>
          <w:color w:val="auto"/>
        </w:rPr>
      </w:pPr>
    </w:p>
    <w:p>
      <w:pPr>
        <w:ind w:left="760" w:hanging="752"/>
        <w:spacing w:after="0"/>
        <w:tabs>
          <w:tab w:leader="none" w:pos="7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 below, we have assumed:</w:t>
      </w:r>
    </w:p>
    <w:p>
      <w:pPr>
        <w:spacing w:after="0" w:line="198" w:lineRule="exact"/>
        <w:rPr>
          <w:sz w:val="20"/>
          <w:szCs w:val="20"/>
          <w:color w:val="auto"/>
        </w:rPr>
      </w:pPr>
    </w:p>
    <w:p>
      <w:pPr>
        <w:ind w:left="760" w:hanging="75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conformity to the Documents of all documents produced to us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7"/>
        </w:trPr>
        <w:tc>
          <w:tcPr>
            <w:tcW w:w="6420" w:type="dxa"/>
            <w:vAlign w:val="bottom"/>
          </w:tcPr>
          <w:p>
            <w:pPr>
              <w:spacing w:after="0"/>
              <w:rPr>
                <w:sz w:val="20"/>
                <w:szCs w:val="20"/>
                <w:color w:val="auto"/>
              </w:rPr>
            </w:pPr>
            <w:r>
              <w:rPr>
                <w:rFonts w:ascii="Arial" w:cs="Arial" w:eastAsia="Arial" w:hAnsi="Arial"/>
                <w:sz w:val="18"/>
                <w:szCs w:val="18"/>
                <w:color w:val="auto"/>
              </w:rPr>
              <w:t>28 September 2016</w:t>
            </w:r>
          </w:p>
        </w:tc>
        <w:tc>
          <w:tcPr>
            <w:tcW w:w="49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copies, fax copies or via e-mail, and that the original was executed in the manner appearing on the copy of the draft;</w:t>
      </w:r>
    </w:p>
    <w:p>
      <w:pPr>
        <w:spacing w:after="0" w:line="198" w:lineRule="exact"/>
        <w:rPr>
          <w:sz w:val="20"/>
          <w:szCs w:val="20"/>
          <w:color w:val="auto"/>
        </w:rPr>
      </w:pPr>
    </w:p>
    <w:p>
      <w:pPr>
        <w:ind w:left="760" w:hanging="752"/>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genuineness and authenticity of the signatures on all copies of the original Documents thereof which we have examined;</w:t>
      </w:r>
    </w:p>
    <w:p>
      <w:pPr>
        <w:spacing w:after="0" w:line="198" w:lineRule="exact"/>
        <w:rPr>
          <w:rFonts w:ascii="Arial" w:cs="Arial" w:eastAsia="Arial" w:hAnsi="Arial"/>
          <w:sz w:val="18"/>
          <w:szCs w:val="18"/>
          <w:color w:val="auto"/>
        </w:rPr>
      </w:pPr>
    </w:p>
    <w:p>
      <w:pPr>
        <w:jc w:val="both"/>
        <w:ind w:left="760" w:hanging="752"/>
        <w:spacing w:after="0" w:line="238"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legal capacity, power and authority of each of the parties (other than the Company) to enter into and perform its obligations under the Plans as well as the due authorization, execution and delivery of the Plans or any document thereunder by each of the parties thereto (including the Company) and that all consents or approvals from and filings, registrations and notifications with or to all governmental authorities (other than in Switzerland) required in connection with the execution, delivery and performance of the Plans have been obtained or made and are in full force and effect;</w:t>
      </w:r>
    </w:p>
    <w:p>
      <w:pPr>
        <w:spacing w:after="0" w:line="189" w:lineRule="exact"/>
        <w:rPr>
          <w:rFonts w:ascii="Arial" w:cs="Arial" w:eastAsia="Arial" w:hAnsi="Arial"/>
          <w:sz w:val="18"/>
          <w:szCs w:val="18"/>
          <w:color w:val="auto"/>
        </w:rPr>
      </w:pPr>
    </w:p>
    <w:p>
      <w:pPr>
        <w:jc w:val="both"/>
        <w:ind w:left="760" w:hanging="752"/>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Plans are in full force and effect, have not been rescinded, either in whole or in part, by the Board and that there is no matter affecting the authority of the Board to approve the adoption or assumption of the Plans and filing of the registration statement which would have any adverse implication in relation to the opinions expressed herein;</w:t>
      </w:r>
    </w:p>
    <w:p>
      <w:pPr>
        <w:spacing w:after="0" w:line="189" w:lineRule="exact"/>
        <w:rPr>
          <w:rFonts w:ascii="Arial" w:cs="Arial" w:eastAsia="Arial" w:hAnsi="Arial"/>
          <w:sz w:val="18"/>
          <w:szCs w:val="18"/>
          <w:color w:val="auto"/>
        </w:rPr>
      </w:pPr>
    </w:p>
    <w:p>
      <w:pPr>
        <w:ind w:left="760" w:hanging="752"/>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Plans constitute legal, valid, binding and enforceable obligations of the Company under the governing law;</w:t>
      </w:r>
    </w:p>
    <w:p>
      <w:pPr>
        <w:spacing w:after="0" w:line="198" w:lineRule="exact"/>
        <w:rPr>
          <w:rFonts w:ascii="Arial" w:cs="Arial" w:eastAsia="Arial" w:hAnsi="Arial"/>
          <w:sz w:val="18"/>
          <w:szCs w:val="18"/>
          <w:color w:val="auto"/>
        </w:rPr>
      </w:pPr>
    </w:p>
    <w:p>
      <w:pPr>
        <w:jc w:val="both"/>
        <w:ind w:left="760" w:right="20" w:hanging="752"/>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authorizations, approvals, consents, licenses, exemptions and other requirements, other than those required under the laws of Switzerland, for the legality, validity and enforceability of the Plans have been duly obtained and are and will remain in full force and effect;</w:t>
      </w:r>
    </w:p>
    <w:p>
      <w:pPr>
        <w:spacing w:after="0" w:line="189" w:lineRule="exact"/>
        <w:rPr>
          <w:rFonts w:ascii="Arial" w:cs="Arial" w:eastAsia="Arial" w:hAnsi="Arial"/>
          <w:sz w:val="18"/>
          <w:szCs w:val="18"/>
          <w:color w:val="auto"/>
        </w:rPr>
      </w:pPr>
    </w:p>
    <w:p>
      <w:pPr>
        <w:ind w:left="760" w:hanging="752"/>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of the options under the Plans will be conducted in writing in the manner described in the Plans;</w:t>
      </w:r>
    </w:p>
    <w:p>
      <w:pPr>
        <w:spacing w:after="0" w:line="198" w:lineRule="exact"/>
        <w:rPr>
          <w:rFonts w:ascii="Arial" w:cs="Arial" w:eastAsia="Arial" w:hAnsi="Arial"/>
          <w:sz w:val="18"/>
          <w:szCs w:val="18"/>
          <w:color w:val="auto"/>
        </w:rPr>
      </w:pPr>
    </w:p>
    <w:p>
      <w:pPr>
        <w:ind w:left="760" w:right="20" w:hanging="752"/>
        <w:spacing w:after="0" w:line="246"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 of any option granted is at least the current par value of CHF 0.02 per Share and is paid by the option holder to the Company;</w:t>
      </w:r>
    </w:p>
    <w:p>
      <w:pPr>
        <w:spacing w:after="0" w:line="183" w:lineRule="exact"/>
        <w:rPr>
          <w:rFonts w:ascii="Arial" w:cs="Arial" w:eastAsia="Arial" w:hAnsi="Arial"/>
          <w:sz w:val="18"/>
          <w:szCs w:val="18"/>
          <w:color w:val="auto"/>
        </w:rPr>
      </w:pPr>
    </w:p>
    <w:p>
      <w:pPr>
        <w:jc w:val="both"/>
        <w:ind w:left="760" w:hanging="752"/>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the time of any issuance of Shares under the Plans, the Company will have according to article 3c of the Articles of Association sufficient conditional share capital to issue the required number of new Shares to be delivered to option holders exercising options granted under the Plans; and</w:t>
      </w:r>
    </w:p>
    <w:p>
      <w:pPr>
        <w:spacing w:after="0" w:line="167" w:lineRule="exact"/>
        <w:rPr>
          <w:rFonts w:ascii="Arial" w:cs="Arial" w:eastAsia="Arial" w:hAnsi="Arial"/>
          <w:sz w:val="18"/>
          <w:szCs w:val="18"/>
          <w:color w:val="auto"/>
        </w:rPr>
      </w:pPr>
    </w:p>
    <w:p>
      <w:pPr>
        <w:jc w:val="both"/>
        <w:ind w:left="760" w:hanging="752"/>
        <w:spacing w:after="0" w:line="253"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(i) the requisite reports of the Company's auditors according to article 653f of the Swiss Code of Obligations (the "</w:t>
      </w:r>
      <w:r>
        <w:rPr>
          <w:rFonts w:ascii="Arial" w:cs="Arial" w:eastAsia="Arial" w:hAnsi="Arial"/>
          <w:sz w:val="18"/>
          <w:szCs w:val="18"/>
          <w:b w:val="1"/>
          <w:bCs w:val="1"/>
          <w:color w:val="auto"/>
        </w:rPr>
        <w:t>SCO</w:t>
      </w:r>
      <w:r>
        <w:rPr>
          <w:rFonts w:ascii="Arial" w:cs="Arial" w:eastAsia="Arial" w:hAnsi="Arial"/>
          <w:sz w:val="18"/>
          <w:szCs w:val="18"/>
          <w:color w:val="auto"/>
        </w:rPr>
        <w:t>"), (ii) the amendments of the Articles of Association according to article 653g SCO, and (iii) the entry of the corresponding share capital increase into the Commercial Register of the Canton of Vaud will be given or made.</w:t>
      </w:r>
    </w:p>
    <w:p>
      <w:pPr>
        <w:spacing w:after="0" w:line="156" w:lineRule="exact"/>
        <w:rPr>
          <w:sz w:val="20"/>
          <w:szCs w:val="20"/>
          <w:color w:val="auto"/>
        </w:rPr>
      </w:pPr>
    </w:p>
    <w:p>
      <w:pPr>
        <w:ind w:left="760" w:hanging="752"/>
        <w:spacing w:after="0"/>
        <w:tabs>
          <w:tab w:leader="none" w:pos="7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qualifications set out below,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7"/>
        </w:trPr>
        <w:tc>
          <w:tcPr>
            <w:tcW w:w="6420" w:type="dxa"/>
            <w:vAlign w:val="bottom"/>
          </w:tcPr>
          <w:p>
            <w:pPr>
              <w:spacing w:after="0"/>
              <w:rPr>
                <w:sz w:val="20"/>
                <w:szCs w:val="20"/>
                <w:color w:val="auto"/>
              </w:rPr>
            </w:pPr>
            <w:r>
              <w:rPr>
                <w:rFonts w:ascii="Arial" w:cs="Arial" w:eastAsia="Arial" w:hAnsi="Arial"/>
                <w:sz w:val="18"/>
                <w:szCs w:val="18"/>
                <w:color w:val="auto"/>
              </w:rPr>
              <w:t>28 September 2016</w:t>
            </w:r>
          </w:p>
        </w:tc>
        <w:tc>
          <w:tcPr>
            <w:tcW w:w="496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are of the opinion that:</w:t>
      </w:r>
    </w:p>
    <w:p>
      <w:pPr>
        <w:spacing w:after="0" w:line="180" w:lineRule="exact"/>
        <w:rPr>
          <w:sz w:val="20"/>
          <w:szCs w:val="20"/>
          <w:color w:val="auto"/>
        </w:rPr>
      </w:pPr>
    </w:p>
    <w:p>
      <w:pPr>
        <w:jc w:val="both"/>
        <w:ind w:left="760" w:hanging="752"/>
        <w:spacing w:after="0" w:line="251"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as a corporation (</w:t>
      </w:r>
      <w:r>
        <w:rPr>
          <w:rFonts w:ascii="Arial" w:cs="Arial" w:eastAsia="Arial" w:hAnsi="Arial"/>
          <w:sz w:val="18"/>
          <w:szCs w:val="18"/>
          <w:i w:val="1"/>
          <w:iCs w:val="1"/>
          <w:color w:val="auto"/>
        </w:rPr>
        <w:t>Aktiengesellschaft</w:t>
      </w:r>
      <w:r>
        <w:rPr>
          <w:rFonts w:ascii="Arial" w:cs="Arial" w:eastAsia="Arial" w:hAnsi="Arial"/>
          <w:sz w:val="18"/>
          <w:szCs w:val="18"/>
          <w:color w:val="auto"/>
        </w:rPr>
        <w:t>) under the laws of Switzerland, having unlimited corporate existence and the capacity to carry out its business, to own its property and to sue and to be sued in its own name.</w:t>
      </w:r>
    </w:p>
    <w:p>
      <w:pPr>
        <w:spacing w:after="0" w:line="178" w:lineRule="exact"/>
        <w:rPr>
          <w:rFonts w:ascii="Arial" w:cs="Arial" w:eastAsia="Arial" w:hAnsi="Arial"/>
          <w:sz w:val="18"/>
          <w:szCs w:val="18"/>
          <w:color w:val="auto"/>
        </w:rPr>
      </w:pPr>
    </w:p>
    <w:p>
      <w:pPr>
        <w:jc w:val="both"/>
        <w:ind w:left="760" w:hanging="75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Shares when issued and paid for in accordance with the Articles of Association and, provided the issue price for such Shares has been fully paid-in, will be validly issued, fully paid-in and non-assessable (which term means when used herein that no further contributions have to be made by the holders of the Shares).</w:t>
      </w:r>
    </w:p>
    <w:p>
      <w:pPr>
        <w:spacing w:after="0" w:line="1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QUALIFICATIONS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subject to the following qualifications:</w:t>
      </w:r>
    </w:p>
    <w:p>
      <w:pPr>
        <w:spacing w:after="0" w:line="198" w:lineRule="exact"/>
        <w:rPr>
          <w:sz w:val="20"/>
          <w:szCs w:val="20"/>
          <w:color w:val="auto"/>
        </w:rPr>
      </w:pPr>
    </w:p>
    <w:p>
      <w:pPr>
        <w:jc w:val="both"/>
        <w:ind w:left="760" w:hanging="75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 We have not investigated the laws of any jurisdiction other than Switzerland, any representations and warranties made by the parties to the Plans or any matters of fact.</w:t>
      </w:r>
    </w:p>
    <w:p>
      <w:pPr>
        <w:spacing w:after="0" w:line="189" w:lineRule="exact"/>
        <w:rPr>
          <w:rFonts w:ascii="Arial" w:cs="Arial" w:eastAsia="Arial" w:hAnsi="Arial"/>
          <w:sz w:val="18"/>
          <w:szCs w:val="18"/>
          <w:color w:val="auto"/>
        </w:rPr>
      </w:pPr>
    </w:p>
    <w:p>
      <w:pPr>
        <w:jc w:val="both"/>
        <w:ind w:left="760" w:hanging="75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no opinion as to tax law.</w:t>
      </w:r>
    </w:p>
    <w:p>
      <w:pPr>
        <w:spacing w:after="0" w:line="189" w:lineRule="exact"/>
        <w:rPr>
          <w:rFonts w:ascii="Arial" w:cs="Arial" w:eastAsia="Arial" w:hAnsi="Arial"/>
          <w:sz w:val="18"/>
          <w:szCs w:val="18"/>
          <w:color w:val="auto"/>
        </w:rPr>
      </w:pPr>
    </w:p>
    <w:p>
      <w:pPr>
        <w:ind w:left="760" w:hanging="752"/>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express no opinion as to the accuracy or completeness of the information contained in the Form S-8.</w:t>
      </w:r>
    </w:p>
    <w:p>
      <w:pPr>
        <w:spacing w:after="0" w:line="198" w:lineRule="exact"/>
        <w:rPr>
          <w:sz w:val="20"/>
          <w:szCs w:val="20"/>
          <w:color w:val="auto"/>
        </w:rPr>
      </w:pPr>
    </w:p>
    <w:p>
      <w:pPr>
        <w:jc w:val="center"/>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 Each person relying on this opinion agrees, in so relying, that only VISCHER AG shall have any liability in connection with this opinion, that the agreement in this Section IV and all liability and other matters relating to this opinion shall be governed exclusively by Swiss law and that the courts in Zurich, Switzerland shall have exclusive jurisdiction to settle any dispute relating to this opinion.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7"/>
        </w:trPr>
        <w:tc>
          <w:tcPr>
            <w:tcW w:w="6420" w:type="dxa"/>
            <w:vAlign w:val="bottom"/>
          </w:tcPr>
          <w:p>
            <w:pPr>
              <w:spacing w:after="0"/>
              <w:rPr>
                <w:sz w:val="20"/>
                <w:szCs w:val="20"/>
                <w:color w:val="auto"/>
              </w:rPr>
            </w:pPr>
            <w:r>
              <w:rPr>
                <w:rFonts w:ascii="Arial" w:cs="Arial" w:eastAsia="Arial" w:hAnsi="Arial"/>
                <w:sz w:val="18"/>
                <w:szCs w:val="18"/>
                <w:color w:val="auto"/>
              </w:rPr>
              <w:t>28 September 2016</w:t>
            </w:r>
          </w:p>
        </w:tc>
        <w:tc>
          <w:tcPr>
            <w:tcW w:w="496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9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hereby consent to the filing of this opinion as an exhibit to the Form S-8. In giving such consent, we do not thereby admit that we are in the category of persons whose consent is required under Section 7 of the Securities Act.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VISCHER AG</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Matthias Staehelin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4738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738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Matthias Staehelin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We consent to the incorporation by reference in the Registration Statement (Form S-8) pertaining to the AC Immune SA 2013 Equity Incentive Plan, the Employee Stock Option and Share Plan of AC Immune (2005), and the Stock Option Plan – AC Immune of December 31, 2004, of our report dated April 21, 2016, with respect to the financial statements of AC Immune SA included in its Registration Statement (Form F-1 No. 333-211714) for the year ended December 31, 2015, filed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AG</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Geneva, Switzerland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September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99.2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EMPLOYEE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STOCK OPTION AND SHARE PLAN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SA</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(2005 plan)</w:t>
      </w:r>
    </w:p>
    <w:p>
      <w:pPr>
        <w:spacing w:after="0" w:line="283" w:lineRule="exact"/>
        <w:rPr>
          <w:sz w:val="20"/>
          <w:szCs w:val="20"/>
          <w:color w:val="auto"/>
        </w:rPr>
      </w:pPr>
    </w:p>
    <w:p>
      <w:pPr>
        <w:ind w:left="680" w:hanging="672"/>
        <w:spacing w:after="0"/>
        <w:tabs>
          <w:tab w:leader="none" w:pos="6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AC Immune S.A., a company incorporated in Ecublens (“the Company”) aims to offer to selected employees the right to acquire options in ordinary shares of the Company in accordance with the internationally accepted standards of the industry. By introducing a stock option as well as a stock plan (hereinafter “the Plan” or the “Stock Ownership Plan”) it is underlined that the employees (hereinafter “the Optionees”) as well as the Members of the Board of Directors (hereinafter “the Members”) are not only committed to the economic development of the entire company, but may also benefit in the company’s economic success.</w:t>
      </w:r>
    </w:p>
    <w:p>
      <w:pPr>
        <w:spacing w:after="0" w:line="18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Optionees are offered an additional source of revenue through stock option grants (Hereinafter the “Options”), which is tied to the long-term development of the undertaking.</w:t>
      </w:r>
    </w:p>
    <w:p>
      <w:pPr>
        <w:spacing w:after="0" w:line="170"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Members are offered the possibility to contribute to the equity of the Company by purchasing common shares of the Company (hereinafter refereed to as the “Shares”), in order to attract and retain them and to enhance the profitability of the Company.</w:t>
      </w:r>
    </w:p>
    <w:p>
      <w:pPr>
        <w:spacing w:after="0" w:line="166" w:lineRule="exact"/>
        <w:rPr>
          <w:sz w:val="20"/>
          <w:szCs w:val="20"/>
          <w:color w:val="auto"/>
        </w:rPr>
      </w:pPr>
    </w:p>
    <w:p>
      <w:pPr>
        <w:ind w:left="680" w:hanging="672"/>
        <w:spacing w:after="0"/>
        <w:tabs>
          <w:tab w:leader="none" w:pos="6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Board</w:t>
      </w:r>
    </w:p>
    <w:p>
      <w:pPr>
        <w:spacing w:after="0" w:line="229"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plan shall be administered by the Compensation committee of the Company (hereinafter “the Committee”). The majority of the members of the Committee shall constitute a quorum, and the resolutions adopted by a majority of the members of the Committee present at any meeting at which a quorum is reached or unanimously approved in writing, shall constitute valid decisions of the Committee hereunder.</w:t>
      </w:r>
    </w:p>
    <w:p>
      <w:pPr>
        <w:spacing w:after="0" w:line="165"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Board of the Company decides on the emission of stock option rights as well as shares grant. The Committee passes an appropriate resolution according to the provisions of the statutes.</w:t>
      </w:r>
    </w:p>
    <w:p>
      <w:pPr>
        <w:spacing w:after="0" w:line="17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Committee shall in particular determine the number of participating rights to be allocated, the exercise price related to the Options, the number of Options granted to the Optionees, the exercise period of the Option, the sale price of the Shares, the form and the content of the documents, if any, to be used to execute all or part of the management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- 2 -</w:t>
      </w:r>
    </w:p>
    <w:p>
      <w:pPr>
        <w:spacing w:after="0" w:line="11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All decisions of the Committee as to all questions of interpretation and application of the Plan shall be final, binding and conclusive on all addressees, inclusive of the Company, the shareholders and the employees. The Committee may establish any policies or procedures and adopt any rules, which, in its discretion, are relevant to the operation and administration of the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may delegate to a special committee the implementation, as well as the day-to-day management of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5" w:lineRule="exact"/>
        <w:rPr>
          <w:sz w:val="20"/>
          <w:szCs w:val="20"/>
          <w:color w:val="auto"/>
        </w:rPr>
      </w:pPr>
    </w:p>
    <w:p>
      <w:pPr>
        <w:ind w:left="720" w:hanging="712"/>
        <w:spacing w:after="0"/>
        <w:tabs>
          <w:tab w:leader="none" w:pos="7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shares subject to the Options shall be outstanding common shares of the company of par value of CHF 5.- (five Swiss franc) per share, fully paid in, kept by the Company as treasury shares or shares authorized for issuance by the Committee by the Company’s by-laws.</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If an Option granted pursuant to the Plan expires or terminates for any reason without having been exercised in full, the unpurchased Shares subject to the Plan shall either (i) remain available for subsequent Option grants under the Plan or (ii) can be distributed to the shareholders of the Company,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their participation into the Company, as the Committee shall deem it.</w:t>
      </w:r>
    </w:p>
    <w:p>
      <w:pPr>
        <w:spacing w:after="0" w:line="177" w:lineRule="exact"/>
        <w:rPr>
          <w:sz w:val="20"/>
          <w:szCs w:val="20"/>
          <w:color w:val="auto"/>
        </w:rPr>
      </w:pPr>
    </w:p>
    <w:p>
      <w:pPr>
        <w:ind w:left="720" w:hanging="712"/>
        <w:spacing w:after="0"/>
        <w:tabs>
          <w:tab w:leader="none" w:pos="7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Participants</w:t>
      </w:r>
    </w:p>
    <w:p>
      <w:pPr>
        <w:spacing w:after="0" w:line="22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participation in this the stock options plan is offered to selected employees (Optionees). The extents of option rights granted to individual groups of employees of the Company are linked to their position within the corporate hierarchy on the one hand and their significance for further developments of the Company on the other hand. The Committee shall determine the persons entitled to stock option rights as well as the number of the individually granted option right within its discretion.</w:t>
      </w:r>
    </w:p>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Committee registers the issued option rights in the Company’s stock record book under the separate heading “Option Rights”. Only persons registered in the stock record book are deemed holders of option rights (Optionees).</w:t>
      </w:r>
    </w:p>
    <w:p>
      <w:pPr>
        <w:spacing w:after="0" w:line="166" w:lineRule="exact"/>
        <w:rPr>
          <w:sz w:val="20"/>
          <w:szCs w:val="20"/>
          <w:color w:val="auto"/>
        </w:rPr>
      </w:pPr>
    </w:p>
    <w:p>
      <w:pPr>
        <w:ind w:left="720" w:hanging="712"/>
        <w:spacing w:after="0"/>
        <w:tabs>
          <w:tab w:leader="none" w:pos="7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Grant</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granting of stock option rights is communicated to the Optionees by the Committee in written notice (hereinafter “Option Certificate” as per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- 3 -</w:t>
      </w:r>
    </w:p>
    <w:p>
      <w:pPr>
        <w:spacing w:after="0" w:line="113" w:lineRule="exact"/>
        <w:rPr>
          <w:sz w:val="20"/>
          <w:szCs w:val="20"/>
          <w:color w:val="auto"/>
        </w:rPr>
      </w:pPr>
    </w:p>
    <w:p>
      <w:pPr>
        <w:ind w:left="720" w:hanging="712"/>
        <w:spacing w:after="0"/>
        <w:tabs>
          <w:tab w:leader="none" w:pos="7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Price</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stock option rights are allocated to the entitled persons free of charge. Share value retained for the evaluation of the stock option rights is based on market value, according to definition of para. 9.</w:t>
      </w:r>
    </w:p>
    <w:p>
      <w:pPr>
        <w:spacing w:after="0" w:line="166" w:lineRule="exact"/>
        <w:rPr>
          <w:sz w:val="20"/>
          <w:szCs w:val="20"/>
          <w:color w:val="auto"/>
        </w:rPr>
      </w:pPr>
    </w:p>
    <w:p>
      <w:pPr>
        <w:ind w:left="720" w:hanging="712"/>
        <w:spacing w:after="0"/>
        <w:tabs>
          <w:tab w:leader="none" w:pos="7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 of the Option Right</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exercise price of the option right against payment of which the entitled persons may obtain the stock option is determined by the Committee and indicated on each option certificate.</w:t>
      </w:r>
    </w:p>
    <w:p>
      <w:pPr>
        <w:spacing w:after="0" w:line="166" w:lineRule="exact"/>
        <w:rPr>
          <w:sz w:val="20"/>
          <w:szCs w:val="20"/>
          <w:color w:val="auto"/>
        </w:rPr>
      </w:pPr>
    </w:p>
    <w:p>
      <w:pPr>
        <w:ind w:left="720" w:hanging="712"/>
        <w:spacing w:after="0"/>
        <w:tabs>
          <w:tab w:leader="none" w:pos="7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Vesting Period</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Optionees may exercise 25% of the Options at the each anniversary of the grant date related to such Option, starting on the first year. Thus, and provided other conditions of the plan are met, all options will be fully vested four years after grant date</w:t>
      </w:r>
    </w:p>
    <w:p>
      <w:pPr>
        <w:spacing w:after="0" w:line="17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vesting period will be accelerated and all the option rights under the Plan will be immediately granted to the employees in case of (i) the consummation of an IPO, (ii) the consummation of a consolidation or merger of the Company with or into any other company or companies in which the holders of the Company’s outstanding shares immediately before such consolidation or merger do not, immediately after such consolidation or merger, retain stock representing a majority of the voting power of the surviving company of such consolidation or merger, (iii) the consummation of a sale of all or substantially all of the shares or assets of the Company.</w:t>
      </w:r>
    </w:p>
    <w:p>
      <w:pPr>
        <w:spacing w:after="0" w:line="184" w:lineRule="exact"/>
        <w:rPr>
          <w:sz w:val="20"/>
          <w:szCs w:val="20"/>
          <w:color w:val="auto"/>
        </w:rPr>
      </w:pPr>
    </w:p>
    <w:p>
      <w:pPr>
        <w:ind w:left="720" w:hanging="712"/>
        <w:spacing w:after="0"/>
        <w:tabs>
          <w:tab w:leader="none" w:pos="7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Market value of the shares</w:t>
      </w:r>
    </w:p>
    <w:p>
      <w:pPr>
        <w:spacing w:after="0" w:line="233" w:lineRule="exact"/>
        <w:rPr>
          <w:sz w:val="20"/>
          <w:szCs w:val="20"/>
          <w:color w:val="auto"/>
        </w:rPr>
      </w:pPr>
    </w:p>
    <w:p>
      <w:pPr>
        <w:ind w:left="660"/>
        <w:spacing w:after="0" w:line="210" w:lineRule="auto"/>
        <w:rPr>
          <w:sz w:val="20"/>
          <w:szCs w:val="20"/>
          <w:color w:val="auto"/>
        </w:rPr>
      </w:pPr>
      <w:r>
        <w:rPr>
          <w:rFonts w:ascii="Arial" w:cs="Arial" w:eastAsia="Arial" w:hAnsi="Arial"/>
          <w:sz w:val="18"/>
          <w:szCs w:val="18"/>
          <w:color w:val="auto"/>
        </w:rPr>
        <w:t>Market value of the underlying shares is determined according to the current regulations of the Swiss tax administration</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as being the average between yield value and intrinsic value of the Company based on last audited financial accounts.</w:t>
      </w:r>
    </w:p>
    <w:p>
      <w:pPr>
        <w:spacing w:after="0" w:line="198" w:lineRule="exact"/>
        <w:rPr>
          <w:sz w:val="20"/>
          <w:szCs w:val="20"/>
          <w:color w:val="auto"/>
        </w:rPr>
      </w:pPr>
    </w:p>
    <w:p>
      <w:pPr>
        <w:ind w:left="680" w:hanging="672"/>
        <w:spacing w:after="0"/>
        <w:tabs>
          <w:tab w:leader="none" w:pos="6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Exercising Period</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Committee determines the terms within which, upon the vesting of the option rights, the granted option rights may be exercised. The option rights cannot be exercised before beginning of this exercise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option rights may be exercised at any time during the exercising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1" w:lineRule="exact"/>
        <w:rPr>
          <w:sz w:val="20"/>
          <w:szCs w:val="20"/>
          <w:color w:val="auto"/>
        </w:rPr>
      </w:pPr>
    </w:p>
    <w:p>
      <w:pPr>
        <w:ind w:left="760" w:hanging="104"/>
        <w:spacing w:after="0"/>
        <w:tabs>
          <w:tab w:leader="none" w:pos="76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Instructions concernant l‘estimation des titres non cotés en vue de l’impôt sur la fortune, Edition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t>- 4 -</w:t>
      </w:r>
    </w:p>
    <w:p>
      <w:pPr>
        <w:spacing w:after="0" w:line="117"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All unexercised Options will expire automatically upon the earlier of: (i) Optionee’s ceasing to be employed by the company, subject to para. 14 below, (ii) the dissolution or liquidation of the Company or (iii) the expiration of the exercise period according to the option rights certificate.</w:t>
      </w:r>
    </w:p>
    <w:p>
      <w:pPr>
        <w:spacing w:after="0" w:line="143" w:lineRule="exact"/>
        <w:rPr>
          <w:sz w:val="20"/>
          <w:szCs w:val="20"/>
          <w:color w:val="auto"/>
        </w:rPr>
      </w:pPr>
    </w:p>
    <w:p>
      <w:pPr>
        <w:ind w:left="680" w:hanging="672"/>
        <w:spacing w:after="0"/>
        <w:tabs>
          <w:tab w:leader="none" w:pos="6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Exercise</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order to exercise his option rights, the Optionee shall submit a subscription form according to Schedule 2 to the Committee. The subscription form may relate to all or only a part of the vested option rights.</w:t>
      </w:r>
    </w:p>
    <w:p>
      <w:pPr>
        <w:spacing w:after="0" w:line="170"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exercise price of the option rights shall be paid at the time of the exercise of the option right. The Company is not entitled to supply the shares before receipt of the entire exercise price.</w:t>
      </w:r>
    </w:p>
    <w:p>
      <w:pPr>
        <w:spacing w:after="0" w:line="166" w:lineRule="exact"/>
        <w:rPr>
          <w:rFonts w:ascii="Arial" w:cs="Arial" w:eastAsia="Arial" w:hAnsi="Arial"/>
          <w:sz w:val="18"/>
          <w:szCs w:val="18"/>
          <w:b w:val="1"/>
          <w:bCs w:val="1"/>
          <w:color w:val="auto"/>
        </w:rPr>
      </w:pPr>
    </w:p>
    <w:p>
      <w:pPr>
        <w:ind w:left="680" w:hanging="672"/>
        <w:spacing w:after="0"/>
        <w:tabs>
          <w:tab w:leader="none" w:pos="6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agreement</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Shares received further to exercise of the Options are covered by the existing shareholder agreement (the Agreement) signed by the company shareholders.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copy of the Agreement is attached to the Stock Ownership Plan and is deemed to be binding for the Optionee upon exercise of the Options.</w:t>
      </w:r>
    </w:p>
    <w:p>
      <w:pPr>
        <w:spacing w:after="0" w:line="233" w:lineRule="exact"/>
        <w:rPr>
          <w:sz w:val="20"/>
          <w:szCs w:val="20"/>
          <w:color w:val="auto"/>
        </w:rPr>
      </w:pPr>
    </w:p>
    <w:p>
      <w:pPr>
        <w:ind w:left="680" w:hanging="672"/>
        <w:spacing w:after="0"/>
        <w:tabs>
          <w:tab w:leader="none" w:pos="6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upon transfer</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right of any Optionee to exercise any Option granted to him shall not be assignable or transferable other than by devolution for cause of death, in accordance with para. 14 below.</w:t>
      </w:r>
    </w:p>
    <w:p>
      <w:pPr>
        <w:spacing w:after="0" w:line="166" w:lineRule="exact"/>
        <w:rPr>
          <w:sz w:val="20"/>
          <w:szCs w:val="20"/>
          <w:color w:val="auto"/>
        </w:rPr>
      </w:pPr>
    </w:p>
    <w:p>
      <w:pPr>
        <w:ind w:left="680" w:hanging="672"/>
        <w:spacing w:after="0"/>
        <w:tabs>
          <w:tab w:leader="none" w:pos="6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the employment relationship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is linked to the employment relationship between the Optionee and the Company.</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Retirement, Death or Disability</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In case of retirement of an Optionee, pursuant to the law or other applicable rules, of death or total or partial disability of an Optionee, the termination of the employment relationship between the Optionee and the Company shall have the following consequences</w:t>
      </w:r>
    </w:p>
    <w:p>
      <w:pPr>
        <w:spacing w:after="0" w:line="170" w:lineRule="exact"/>
        <w:rPr>
          <w:sz w:val="20"/>
          <w:szCs w:val="20"/>
          <w:color w:val="auto"/>
        </w:rPr>
      </w:pPr>
    </w:p>
    <w:p>
      <w:pPr>
        <w:jc w:val="both"/>
        <w:ind w:left="980" w:hanging="324"/>
        <w:spacing w:after="0" w:line="26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the vested Options: the Optionee may exercise the Options during six months after the date such Optionee ceased to be an employee of the Company. In case of non-exercise within this period of six month, the concerned Options shall expire, become void and without effect. In case of death, the Options granted might be exercised by the testamentary executor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6" w:name="page57"/>
    <w:bookmarkEnd w:id="56"/>
    <w:p>
      <w:pPr>
        <w:ind w:left="4904"/>
        <w:spacing w:after="0"/>
        <w:rPr>
          <w:sz w:val="20"/>
          <w:szCs w:val="20"/>
          <w:color w:val="auto"/>
        </w:rPr>
      </w:pPr>
      <w:r>
        <w:rPr>
          <w:rFonts w:ascii="Arial" w:cs="Arial" w:eastAsia="Arial" w:hAnsi="Arial"/>
          <w:sz w:val="18"/>
          <w:szCs w:val="18"/>
          <w:color w:val="auto"/>
        </w:rPr>
        <w:t>- 5 -</w:t>
      </w:r>
    </w:p>
    <w:p>
      <w:pPr>
        <w:spacing w:after="0" w:line="117" w:lineRule="exact"/>
        <w:rPr>
          <w:sz w:val="20"/>
          <w:szCs w:val="20"/>
          <w:color w:val="auto"/>
        </w:rPr>
      </w:pPr>
    </w:p>
    <w:p>
      <w:pPr>
        <w:jc w:val="both"/>
        <w:ind w:left="324"/>
        <w:spacing w:after="0" w:line="264" w:lineRule="auto"/>
        <w:rPr>
          <w:sz w:val="20"/>
          <w:szCs w:val="20"/>
          <w:color w:val="auto"/>
        </w:rPr>
      </w:pPr>
      <w:r>
        <w:rPr>
          <w:rFonts w:ascii="Arial" w:cs="Arial" w:eastAsia="Arial" w:hAnsi="Arial"/>
          <w:sz w:val="18"/>
          <w:szCs w:val="18"/>
          <w:color w:val="auto"/>
        </w:rPr>
        <w:t>Optionee or by any person or persons (acting jointly) who has acquired the right to exercise such Options by bequest or inheritance during six months after the date of death of the Optionee. In case of non-exercise within this period of six month, the concerned Options shall expire, become void and without effect.</w:t>
      </w:r>
    </w:p>
    <w:p>
      <w:pPr>
        <w:spacing w:after="0" w:line="181" w:lineRule="exact"/>
        <w:rPr>
          <w:sz w:val="20"/>
          <w:szCs w:val="20"/>
          <w:color w:val="auto"/>
        </w:rPr>
      </w:pPr>
    </w:p>
    <w:p>
      <w:pPr>
        <w:jc w:val="both"/>
        <w:ind w:left="324" w:hanging="324"/>
        <w:spacing w:after="0" w:line="259" w:lineRule="auto"/>
        <w:tabs>
          <w:tab w:leader="none" w:pos="3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the unvested Options: the Optionee, may exercise the unvested Options, which vest during the notice period, during six months after the date such Optionee ceased to be an employee of the Company. In case of non-exercise within this period of six month, the concerned Options shall expire, become void and without effect. The Optionee may not exercise the unvested Options at the end of the employment relationship, which Options shall expire, become void and without effect.</w:t>
      </w:r>
    </w:p>
    <w:p>
      <w:pPr>
        <w:spacing w:after="0" w:line="187" w:lineRule="exact"/>
        <w:rPr>
          <w:sz w:val="20"/>
          <w:szCs w:val="20"/>
          <w:color w:val="auto"/>
        </w:rPr>
      </w:pPr>
    </w:p>
    <w:p>
      <w:pPr>
        <w:ind w:left="4"/>
        <w:spacing w:after="0"/>
        <w:tabs>
          <w:tab w:leader="none" w:pos="603"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Termination of the employment agreement by the Optionee</w:t>
      </w:r>
    </w:p>
    <w:p>
      <w:pPr>
        <w:spacing w:after="0" w:line="225" w:lineRule="exact"/>
        <w:rPr>
          <w:sz w:val="20"/>
          <w:szCs w:val="20"/>
          <w:color w:val="auto"/>
        </w:rPr>
      </w:pPr>
    </w:p>
    <w:p>
      <w:pPr>
        <w:ind w:left="324" w:hanging="324"/>
        <w:spacing w:after="0" w:line="342" w:lineRule="auto"/>
        <w:tabs>
          <w:tab w:leader="none" w:pos="324" w:val="left"/>
        </w:tabs>
        <w:numPr>
          <w:ilvl w:val="0"/>
          <w:numId w:val="51"/>
        </w:numPr>
        <w:rPr>
          <w:rFonts w:ascii="Arial" w:cs="Arial" w:eastAsia="Arial" w:hAnsi="Arial"/>
          <w:sz w:val="16"/>
          <w:szCs w:val="16"/>
          <w:color w:val="auto"/>
        </w:rPr>
      </w:pPr>
      <w:r>
        <w:rPr>
          <w:rFonts w:ascii="Arial" w:cs="Arial" w:eastAsia="Arial" w:hAnsi="Arial"/>
          <w:sz w:val="16"/>
          <w:szCs w:val="16"/>
          <w:color w:val="auto"/>
        </w:rPr>
        <w:t>On the vested Options: the Optionee may exercise the Options during three months after the date such Optionee ceased to be an employee of the Company. In case of non-exercise within this period of three months, the concerned Options shall expire, become void and without effect.</w:t>
      </w:r>
    </w:p>
    <w:p>
      <w:pPr>
        <w:spacing w:after="0" w:line="123" w:lineRule="exact"/>
        <w:rPr>
          <w:rFonts w:ascii="Arial" w:cs="Arial" w:eastAsia="Arial" w:hAnsi="Arial"/>
          <w:sz w:val="16"/>
          <w:szCs w:val="16"/>
          <w:color w:val="auto"/>
        </w:rPr>
      </w:pPr>
    </w:p>
    <w:p>
      <w:pPr>
        <w:ind w:left="324" w:right="20" w:hanging="324"/>
        <w:spacing w:after="0" w:line="308" w:lineRule="auto"/>
        <w:tabs>
          <w:tab w:leader="none" w:pos="324" w:val="left"/>
        </w:tabs>
        <w:numPr>
          <w:ilvl w:val="0"/>
          <w:numId w:val="51"/>
        </w:numPr>
        <w:rPr>
          <w:rFonts w:ascii="Arial" w:cs="Arial" w:eastAsia="Arial" w:hAnsi="Arial"/>
          <w:sz w:val="17"/>
          <w:szCs w:val="17"/>
          <w:color w:val="auto"/>
        </w:rPr>
      </w:pPr>
      <w:r>
        <w:rPr>
          <w:rFonts w:ascii="Arial" w:cs="Arial" w:eastAsia="Arial" w:hAnsi="Arial"/>
          <w:sz w:val="17"/>
          <w:szCs w:val="17"/>
          <w:color w:val="auto"/>
        </w:rPr>
        <w:t>On the unvested Options: the Optionee may exercise the unvested Options, which vest during the notice period. The Optionee may not exercise the unvested Options at the end of the employment relationship, which Options shall expire, become void and without effect.</w:t>
      </w:r>
    </w:p>
    <w:p>
      <w:pPr>
        <w:spacing w:after="0" w:line="147" w:lineRule="exact"/>
        <w:rPr>
          <w:sz w:val="20"/>
          <w:szCs w:val="20"/>
          <w:color w:val="auto"/>
        </w:rPr>
      </w:pPr>
    </w:p>
    <w:p>
      <w:pPr>
        <w:ind w:left="4"/>
        <w:spacing w:after="0"/>
        <w:tabs>
          <w:tab w:leader="none" w:pos="603"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Termination of the employment agreement by the Company</w:t>
      </w:r>
    </w:p>
    <w:p>
      <w:pPr>
        <w:spacing w:after="0" w:line="225"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8"/>
          <w:szCs w:val="18"/>
          <w:i w:val="1"/>
          <w:iCs w:val="1"/>
          <w:color w:val="auto"/>
        </w:rPr>
        <w:t>14.3.1</w:t>
      </w:r>
      <w:r>
        <w:rPr>
          <w:sz w:val="20"/>
          <w:szCs w:val="20"/>
          <w:color w:val="auto"/>
        </w:rPr>
        <w:tab/>
      </w:r>
      <w:r>
        <w:rPr>
          <w:rFonts w:ascii="Arial" w:cs="Arial" w:eastAsia="Arial" w:hAnsi="Arial"/>
          <w:sz w:val="16"/>
          <w:szCs w:val="16"/>
          <w:i w:val="1"/>
          <w:iCs w:val="1"/>
          <w:color w:val="auto"/>
        </w:rPr>
        <w:t>Ordinary Termination</w:t>
      </w:r>
    </w:p>
    <w:p>
      <w:pPr>
        <w:spacing w:after="0" w:line="225" w:lineRule="exact"/>
        <w:rPr>
          <w:sz w:val="20"/>
          <w:szCs w:val="20"/>
          <w:color w:val="auto"/>
        </w:rPr>
      </w:pPr>
    </w:p>
    <w:p>
      <w:pPr>
        <w:ind w:left="324" w:hanging="324"/>
        <w:spacing w:after="0" w:line="342" w:lineRule="auto"/>
        <w:tabs>
          <w:tab w:leader="none" w:pos="3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the vested Options: the Optionee may exercise the Options during three months after the date such Optionee ceased to be an employee of the Company. In case of non-exercise within this period of three months, the concerned Options shall expire, become void and without effect.</w:t>
      </w:r>
    </w:p>
    <w:p>
      <w:pPr>
        <w:spacing w:after="0" w:line="123" w:lineRule="exact"/>
        <w:rPr>
          <w:rFonts w:ascii="Arial" w:cs="Arial" w:eastAsia="Arial" w:hAnsi="Arial"/>
          <w:sz w:val="16"/>
          <w:szCs w:val="16"/>
          <w:color w:val="auto"/>
        </w:rPr>
      </w:pPr>
    </w:p>
    <w:p>
      <w:pPr>
        <w:ind w:left="324" w:right="20" w:hanging="324"/>
        <w:spacing w:after="0" w:line="308" w:lineRule="auto"/>
        <w:tabs>
          <w:tab w:leader="none" w:pos="324" w:val="left"/>
        </w:tabs>
        <w:numPr>
          <w:ilvl w:val="0"/>
          <w:numId w:val="52"/>
        </w:numPr>
        <w:rPr>
          <w:rFonts w:ascii="Arial" w:cs="Arial" w:eastAsia="Arial" w:hAnsi="Arial"/>
          <w:sz w:val="17"/>
          <w:szCs w:val="17"/>
          <w:color w:val="auto"/>
        </w:rPr>
      </w:pPr>
      <w:r>
        <w:rPr>
          <w:rFonts w:ascii="Arial" w:cs="Arial" w:eastAsia="Arial" w:hAnsi="Arial"/>
          <w:sz w:val="17"/>
          <w:szCs w:val="17"/>
          <w:color w:val="auto"/>
        </w:rPr>
        <w:t>On the unvested Options: the Optionee may exercise the unvested Options, which vest during the notice period. The Optionee may not exercise the unvested Options at the end of the employment relationship, which Options shall expire, become void and without effect.</w:t>
      </w:r>
    </w:p>
    <w:p>
      <w:pPr>
        <w:spacing w:after="0" w:line="147" w:lineRule="exact"/>
        <w:rPr>
          <w:sz w:val="20"/>
          <w:szCs w:val="20"/>
          <w:color w:val="auto"/>
        </w:rPr>
      </w:pPr>
    </w:p>
    <w:p>
      <w:pPr>
        <w:ind w:left="4"/>
        <w:spacing w:after="0"/>
        <w:tabs>
          <w:tab w:leader="none" w:pos="563" w:val="left"/>
        </w:tabs>
        <w:rPr>
          <w:sz w:val="20"/>
          <w:szCs w:val="20"/>
          <w:color w:val="auto"/>
        </w:rPr>
      </w:pPr>
      <w:r>
        <w:rPr>
          <w:rFonts w:ascii="Arial" w:cs="Arial" w:eastAsia="Arial" w:hAnsi="Arial"/>
          <w:sz w:val="18"/>
          <w:szCs w:val="18"/>
          <w:i w:val="1"/>
          <w:iCs w:val="1"/>
          <w:color w:val="auto"/>
        </w:rPr>
        <w:t>14.3.2</w:t>
      </w:r>
      <w:r>
        <w:rPr>
          <w:sz w:val="20"/>
          <w:szCs w:val="20"/>
          <w:color w:val="auto"/>
        </w:rPr>
        <w:tab/>
      </w:r>
      <w:r>
        <w:rPr>
          <w:rFonts w:ascii="Arial" w:cs="Arial" w:eastAsia="Arial" w:hAnsi="Arial"/>
          <w:sz w:val="16"/>
          <w:szCs w:val="16"/>
          <w:i w:val="1"/>
          <w:iCs w:val="1"/>
          <w:color w:val="auto"/>
        </w:rPr>
        <w:t>Termination for cause</w:t>
      </w:r>
    </w:p>
    <w:p>
      <w:pPr>
        <w:spacing w:after="0" w:line="225" w:lineRule="exact"/>
        <w:rPr>
          <w:sz w:val="20"/>
          <w:szCs w:val="20"/>
          <w:color w:val="auto"/>
        </w:rPr>
      </w:pPr>
    </w:p>
    <w:p>
      <w:pPr>
        <w:ind w:left="324" w:hanging="324"/>
        <w:spacing w:after="0" w:line="342" w:lineRule="auto"/>
        <w:tabs>
          <w:tab w:leader="none" w:pos="3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the vested Options: the Optionee may exercise the Options during three months after the date such Optionee ceased to be an employee of the Company. In case of non-exercise within this period of three months, the concerned Options shall expire, become void and without effect.</w:t>
      </w:r>
    </w:p>
    <w:p>
      <w:pPr>
        <w:spacing w:after="0" w:line="123" w:lineRule="exact"/>
        <w:rPr>
          <w:rFonts w:ascii="Arial" w:cs="Arial" w:eastAsia="Arial" w:hAnsi="Arial"/>
          <w:sz w:val="16"/>
          <w:szCs w:val="16"/>
          <w:color w:val="auto"/>
        </w:rPr>
      </w:pPr>
    </w:p>
    <w:p>
      <w:pPr>
        <w:ind w:left="324" w:right="20" w:hanging="324"/>
        <w:spacing w:after="0" w:line="277" w:lineRule="auto"/>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the unvested Options: the Optionee may exercise the unvested Options, which vest during the notice period. The Optionee may not exercise the unvested Options at the end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186055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233" w:right="239" w:bottom="1440" w:gutter="0" w:footer="0" w:header="0"/>
        </w:sectPr>
      </w:pPr>
    </w:p>
    <w:bookmarkStart w:id="57" w:name="page58"/>
    <w:bookmarkEnd w:id="57"/>
    <w:p>
      <w:pPr>
        <w:ind w:left="5560"/>
        <w:spacing w:after="0"/>
        <w:rPr>
          <w:sz w:val="20"/>
          <w:szCs w:val="20"/>
          <w:color w:val="auto"/>
        </w:rPr>
      </w:pPr>
      <w:r>
        <w:rPr>
          <w:rFonts w:ascii="Arial" w:cs="Arial" w:eastAsia="Arial" w:hAnsi="Arial"/>
          <w:sz w:val="18"/>
          <w:szCs w:val="18"/>
          <w:color w:val="auto"/>
        </w:rPr>
        <w:t>- 6 -</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employment relationship, which Options shall expire, become void and without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plan</w:t>
      </w:r>
    </w:p>
    <w:p>
      <w:pPr>
        <w:spacing w:after="0" w:line="225" w:lineRule="exact"/>
        <w:rPr>
          <w:sz w:val="20"/>
          <w:szCs w:val="20"/>
          <w:color w:val="auto"/>
        </w:rPr>
      </w:pPr>
    </w:p>
    <w:p>
      <w:pPr>
        <w:ind w:left="680" w:hanging="672"/>
        <w:spacing w:after="0"/>
        <w:tabs>
          <w:tab w:leader="none" w:pos="6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shares shall be outstanding common shares of the company of par value of CHF 5.- (five Swiss franc) per share, fully paid in, kept by the Company as treasury shares or shares authorized for issuance by the Committee by the Company’s by-laws.</w:t>
      </w:r>
    </w:p>
    <w:p>
      <w:pPr>
        <w:spacing w:after="0" w:line="166" w:lineRule="exact"/>
        <w:rPr>
          <w:sz w:val="20"/>
          <w:szCs w:val="20"/>
          <w:color w:val="auto"/>
        </w:rPr>
      </w:pPr>
    </w:p>
    <w:p>
      <w:pPr>
        <w:ind w:left="680" w:hanging="672"/>
        <w:spacing w:after="0"/>
        <w:tabs>
          <w:tab w:leader="none" w:pos="6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Participants</w:t>
      </w:r>
    </w:p>
    <w:p>
      <w:pPr>
        <w:spacing w:after="0" w:line="22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The participation in this Share Plan of the Company is offered to selected members of the Board of Directors (Members). The Committee shall determine the persons entitled to participate to the acquisition of Shares as well as the number of the offered shares within its discretion.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registers the Shares in the Company’s stock record book under the name of the Participants.</w:t>
      </w:r>
    </w:p>
    <w:p>
      <w:pPr>
        <w:spacing w:after="0" w:line="221" w:lineRule="exact"/>
        <w:rPr>
          <w:sz w:val="20"/>
          <w:szCs w:val="20"/>
          <w:color w:val="auto"/>
        </w:rPr>
      </w:pPr>
    </w:p>
    <w:p>
      <w:pPr>
        <w:ind w:left="680" w:hanging="672"/>
        <w:spacing w:after="0"/>
        <w:tabs>
          <w:tab w:leader="none" w:pos="6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Share grant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granting of shares is communicated to the Members by the Committee in written notice (hereinafter “Share Certificate” as per Schedule 3).</w:t>
      </w:r>
    </w:p>
    <w:p>
      <w:pPr>
        <w:spacing w:after="0" w:line="233" w:lineRule="exact"/>
        <w:rPr>
          <w:sz w:val="20"/>
          <w:szCs w:val="20"/>
          <w:color w:val="auto"/>
        </w:rPr>
      </w:pPr>
    </w:p>
    <w:p>
      <w:pPr>
        <w:ind w:left="680" w:hanging="672"/>
        <w:spacing w:after="0"/>
        <w:tabs>
          <w:tab w:leader="none" w:pos="6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Price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price at which the Members may purchase Shares in any given year shall be the market value of the shares according to para. 9.</w:t>
      </w:r>
    </w:p>
    <w:p>
      <w:pPr>
        <w:spacing w:after="0" w:line="221" w:lineRule="exact"/>
        <w:rPr>
          <w:sz w:val="20"/>
          <w:szCs w:val="20"/>
          <w:color w:val="auto"/>
        </w:rPr>
      </w:pPr>
    </w:p>
    <w:p>
      <w:pPr>
        <w:ind w:left="680" w:hanging="672"/>
        <w:spacing w:after="0"/>
        <w:tabs>
          <w:tab w:leader="none" w:pos="6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sold to Members are covered by the existing shareholder agreement (the Agreement) signed by the company shareholders.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Agreement is attached to the Stock Ownership Plan and is deemed to be binding for the Members upon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- 7 -</w:t>
      </w:r>
    </w:p>
    <w:p>
      <w:pPr>
        <w:spacing w:after="0" w:line="113" w:lineRule="exact"/>
        <w:rPr>
          <w:sz w:val="20"/>
          <w:szCs w:val="20"/>
          <w:color w:val="auto"/>
        </w:rPr>
      </w:pPr>
    </w:p>
    <w:p>
      <w:pPr>
        <w:ind w:left="680" w:hanging="672"/>
        <w:spacing w:after="0"/>
        <w:tabs>
          <w:tab w:leader="none" w:pos="6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Buy back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upon its sole discretion, could buy back shares held by the Member resigning from the Board of the company.</w:t>
      </w:r>
    </w:p>
    <w:p>
      <w:pPr>
        <w:spacing w:after="0" w:line="229" w:lineRule="exact"/>
        <w:rPr>
          <w:sz w:val="20"/>
          <w:szCs w:val="20"/>
          <w:color w:val="auto"/>
        </w:rPr>
      </w:pPr>
    </w:p>
    <w:p>
      <w:pPr>
        <w:ind w:left="660"/>
        <w:spacing w:after="0" w:line="225" w:lineRule="auto"/>
        <w:rPr>
          <w:sz w:val="20"/>
          <w:szCs w:val="20"/>
          <w:color w:val="auto"/>
        </w:rPr>
      </w:pPr>
      <w:r>
        <w:rPr>
          <w:rFonts w:ascii="Arial" w:cs="Arial" w:eastAsia="Arial" w:hAnsi="Arial"/>
          <w:sz w:val="18"/>
          <w:szCs w:val="18"/>
          <w:color w:val="auto"/>
        </w:rPr>
        <w:t>Buy back clause is applicable to shares, determined “prorata temporis”, between resignation date and December 31</w:t>
      </w:r>
      <w:r>
        <w:rPr>
          <w:rFonts w:ascii="Arial" w:cs="Arial" w:eastAsia="Arial" w:hAnsi="Arial"/>
          <w:sz w:val="30"/>
          <w:szCs w:val="30"/>
          <w:color w:val="auto"/>
          <w:vertAlign w:val="superscript"/>
        </w:rPr>
        <w:t>st</w:t>
      </w:r>
      <w:r>
        <w:rPr>
          <w:rFonts w:ascii="Arial" w:cs="Arial" w:eastAsia="Arial" w:hAnsi="Arial"/>
          <w:sz w:val="18"/>
          <w:szCs w:val="18"/>
          <w:color w:val="auto"/>
        </w:rPr>
        <w:t>, 2009 and starting date with the Company and December 31</w:t>
      </w:r>
      <w:r>
        <w:rPr>
          <w:rFonts w:ascii="Arial" w:cs="Arial" w:eastAsia="Arial" w:hAnsi="Arial"/>
          <w:sz w:val="30"/>
          <w:szCs w:val="30"/>
          <w:color w:val="auto"/>
          <w:vertAlign w:val="superscript"/>
        </w:rPr>
        <w:t>st</w:t>
      </w:r>
      <w:r>
        <w:rPr>
          <w:rFonts w:ascii="Arial" w:cs="Arial" w:eastAsia="Arial" w:hAnsi="Arial"/>
          <w:sz w:val="18"/>
          <w:szCs w:val="18"/>
          <w:color w:val="auto"/>
        </w:rPr>
        <w:t>, 2009.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clauses</w:t>
      </w:r>
    </w:p>
    <w:p>
      <w:pPr>
        <w:spacing w:after="0" w:line="225" w:lineRule="exact"/>
        <w:rPr>
          <w:sz w:val="20"/>
          <w:szCs w:val="20"/>
          <w:color w:val="auto"/>
        </w:rPr>
      </w:pPr>
    </w:p>
    <w:p>
      <w:pPr>
        <w:ind w:left="680" w:hanging="672"/>
        <w:spacing w:after="0"/>
        <w:tabs>
          <w:tab w:leader="none" w:pos="6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Recapitalization, reorganization, adjustments</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existence of the Plan, the Option or the Shares granted hereunder sold shall not affect in any way the right or power of the Company or the shareholders of the Company to make or authorize (i) any adjustment, recapitalization, reorganization or other changes in the Company’s capital structure or its business, (ii) any merger or consolidation of the Company, (iii) any issue of debt or equity securities, (iv) the dissolution or liquidation of the Company or (v) any sale, lease, exchange or other acts of disposition of all or part of its assets or business.</w:t>
      </w:r>
    </w:p>
    <w:p>
      <w:pPr>
        <w:spacing w:after="0" w:line="17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Committee may make or provide for such adjustments in the par value, the Price and in the number of Shares covered by outstanding Options as the Committee in its sole discretion, may determine is equitably required to prevent dilution or enlargement of the rights of Optionees that would otherwise result from (i) any recapitalization or other change in the capital structure of the Company, (ii) any merger, reorganization, partial or complete liquidation, or other distribution of assets, issue of rights or warrants to purchase Shares or (iii) any other corporate transaction or event having an effect similar to any of the foregoing.</w:t>
      </w:r>
    </w:p>
    <w:p>
      <w:pPr>
        <w:spacing w:after="0" w:line="188"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In the event of any transaction or event described here above, if the Committee is unable to adjust the par value, the Price or the number of Shares covered by the Plan, it may, in its discretion, (i) substitute for any or all outstanding Options under this Plan such alternative consideration as it, in good faith, will determine to be equitable in the circumstances and (ii) require in connection therewith the surrender of all Options so replaced.</w:t>
      </w:r>
    </w:p>
    <w:p>
      <w:pPr>
        <w:spacing w:after="0" w:line="143" w:lineRule="exact"/>
        <w:rPr>
          <w:sz w:val="20"/>
          <w:szCs w:val="20"/>
          <w:color w:val="auto"/>
        </w:rPr>
      </w:pPr>
    </w:p>
    <w:p>
      <w:pPr>
        <w:ind w:left="680" w:hanging="672"/>
        <w:spacing w:after="0"/>
        <w:tabs>
          <w:tab w:leader="none" w:pos="6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Participant has to bear all taxes in connection with the granting of the option or shares rights respectively in connection with the exercise of such rights.</w:t>
      </w:r>
    </w:p>
    <w:p>
      <w:pPr>
        <w:spacing w:after="0" w:line="166" w:lineRule="exact"/>
        <w:rPr>
          <w:sz w:val="20"/>
          <w:szCs w:val="20"/>
          <w:color w:val="auto"/>
        </w:rPr>
      </w:pPr>
    </w:p>
    <w:p>
      <w:pPr>
        <w:ind w:left="680" w:hanging="672"/>
        <w:spacing w:after="0"/>
        <w:tabs>
          <w:tab w:leader="none" w:pos="6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Place of Performance and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ind w:left="5560"/>
        <w:spacing w:after="0"/>
        <w:rPr>
          <w:sz w:val="20"/>
          <w:szCs w:val="20"/>
          <w:color w:val="auto"/>
        </w:rPr>
      </w:pPr>
      <w:r>
        <w:rPr>
          <w:rFonts w:ascii="Arial" w:cs="Arial" w:eastAsia="Arial" w:hAnsi="Arial"/>
          <w:sz w:val="18"/>
          <w:szCs w:val="18"/>
          <w:color w:val="auto"/>
        </w:rPr>
        <w:t>- 8 -</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shall be governed by and construed under the laws of Switzerland.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Place of jurisdiction is Vaud.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gridSpan w:val="3"/>
          </w:tcPr>
          <w:p>
            <w:pPr>
              <w:ind w:left="660"/>
              <w:spacing w:after="0"/>
              <w:rPr>
                <w:sz w:val="20"/>
                <w:szCs w:val="20"/>
                <w:color w:val="auto"/>
              </w:rPr>
            </w:pPr>
            <w:r>
              <w:rPr>
                <w:rFonts w:ascii="Arial" w:cs="Arial" w:eastAsia="Arial" w:hAnsi="Arial"/>
                <w:sz w:val="18"/>
                <w:szCs w:val="18"/>
                <w:color w:val="auto"/>
              </w:rPr>
              <w:t>This Stock Ownership Plan becomes effective on January 1st, 2006.</w:t>
            </w:r>
          </w:p>
        </w:tc>
        <w:tc>
          <w:tcPr>
            <w:tcW w:w="40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64"/>
        </w:trPr>
        <w:tc>
          <w:tcPr>
            <w:tcW w:w="6260" w:type="dxa"/>
            <w:vAlign w:val="bottom"/>
            <w:gridSpan w:val="3"/>
          </w:tcPr>
          <w:p>
            <w:pPr>
              <w:ind w:left="1140"/>
              <w:spacing w:after="0"/>
              <w:rPr>
                <w:sz w:val="20"/>
                <w:szCs w:val="20"/>
                <w:color w:val="auto"/>
              </w:rPr>
            </w:pPr>
            <w:r>
              <w:rPr>
                <w:rFonts w:ascii="Arial" w:cs="Arial" w:eastAsia="Arial" w:hAnsi="Arial"/>
                <w:sz w:val="18"/>
                <w:szCs w:val="18"/>
                <w:color w:val="auto"/>
              </w:rPr>
              <w:t>For the Company:</w:t>
            </w:r>
          </w:p>
        </w:tc>
        <w:tc>
          <w:tcPr>
            <w:tcW w:w="4020" w:type="dxa"/>
            <w:vAlign w:val="bottom"/>
          </w:tcPr>
          <w:p>
            <w:pPr>
              <w:spacing w:after="0"/>
              <w:rPr>
                <w:sz w:val="20"/>
                <w:szCs w:val="20"/>
                <w:color w:val="auto"/>
              </w:rPr>
            </w:pPr>
            <w:r>
              <w:rPr>
                <w:rFonts w:ascii="Arial" w:cs="Arial" w:eastAsia="Arial" w:hAnsi="Arial"/>
                <w:sz w:val="18"/>
                <w:szCs w:val="18"/>
                <w:color w:val="auto"/>
              </w:rPr>
              <w:t>The board of directors:</w:t>
            </w:r>
          </w:p>
        </w:tc>
        <w:tc>
          <w:tcPr>
            <w:tcW w:w="1140" w:type="dxa"/>
            <w:vAlign w:val="bottom"/>
          </w:tcPr>
          <w:p>
            <w:pPr>
              <w:spacing w:after="0"/>
              <w:rPr>
                <w:sz w:val="24"/>
                <w:szCs w:val="24"/>
                <w:color w:val="auto"/>
              </w:rPr>
            </w:pPr>
          </w:p>
        </w:tc>
      </w:tr>
      <w:tr>
        <w:trPr>
          <w:trHeight w:val="513"/>
        </w:trPr>
        <w:tc>
          <w:tcPr>
            <w:tcW w:w="6260" w:type="dxa"/>
            <w:vAlign w:val="bottom"/>
            <w:gridSpan w:val="3"/>
          </w:tcPr>
          <w:p>
            <w:pPr>
              <w:ind w:left="1140"/>
              <w:spacing w:after="0"/>
              <w:rPr>
                <w:sz w:val="20"/>
                <w:szCs w:val="20"/>
                <w:color w:val="auto"/>
              </w:rPr>
            </w:pPr>
            <w:r>
              <w:rPr>
                <w:rFonts w:ascii="Arial" w:cs="Arial" w:eastAsia="Arial" w:hAnsi="Arial"/>
                <w:sz w:val="18"/>
                <w:szCs w:val="18"/>
                <w:color w:val="auto"/>
              </w:rPr>
              <w:t>/s/ Andrea Pfeifer</w:t>
            </w:r>
          </w:p>
        </w:tc>
        <w:tc>
          <w:tcPr>
            <w:tcW w:w="4020" w:type="dxa"/>
            <w:vAlign w:val="bottom"/>
          </w:tcPr>
          <w:p>
            <w:pPr>
              <w:spacing w:after="0"/>
              <w:rPr>
                <w:sz w:val="20"/>
                <w:szCs w:val="20"/>
                <w:color w:val="auto"/>
              </w:rPr>
            </w:pPr>
            <w:r>
              <w:rPr>
                <w:rFonts w:ascii="Arial" w:cs="Arial" w:eastAsia="Arial" w:hAnsi="Arial"/>
                <w:sz w:val="18"/>
                <w:szCs w:val="18"/>
                <w:color w:val="auto"/>
              </w:rPr>
              <w:t>/s/ Martin Velasco</w:t>
            </w:r>
          </w:p>
        </w:tc>
        <w:tc>
          <w:tcPr>
            <w:tcW w:w="1140" w:type="dxa"/>
            <w:vAlign w:val="bottom"/>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4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Andrea Pfeifer, CEO</w:t>
            </w:r>
          </w:p>
        </w:tc>
        <w:tc>
          <w:tcPr>
            <w:tcW w:w="90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Martin Velasco, Chairman</w:t>
            </w:r>
          </w:p>
        </w:tc>
        <w:tc>
          <w:tcPr>
            <w:tcW w:w="1140" w:type="dxa"/>
            <w:vAlign w:val="bottom"/>
          </w:tcPr>
          <w:p>
            <w:pPr>
              <w:spacing w:after="0"/>
              <w:rPr>
                <w:sz w:val="19"/>
                <w:szCs w:val="19"/>
                <w:color w:val="auto"/>
              </w:rPr>
            </w:pPr>
          </w:p>
        </w:tc>
      </w:tr>
      <w:tr>
        <w:trPr>
          <w:trHeight w:val="580"/>
        </w:trPr>
        <w:tc>
          <w:tcPr>
            <w:tcW w:w="11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200"/>
        <w:spacing w:after="0"/>
        <w:rPr>
          <w:sz w:val="20"/>
          <w:szCs w:val="20"/>
          <w:color w:val="auto"/>
        </w:rPr>
      </w:pPr>
      <w:r>
        <w:rPr>
          <w:rFonts w:ascii="Arial" w:cs="Arial" w:eastAsia="Arial" w:hAnsi="Arial"/>
          <w:sz w:val="43"/>
          <w:szCs w:val="43"/>
          <w:color w:val="auto"/>
        </w:rPr>
        <w:t>Stock Option Plan – AC Immune</w:t>
      </w:r>
    </w:p>
    <w:p>
      <w:pPr>
        <w:spacing w:after="0" w:line="200" w:lineRule="exact"/>
        <w:rPr>
          <w:sz w:val="20"/>
          <w:szCs w:val="20"/>
          <w:color w:val="auto"/>
        </w:rPr>
      </w:pPr>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43"/>
          <w:szCs w:val="43"/>
          <w:color w:val="auto"/>
        </w:rPr>
        <w:t>Plan A</w:t>
      </w:r>
    </w:p>
    <w:p>
      <w:pPr>
        <w:spacing w:after="0" w:line="200" w:lineRule="exact"/>
        <w:rPr>
          <w:sz w:val="20"/>
          <w:szCs w:val="20"/>
          <w:color w:val="auto"/>
        </w:rPr>
      </w:pPr>
    </w:p>
    <w:p>
      <w:pPr>
        <w:spacing w:after="0" w:line="305" w:lineRule="exact"/>
        <w:rPr>
          <w:sz w:val="20"/>
          <w:szCs w:val="20"/>
          <w:color w:val="auto"/>
        </w:rPr>
      </w:pPr>
    </w:p>
    <w:p>
      <w:pPr>
        <w:ind w:left="2500"/>
        <w:spacing w:after="0"/>
        <w:rPr>
          <w:sz w:val="20"/>
          <w:szCs w:val="20"/>
          <w:color w:val="auto"/>
        </w:rPr>
      </w:pPr>
      <w:r>
        <w:rPr>
          <w:rFonts w:ascii="Arial" w:cs="Arial" w:eastAsia="Arial" w:hAnsi="Arial"/>
          <w:sz w:val="43"/>
          <w:szCs w:val="43"/>
          <w:color w:val="auto"/>
        </w:rPr>
        <w:t>Octroi du 31.12.2004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1024890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61" w:name="page62"/>
    <w:bookmarkEnd w:id="61"/>
    <w:p>
      <w:pPr>
        <w:ind w:left="11280"/>
        <w:spacing w:after="0"/>
        <w:rPr>
          <w:sz w:val="20"/>
          <w:szCs w:val="20"/>
          <w:color w:val="auto"/>
        </w:rPr>
      </w:pPr>
      <w:r>
        <w:rPr>
          <w:rFonts w:ascii="Arial" w:cs="Arial" w:eastAsia="Arial" w:hAnsi="Arial"/>
          <w:sz w:val="16"/>
          <w:szCs w:val="16"/>
          <w:color w:val="auto"/>
        </w:rPr>
        <w:t>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363639"/>
        </w:rPr>
        <w:t>INCENTIVE STOCK OPTION PLAN 2003/2004 OF</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363639"/>
        </w:rPr>
        <w:t>AC IMMUNE – SUMMARY OF OPTION TERMS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320" w:type="dxa"/>
            <w:vAlign w:val="bottom"/>
            <w:tcBorders>
              <w:right w:val="single" w:sz="8" w:color="363639"/>
            </w:tcBorders>
          </w:tcPr>
          <w:p>
            <w:pPr>
              <w:spacing w:after="0"/>
              <w:rPr>
                <w:sz w:val="24"/>
                <w:szCs w:val="24"/>
                <w:color w:val="auto"/>
              </w:rPr>
            </w:pPr>
          </w:p>
        </w:tc>
        <w:tc>
          <w:tcPr>
            <w:tcW w:w="1980" w:type="dxa"/>
            <w:vAlign w:val="bottom"/>
            <w:tcBorders>
              <w:top w:val="single" w:sz="8" w:color="363639"/>
              <w:right w:val="single" w:sz="8" w:color="363639"/>
            </w:tcBorders>
          </w:tcPr>
          <w:p>
            <w:pPr>
              <w:ind w:left="60"/>
              <w:spacing w:after="0"/>
              <w:rPr>
                <w:sz w:val="20"/>
                <w:szCs w:val="20"/>
                <w:color w:val="auto"/>
              </w:rPr>
            </w:pPr>
            <w:r>
              <w:rPr>
                <w:rFonts w:ascii="Arial" w:cs="Arial" w:eastAsia="Arial" w:hAnsi="Arial"/>
                <w:sz w:val="18"/>
                <w:szCs w:val="18"/>
                <w:b w:val="1"/>
                <w:bCs w:val="1"/>
                <w:color w:val="363639"/>
              </w:rPr>
              <w:t>Grant Date</w:t>
            </w:r>
          </w:p>
        </w:tc>
        <w:tc>
          <w:tcPr>
            <w:tcW w:w="4840" w:type="dxa"/>
            <w:vAlign w:val="bottom"/>
            <w:tcBorders>
              <w:top w:val="single" w:sz="8" w:color="363639"/>
              <w:right w:val="single" w:sz="8" w:color="363639"/>
            </w:tcBorders>
          </w:tcPr>
          <w:p>
            <w:pPr>
              <w:ind w:left="60"/>
              <w:spacing w:after="0"/>
              <w:rPr>
                <w:sz w:val="20"/>
                <w:szCs w:val="20"/>
                <w:color w:val="auto"/>
              </w:rPr>
            </w:pPr>
            <w:r>
              <w:rPr>
                <w:rFonts w:ascii="Arial" w:cs="Arial" w:eastAsia="Arial" w:hAnsi="Arial"/>
                <w:sz w:val="18"/>
                <w:szCs w:val="18"/>
                <w:color w:val="363639"/>
              </w:rPr>
              <w:t>December 31, 2004</w:t>
            </w:r>
          </w:p>
        </w:tc>
        <w:tc>
          <w:tcPr>
            <w:tcW w:w="2280" w:type="dxa"/>
            <w:vAlign w:val="bottom"/>
          </w:tcPr>
          <w:p>
            <w:pPr>
              <w:spacing w:after="0"/>
              <w:rPr>
                <w:sz w:val="24"/>
                <w:szCs w:val="24"/>
                <w:color w:val="auto"/>
              </w:rPr>
            </w:pPr>
          </w:p>
        </w:tc>
      </w:tr>
      <w:tr>
        <w:trPr>
          <w:trHeight w:val="54"/>
        </w:trPr>
        <w:tc>
          <w:tcPr>
            <w:tcW w:w="2320" w:type="dxa"/>
            <w:vAlign w:val="bottom"/>
            <w:tcBorders>
              <w:right w:val="single" w:sz="8" w:color="363639"/>
            </w:tcBorders>
          </w:tcPr>
          <w:p>
            <w:pPr>
              <w:spacing w:after="0"/>
              <w:rPr>
                <w:sz w:val="4"/>
                <w:szCs w:val="4"/>
                <w:color w:val="auto"/>
              </w:rPr>
            </w:pPr>
          </w:p>
        </w:tc>
        <w:tc>
          <w:tcPr>
            <w:tcW w:w="1980" w:type="dxa"/>
            <w:vAlign w:val="bottom"/>
            <w:tcBorders>
              <w:bottom w:val="single" w:sz="8" w:color="363639"/>
              <w:right w:val="single" w:sz="8" w:color="363639"/>
            </w:tcBorders>
          </w:tcPr>
          <w:p>
            <w:pPr>
              <w:spacing w:after="0"/>
              <w:rPr>
                <w:sz w:val="4"/>
                <w:szCs w:val="4"/>
                <w:color w:val="auto"/>
              </w:rPr>
            </w:pPr>
          </w:p>
        </w:tc>
        <w:tc>
          <w:tcPr>
            <w:tcW w:w="4840" w:type="dxa"/>
            <w:vAlign w:val="bottom"/>
            <w:tcBorders>
              <w:bottom w:val="single" w:sz="8" w:color="363639"/>
              <w:right w:val="single" w:sz="8" w:color="363639"/>
            </w:tcBorders>
          </w:tcPr>
          <w:p>
            <w:pPr>
              <w:spacing w:after="0"/>
              <w:rPr>
                <w:sz w:val="4"/>
                <w:szCs w:val="4"/>
                <w:color w:val="auto"/>
              </w:rPr>
            </w:pPr>
          </w:p>
        </w:tc>
        <w:tc>
          <w:tcPr>
            <w:tcW w:w="2280" w:type="dxa"/>
            <w:vAlign w:val="bottom"/>
          </w:tcPr>
          <w:p>
            <w:pPr>
              <w:spacing w:after="0"/>
              <w:rPr>
                <w:sz w:val="4"/>
                <w:szCs w:val="4"/>
                <w:color w:val="auto"/>
              </w:rPr>
            </w:pPr>
          </w:p>
        </w:tc>
      </w:tr>
      <w:tr>
        <w:trPr>
          <w:trHeight w:val="277"/>
        </w:trPr>
        <w:tc>
          <w:tcPr>
            <w:tcW w:w="2320" w:type="dxa"/>
            <w:vAlign w:val="bottom"/>
            <w:tcBorders>
              <w:right w:val="single" w:sz="8" w:color="363639"/>
            </w:tcBorders>
          </w:tcPr>
          <w:p>
            <w:pPr>
              <w:spacing w:after="0"/>
              <w:rPr>
                <w:sz w:val="24"/>
                <w:szCs w:val="24"/>
                <w:color w:val="auto"/>
              </w:rPr>
            </w:pPr>
          </w:p>
        </w:tc>
        <w:tc>
          <w:tcPr>
            <w:tcW w:w="1980" w:type="dxa"/>
            <w:vAlign w:val="bottom"/>
            <w:tcBorders>
              <w:right w:val="single" w:sz="8" w:color="363639"/>
            </w:tcBorders>
          </w:tcPr>
          <w:p>
            <w:pPr>
              <w:ind w:left="60"/>
              <w:spacing w:after="0"/>
              <w:rPr>
                <w:sz w:val="20"/>
                <w:szCs w:val="20"/>
                <w:color w:val="auto"/>
              </w:rPr>
            </w:pPr>
            <w:r>
              <w:rPr>
                <w:rFonts w:ascii="Arial" w:cs="Arial" w:eastAsia="Arial" w:hAnsi="Arial"/>
                <w:sz w:val="18"/>
                <w:szCs w:val="18"/>
                <w:b w:val="1"/>
                <w:bCs w:val="1"/>
                <w:color w:val="363639"/>
              </w:rPr>
              <w:t>Duration of options</w:t>
            </w:r>
          </w:p>
        </w:tc>
        <w:tc>
          <w:tcPr>
            <w:tcW w:w="4840" w:type="dxa"/>
            <w:vAlign w:val="bottom"/>
            <w:tcBorders>
              <w:right w:val="single" w:sz="8" w:color="363639"/>
            </w:tcBorders>
          </w:tcPr>
          <w:p>
            <w:pPr>
              <w:ind w:left="60"/>
              <w:spacing w:after="0"/>
              <w:rPr>
                <w:sz w:val="20"/>
                <w:szCs w:val="20"/>
                <w:color w:val="auto"/>
              </w:rPr>
            </w:pPr>
            <w:r>
              <w:rPr>
                <w:rFonts w:ascii="Arial" w:cs="Arial" w:eastAsia="Arial" w:hAnsi="Arial"/>
                <w:sz w:val="18"/>
                <w:szCs w:val="18"/>
                <w:color w:val="363639"/>
              </w:rPr>
              <w:t>10.5 years from grant</w:t>
            </w:r>
          </w:p>
        </w:tc>
        <w:tc>
          <w:tcPr>
            <w:tcW w:w="2280" w:type="dxa"/>
            <w:vAlign w:val="bottom"/>
          </w:tcPr>
          <w:p>
            <w:pPr>
              <w:spacing w:after="0"/>
              <w:rPr>
                <w:sz w:val="24"/>
                <w:szCs w:val="24"/>
                <w:color w:val="auto"/>
              </w:rPr>
            </w:pPr>
          </w:p>
        </w:tc>
      </w:tr>
      <w:tr>
        <w:trPr>
          <w:trHeight w:val="54"/>
        </w:trPr>
        <w:tc>
          <w:tcPr>
            <w:tcW w:w="2320" w:type="dxa"/>
            <w:vAlign w:val="bottom"/>
            <w:tcBorders>
              <w:right w:val="single" w:sz="8" w:color="363639"/>
            </w:tcBorders>
          </w:tcPr>
          <w:p>
            <w:pPr>
              <w:spacing w:after="0"/>
              <w:rPr>
                <w:sz w:val="4"/>
                <w:szCs w:val="4"/>
                <w:color w:val="auto"/>
              </w:rPr>
            </w:pPr>
          </w:p>
        </w:tc>
        <w:tc>
          <w:tcPr>
            <w:tcW w:w="1980" w:type="dxa"/>
            <w:vAlign w:val="bottom"/>
            <w:tcBorders>
              <w:bottom w:val="single" w:sz="8" w:color="363639"/>
              <w:right w:val="single" w:sz="8" w:color="363639"/>
            </w:tcBorders>
          </w:tcPr>
          <w:p>
            <w:pPr>
              <w:spacing w:after="0"/>
              <w:rPr>
                <w:sz w:val="4"/>
                <w:szCs w:val="4"/>
                <w:color w:val="auto"/>
              </w:rPr>
            </w:pPr>
          </w:p>
        </w:tc>
        <w:tc>
          <w:tcPr>
            <w:tcW w:w="4840" w:type="dxa"/>
            <w:vAlign w:val="bottom"/>
            <w:tcBorders>
              <w:bottom w:val="single" w:sz="8" w:color="363639"/>
              <w:right w:val="single" w:sz="8" w:color="363639"/>
            </w:tcBorders>
          </w:tcPr>
          <w:p>
            <w:pPr>
              <w:spacing w:after="0"/>
              <w:rPr>
                <w:sz w:val="4"/>
                <w:szCs w:val="4"/>
                <w:color w:val="auto"/>
              </w:rPr>
            </w:pPr>
          </w:p>
        </w:tc>
        <w:tc>
          <w:tcPr>
            <w:tcW w:w="2280" w:type="dxa"/>
            <w:vAlign w:val="bottom"/>
          </w:tcPr>
          <w:p>
            <w:pPr>
              <w:spacing w:after="0"/>
              <w:rPr>
                <w:sz w:val="4"/>
                <w:szCs w:val="4"/>
                <w:color w:val="auto"/>
              </w:rPr>
            </w:pPr>
          </w:p>
        </w:tc>
      </w:tr>
      <w:tr>
        <w:trPr>
          <w:trHeight w:val="263"/>
        </w:trPr>
        <w:tc>
          <w:tcPr>
            <w:tcW w:w="2320" w:type="dxa"/>
            <w:vAlign w:val="bottom"/>
            <w:tcBorders>
              <w:right w:val="single" w:sz="8" w:color="363639"/>
            </w:tcBorders>
          </w:tcPr>
          <w:p>
            <w:pPr>
              <w:spacing w:after="0"/>
              <w:rPr>
                <w:sz w:val="22"/>
                <w:szCs w:val="22"/>
                <w:color w:val="auto"/>
              </w:rPr>
            </w:pPr>
          </w:p>
        </w:tc>
        <w:tc>
          <w:tcPr>
            <w:tcW w:w="1980" w:type="dxa"/>
            <w:vAlign w:val="bottom"/>
            <w:tcBorders>
              <w:right w:val="single" w:sz="8" w:color="363639"/>
            </w:tcBorders>
          </w:tcPr>
          <w:p>
            <w:pPr>
              <w:ind w:left="60"/>
              <w:spacing w:after="0"/>
              <w:rPr>
                <w:sz w:val="20"/>
                <w:szCs w:val="20"/>
                <w:color w:val="auto"/>
              </w:rPr>
            </w:pPr>
            <w:r>
              <w:rPr>
                <w:rFonts w:ascii="Arial" w:cs="Arial" w:eastAsia="Arial" w:hAnsi="Arial"/>
                <w:sz w:val="18"/>
                <w:szCs w:val="18"/>
                <w:b w:val="1"/>
                <w:bCs w:val="1"/>
                <w:color w:val="363639"/>
              </w:rPr>
              <w:t>Lock–up</w:t>
            </w:r>
          </w:p>
        </w:tc>
        <w:tc>
          <w:tcPr>
            <w:tcW w:w="4840" w:type="dxa"/>
            <w:vAlign w:val="bottom"/>
            <w:tcBorders>
              <w:right w:val="single" w:sz="8" w:color="363639"/>
            </w:tcBorders>
          </w:tcPr>
          <w:p>
            <w:pPr>
              <w:ind w:left="60"/>
              <w:spacing w:after="0"/>
              <w:rPr>
                <w:sz w:val="20"/>
                <w:szCs w:val="20"/>
                <w:color w:val="auto"/>
              </w:rPr>
            </w:pPr>
            <w:r>
              <w:rPr>
                <w:rFonts w:ascii="Arial" w:cs="Arial" w:eastAsia="Arial" w:hAnsi="Arial"/>
                <w:sz w:val="18"/>
                <w:szCs w:val="18"/>
                <w:color w:val="363639"/>
              </w:rPr>
              <w:t>4 years from grant. Options may not be exercised for 4</w:t>
            </w:r>
          </w:p>
        </w:tc>
        <w:tc>
          <w:tcPr>
            <w:tcW w:w="2280" w:type="dxa"/>
            <w:vAlign w:val="bottom"/>
          </w:tcPr>
          <w:p>
            <w:pPr>
              <w:spacing w:after="0"/>
              <w:rPr>
                <w:sz w:val="22"/>
                <w:szCs w:val="22"/>
                <w:color w:val="auto"/>
              </w:rPr>
            </w:pPr>
          </w:p>
        </w:tc>
      </w:tr>
      <w:tr>
        <w:trPr>
          <w:trHeight w:val="217"/>
        </w:trPr>
        <w:tc>
          <w:tcPr>
            <w:tcW w:w="2320" w:type="dxa"/>
            <w:vAlign w:val="bottom"/>
            <w:tcBorders>
              <w:right w:val="single" w:sz="8" w:color="363639"/>
            </w:tcBorders>
          </w:tcPr>
          <w:p>
            <w:pPr>
              <w:spacing w:after="0"/>
              <w:rPr>
                <w:sz w:val="18"/>
                <w:szCs w:val="18"/>
                <w:color w:val="auto"/>
              </w:rPr>
            </w:pPr>
          </w:p>
        </w:tc>
        <w:tc>
          <w:tcPr>
            <w:tcW w:w="1980" w:type="dxa"/>
            <w:vAlign w:val="bottom"/>
            <w:tcBorders>
              <w:right w:val="single" w:sz="8" w:color="363639"/>
            </w:tcBorders>
          </w:tcPr>
          <w:p>
            <w:pPr>
              <w:spacing w:after="0"/>
              <w:rPr>
                <w:sz w:val="18"/>
                <w:szCs w:val="18"/>
                <w:color w:val="auto"/>
              </w:rPr>
            </w:pPr>
          </w:p>
        </w:tc>
        <w:tc>
          <w:tcPr>
            <w:tcW w:w="4840" w:type="dxa"/>
            <w:vAlign w:val="bottom"/>
            <w:tcBorders>
              <w:right w:val="single" w:sz="8" w:color="363639"/>
            </w:tcBorders>
          </w:tcPr>
          <w:p>
            <w:pPr>
              <w:ind w:left="60"/>
              <w:spacing w:after="0"/>
              <w:rPr>
                <w:sz w:val="20"/>
                <w:szCs w:val="20"/>
                <w:color w:val="auto"/>
              </w:rPr>
            </w:pPr>
            <w:r>
              <w:rPr>
                <w:rFonts w:ascii="Arial" w:cs="Arial" w:eastAsia="Arial" w:hAnsi="Arial"/>
                <w:sz w:val="18"/>
                <w:szCs w:val="18"/>
                <w:color w:val="363639"/>
              </w:rPr>
              <w:t>years after the date of grant.</w:t>
            </w:r>
          </w:p>
        </w:tc>
        <w:tc>
          <w:tcPr>
            <w:tcW w:w="2280" w:type="dxa"/>
            <w:vAlign w:val="bottom"/>
          </w:tcPr>
          <w:p>
            <w:pPr>
              <w:spacing w:after="0"/>
              <w:rPr>
                <w:sz w:val="18"/>
                <w:szCs w:val="18"/>
                <w:color w:val="auto"/>
              </w:rPr>
            </w:pPr>
          </w:p>
        </w:tc>
      </w:tr>
      <w:tr>
        <w:trPr>
          <w:trHeight w:val="54"/>
        </w:trPr>
        <w:tc>
          <w:tcPr>
            <w:tcW w:w="2320" w:type="dxa"/>
            <w:vAlign w:val="bottom"/>
            <w:tcBorders>
              <w:right w:val="single" w:sz="8" w:color="363639"/>
            </w:tcBorders>
          </w:tcPr>
          <w:p>
            <w:pPr>
              <w:spacing w:after="0"/>
              <w:rPr>
                <w:sz w:val="4"/>
                <w:szCs w:val="4"/>
                <w:color w:val="auto"/>
              </w:rPr>
            </w:pPr>
          </w:p>
        </w:tc>
        <w:tc>
          <w:tcPr>
            <w:tcW w:w="1980" w:type="dxa"/>
            <w:vAlign w:val="bottom"/>
            <w:tcBorders>
              <w:bottom w:val="single" w:sz="8" w:color="363639"/>
              <w:right w:val="single" w:sz="8" w:color="363639"/>
            </w:tcBorders>
          </w:tcPr>
          <w:p>
            <w:pPr>
              <w:spacing w:after="0"/>
              <w:rPr>
                <w:sz w:val="4"/>
                <w:szCs w:val="4"/>
                <w:color w:val="auto"/>
              </w:rPr>
            </w:pPr>
          </w:p>
        </w:tc>
        <w:tc>
          <w:tcPr>
            <w:tcW w:w="4840" w:type="dxa"/>
            <w:vAlign w:val="bottom"/>
            <w:tcBorders>
              <w:bottom w:val="single" w:sz="8" w:color="363639"/>
              <w:right w:val="single" w:sz="8" w:color="363639"/>
            </w:tcBorders>
          </w:tcPr>
          <w:p>
            <w:pPr>
              <w:spacing w:after="0"/>
              <w:rPr>
                <w:sz w:val="4"/>
                <w:szCs w:val="4"/>
                <w:color w:val="auto"/>
              </w:rPr>
            </w:pPr>
          </w:p>
        </w:tc>
        <w:tc>
          <w:tcPr>
            <w:tcW w:w="2280" w:type="dxa"/>
            <w:vAlign w:val="bottom"/>
          </w:tcPr>
          <w:p>
            <w:pPr>
              <w:spacing w:after="0"/>
              <w:rPr>
                <w:sz w:val="4"/>
                <w:szCs w:val="4"/>
                <w:color w:val="auto"/>
              </w:rPr>
            </w:pPr>
          </w:p>
        </w:tc>
      </w:tr>
      <w:tr>
        <w:trPr>
          <w:trHeight w:val="277"/>
        </w:trPr>
        <w:tc>
          <w:tcPr>
            <w:tcW w:w="2320" w:type="dxa"/>
            <w:vAlign w:val="bottom"/>
            <w:tcBorders>
              <w:right w:val="single" w:sz="8" w:color="363639"/>
            </w:tcBorders>
          </w:tcPr>
          <w:p>
            <w:pPr>
              <w:spacing w:after="0"/>
              <w:rPr>
                <w:sz w:val="24"/>
                <w:szCs w:val="24"/>
                <w:color w:val="auto"/>
              </w:rPr>
            </w:pPr>
          </w:p>
        </w:tc>
        <w:tc>
          <w:tcPr>
            <w:tcW w:w="1980" w:type="dxa"/>
            <w:vAlign w:val="bottom"/>
            <w:tcBorders>
              <w:right w:val="single" w:sz="8" w:color="363639"/>
            </w:tcBorders>
          </w:tcPr>
          <w:p>
            <w:pPr>
              <w:ind w:left="60"/>
              <w:spacing w:after="0"/>
              <w:rPr>
                <w:sz w:val="20"/>
                <w:szCs w:val="20"/>
                <w:color w:val="auto"/>
              </w:rPr>
            </w:pPr>
            <w:r>
              <w:rPr>
                <w:rFonts w:ascii="Arial" w:cs="Arial" w:eastAsia="Arial" w:hAnsi="Arial"/>
                <w:sz w:val="18"/>
                <w:szCs w:val="18"/>
                <w:b w:val="1"/>
                <w:bCs w:val="1"/>
                <w:color w:val="363639"/>
              </w:rPr>
              <w:t>Strike Price</w:t>
            </w:r>
          </w:p>
        </w:tc>
        <w:tc>
          <w:tcPr>
            <w:tcW w:w="4840" w:type="dxa"/>
            <w:vAlign w:val="bottom"/>
            <w:tcBorders>
              <w:right w:val="single" w:sz="8" w:color="363639"/>
            </w:tcBorders>
          </w:tcPr>
          <w:p>
            <w:pPr>
              <w:ind w:left="60"/>
              <w:spacing w:after="0"/>
              <w:rPr>
                <w:sz w:val="20"/>
                <w:szCs w:val="20"/>
                <w:color w:val="auto"/>
              </w:rPr>
            </w:pPr>
            <w:r>
              <w:rPr>
                <w:rFonts w:ascii="Arial" w:cs="Arial" w:eastAsia="Arial" w:hAnsi="Arial"/>
                <w:sz w:val="18"/>
                <w:szCs w:val="18"/>
                <w:color w:val="363639"/>
              </w:rPr>
              <w:t>CHF 232.965 (equivalent of EUR 150)</w:t>
            </w:r>
          </w:p>
        </w:tc>
        <w:tc>
          <w:tcPr>
            <w:tcW w:w="2280" w:type="dxa"/>
            <w:vAlign w:val="bottom"/>
          </w:tcPr>
          <w:p>
            <w:pPr>
              <w:spacing w:after="0"/>
              <w:rPr>
                <w:sz w:val="24"/>
                <w:szCs w:val="24"/>
                <w:color w:val="auto"/>
              </w:rPr>
            </w:pPr>
          </w:p>
        </w:tc>
      </w:tr>
      <w:tr>
        <w:trPr>
          <w:trHeight w:val="54"/>
        </w:trPr>
        <w:tc>
          <w:tcPr>
            <w:tcW w:w="2320" w:type="dxa"/>
            <w:vAlign w:val="bottom"/>
            <w:tcBorders>
              <w:right w:val="single" w:sz="8" w:color="363639"/>
            </w:tcBorders>
          </w:tcPr>
          <w:p>
            <w:pPr>
              <w:spacing w:after="0"/>
              <w:rPr>
                <w:sz w:val="4"/>
                <w:szCs w:val="4"/>
                <w:color w:val="auto"/>
              </w:rPr>
            </w:pPr>
          </w:p>
        </w:tc>
        <w:tc>
          <w:tcPr>
            <w:tcW w:w="1980" w:type="dxa"/>
            <w:vAlign w:val="bottom"/>
            <w:tcBorders>
              <w:bottom w:val="single" w:sz="8" w:color="363639"/>
              <w:right w:val="single" w:sz="8" w:color="363639"/>
            </w:tcBorders>
          </w:tcPr>
          <w:p>
            <w:pPr>
              <w:spacing w:after="0"/>
              <w:rPr>
                <w:sz w:val="4"/>
                <w:szCs w:val="4"/>
                <w:color w:val="auto"/>
              </w:rPr>
            </w:pPr>
          </w:p>
        </w:tc>
        <w:tc>
          <w:tcPr>
            <w:tcW w:w="4840" w:type="dxa"/>
            <w:vAlign w:val="bottom"/>
            <w:tcBorders>
              <w:bottom w:val="single" w:sz="8" w:color="363639"/>
              <w:right w:val="single" w:sz="8" w:color="363639"/>
            </w:tcBorders>
          </w:tcPr>
          <w:p>
            <w:pPr>
              <w:spacing w:after="0"/>
              <w:rPr>
                <w:sz w:val="4"/>
                <w:szCs w:val="4"/>
                <w:color w:val="auto"/>
              </w:rPr>
            </w:pPr>
          </w:p>
        </w:tc>
        <w:tc>
          <w:tcPr>
            <w:tcW w:w="2280" w:type="dxa"/>
            <w:vAlign w:val="bottom"/>
          </w:tcPr>
          <w:p>
            <w:pPr>
              <w:spacing w:after="0"/>
              <w:rPr>
                <w:sz w:val="4"/>
                <w:szCs w:val="4"/>
                <w:color w:val="auto"/>
              </w:rPr>
            </w:pPr>
          </w:p>
        </w:tc>
      </w:tr>
      <w:tr>
        <w:trPr>
          <w:trHeight w:val="263"/>
        </w:trPr>
        <w:tc>
          <w:tcPr>
            <w:tcW w:w="2320" w:type="dxa"/>
            <w:vAlign w:val="bottom"/>
            <w:tcBorders>
              <w:right w:val="single" w:sz="8" w:color="363639"/>
            </w:tcBorders>
          </w:tcPr>
          <w:p>
            <w:pPr>
              <w:spacing w:after="0"/>
              <w:rPr>
                <w:sz w:val="22"/>
                <w:szCs w:val="22"/>
                <w:color w:val="auto"/>
              </w:rPr>
            </w:pPr>
          </w:p>
        </w:tc>
        <w:tc>
          <w:tcPr>
            <w:tcW w:w="1980" w:type="dxa"/>
            <w:vAlign w:val="bottom"/>
            <w:tcBorders>
              <w:right w:val="single" w:sz="8" w:color="363639"/>
            </w:tcBorders>
          </w:tcPr>
          <w:p>
            <w:pPr>
              <w:ind w:left="60"/>
              <w:spacing w:after="0"/>
              <w:rPr>
                <w:sz w:val="20"/>
                <w:szCs w:val="20"/>
                <w:color w:val="auto"/>
              </w:rPr>
            </w:pPr>
            <w:r>
              <w:rPr>
                <w:rFonts w:ascii="Arial" w:cs="Arial" w:eastAsia="Arial" w:hAnsi="Arial"/>
                <w:sz w:val="18"/>
                <w:szCs w:val="18"/>
                <w:b w:val="1"/>
                <w:bCs w:val="1"/>
                <w:color w:val="363639"/>
              </w:rPr>
              <w:t>Stock splits</w:t>
            </w:r>
          </w:p>
        </w:tc>
        <w:tc>
          <w:tcPr>
            <w:tcW w:w="4840" w:type="dxa"/>
            <w:vAlign w:val="bottom"/>
            <w:tcBorders>
              <w:right w:val="single" w:sz="8" w:color="363639"/>
            </w:tcBorders>
          </w:tcPr>
          <w:p>
            <w:pPr>
              <w:ind w:left="60"/>
              <w:spacing w:after="0"/>
              <w:rPr>
                <w:sz w:val="20"/>
                <w:szCs w:val="20"/>
                <w:color w:val="auto"/>
              </w:rPr>
            </w:pPr>
            <w:r>
              <w:rPr>
                <w:rFonts w:ascii="Arial" w:cs="Arial" w:eastAsia="Arial" w:hAnsi="Arial"/>
                <w:sz w:val="18"/>
                <w:szCs w:val="18"/>
                <w:color w:val="363639"/>
              </w:rPr>
              <w:t>In case of stock splits, the number of options as well as</w:t>
            </w:r>
          </w:p>
        </w:tc>
        <w:tc>
          <w:tcPr>
            <w:tcW w:w="2280" w:type="dxa"/>
            <w:vAlign w:val="bottom"/>
          </w:tcPr>
          <w:p>
            <w:pPr>
              <w:spacing w:after="0"/>
              <w:rPr>
                <w:sz w:val="22"/>
                <w:szCs w:val="22"/>
                <w:color w:val="auto"/>
              </w:rPr>
            </w:pPr>
          </w:p>
        </w:tc>
      </w:tr>
      <w:tr>
        <w:trPr>
          <w:trHeight w:val="217"/>
        </w:trPr>
        <w:tc>
          <w:tcPr>
            <w:tcW w:w="2320" w:type="dxa"/>
            <w:vAlign w:val="bottom"/>
            <w:tcBorders>
              <w:right w:val="single" w:sz="8" w:color="363639"/>
            </w:tcBorders>
          </w:tcPr>
          <w:p>
            <w:pPr>
              <w:spacing w:after="0"/>
              <w:rPr>
                <w:sz w:val="18"/>
                <w:szCs w:val="18"/>
                <w:color w:val="auto"/>
              </w:rPr>
            </w:pPr>
          </w:p>
        </w:tc>
        <w:tc>
          <w:tcPr>
            <w:tcW w:w="1980" w:type="dxa"/>
            <w:vAlign w:val="bottom"/>
            <w:tcBorders>
              <w:right w:val="single" w:sz="8" w:color="363639"/>
            </w:tcBorders>
          </w:tcPr>
          <w:p>
            <w:pPr>
              <w:spacing w:after="0"/>
              <w:rPr>
                <w:sz w:val="18"/>
                <w:szCs w:val="18"/>
                <w:color w:val="auto"/>
              </w:rPr>
            </w:pPr>
          </w:p>
        </w:tc>
        <w:tc>
          <w:tcPr>
            <w:tcW w:w="4840" w:type="dxa"/>
            <w:vAlign w:val="bottom"/>
            <w:tcBorders>
              <w:right w:val="single" w:sz="8" w:color="363639"/>
            </w:tcBorders>
          </w:tcPr>
          <w:p>
            <w:pPr>
              <w:ind w:left="60"/>
              <w:spacing w:after="0"/>
              <w:rPr>
                <w:sz w:val="20"/>
                <w:szCs w:val="20"/>
                <w:color w:val="auto"/>
              </w:rPr>
            </w:pPr>
            <w:r>
              <w:rPr>
                <w:rFonts w:ascii="Arial" w:cs="Arial" w:eastAsia="Arial" w:hAnsi="Arial"/>
                <w:sz w:val="18"/>
                <w:szCs w:val="18"/>
                <w:color w:val="363639"/>
              </w:rPr>
              <w:t>their strike price are adjusted accordingly.</w:t>
            </w:r>
          </w:p>
        </w:tc>
        <w:tc>
          <w:tcPr>
            <w:tcW w:w="2280" w:type="dxa"/>
            <w:vAlign w:val="bottom"/>
          </w:tcPr>
          <w:p>
            <w:pPr>
              <w:spacing w:after="0"/>
              <w:rPr>
                <w:sz w:val="18"/>
                <w:szCs w:val="18"/>
                <w:color w:val="auto"/>
              </w:rPr>
            </w:pPr>
          </w:p>
        </w:tc>
      </w:tr>
      <w:tr>
        <w:trPr>
          <w:trHeight w:val="54"/>
        </w:trPr>
        <w:tc>
          <w:tcPr>
            <w:tcW w:w="2320" w:type="dxa"/>
            <w:vAlign w:val="bottom"/>
            <w:tcBorders>
              <w:right w:val="single" w:sz="8" w:color="363639"/>
            </w:tcBorders>
          </w:tcPr>
          <w:p>
            <w:pPr>
              <w:spacing w:after="0"/>
              <w:rPr>
                <w:sz w:val="4"/>
                <w:szCs w:val="4"/>
                <w:color w:val="auto"/>
              </w:rPr>
            </w:pPr>
          </w:p>
        </w:tc>
        <w:tc>
          <w:tcPr>
            <w:tcW w:w="1980" w:type="dxa"/>
            <w:vAlign w:val="bottom"/>
            <w:tcBorders>
              <w:bottom w:val="single" w:sz="8" w:color="363639"/>
              <w:right w:val="single" w:sz="8" w:color="363639"/>
            </w:tcBorders>
          </w:tcPr>
          <w:p>
            <w:pPr>
              <w:spacing w:after="0"/>
              <w:rPr>
                <w:sz w:val="4"/>
                <w:szCs w:val="4"/>
                <w:color w:val="auto"/>
              </w:rPr>
            </w:pPr>
          </w:p>
        </w:tc>
        <w:tc>
          <w:tcPr>
            <w:tcW w:w="4840" w:type="dxa"/>
            <w:vAlign w:val="bottom"/>
            <w:tcBorders>
              <w:bottom w:val="single" w:sz="8" w:color="363639"/>
              <w:right w:val="single" w:sz="8" w:color="363639"/>
            </w:tcBorders>
          </w:tcPr>
          <w:p>
            <w:pPr>
              <w:spacing w:after="0"/>
              <w:rPr>
                <w:sz w:val="4"/>
                <w:szCs w:val="4"/>
                <w:color w:val="auto"/>
              </w:rPr>
            </w:pPr>
          </w:p>
        </w:tc>
        <w:tc>
          <w:tcPr>
            <w:tcW w:w="2280" w:type="dxa"/>
            <w:vAlign w:val="bottom"/>
          </w:tcPr>
          <w:p>
            <w:pPr>
              <w:spacing w:after="0"/>
              <w:rPr>
                <w:sz w:val="4"/>
                <w:szCs w:val="4"/>
                <w:color w:val="auto"/>
              </w:rPr>
            </w:pPr>
          </w:p>
        </w:tc>
      </w:tr>
      <w:tr>
        <w:trPr>
          <w:trHeight w:val="263"/>
        </w:trPr>
        <w:tc>
          <w:tcPr>
            <w:tcW w:w="2320" w:type="dxa"/>
            <w:vAlign w:val="bottom"/>
            <w:tcBorders>
              <w:right w:val="single" w:sz="8" w:color="363639"/>
            </w:tcBorders>
          </w:tcPr>
          <w:p>
            <w:pPr>
              <w:spacing w:after="0"/>
              <w:rPr>
                <w:sz w:val="22"/>
                <w:szCs w:val="22"/>
                <w:color w:val="auto"/>
              </w:rPr>
            </w:pPr>
          </w:p>
        </w:tc>
        <w:tc>
          <w:tcPr>
            <w:tcW w:w="1980" w:type="dxa"/>
            <w:vAlign w:val="bottom"/>
            <w:tcBorders>
              <w:right w:val="single" w:sz="8" w:color="363639"/>
            </w:tcBorders>
          </w:tcPr>
          <w:p>
            <w:pPr>
              <w:ind w:left="60"/>
              <w:spacing w:after="0"/>
              <w:rPr>
                <w:sz w:val="20"/>
                <w:szCs w:val="20"/>
                <w:color w:val="auto"/>
              </w:rPr>
            </w:pPr>
            <w:r>
              <w:rPr>
                <w:rFonts w:ascii="Arial" w:cs="Arial" w:eastAsia="Arial" w:hAnsi="Arial"/>
                <w:sz w:val="18"/>
                <w:szCs w:val="18"/>
                <w:b w:val="1"/>
                <w:bCs w:val="1"/>
                <w:color w:val="363639"/>
              </w:rPr>
              <w:t>Restrictions</w:t>
            </w:r>
          </w:p>
        </w:tc>
        <w:tc>
          <w:tcPr>
            <w:tcW w:w="4840" w:type="dxa"/>
            <w:vAlign w:val="bottom"/>
            <w:tcBorders>
              <w:right w:val="single" w:sz="8" w:color="363639"/>
            </w:tcBorders>
          </w:tcPr>
          <w:p>
            <w:pPr>
              <w:ind w:left="60"/>
              <w:spacing w:after="0"/>
              <w:rPr>
                <w:sz w:val="20"/>
                <w:szCs w:val="20"/>
                <w:color w:val="auto"/>
              </w:rPr>
            </w:pPr>
            <w:r>
              <w:rPr>
                <w:rFonts w:ascii="Arial" w:cs="Arial" w:eastAsia="Arial" w:hAnsi="Arial"/>
                <w:sz w:val="18"/>
                <w:szCs w:val="18"/>
                <w:color w:val="363639"/>
              </w:rPr>
              <w:t>To exercise, beneficiaries must adhere to existing</w:t>
            </w:r>
          </w:p>
        </w:tc>
        <w:tc>
          <w:tcPr>
            <w:tcW w:w="2280" w:type="dxa"/>
            <w:vAlign w:val="bottom"/>
          </w:tcPr>
          <w:p>
            <w:pPr>
              <w:spacing w:after="0"/>
              <w:rPr>
                <w:sz w:val="22"/>
                <w:szCs w:val="22"/>
                <w:color w:val="auto"/>
              </w:rPr>
            </w:pPr>
          </w:p>
        </w:tc>
      </w:tr>
      <w:tr>
        <w:trPr>
          <w:trHeight w:val="217"/>
        </w:trPr>
        <w:tc>
          <w:tcPr>
            <w:tcW w:w="2320" w:type="dxa"/>
            <w:vAlign w:val="bottom"/>
            <w:tcBorders>
              <w:right w:val="single" w:sz="8" w:color="363639"/>
            </w:tcBorders>
          </w:tcPr>
          <w:p>
            <w:pPr>
              <w:spacing w:after="0"/>
              <w:rPr>
                <w:sz w:val="18"/>
                <w:szCs w:val="18"/>
                <w:color w:val="auto"/>
              </w:rPr>
            </w:pPr>
          </w:p>
        </w:tc>
        <w:tc>
          <w:tcPr>
            <w:tcW w:w="1980" w:type="dxa"/>
            <w:vAlign w:val="bottom"/>
            <w:tcBorders>
              <w:right w:val="single" w:sz="8" w:color="363639"/>
            </w:tcBorders>
          </w:tcPr>
          <w:p>
            <w:pPr>
              <w:spacing w:after="0"/>
              <w:rPr>
                <w:sz w:val="18"/>
                <w:szCs w:val="18"/>
                <w:color w:val="auto"/>
              </w:rPr>
            </w:pPr>
          </w:p>
        </w:tc>
        <w:tc>
          <w:tcPr>
            <w:tcW w:w="4840" w:type="dxa"/>
            <w:vAlign w:val="bottom"/>
            <w:tcBorders>
              <w:right w:val="single" w:sz="8" w:color="363639"/>
            </w:tcBorders>
          </w:tcPr>
          <w:p>
            <w:pPr>
              <w:ind w:left="60"/>
              <w:spacing w:after="0"/>
              <w:rPr>
                <w:sz w:val="20"/>
                <w:szCs w:val="20"/>
                <w:color w:val="auto"/>
              </w:rPr>
            </w:pPr>
            <w:r>
              <w:rPr>
                <w:rFonts w:ascii="Arial" w:cs="Arial" w:eastAsia="Arial" w:hAnsi="Arial"/>
                <w:sz w:val="18"/>
                <w:szCs w:val="18"/>
                <w:color w:val="363639"/>
              </w:rPr>
              <w:t>shareholders agreement.</w:t>
            </w:r>
          </w:p>
        </w:tc>
        <w:tc>
          <w:tcPr>
            <w:tcW w:w="2280" w:type="dxa"/>
            <w:vAlign w:val="bottom"/>
          </w:tcPr>
          <w:p>
            <w:pPr>
              <w:spacing w:after="0"/>
              <w:rPr>
                <w:sz w:val="18"/>
                <w:szCs w:val="18"/>
                <w:color w:val="auto"/>
              </w:rPr>
            </w:pPr>
          </w:p>
        </w:tc>
      </w:tr>
      <w:tr>
        <w:trPr>
          <w:trHeight w:val="405"/>
        </w:trPr>
        <w:tc>
          <w:tcPr>
            <w:tcW w:w="2320" w:type="dxa"/>
            <w:vAlign w:val="bottom"/>
            <w:tcBorders>
              <w:right w:val="single" w:sz="8" w:color="363639"/>
            </w:tcBorders>
          </w:tcPr>
          <w:p>
            <w:pPr>
              <w:spacing w:after="0"/>
              <w:rPr>
                <w:sz w:val="24"/>
                <w:szCs w:val="24"/>
                <w:color w:val="auto"/>
              </w:rPr>
            </w:pPr>
          </w:p>
        </w:tc>
        <w:tc>
          <w:tcPr>
            <w:tcW w:w="1980" w:type="dxa"/>
            <w:vAlign w:val="bottom"/>
            <w:tcBorders>
              <w:right w:val="single" w:sz="8" w:color="363639"/>
            </w:tcBorders>
          </w:tcPr>
          <w:p>
            <w:pPr>
              <w:spacing w:after="0"/>
              <w:rPr>
                <w:sz w:val="24"/>
                <w:szCs w:val="24"/>
                <w:color w:val="auto"/>
              </w:rPr>
            </w:pPr>
          </w:p>
        </w:tc>
        <w:tc>
          <w:tcPr>
            <w:tcW w:w="4840" w:type="dxa"/>
            <w:vAlign w:val="bottom"/>
            <w:tcBorders>
              <w:right w:val="single" w:sz="8" w:color="363639"/>
            </w:tcBorders>
          </w:tcPr>
          <w:p>
            <w:pPr>
              <w:ind w:left="60"/>
              <w:spacing w:after="0"/>
              <w:rPr>
                <w:sz w:val="20"/>
                <w:szCs w:val="20"/>
                <w:color w:val="auto"/>
              </w:rPr>
            </w:pPr>
            <w:r>
              <w:rPr>
                <w:rFonts w:ascii="Arial" w:cs="Arial" w:eastAsia="Arial" w:hAnsi="Arial"/>
                <w:sz w:val="18"/>
                <w:szCs w:val="18"/>
                <w:color w:val="363639"/>
              </w:rPr>
              <w:t>Options are personal, not transferable.</w:t>
            </w:r>
          </w:p>
        </w:tc>
        <w:tc>
          <w:tcPr>
            <w:tcW w:w="2280" w:type="dxa"/>
            <w:vAlign w:val="bottom"/>
          </w:tcPr>
          <w:p>
            <w:pPr>
              <w:spacing w:after="0"/>
              <w:rPr>
                <w:sz w:val="24"/>
                <w:szCs w:val="24"/>
                <w:color w:val="auto"/>
              </w:rPr>
            </w:pPr>
          </w:p>
        </w:tc>
      </w:tr>
      <w:tr>
        <w:trPr>
          <w:trHeight w:val="54"/>
        </w:trPr>
        <w:tc>
          <w:tcPr>
            <w:tcW w:w="2320" w:type="dxa"/>
            <w:vAlign w:val="bottom"/>
            <w:tcBorders>
              <w:right w:val="single" w:sz="8" w:color="363639"/>
            </w:tcBorders>
          </w:tcPr>
          <w:p>
            <w:pPr>
              <w:spacing w:after="0"/>
              <w:rPr>
                <w:sz w:val="4"/>
                <w:szCs w:val="4"/>
                <w:color w:val="auto"/>
              </w:rPr>
            </w:pPr>
          </w:p>
        </w:tc>
        <w:tc>
          <w:tcPr>
            <w:tcW w:w="1980" w:type="dxa"/>
            <w:vAlign w:val="bottom"/>
            <w:tcBorders>
              <w:bottom w:val="single" w:sz="8" w:color="363639"/>
              <w:right w:val="single" w:sz="8" w:color="363639"/>
            </w:tcBorders>
          </w:tcPr>
          <w:p>
            <w:pPr>
              <w:spacing w:after="0"/>
              <w:rPr>
                <w:sz w:val="4"/>
                <w:szCs w:val="4"/>
                <w:color w:val="auto"/>
              </w:rPr>
            </w:pPr>
          </w:p>
        </w:tc>
        <w:tc>
          <w:tcPr>
            <w:tcW w:w="4840" w:type="dxa"/>
            <w:vAlign w:val="bottom"/>
            <w:tcBorders>
              <w:bottom w:val="single" w:sz="8" w:color="363639"/>
              <w:right w:val="single" w:sz="8" w:color="363639"/>
            </w:tcBorders>
          </w:tcPr>
          <w:p>
            <w:pPr>
              <w:spacing w:after="0"/>
              <w:rPr>
                <w:sz w:val="4"/>
                <w:szCs w:val="4"/>
                <w:color w:val="auto"/>
              </w:rPr>
            </w:pPr>
          </w:p>
        </w:tc>
        <w:tc>
          <w:tcPr>
            <w:tcW w:w="2280" w:type="dxa"/>
            <w:vAlign w:val="bottom"/>
          </w:tcPr>
          <w:p>
            <w:pPr>
              <w:spacing w:after="0"/>
              <w:rPr>
                <w:sz w:val="4"/>
                <w:szCs w:val="4"/>
                <w:color w:val="auto"/>
              </w:rPr>
            </w:pPr>
          </w:p>
        </w:tc>
      </w:tr>
      <w:tr>
        <w:trPr>
          <w:trHeight w:val="263"/>
        </w:trPr>
        <w:tc>
          <w:tcPr>
            <w:tcW w:w="2320" w:type="dxa"/>
            <w:vAlign w:val="bottom"/>
            <w:tcBorders>
              <w:right w:val="single" w:sz="8" w:color="363639"/>
            </w:tcBorders>
          </w:tcPr>
          <w:p>
            <w:pPr>
              <w:spacing w:after="0"/>
              <w:rPr>
                <w:sz w:val="22"/>
                <w:szCs w:val="22"/>
                <w:color w:val="auto"/>
              </w:rPr>
            </w:pPr>
          </w:p>
        </w:tc>
        <w:tc>
          <w:tcPr>
            <w:tcW w:w="1980" w:type="dxa"/>
            <w:vAlign w:val="bottom"/>
            <w:tcBorders>
              <w:right w:val="single" w:sz="8" w:color="363639"/>
            </w:tcBorders>
          </w:tcPr>
          <w:p>
            <w:pPr>
              <w:ind w:left="60"/>
              <w:spacing w:after="0"/>
              <w:rPr>
                <w:sz w:val="20"/>
                <w:szCs w:val="20"/>
                <w:color w:val="auto"/>
              </w:rPr>
            </w:pPr>
            <w:r>
              <w:rPr>
                <w:rFonts w:ascii="Arial" w:cs="Arial" w:eastAsia="Arial" w:hAnsi="Arial"/>
                <w:sz w:val="18"/>
                <w:szCs w:val="18"/>
                <w:b w:val="1"/>
                <w:bCs w:val="1"/>
                <w:color w:val="363639"/>
              </w:rPr>
              <w:t>Cancellation Right</w:t>
            </w:r>
          </w:p>
        </w:tc>
        <w:tc>
          <w:tcPr>
            <w:tcW w:w="4840" w:type="dxa"/>
            <w:vAlign w:val="bottom"/>
            <w:tcBorders>
              <w:right w:val="single" w:sz="8" w:color="363639"/>
            </w:tcBorders>
          </w:tcPr>
          <w:p>
            <w:pPr>
              <w:ind w:left="60"/>
              <w:spacing w:after="0"/>
              <w:rPr>
                <w:sz w:val="20"/>
                <w:szCs w:val="20"/>
                <w:color w:val="auto"/>
              </w:rPr>
            </w:pPr>
            <w:r>
              <w:rPr>
                <w:rFonts w:ascii="Arial" w:cs="Arial" w:eastAsia="Arial" w:hAnsi="Arial"/>
                <w:sz w:val="18"/>
                <w:szCs w:val="18"/>
                <w:color w:val="363639"/>
              </w:rPr>
              <w:t>Cancellation right by the Company in case of a Majority</w:t>
            </w:r>
          </w:p>
        </w:tc>
        <w:tc>
          <w:tcPr>
            <w:tcW w:w="2280" w:type="dxa"/>
            <w:vAlign w:val="bottom"/>
          </w:tcPr>
          <w:p>
            <w:pPr>
              <w:spacing w:after="0"/>
              <w:rPr>
                <w:sz w:val="22"/>
                <w:szCs w:val="22"/>
                <w:color w:val="auto"/>
              </w:rPr>
            </w:pPr>
          </w:p>
        </w:tc>
      </w:tr>
      <w:tr>
        <w:trPr>
          <w:trHeight w:val="217"/>
        </w:trPr>
        <w:tc>
          <w:tcPr>
            <w:tcW w:w="2320" w:type="dxa"/>
            <w:vAlign w:val="bottom"/>
            <w:tcBorders>
              <w:right w:val="single" w:sz="8" w:color="363639"/>
            </w:tcBorders>
          </w:tcPr>
          <w:p>
            <w:pPr>
              <w:spacing w:after="0"/>
              <w:rPr>
                <w:sz w:val="18"/>
                <w:szCs w:val="18"/>
                <w:color w:val="auto"/>
              </w:rPr>
            </w:pPr>
          </w:p>
        </w:tc>
        <w:tc>
          <w:tcPr>
            <w:tcW w:w="1980" w:type="dxa"/>
            <w:vAlign w:val="bottom"/>
            <w:tcBorders>
              <w:right w:val="single" w:sz="8" w:color="363639"/>
            </w:tcBorders>
          </w:tcPr>
          <w:p>
            <w:pPr>
              <w:spacing w:after="0"/>
              <w:rPr>
                <w:sz w:val="18"/>
                <w:szCs w:val="18"/>
                <w:color w:val="auto"/>
              </w:rPr>
            </w:pPr>
          </w:p>
        </w:tc>
        <w:tc>
          <w:tcPr>
            <w:tcW w:w="4840" w:type="dxa"/>
            <w:vAlign w:val="bottom"/>
            <w:tcBorders>
              <w:right w:val="single" w:sz="8" w:color="363639"/>
            </w:tcBorders>
          </w:tcPr>
          <w:p>
            <w:pPr>
              <w:ind w:left="60"/>
              <w:spacing w:after="0"/>
              <w:rPr>
                <w:sz w:val="20"/>
                <w:szCs w:val="20"/>
                <w:color w:val="auto"/>
              </w:rPr>
            </w:pPr>
            <w:r>
              <w:rPr>
                <w:rFonts w:ascii="Arial" w:cs="Arial" w:eastAsia="Arial" w:hAnsi="Arial"/>
                <w:sz w:val="18"/>
                <w:szCs w:val="18"/>
                <w:color w:val="363639"/>
              </w:rPr>
              <w:t>Transfer in exchange of market value of option.</w:t>
            </w:r>
          </w:p>
        </w:tc>
        <w:tc>
          <w:tcPr>
            <w:tcW w:w="2280" w:type="dxa"/>
            <w:vAlign w:val="bottom"/>
          </w:tcPr>
          <w:p>
            <w:pPr>
              <w:spacing w:after="0"/>
              <w:rPr>
                <w:sz w:val="18"/>
                <w:szCs w:val="18"/>
                <w:color w:val="auto"/>
              </w:rPr>
            </w:pPr>
          </w:p>
        </w:tc>
      </w:tr>
      <w:tr>
        <w:trPr>
          <w:trHeight w:val="54"/>
        </w:trPr>
        <w:tc>
          <w:tcPr>
            <w:tcW w:w="2320" w:type="dxa"/>
            <w:vAlign w:val="bottom"/>
            <w:tcBorders>
              <w:right w:val="single" w:sz="8" w:color="363639"/>
            </w:tcBorders>
          </w:tcPr>
          <w:p>
            <w:pPr>
              <w:spacing w:after="0"/>
              <w:rPr>
                <w:sz w:val="4"/>
                <w:szCs w:val="4"/>
                <w:color w:val="auto"/>
              </w:rPr>
            </w:pPr>
          </w:p>
        </w:tc>
        <w:tc>
          <w:tcPr>
            <w:tcW w:w="1980" w:type="dxa"/>
            <w:vAlign w:val="bottom"/>
            <w:tcBorders>
              <w:bottom w:val="single" w:sz="8" w:color="363639"/>
              <w:right w:val="single" w:sz="8" w:color="363639"/>
            </w:tcBorders>
          </w:tcPr>
          <w:p>
            <w:pPr>
              <w:spacing w:after="0"/>
              <w:rPr>
                <w:sz w:val="4"/>
                <w:szCs w:val="4"/>
                <w:color w:val="auto"/>
              </w:rPr>
            </w:pPr>
          </w:p>
        </w:tc>
        <w:tc>
          <w:tcPr>
            <w:tcW w:w="4840" w:type="dxa"/>
            <w:vAlign w:val="bottom"/>
            <w:tcBorders>
              <w:bottom w:val="single" w:sz="8" w:color="363639"/>
              <w:right w:val="single" w:sz="8" w:color="363639"/>
            </w:tcBorders>
          </w:tcPr>
          <w:p>
            <w:pPr>
              <w:spacing w:after="0"/>
              <w:rPr>
                <w:sz w:val="4"/>
                <w:szCs w:val="4"/>
                <w:color w:val="auto"/>
              </w:rPr>
            </w:pPr>
          </w:p>
        </w:tc>
        <w:tc>
          <w:tcPr>
            <w:tcW w:w="2280" w:type="dxa"/>
            <w:vAlign w:val="bottom"/>
          </w:tcPr>
          <w:p>
            <w:pPr>
              <w:spacing w:after="0"/>
              <w:rPr>
                <w:sz w:val="4"/>
                <w:szCs w:val="4"/>
                <w:color w:val="auto"/>
              </w:rPr>
            </w:pPr>
          </w:p>
        </w:tc>
      </w:tr>
      <w:tr>
        <w:trPr>
          <w:trHeight w:val="345"/>
        </w:trPr>
        <w:tc>
          <w:tcPr>
            <w:tcW w:w="2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5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color w:val="auto"/>
        </w:rPr>
        <w:t>2</w:t>
      </w: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363639"/>
        </w:rPr>
        <w:t>STOCK OPTION PLAN REGULATION 2003/2004</w:t>
      </w: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363639"/>
        </w:rPr>
        <w:t>of AC Immunne Ltd</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363639"/>
        </w:rPr>
        <w:t>("the Company")</w:t>
      </w:r>
    </w:p>
    <w:p>
      <w:pPr>
        <w:spacing w:after="0" w:line="176" w:lineRule="exact"/>
        <w:rPr>
          <w:sz w:val="20"/>
          <w:szCs w:val="20"/>
          <w:color w:val="auto"/>
        </w:rPr>
      </w:pPr>
    </w:p>
    <w:p>
      <w:pPr>
        <w:ind w:left="760" w:hanging="751"/>
        <w:spacing w:after="0"/>
        <w:tabs>
          <w:tab w:leader="none" w:pos="760" w:val="left"/>
        </w:tabs>
        <w:numPr>
          <w:ilvl w:val="0"/>
          <w:numId w:val="63"/>
        </w:numPr>
        <w:rPr>
          <w:rFonts w:ascii="Arial" w:cs="Arial" w:eastAsia="Arial" w:hAnsi="Arial"/>
          <w:sz w:val="18"/>
          <w:szCs w:val="18"/>
          <w:b w:val="1"/>
          <w:bCs w:val="1"/>
          <w:color w:val="363639"/>
        </w:rPr>
      </w:pPr>
      <w:r>
        <w:rPr>
          <w:rFonts w:ascii="Arial" w:cs="Arial" w:eastAsia="Arial" w:hAnsi="Arial"/>
          <w:sz w:val="18"/>
          <w:szCs w:val="18"/>
          <w:b w:val="1"/>
          <w:bCs w:val="1"/>
          <w:color w:val="363639"/>
        </w:rPr>
        <w:t>PURPOSE, ADMINISTRATION, ELIGIBILITY</w:t>
      </w:r>
    </w:p>
    <w:p>
      <w:pPr>
        <w:spacing w:after="0" w:line="198" w:lineRule="exact"/>
        <w:rPr>
          <w:sz w:val="20"/>
          <w:szCs w:val="20"/>
          <w:color w:val="auto"/>
        </w:rPr>
      </w:pPr>
    </w:p>
    <w:p>
      <w:pPr>
        <w:ind w:left="760" w:hanging="751"/>
        <w:spacing w:after="0"/>
        <w:tabs>
          <w:tab w:leader="none" w:pos="760" w:val="left"/>
        </w:tabs>
        <w:numPr>
          <w:ilvl w:val="0"/>
          <w:numId w:val="64"/>
        </w:numPr>
        <w:rPr>
          <w:rFonts w:ascii="Arial" w:cs="Arial" w:eastAsia="Arial" w:hAnsi="Arial"/>
          <w:sz w:val="18"/>
          <w:szCs w:val="18"/>
          <w:b w:val="1"/>
          <w:bCs w:val="1"/>
          <w:color w:val="363639"/>
        </w:rPr>
      </w:pPr>
      <w:r>
        <w:rPr>
          <w:rFonts w:ascii="Arial" w:cs="Arial" w:eastAsia="Arial" w:hAnsi="Arial"/>
          <w:sz w:val="18"/>
          <w:szCs w:val="18"/>
          <w:b w:val="1"/>
          <w:bCs w:val="1"/>
          <w:color w:val="363639"/>
        </w:rPr>
        <w:t>Purpose of the Plan</w:t>
      </w:r>
    </w:p>
    <w:p>
      <w:pPr>
        <w:spacing w:after="0" w:line="220" w:lineRule="exact"/>
        <w:rPr>
          <w:rFonts w:ascii="Arial" w:cs="Arial" w:eastAsia="Arial" w:hAnsi="Arial"/>
          <w:sz w:val="18"/>
          <w:szCs w:val="18"/>
          <w:b w:val="1"/>
          <w:bCs w:val="1"/>
          <w:color w:val="363639"/>
        </w:rPr>
      </w:pPr>
    </w:p>
    <w:p>
      <w:pPr>
        <w:jc w:val="both"/>
        <w:ind w:left="780" w:right="60"/>
        <w:spacing w:after="0"/>
        <w:rPr>
          <w:rFonts w:ascii="Arial" w:cs="Arial" w:eastAsia="Arial" w:hAnsi="Arial"/>
          <w:sz w:val="18"/>
          <w:szCs w:val="18"/>
          <w:b w:val="1"/>
          <w:bCs w:val="1"/>
          <w:color w:val="363639"/>
        </w:rPr>
      </w:pPr>
      <w:r>
        <w:rPr>
          <w:rFonts w:ascii="Arial" w:cs="Arial" w:eastAsia="Arial" w:hAnsi="Arial"/>
          <w:sz w:val="18"/>
          <w:szCs w:val="18"/>
          <w:color w:val="363639"/>
        </w:rPr>
        <w:t>This Stock Option Plan Regulation lays out the details for the options which are granted to promote the interests of the Company by providing eligible with the opportunity to acquire a proprietary interest in the Company as an incentive for them to remain in the service of the Company.</w:t>
      </w:r>
    </w:p>
    <w:p>
      <w:pPr>
        <w:spacing w:after="0" w:line="167" w:lineRule="exact"/>
        <w:rPr>
          <w:rFonts w:ascii="Arial" w:cs="Arial" w:eastAsia="Arial" w:hAnsi="Arial"/>
          <w:sz w:val="18"/>
          <w:szCs w:val="18"/>
          <w:b w:val="1"/>
          <w:bCs w:val="1"/>
          <w:color w:val="363639"/>
        </w:rPr>
      </w:pPr>
    </w:p>
    <w:p>
      <w:pPr>
        <w:ind w:left="760" w:hanging="751"/>
        <w:spacing w:after="0"/>
        <w:tabs>
          <w:tab w:leader="none" w:pos="760" w:val="left"/>
        </w:tabs>
        <w:numPr>
          <w:ilvl w:val="0"/>
          <w:numId w:val="64"/>
        </w:numPr>
        <w:rPr>
          <w:rFonts w:ascii="Arial" w:cs="Arial" w:eastAsia="Arial" w:hAnsi="Arial"/>
          <w:sz w:val="18"/>
          <w:szCs w:val="18"/>
          <w:b w:val="1"/>
          <w:bCs w:val="1"/>
          <w:color w:val="363639"/>
        </w:rPr>
      </w:pPr>
      <w:r>
        <w:rPr>
          <w:rFonts w:ascii="Arial" w:cs="Arial" w:eastAsia="Arial" w:hAnsi="Arial"/>
          <w:sz w:val="18"/>
          <w:szCs w:val="18"/>
          <w:b w:val="1"/>
          <w:bCs w:val="1"/>
          <w:color w:val="363639"/>
        </w:rPr>
        <w:t>Definitions</w:t>
      </w:r>
    </w:p>
    <w:p>
      <w:pPr>
        <w:spacing w:after="0" w:line="220" w:lineRule="exact"/>
        <w:rPr>
          <w:rFonts w:ascii="Arial" w:cs="Arial" w:eastAsia="Arial" w:hAnsi="Arial"/>
          <w:sz w:val="18"/>
          <w:szCs w:val="18"/>
          <w:b w:val="1"/>
          <w:bCs w:val="1"/>
          <w:color w:val="363639"/>
        </w:rPr>
      </w:pPr>
    </w:p>
    <w:p>
      <w:pPr>
        <w:ind w:left="780" w:right="6280"/>
        <w:spacing w:after="0" w:line="457" w:lineRule="auto"/>
        <w:rPr>
          <w:rFonts w:ascii="Arial" w:cs="Arial" w:eastAsia="Arial" w:hAnsi="Arial"/>
          <w:sz w:val="18"/>
          <w:szCs w:val="18"/>
          <w:b w:val="1"/>
          <w:bCs w:val="1"/>
          <w:color w:val="363639"/>
        </w:rPr>
      </w:pPr>
      <w:r>
        <w:rPr>
          <w:rFonts w:ascii="Arial" w:cs="Arial" w:eastAsia="Arial" w:hAnsi="Arial"/>
          <w:sz w:val="18"/>
          <w:szCs w:val="18"/>
          <w:color w:val="363639"/>
        </w:rPr>
        <w:t xml:space="preserve">The terms herein shall have the following meaning: </w:t>
      </w:r>
      <w:r>
        <w:rPr>
          <w:rFonts w:ascii="Arial" w:cs="Arial" w:eastAsia="Arial" w:hAnsi="Arial"/>
          <w:sz w:val="18"/>
          <w:szCs w:val="18"/>
          <w:b w:val="1"/>
          <w:bCs w:val="1"/>
          <w:color w:val="363639"/>
        </w:rPr>
        <w:t xml:space="preserve">Board </w:t>
      </w:r>
      <w:r>
        <w:rPr>
          <w:rFonts w:ascii="Arial" w:cs="Arial" w:eastAsia="Arial" w:hAnsi="Arial"/>
          <w:sz w:val="18"/>
          <w:szCs w:val="18"/>
          <w:color w:val="363639"/>
        </w:rPr>
        <w:t>shall mean the Company's Board of Directors.</w:t>
      </w:r>
    </w:p>
    <w:p>
      <w:pPr>
        <w:ind w:left="780" w:right="4140"/>
        <w:spacing w:after="0" w:line="469" w:lineRule="auto"/>
        <w:rPr>
          <w:rFonts w:ascii="Arial" w:cs="Arial" w:eastAsia="Arial" w:hAnsi="Arial"/>
          <w:sz w:val="18"/>
          <w:szCs w:val="18"/>
          <w:b w:val="1"/>
          <w:bCs w:val="1"/>
          <w:color w:val="363639"/>
        </w:rPr>
      </w:pPr>
      <w:r>
        <w:rPr>
          <w:rFonts w:ascii="Arial" w:cs="Arial" w:eastAsia="Arial" w:hAnsi="Arial"/>
          <w:sz w:val="18"/>
          <w:szCs w:val="18"/>
          <w:b w:val="1"/>
          <w:bCs w:val="1"/>
          <w:color w:val="363639"/>
        </w:rPr>
        <w:t xml:space="preserve">Cause </w:t>
      </w:r>
      <w:r>
        <w:rPr>
          <w:rFonts w:ascii="Arial" w:cs="Arial" w:eastAsia="Arial" w:hAnsi="Arial"/>
          <w:sz w:val="18"/>
          <w:szCs w:val="18"/>
          <w:color w:val="363639"/>
        </w:rPr>
        <w:t>shall mean a termination for cause in the sense of article 337 para 1 CO.</w:t>
      </w:r>
      <w:r>
        <w:rPr>
          <w:rFonts w:ascii="Arial" w:cs="Arial" w:eastAsia="Arial" w:hAnsi="Arial"/>
          <w:sz w:val="18"/>
          <w:szCs w:val="18"/>
          <w:b w:val="1"/>
          <w:bCs w:val="1"/>
          <w:color w:val="363639"/>
        </w:rPr>
        <w:t xml:space="preserve"> Common Stock </w:t>
      </w:r>
      <w:r>
        <w:rPr>
          <w:rFonts w:ascii="Arial" w:cs="Arial" w:eastAsia="Arial" w:hAnsi="Arial"/>
          <w:sz w:val="18"/>
          <w:szCs w:val="18"/>
          <w:color w:val="363639"/>
        </w:rPr>
        <w:t>shall mean all voting shares of CHF 5.- each of the Company.</w:t>
      </w:r>
      <w:r>
        <w:rPr>
          <w:rFonts w:ascii="Arial" w:cs="Arial" w:eastAsia="Arial" w:hAnsi="Arial"/>
          <w:sz w:val="18"/>
          <w:szCs w:val="18"/>
          <w:b w:val="1"/>
          <w:bCs w:val="1"/>
          <w:color w:val="363639"/>
        </w:rPr>
        <w:t xml:space="preserve"> Company </w:t>
      </w:r>
      <w:r>
        <w:rPr>
          <w:rFonts w:ascii="Arial" w:cs="Arial" w:eastAsia="Arial" w:hAnsi="Arial"/>
          <w:sz w:val="18"/>
          <w:szCs w:val="18"/>
          <w:color w:val="363639"/>
        </w:rPr>
        <w:t>shall mean AC Immune Ltd, a Swiss corporation.</w:t>
      </w:r>
    </w:p>
    <w:p>
      <w:pPr>
        <w:spacing w:after="0" w:line="2" w:lineRule="exact"/>
        <w:rPr>
          <w:rFonts w:ascii="Arial" w:cs="Arial" w:eastAsia="Arial" w:hAnsi="Arial"/>
          <w:sz w:val="18"/>
          <w:szCs w:val="18"/>
          <w:b w:val="1"/>
          <w:bCs w:val="1"/>
          <w:color w:val="363639"/>
        </w:rPr>
      </w:pPr>
    </w:p>
    <w:p>
      <w:pPr>
        <w:jc w:val="both"/>
        <w:ind w:left="780" w:right="60"/>
        <w:spacing w:after="0" w:line="253" w:lineRule="auto"/>
        <w:rPr>
          <w:rFonts w:ascii="Arial" w:cs="Arial" w:eastAsia="Arial" w:hAnsi="Arial"/>
          <w:sz w:val="18"/>
          <w:szCs w:val="18"/>
          <w:b w:val="1"/>
          <w:bCs w:val="1"/>
          <w:color w:val="363639"/>
        </w:rPr>
      </w:pPr>
      <w:r>
        <w:rPr>
          <w:rFonts w:ascii="Arial" w:cs="Arial" w:eastAsia="Arial" w:hAnsi="Arial"/>
          <w:sz w:val="18"/>
          <w:szCs w:val="18"/>
          <w:b w:val="1"/>
          <w:bCs w:val="1"/>
          <w:color w:val="363639"/>
        </w:rPr>
        <w:t>Employe</w:t>
      </w:r>
      <w:r>
        <w:rPr>
          <w:rFonts w:ascii="Arial" w:cs="Arial" w:eastAsia="Arial" w:hAnsi="Arial"/>
          <w:sz w:val="18"/>
          <w:szCs w:val="18"/>
          <w:color w:val="363639"/>
        </w:rPr>
        <w:t>e shall mean an individual who is in a employment relationship of the Company (or any Affiliate or Subsidiary), subject to</w:t>
      </w:r>
      <w:r>
        <w:rPr>
          <w:rFonts w:ascii="Arial" w:cs="Arial" w:eastAsia="Arial" w:hAnsi="Arial"/>
          <w:sz w:val="18"/>
          <w:szCs w:val="18"/>
          <w:b w:val="1"/>
          <w:bCs w:val="1"/>
          <w:color w:val="363639"/>
        </w:rPr>
        <w:t xml:space="preserve"> </w:t>
      </w:r>
      <w:r>
        <w:rPr>
          <w:rFonts w:ascii="Arial" w:cs="Arial" w:eastAsia="Arial" w:hAnsi="Arial"/>
          <w:sz w:val="18"/>
          <w:szCs w:val="18"/>
          <w:color w:val="363639"/>
        </w:rPr>
        <w:t>the control and direction of the employer entity as to both the work to be performed and the manner and method of performance. Consultants shall be treated as Employees for the purpose of this plan.</w:t>
      </w:r>
    </w:p>
    <w:p>
      <w:pPr>
        <w:spacing w:after="0" w:line="155" w:lineRule="exact"/>
        <w:rPr>
          <w:rFonts w:ascii="Arial" w:cs="Arial" w:eastAsia="Arial" w:hAnsi="Arial"/>
          <w:sz w:val="18"/>
          <w:szCs w:val="18"/>
          <w:b w:val="1"/>
          <w:bCs w:val="1"/>
          <w:color w:val="363639"/>
        </w:rPr>
      </w:pPr>
    </w:p>
    <w:p>
      <w:pPr>
        <w:ind w:left="780" w:right="1320"/>
        <w:spacing w:after="0" w:line="469" w:lineRule="auto"/>
        <w:rPr>
          <w:rFonts w:ascii="Arial" w:cs="Arial" w:eastAsia="Arial" w:hAnsi="Arial"/>
          <w:sz w:val="18"/>
          <w:szCs w:val="18"/>
          <w:b w:val="1"/>
          <w:bCs w:val="1"/>
          <w:color w:val="363639"/>
        </w:rPr>
      </w:pPr>
      <w:r>
        <w:rPr>
          <w:rFonts w:ascii="Arial" w:cs="Arial" w:eastAsia="Arial" w:hAnsi="Arial"/>
          <w:sz w:val="18"/>
          <w:szCs w:val="18"/>
          <w:b w:val="1"/>
          <w:bCs w:val="1"/>
          <w:color w:val="363639"/>
        </w:rPr>
        <w:t xml:space="preserve">Exercise Date </w:t>
      </w:r>
      <w:r>
        <w:rPr>
          <w:rFonts w:ascii="Arial" w:cs="Arial" w:eastAsia="Arial" w:hAnsi="Arial"/>
          <w:sz w:val="18"/>
          <w:szCs w:val="18"/>
          <w:color w:val="363639"/>
        </w:rPr>
        <w:t>shall mean the date on which the Company shall have received written notice of the option exercise.</w:t>
      </w:r>
      <w:r>
        <w:rPr>
          <w:rFonts w:ascii="Arial" w:cs="Arial" w:eastAsia="Arial" w:hAnsi="Arial"/>
          <w:sz w:val="18"/>
          <w:szCs w:val="18"/>
          <w:b w:val="1"/>
          <w:bCs w:val="1"/>
          <w:color w:val="363639"/>
        </w:rPr>
        <w:t xml:space="preserve"> Expiration Date </w:t>
      </w:r>
      <w:r>
        <w:rPr>
          <w:rFonts w:ascii="Arial" w:cs="Arial" w:eastAsia="Arial" w:hAnsi="Arial"/>
          <w:sz w:val="18"/>
          <w:szCs w:val="18"/>
          <w:color w:val="363639"/>
        </w:rPr>
        <w:t>shall mean the date indicated in the Grant Notice.</w:t>
      </w:r>
    </w:p>
    <w:p>
      <w:pPr>
        <w:spacing w:after="0" w:line="1" w:lineRule="exact"/>
        <w:rPr>
          <w:rFonts w:ascii="Arial" w:cs="Arial" w:eastAsia="Arial" w:hAnsi="Arial"/>
          <w:sz w:val="18"/>
          <w:szCs w:val="18"/>
          <w:b w:val="1"/>
          <w:bCs w:val="1"/>
          <w:color w:val="363639"/>
        </w:rPr>
      </w:pPr>
    </w:p>
    <w:p>
      <w:pPr>
        <w:ind w:left="780"/>
        <w:spacing w:after="0"/>
        <w:rPr>
          <w:rFonts w:ascii="Arial" w:cs="Arial" w:eastAsia="Arial" w:hAnsi="Arial"/>
          <w:sz w:val="18"/>
          <w:szCs w:val="18"/>
          <w:b w:val="1"/>
          <w:bCs w:val="1"/>
          <w:color w:val="363639"/>
        </w:rPr>
      </w:pPr>
      <w:r>
        <w:rPr>
          <w:rFonts w:ascii="Arial" w:cs="Arial" w:eastAsia="Arial" w:hAnsi="Arial"/>
          <w:sz w:val="18"/>
          <w:szCs w:val="18"/>
          <w:b w:val="1"/>
          <w:bCs w:val="1"/>
          <w:color w:val="363639"/>
        </w:rPr>
        <w:t xml:space="preserve">Fair Market Value </w:t>
      </w:r>
      <w:r>
        <w:rPr>
          <w:rFonts w:ascii="Arial" w:cs="Arial" w:eastAsia="Arial" w:hAnsi="Arial"/>
          <w:sz w:val="18"/>
          <w:szCs w:val="18"/>
          <w:color w:val="363639"/>
        </w:rPr>
        <w:t>on any relevant date shall be determined in accordance with the following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208915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20" w:top="249" w:right="27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color w:val="auto"/>
        </w:rPr>
        <w:t>3</w:t>
      </w:r>
    </w:p>
    <w:p>
      <w:pPr>
        <w:spacing w:after="0" w:line="110" w:lineRule="exact"/>
        <w:rPr>
          <w:sz w:val="20"/>
          <w:szCs w:val="20"/>
          <w:color w:val="auto"/>
        </w:rPr>
      </w:pPr>
    </w:p>
    <w:p>
      <w:pPr>
        <w:jc w:val="both"/>
        <w:ind w:left="522" w:right="60" w:hanging="468"/>
        <w:spacing w:after="0" w:line="238" w:lineRule="auto"/>
        <w:tabs>
          <w:tab w:leader="none" w:pos="522" w:val="left"/>
        </w:tabs>
        <w:numPr>
          <w:ilvl w:val="1"/>
          <w:numId w:val="65"/>
        </w:numPr>
        <w:rPr>
          <w:rFonts w:ascii="Arial" w:cs="Arial" w:eastAsia="Arial" w:hAnsi="Arial"/>
          <w:sz w:val="18"/>
          <w:szCs w:val="18"/>
          <w:color w:val="363639"/>
        </w:rPr>
      </w:pPr>
      <w:r>
        <w:rPr>
          <w:rFonts w:ascii="Arial" w:cs="Arial" w:eastAsia="Arial" w:hAnsi="Arial"/>
          <w:sz w:val="18"/>
          <w:szCs w:val="18"/>
          <w:color w:val="363639"/>
        </w:rPr>
        <w:t>If the Common Stock is at the time traded on a public market, then the Fair Market Value of the Option shall be calculated on the basis of the closing selling price per share of Common Stock on the date in question, as such price is reported by the market organisation's official reporting system. If there is no closing selling price for the Common Stock on the date in question, then the Fair Market Value shall be the closing selling price on the last preceding date for which such quotation exists.</w:t>
      </w:r>
    </w:p>
    <w:p>
      <w:pPr>
        <w:spacing w:after="0" w:line="189" w:lineRule="exact"/>
        <w:rPr>
          <w:rFonts w:ascii="Arial" w:cs="Arial" w:eastAsia="Arial" w:hAnsi="Arial"/>
          <w:sz w:val="18"/>
          <w:szCs w:val="18"/>
          <w:color w:val="363639"/>
        </w:rPr>
      </w:pPr>
    </w:p>
    <w:p>
      <w:pPr>
        <w:jc w:val="both"/>
        <w:ind w:left="522" w:right="60" w:hanging="522"/>
        <w:spacing w:after="0" w:line="238" w:lineRule="auto"/>
        <w:tabs>
          <w:tab w:leader="none" w:pos="522" w:val="left"/>
        </w:tabs>
        <w:numPr>
          <w:ilvl w:val="0"/>
          <w:numId w:val="66"/>
        </w:numPr>
        <w:rPr>
          <w:rFonts w:ascii="Arial" w:cs="Arial" w:eastAsia="Arial" w:hAnsi="Arial"/>
          <w:sz w:val="18"/>
          <w:szCs w:val="18"/>
          <w:color w:val="363639"/>
        </w:rPr>
      </w:pPr>
      <w:r>
        <w:rPr>
          <w:rFonts w:ascii="Arial" w:cs="Arial" w:eastAsia="Arial" w:hAnsi="Arial"/>
          <w:sz w:val="18"/>
          <w:szCs w:val="18"/>
          <w:color w:val="363639"/>
        </w:rPr>
        <w:t>If the Common Stock is at the time neither listed on any Stock Exchange nor traded in any other manner, then the Fair Market Value of the option shall be determined by the Plan Administrator based on the comparable transactions, i.e. transfers between unrelated parties in an arm's length transaction (e.g. upon capital increase, sale of Shares) within the last six months or, if such transfer has not occurred within the last six months based on consideration of the main criteria for the development of the Company (to be defined by the board) and earlier tractions between unrelated parties at arm's length.</w:t>
      </w:r>
    </w:p>
    <w:p>
      <w:pPr>
        <w:spacing w:after="0" w:line="167" w:lineRule="exact"/>
        <w:rPr>
          <w:sz w:val="20"/>
          <w:szCs w:val="20"/>
          <w:color w:val="auto"/>
        </w:rPr>
      </w:pPr>
    </w:p>
    <w:p>
      <w:pPr>
        <w:ind w:left="22"/>
        <w:spacing w:after="0"/>
        <w:rPr>
          <w:sz w:val="20"/>
          <w:szCs w:val="20"/>
          <w:color w:val="auto"/>
        </w:rPr>
      </w:pPr>
      <w:r>
        <w:rPr>
          <w:rFonts w:ascii="Arial" w:cs="Arial" w:eastAsia="Arial" w:hAnsi="Arial"/>
          <w:sz w:val="18"/>
          <w:szCs w:val="18"/>
          <w:b w:val="1"/>
          <w:bCs w:val="1"/>
          <w:color w:val="363639"/>
        </w:rPr>
        <w:t xml:space="preserve">Grant Date </w:t>
      </w:r>
      <w:r>
        <w:rPr>
          <w:rFonts w:ascii="Arial" w:cs="Arial" w:eastAsia="Arial" w:hAnsi="Arial"/>
          <w:sz w:val="18"/>
          <w:szCs w:val="18"/>
          <w:color w:val="363639"/>
        </w:rPr>
        <w:t>shall mean the date on which the Option was granted.</w:t>
      </w:r>
    </w:p>
    <w:p>
      <w:pPr>
        <w:spacing w:after="0" w:line="198" w:lineRule="exact"/>
        <w:rPr>
          <w:sz w:val="20"/>
          <w:szCs w:val="20"/>
          <w:color w:val="auto"/>
        </w:rPr>
      </w:pPr>
    </w:p>
    <w:p>
      <w:pPr>
        <w:ind w:left="22"/>
        <w:spacing w:after="0"/>
        <w:rPr>
          <w:sz w:val="20"/>
          <w:szCs w:val="20"/>
          <w:color w:val="auto"/>
        </w:rPr>
      </w:pPr>
      <w:r>
        <w:rPr>
          <w:rFonts w:ascii="Arial" w:cs="Arial" w:eastAsia="Arial" w:hAnsi="Arial"/>
          <w:sz w:val="18"/>
          <w:szCs w:val="18"/>
          <w:b w:val="1"/>
          <w:bCs w:val="1"/>
          <w:color w:val="363639"/>
        </w:rPr>
        <w:t xml:space="preserve">Grant Notice </w:t>
      </w:r>
      <w:r>
        <w:rPr>
          <w:rFonts w:ascii="Arial" w:cs="Arial" w:eastAsia="Arial" w:hAnsi="Arial"/>
          <w:sz w:val="18"/>
          <w:szCs w:val="18"/>
          <w:color w:val="363639"/>
        </w:rPr>
        <w:t>shall mean the document on which the Company offers the Optionee a specified number of Options.</w:t>
      </w:r>
    </w:p>
    <w:p>
      <w:pPr>
        <w:spacing w:after="0" w:line="198" w:lineRule="exact"/>
        <w:rPr>
          <w:sz w:val="20"/>
          <w:szCs w:val="20"/>
          <w:color w:val="auto"/>
        </w:rPr>
      </w:pPr>
    </w:p>
    <w:p>
      <w:pPr>
        <w:ind w:left="22"/>
        <w:spacing w:after="0"/>
        <w:rPr>
          <w:sz w:val="20"/>
          <w:szCs w:val="20"/>
          <w:color w:val="auto"/>
        </w:rPr>
      </w:pPr>
      <w:r>
        <w:rPr>
          <w:rFonts w:ascii="Arial" w:cs="Arial" w:eastAsia="Arial" w:hAnsi="Arial"/>
          <w:sz w:val="18"/>
          <w:szCs w:val="18"/>
          <w:b w:val="1"/>
          <w:bCs w:val="1"/>
          <w:color w:val="363639"/>
        </w:rPr>
        <w:t xml:space="preserve">Lock up period </w:t>
      </w:r>
      <w:r>
        <w:rPr>
          <w:rFonts w:ascii="Arial" w:cs="Arial" w:eastAsia="Arial" w:hAnsi="Arial"/>
          <w:sz w:val="18"/>
          <w:szCs w:val="18"/>
          <w:color w:val="363639"/>
        </w:rPr>
        <w:t>shall mean the period indicated in the Grant Notice during which the option may not be exercised.</w:t>
      </w:r>
    </w:p>
    <w:p>
      <w:pPr>
        <w:spacing w:after="0" w:line="198" w:lineRule="exact"/>
        <w:rPr>
          <w:sz w:val="20"/>
          <w:szCs w:val="20"/>
          <w:color w:val="auto"/>
        </w:rPr>
      </w:pPr>
    </w:p>
    <w:p>
      <w:pPr>
        <w:ind w:left="22"/>
        <w:spacing w:after="0"/>
        <w:rPr>
          <w:sz w:val="20"/>
          <w:szCs w:val="20"/>
          <w:color w:val="auto"/>
        </w:rPr>
      </w:pPr>
      <w:r>
        <w:rPr>
          <w:rFonts w:ascii="Arial" w:cs="Arial" w:eastAsia="Arial" w:hAnsi="Arial"/>
          <w:sz w:val="18"/>
          <w:szCs w:val="18"/>
          <w:b w:val="1"/>
          <w:bCs w:val="1"/>
          <w:color w:val="363639"/>
        </w:rPr>
        <w:t xml:space="preserve">Optionee </w:t>
      </w:r>
      <w:r>
        <w:rPr>
          <w:rFonts w:ascii="Arial" w:cs="Arial" w:eastAsia="Arial" w:hAnsi="Arial"/>
          <w:sz w:val="18"/>
          <w:szCs w:val="18"/>
          <w:color w:val="363639"/>
        </w:rPr>
        <w:t>shall mean any person to whom an option is granted under the Plan.</w:t>
      </w:r>
    </w:p>
    <w:p>
      <w:pPr>
        <w:spacing w:after="0" w:line="198" w:lineRule="exact"/>
        <w:rPr>
          <w:sz w:val="20"/>
          <w:szCs w:val="20"/>
          <w:color w:val="auto"/>
        </w:rPr>
      </w:pPr>
    </w:p>
    <w:p>
      <w:pPr>
        <w:ind w:left="22"/>
        <w:spacing w:after="0"/>
        <w:rPr>
          <w:sz w:val="20"/>
          <w:szCs w:val="20"/>
          <w:color w:val="auto"/>
        </w:rPr>
      </w:pPr>
      <w:r>
        <w:rPr>
          <w:rFonts w:ascii="Arial" w:cs="Arial" w:eastAsia="Arial" w:hAnsi="Arial"/>
          <w:sz w:val="18"/>
          <w:szCs w:val="18"/>
          <w:b w:val="1"/>
          <w:bCs w:val="1"/>
          <w:color w:val="363639"/>
        </w:rPr>
        <w:t xml:space="preserve">Option </w:t>
      </w:r>
      <w:r>
        <w:rPr>
          <w:rFonts w:ascii="Arial" w:cs="Arial" w:eastAsia="Arial" w:hAnsi="Arial"/>
          <w:sz w:val="18"/>
          <w:szCs w:val="18"/>
          <w:color w:val="363639"/>
        </w:rPr>
        <w:t>shall mean the right to acquire a Stock of the Company as specified in the Grant Notice.</w:t>
      </w:r>
    </w:p>
    <w:p>
      <w:pPr>
        <w:spacing w:after="0" w:line="198" w:lineRule="exact"/>
        <w:rPr>
          <w:sz w:val="20"/>
          <w:szCs w:val="20"/>
          <w:color w:val="auto"/>
        </w:rPr>
      </w:pPr>
    </w:p>
    <w:p>
      <w:pPr>
        <w:jc w:val="both"/>
        <w:ind w:left="22" w:right="60"/>
        <w:spacing w:after="0" w:line="253" w:lineRule="auto"/>
        <w:rPr>
          <w:sz w:val="20"/>
          <w:szCs w:val="20"/>
          <w:color w:val="auto"/>
        </w:rPr>
      </w:pPr>
      <w:r>
        <w:rPr>
          <w:rFonts w:ascii="Arial" w:cs="Arial" w:eastAsia="Arial" w:hAnsi="Arial"/>
          <w:sz w:val="18"/>
          <w:szCs w:val="18"/>
          <w:b w:val="1"/>
          <w:bCs w:val="1"/>
          <w:color w:val="363639"/>
        </w:rPr>
        <w:t xml:space="preserve">Parent </w:t>
      </w:r>
      <w:r>
        <w:rPr>
          <w:rFonts w:ascii="Arial" w:cs="Arial" w:eastAsia="Arial" w:hAnsi="Arial"/>
          <w:sz w:val="18"/>
          <w:szCs w:val="18"/>
          <w:color w:val="363639"/>
        </w:rPr>
        <w:t>shall mean any Company (other than the Company) in an unbroken chain of corporations ending with the Company,</w:t>
      </w:r>
      <w:r>
        <w:rPr>
          <w:rFonts w:ascii="Arial" w:cs="Arial" w:eastAsia="Arial" w:hAnsi="Arial"/>
          <w:sz w:val="18"/>
          <w:szCs w:val="18"/>
          <w:b w:val="1"/>
          <w:bCs w:val="1"/>
          <w:color w:val="363639"/>
        </w:rPr>
        <w:t xml:space="preserve"> </w:t>
      </w:r>
      <w:r>
        <w:rPr>
          <w:rFonts w:ascii="Arial" w:cs="Arial" w:eastAsia="Arial" w:hAnsi="Arial"/>
          <w:sz w:val="18"/>
          <w:szCs w:val="18"/>
          <w:color w:val="363639"/>
        </w:rPr>
        <w:t>provided each company in the unbroken chain (other than the Company) owns, at the time of the determination, equity possessing fifty percent (50o) or more of the total combined voting power of all classes of equity in one of the other corporations in such chain.</w:t>
      </w:r>
    </w:p>
    <w:p>
      <w:pPr>
        <w:spacing w:after="0" w:line="156" w:lineRule="exact"/>
        <w:rPr>
          <w:sz w:val="20"/>
          <w:szCs w:val="20"/>
          <w:color w:val="auto"/>
        </w:rPr>
      </w:pPr>
    </w:p>
    <w:p>
      <w:pPr>
        <w:ind w:left="22"/>
        <w:spacing w:after="0"/>
        <w:rPr>
          <w:sz w:val="20"/>
          <w:szCs w:val="20"/>
          <w:color w:val="auto"/>
        </w:rPr>
      </w:pPr>
      <w:r>
        <w:rPr>
          <w:rFonts w:ascii="Arial" w:cs="Arial" w:eastAsia="Arial" w:hAnsi="Arial"/>
          <w:sz w:val="18"/>
          <w:szCs w:val="18"/>
          <w:b w:val="1"/>
          <w:bCs w:val="1"/>
          <w:color w:val="363639"/>
        </w:rPr>
        <w:t xml:space="preserve">Plan </w:t>
      </w:r>
      <w:r>
        <w:rPr>
          <w:rFonts w:ascii="Arial" w:cs="Arial" w:eastAsia="Arial" w:hAnsi="Arial"/>
          <w:sz w:val="18"/>
          <w:szCs w:val="18"/>
          <w:color w:val="363639"/>
        </w:rPr>
        <w:t>shall mean the Company's Employee Incentive Plan, as set forth in this document.</w:t>
      </w:r>
    </w:p>
    <w:p>
      <w:pPr>
        <w:spacing w:after="0" w:line="198" w:lineRule="exact"/>
        <w:rPr>
          <w:sz w:val="20"/>
          <w:szCs w:val="20"/>
          <w:color w:val="auto"/>
        </w:rPr>
      </w:pPr>
    </w:p>
    <w:p>
      <w:pPr>
        <w:jc w:val="both"/>
        <w:ind w:left="22" w:right="60"/>
        <w:spacing w:after="0" w:line="271" w:lineRule="auto"/>
        <w:rPr>
          <w:sz w:val="20"/>
          <w:szCs w:val="20"/>
          <w:color w:val="auto"/>
        </w:rPr>
      </w:pPr>
      <w:r>
        <w:rPr>
          <w:rFonts w:ascii="Arial" w:cs="Arial" w:eastAsia="Arial" w:hAnsi="Arial"/>
          <w:sz w:val="18"/>
          <w:szCs w:val="18"/>
          <w:b w:val="1"/>
          <w:bCs w:val="1"/>
          <w:color w:val="363639"/>
        </w:rPr>
        <w:t xml:space="preserve">Plan Administrator </w:t>
      </w:r>
      <w:r>
        <w:rPr>
          <w:rFonts w:ascii="Arial" w:cs="Arial" w:eastAsia="Arial" w:hAnsi="Arial"/>
          <w:sz w:val="18"/>
          <w:szCs w:val="18"/>
          <w:color w:val="363639"/>
        </w:rPr>
        <w:t>shall mean a person designated by the Board of Directors, acting within the guidelines set by the Board of</w:t>
      </w:r>
      <w:r>
        <w:rPr>
          <w:rFonts w:ascii="Arial" w:cs="Arial" w:eastAsia="Arial" w:hAnsi="Arial"/>
          <w:sz w:val="18"/>
          <w:szCs w:val="18"/>
          <w:b w:val="1"/>
          <w:bCs w:val="1"/>
          <w:color w:val="363639"/>
        </w:rPr>
        <w:t xml:space="preserve"> </w:t>
      </w:r>
      <w:r>
        <w:rPr>
          <w:rFonts w:ascii="Arial" w:cs="Arial" w:eastAsia="Arial" w:hAnsi="Arial"/>
          <w:sz w:val="18"/>
          <w:szCs w:val="18"/>
          <w:color w:val="363639"/>
        </w:rPr>
        <w:t>Directors.</w:t>
      </w:r>
    </w:p>
    <w:p>
      <w:pPr>
        <w:spacing w:after="0" w:line="140" w:lineRule="exact"/>
        <w:rPr>
          <w:sz w:val="20"/>
          <w:szCs w:val="20"/>
          <w:color w:val="auto"/>
        </w:rPr>
      </w:pPr>
    </w:p>
    <w:p>
      <w:pPr>
        <w:jc w:val="both"/>
        <w:ind w:left="22" w:right="60"/>
        <w:spacing w:after="0" w:line="271" w:lineRule="auto"/>
        <w:rPr>
          <w:sz w:val="20"/>
          <w:szCs w:val="20"/>
          <w:color w:val="auto"/>
        </w:rPr>
      </w:pPr>
      <w:r>
        <w:rPr>
          <w:rFonts w:ascii="Arial" w:cs="Arial" w:eastAsia="Arial" w:hAnsi="Arial"/>
          <w:sz w:val="18"/>
          <w:szCs w:val="18"/>
          <w:b w:val="1"/>
          <w:bCs w:val="1"/>
          <w:color w:val="363639"/>
        </w:rPr>
        <w:t xml:space="preserve">Service </w:t>
      </w:r>
      <w:r>
        <w:rPr>
          <w:rFonts w:ascii="Arial" w:cs="Arial" w:eastAsia="Arial" w:hAnsi="Arial"/>
          <w:sz w:val="18"/>
          <w:szCs w:val="18"/>
          <w:color w:val="363639"/>
        </w:rPr>
        <w:t>shall mean the provision of services to the Company (or any Parent or Subsidiary) by a person in the capacity of an</w:t>
      </w:r>
      <w:r>
        <w:rPr>
          <w:rFonts w:ascii="Arial" w:cs="Arial" w:eastAsia="Arial" w:hAnsi="Arial"/>
          <w:sz w:val="18"/>
          <w:szCs w:val="18"/>
          <w:b w:val="1"/>
          <w:bCs w:val="1"/>
          <w:color w:val="363639"/>
        </w:rPr>
        <w:t xml:space="preserve"> </w:t>
      </w:r>
      <w:r>
        <w:rPr>
          <w:rFonts w:ascii="Arial" w:cs="Arial" w:eastAsia="Arial" w:hAnsi="Arial"/>
          <w:sz w:val="18"/>
          <w:szCs w:val="18"/>
          <w:color w:val="363639"/>
        </w:rPr>
        <w:t>Employee or a member of the board of directors or a consultant.</w:t>
      </w:r>
    </w:p>
    <w:p>
      <w:pPr>
        <w:spacing w:after="0" w:line="140" w:lineRule="exact"/>
        <w:rPr>
          <w:sz w:val="20"/>
          <w:szCs w:val="20"/>
          <w:color w:val="auto"/>
        </w:rPr>
      </w:pPr>
    </w:p>
    <w:p>
      <w:pPr>
        <w:ind w:left="22"/>
        <w:spacing w:after="0"/>
        <w:rPr>
          <w:sz w:val="20"/>
          <w:szCs w:val="20"/>
          <w:color w:val="auto"/>
        </w:rPr>
      </w:pPr>
      <w:r>
        <w:rPr>
          <w:rFonts w:ascii="Arial" w:cs="Arial" w:eastAsia="Arial" w:hAnsi="Arial"/>
          <w:sz w:val="18"/>
          <w:szCs w:val="18"/>
          <w:b w:val="1"/>
          <w:bCs w:val="1"/>
          <w:color w:val="363639"/>
        </w:rPr>
        <w:t xml:space="preserve">Share Capital </w:t>
      </w:r>
      <w:r>
        <w:rPr>
          <w:rFonts w:ascii="Arial" w:cs="Arial" w:eastAsia="Arial" w:hAnsi="Arial"/>
          <w:sz w:val="18"/>
          <w:szCs w:val="18"/>
          <w:color w:val="363639"/>
        </w:rPr>
        <w:t>shall mean the entire equity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208915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2"/>
          </w:cols>
          <w:pgMar w:left="1018" w:top="250" w:right="279" w:bottom="1440" w:gutter="0" w:footer="0" w:header="0"/>
        </w:sectPr>
      </w:pPr>
    </w:p>
    <w:bookmarkStart w:id="64" w:name="page65"/>
    <w:bookmarkEnd w:id="64"/>
    <w:p>
      <w:pPr>
        <w:ind w:left="11191"/>
        <w:spacing w:after="0"/>
        <w:rPr>
          <w:sz w:val="20"/>
          <w:szCs w:val="20"/>
          <w:color w:val="auto"/>
        </w:rPr>
      </w:pPr>
      <w:r>
        <w:rPr>
          <w:rFonts w:ascii="Arial" w:cs="Arial" w:eastAsia="Arial" w:hAnsi="Arial"/>
          <w:sz w:val="16"/>
          <w:szCs w:val="16"/>
          <w:color w:val="auto"/>
        </w:rPr>
        <w:t>4</w:t>
      </w:r>
    </w:p>
    <w:p>
      <w:pPr>
        <w:spacing w:after="0" w:line="88" w:lineRule="exact"/>
        <w:rPr>
          <w:sz w:val="20"/>
          <w:szCs w:val="20"/>
          <w:color w:val="auto"/>
        </w:rPr>
      </w:pPr>
    </w:p>
    <w:p>
      <w:pPr>
        <w:jc w:val="both"/>
        <w:ind w:left="771" w:right="60"/>
        <w:spacing w:after="0" w:line="271" w:lineRule="auto"/>
        <w:rPr>
          <w:sz w:val="20"/>
          <w:szCs w:val="20"/>
          <w:color w:val="auto"/>
        </w:rPr>
      </w:pPr>
      <w:r>
        <w:rPr>
          <w:rFonts w:ascii="Arial" w:cs="Arial" w:eastAsia="Arial" w:hAnsi="Arial"/>
          <w:sz w:val="18"/>
          <w:szCs w:val="18"/>
          <w:b w:val="1"/>
          <w:bCs w:val="1"/>
          <w:color w:val="363639"/>
        </w:rPr>
        <w:t xml:space="preserve">Shareholders' Agreement </w:t>
      </w:r>
      <w:r>
        <w:rPr>
          <w:rFonts w:ascii="Arial" w:cs="Arial" w:eastAsia="Arial" w:hAnsi="Arial"/>
          <w:sz w:val="18"/>
          <w:szCs w:val="18"/>
          <w:color w:val="363639"/>
        </w:rPr>
        <w:t>shall mean the agreement or agreements between shareholders of the Company who represent at</w:t>
      </w:r>
      <w:r>
        <w:rPr>
          <w:rFonts w:ascii="Arial" w:cs="Arial" w:eastAsia="Arial" w:hAnsi="Arial"/>
          <w:sz w:val="18"/>
          <w:szCs w:val="18"/>
          <w:b w:val="1"/>
          <w:bCs w:val="1"/>
          <w:color w:val="363639"/>
        </w:rPr>
        <w:t xml:space="preserve"> </w:t>
      </w:r>
      <w:r>
        <w:rPr>
          <w:rFonts w:ascii="Arial" w:cs="Arial" w:eastAsia="Arial" w:hAnsi="Arial"/>
          <w:sz w:val="18"/>
          <w:szCs w:val="18"/>
          <w:color w:val="363639"/>
        </w:rPr>
        <w:t>least 50 o of the voting power of all Shares.</w:t>
      </w:r>
    </w:p>
    <w:p>
      <w:pPr>
        <w:spacing w:after="0" w:line="140" w:lineRule="exact"/>
        <w:rPr>
          <w:sz w:val="20"/>
          <w:szCs w:val="20"/>
          <w:color w:val="auto"/>
        </w:rPr>
      </w:pPr>
    </w:p>
    <w:p>
      <w:pPr>
        <w:jc w:val="both"/>
        <w:ind w:left="771" w:right="60"/>
        <w:spacing w:after="0" w:line="247" w:lineRule="auto"/>
        <w:rPr>
          <w:sz w:val="20"/>
          <w:szCs w:val="20"/>
          <w:color w:val="auto"/>
        </w:rPr>
      </w:pPr>
      <w:r>
        <w:rPr>
          <w:rFonts w:ascii="Arial" w:cs="Arial" w:eastAsia="Arial" w:hAnsi="Arial"/>
          <w:sz w:val="18"/>
          <w:szCs w:val="18"/>
          <w:b w:val="1"/>
          <w:bCs w:val="1"/>
          <w:color w:val="363639"/>
        </w:rPr>
        <w:t xml:space="preserve">Subsidiary </w:t>
      </w:r>
      <w:r>
        <w:rPr>
          <w:rFonts w:ascii="Arial" w:cs="Arial" w:eastAsia="Arial" w:hAnsi="Arial"/>
          <w:sz w:val="18"/>
          <w:szCs w:val="18"/>
          <w:color w:val="363639"/>
        </w:rPr>
        <w:t>shall mean any Company (other than the Company) in an unbroken chain of Companies beginning with the Company,</w:t>
      </w:r>
      <w:r>
        <w:rPr>
          <w:rFonts w:ascii="Arial" w:cs="Arial" w:eastAsia="Arial" w:hAnsi="Arial"/>
          <w:sz w:val="18"/>
          <w:szCs w:val="18"/>
          <w:b w:val="1"/>
          <w:bCs w:val="1"/>
          <w:color w:val="363639"/>
        </w:rPr>
        <w:t xml:space="preserve"> </w:t>
      </w:r>
      <w:r>
        <w:rPr>
          <w:rFonts w:ascii="Arial" w:cs="Arial" w:eastAsia="Arial" w:hAnsi="Arial"/>
          <w:sz w:val="18"/>
          <w:szCs w:val="18"/>
          <w:color w:val="363639"/>
        </w:rPr>
        <w:t>provided each Company (other than the last Company) in the unbroken chain owns, at the time of the determination, equity possessing fifty percent (50%) or more of the total combined voting power of all classes of equity in one of the other Companies in such chain.</w:t>
      </w:r>
    </w:p>
    <w:p>
      <w:pPr>
        <w:spacing w:after="0" w:line="183" w:lineRule="exact"/>
        <w:rPr>
          <w:sz w:val="20"/>
          <w:szCs w:val="20"/>
          <w:color w:val="auto"/>
        </w:rPr>
      </w:pPr>
    </w:p>
    <w:p>
      <w:pPr>
        <w:jc w:val="both"/>
        <w:ind w:left="771" w:right="60"/>
        <w:spacing w:after="0" w:line="246" w:lineRule="auto"/>
        <w:rPr>
          <w:sz w:val="20"/>
          <w:szCs w:val="20"/>
          <w:color w:val="auto"/>
        </w:rPr>
      </w:pPr>
      <w:r>
        <w:rPr>
          <w:rFonts w:ascii="Arial" w:cs="Arial" w:eastAsia="Arial" w:hAnsi="Arial"/>
          <w:sz w:val="18"/>
          <w:szCs w:val="18"/>
          <w:color w:val="363639"/>
        </w:rPr>
        <w:t>Stock shall mean the registered ordinary Shares (Stammaktien) of the Company of CHF 5.– each. Such ordinary Shares are not entitled to receive any proceeds obtained in liquidation or a sale of business up to the amount paid by Preferred Shareholders.</w:t>
      </w:r>
    </w:p>
    <w:p>
      <w:pPr>
        <w:spacing w:after="0" w:line="161" w:lineRule="exact"/>
        <w:rPr>
          <w:sz w:val="20"/>
          <w:szCs w:val="20"/>
          <w:color w:val="auto"/>
        </w:rPr>
      </w:pPr>
    </w:p>
    <w:p>
      <w:pPr>
        <w:ind w:left="751" w:hanging="751"/>
        <w:spacing w:after="0"/>
        <w:tabs>
          <w:tab w:leader="none" w:pos="751" w:val="left"/>
        </w:tabs>
        <w:numPr>
          <w:ilvl w:val="0"/>
          <w:numId w:val="67"/>
        </w:numPr>
        <w:rPr>
          <w:rFonts w:ascii="Arial" w:cs="Arial" w:eastAsia="Arial" w:hAnsi="Arial"/>
          <w:sz w:val="18"/>
          <w:szCs w:val="18"/>
          <w:b w:val="1"/>
          <w:bCs w:val="1"/>
          <w:color w:val="363639"/>
        </w:rPr>
      </w:pPr>
      <w:r>
        <w:rPr>
          <w:rFonts w:ascii="Arial" w:cs="Arial" w:eastAsia="Arial" w:hAnsi="Arial"/>
          <w:sz w:val="18"/>
          <w:szCs w:val="18"/>
          <w:b w:val="1"/>
          <w:bCs w:val="1"/>
          <w:color w:val="363639"/>
        </w:rPr>
        <w:t>Administration of the Plan</w:t>
      </w:r>
    </w:p>
    <w:p>
      <w:pPr>
        <w:spacing w:after="0" w:line="220" w:lineRule="exact"/>
        <w:rPr>
          <w:sz w:val="20"/>
          <w:szCs w:val="20"/>
          <w:color w:val="auto"/>
        </w:rPr>
      </w:pPr>
    </w:p>
    <w:p>
      <w:pPr>
        <w:ind w:left="771" w:right="60" w:hanging="761"/>
        <w:spacing w:after="0" w:line="246" w:lineRule="auto"/>
        <w:tabs>
          <w:tab w:leader="none" w:pos="782" w:val="left"/>
        </w:tabs>
        <w:numPr>
          <w:ilvl w:val="0"/>
          <w:numId w:val="68"/>
        </w:numPr>
        <w:rPr>
          <w:rFonts w:ascii="Arial" w:cs="Arial" w:eastAsia="Arial" w:hAnsi="Arial"/>
          <w:sz w:val="18"/>
          <w:szCs w:val="18"/>
          <w:color w:val="363639"/>
        </w:rPr>
      </w:pPr>
      <w:r>
        <w:rPr>
          <w:rFonts w:ascii="Arial" w:cs="Arial" w:eastAsia="Arial" w:hAnsi="Arial"/>
          <w:sz w:val="18"/>
          <w:szCs w:val="18"/>
          <w:color w:val="363639"/>
        </w:rPr>
        <w:t>The Plan shall be administered by a Plan Administrator (one or several persons) elected by the Board of Directors of the Company. The Plan Administrator shall act within the guidelines set by the Board.</w:t>
      </w:r>
    </w:p>
    <w:p>
      <w:pPr>
        <w:spacing w:after="0" w:line="183" w:lineRule="exact"/>
        <w:rPr>
          <w:rFonts w:ascii="Arial" w:cs="Arial" w:eastAsia="Arial" w:hAnsi="Arial"/>
          <w:sz w:val="18"/>
          <w:szCs w:val="18"/>
          <w:color w:val="363639"/>
        </w:rPr>
      </w:pPr>
    </w:p>
    <w:p>
      <w:pPr>
        <w:jc w:val="both"/>
        <w:ind w:left="771" w:right="60" w:hanging="761"/>
        <w:spacing w:after="0"/>
        <w:tabs>
          <w:tab w:leader="none" w:pos="1038" w:val="left"/>
        </w:tabs>
        <w:numPr>
          <w:ilvl w:val="0"/>
          <w:numId w:val="68"/>
        </w:numPr>
        <w:rPr>
          <w:rFonts w:ascii="Arial" w:cs="Arial" w:eastAsia="Arial" w:hAnsi="Arial"/>
          <w:sz w:val="18"/>
          <w:szCs w:val="18"/>
          <w:color w:val="363639"/>
        </w:rPr>
      </w:pPr>
      <w:r>
        <w:rPr>
          <w:rFonts w:ascii="Arial" w:cs="Arial" w:eastAsia="Arial" w:hAnsi="Arial"/>
          <w:sz w:val="18"/>
          <w:szCs w:val="18"/>
          <w:color w:val="363639"/>
        </w:rPr>
        <w:t>The Plan Administrator shall have full power and authority (subject to the provisions of the Plan) to establish such rules and regulations as it may deem appropriate for proper administration of the Plan. Decisions of the Plan Administrator shall be final and binding on all parties who have an interest in the Plan or any option or shares issued hereunder.</w:t>
      </w:r>
    </w:p>
    <w:p>
      <w:pPr>
        <w:spacing w:after="0" w:line="189" w:lineRule="exact"/>
        <w:rPr>
          <w:rFonts w:ascii="Arial" w:cs="Arial" w:eastAsia="Arial" w:hAnsi="Arial"/>
          <w:sz w:val="18"/>
          <w:szCs w:val="18"/>
          <w:color w:val="363639"/>
        </w:rPr>
      </w:pPr>
    </w:p>
    <w:p>
      <w:pPr>
        <w:ind w:left="751" w:hanging="741"/>
        <w:spacing w:after="0"/>
        <w:tabs>
          <w:tab w:leader="none" w:pos="751" w:val="left"/>
        </w:tabs>
        <w:numPr>
          <w:ilvl w:val="0"/>
          <w:numId w:val="68"/>
        </w:numPr>
        <w:rPr>
          <w:rFonts w:ascii="Arial" w:cs="Arial" w:eastAsia="Arial" w:hAnsi="Arial"/>
          <w:sz w:val="18"/>
          <w:szCs w:val="18"/>
          <w:color w:val="363639"/>
        </w:rPr>
      </w:pPr>
      <w:r>
        <w:rPr>
          <w:rFonts w:ascii="Arial" w:cs="Arial" w:eastAsia="Arial" w:hAnsi="Arial"/>
          <w:sz w:val="18"/>
          <w:szCs w:val="18"/>
          <w:color w:val="363639"/>
        </w:rPr>
        <w:t>The Company shall fulfil, the reporting and other obligations set forth by the applicable Federal, Cantonal and communal tax codes.</w:t>
      </w:r>
    </w:p>
    <w:p>
      <w:pPr>
        <w:spacing w:after="0" w:line="176" w:lineRule="exact"/>
        <w:rPr>
          <w:sz w:val="20"/>
          <w:szCs w:val="20"/>
          <w:color w:val="auto"/>
        </w:rPr>
      </w:pPr>
    </w:p>
    <w:p>
      <w:pPr>
        <w:ind w:left="751" w:hanging="751"/>
        <w:spacing w:after="0"/>
        <w:tabs>
          <w:tab w:leader="none" w:pos="751" w:val="left"/>
        </w:tabs>
        <w:numPr>
          <w:ilvl w:val="0"/>
          <w:numId w:val="69"/>
        </w:numPr>
        <w:rPr>
          <w:rFonts w:ascii="Arial" w:cs="Arial" w:eastAsia="Arial" w:hAnsi="Arial"/>
          <w:sz w:val="18"/>
          <w:szCs w:val="18"/>
          <w:b w:val="1"/>
          <w:bCs w:val="1"/>
          <w:color w:val="363639"/>
        </w:rPr>
      </w:pPr>
      <w:r>
        <w:rPr>
          <w:rFonts w:ascii="Arial" w:cs="Arial" w:eastAsia="Arial" w:hAnsi="Arial"/>
          <w:sz w:val="18"/>
          <w:szCs w:val="18"/>
          <w:b w:val="1"/>
          <w:bCs w:val="1"/>
          <w:color w:val="363639"/>
        </w:rPr>
        <w:t>ELIGIBILITY</w:t>
      </w:r>
    </w:p>
    <w:p>
      <w:pPr>
        <w:spacing w:after="0" w:line="220" w:lineRule="exact"/>
        <w:rPr>
          <w:sz w:val="20"/>
          <w:szCs w:val="20"/>
          <w:color w:val="auto"/>
        </w:rPr>
      </w:pPr>
    </w:p>
    <w:p>
      <w:pPr>
        <w:ind w:left="751" w:hanging="741"/>
        <w:spacing w:after="0"/>
        <w:tabs>
          <w:tab w:leader="none" w:pos="751" w:val="left"/>
        </w:tabs>
        <w:numPr>
          <w:ilvl w:val="0"/>
          <w:numId w:val="70"/>
        </w:numPr>
        <w:rPr>
          <w:rFonts w:ascii="Arial" w:cs="Arial" w:eastAsia="Arial" w:hAnsi="Arial"/>
          <w:sz w:val="18"/>
          <w:szCs w:val="18"/>
          <w:color w:val="363639"/>
        </w:rPr>
      </w:pPr>
      <w:r>
        <w:rPr>
          <w:rFonts w:ascii="Arial" w:cs="Arial" w:eastAsia="Arial" w:hAnsi="Arial"/>
          <w:sz w:val="18"/>
          <w:szCs w:val="18"/>
          <w:color w:val="363639"/>
        </w:rPr>
        <w:t>The persons eligible to obtain rights to acquire options under the Plan are as follows:</w:t>
      </w:r>
    </w:p>
    <w:p>
      <w:pPr>
        <w:spacing w:after="0" w:line="198" w:lineRule="exact"/>
        <w:rPr>
          <w:rFonts w:ascii="Arial" w:cs="Arial" w:eastAsia="Arial" w:hAnsi="Arial"/>
          <w:sz w:val="18"/>
          <w:szCs w:val="18"/>
          <w:color w:val="363639"/>
        </w:rPr>
      </w:pPr>
    </w:p>
    <w:p>
      <w:pPr>
        <w:ind w:left="1151" w:hanging="381"/>
        <w:spacing w:after="0"/>
        <w:tabs>
          <w:tab w:leader="none" w:pos="1151" w:val="left"/>
        </w:tabs>
        <w:numPr>
          <w:ilvl w:val="1"/>
          <w:numId w:val="70"/>
        </w:numPr>
        <w:rPr>
          <w:rFonts w:ascii="Arial" w:cs="Arial" w:eastAsia="Arial" w:hAnsi="Arial"/>
          <w:sz w:val="18"/>
          <w:szCs w:val="18"/>
          <w:color w:val="363639"/>
        </w:rPr>
      </w:pPr>
      <w:r>
        <w:rPr>
          <w:rFonts w:ascii="Arial" w:cs="Arial" w:eastAsia="Arial" w:hAnsi="Arial"/>
          <w:sz w:val="18"/>
          <w:szCs w:val="18"/>
          <w:color w:val="363639"/>
        </w:rPr>
        <w:t>Employees and Consultants of the Company and of its Subsidiaries; and</w:t>
      </w:r>
    </w:p>
    <w:p>
      <w:pPr>
        <w:spacing w:after="0" w:line="198" w:lineRule="exact"/>
        <w:rPr>
          <w:rFonts w:ascii="Arial" w:cs="Arial" w:eastAsia="Arial" w:hAnsi="Arial"/>
          <w:sz w:val="18"/>
          <w:szCs w:val="18"/>
          <w:color w:val="363639"/>
        </w:rPr>
      </w:pPr>
    </w:p>
    <w:p>
      <w:pPr>
        <w:ind w:left="1151" w:hanging="381"/>
        <w:spacing w:after="0"/>
        <w:tabs>
          <w:tab w:leader="none" w:pos="1151" w:val="left"/>
        </w:tabs>
        <w:numPr>
          <w:ilvl w:val="1"/>
          <w:numId w:val="70"/>
        </w:numPr>
        <w:rPr>
          <w:rFonts w:ascii="Arial" w:cs="Arial" w:eastAsia="Arial" w:hAnsi="Arial"/>
          <w:sz w:val="18"/>
          <w:szCs w:val="18"/>
          <w:color w:val="363639"/>
        </w:rPr>
      </w:pPr>
      <w:r>
        <w:rPr>
          <w:rFonts w:ascii="Arial" w:cs="Arial" w:eastAsia="Arial" w:hAnsi="Arial"/>
          <w:sz w:val="18"/>
          <w:szCs w:val="18"/>
          <w:color w:val="363639"/>
        </w:rPr>
        <w:t>Members of the Board of Directors of the Company or any Subsidiary,</w:t>
      </w:r>
    </w:p>
    <w:p>
      <w:pPr>
        <w:spacing w:after="0" w:line="198" w:lineRule="exact"/>
        <w:rPr>
          <w:rFonts w:ascii="Arial" w:cs="Arial" w:eastAsia="Arial" w:hAnsi="Arial"/>
          <w:sz w:val="18"/>
          <w:szCs w:val="18"/>
          <w:color w:val="363639"/>
        </w:rPr>
      </w:pPr>
    </w:p>
    <w:p>
      <w:pPr>
        <w:ind w:left="751" w:hanging="751"/>
        <w:spacing w:after="0"/>
        <w:tabs>
          <w:tab w:leader="none" w:pos="751" w:val="left"/>
        </w:tabs>
        <w:numPr>
          <w:ilvl w:val="0"/>
          <w:numId w:val="70"/>
        </w:numPr>
        <w:rPr>
          <w:rFonts w:ascii="Arial" w:cs="Arial" w:eastAsia="Arial" w:hAnsi="Arial"/>
          <w:sz w:val="18"/>
          <w:szCs w:val="18"/>
          <w:color w:val="363639"/>
        </w:rPr>
      </w:pPr>
      <w:r>
        <w:rPr>
          <w:rFonts w:ascii="Arial" w:cs="Arial" w:eastAsia="Arial" w:hAnsi="Arial"/>
          <w:sz w:val="18"/>
          <w:szCs w:val="18"/>
          <w:color w:val="363639"/>
        </w:rPr>
        <w:t>The Plan Administrator shall have full authority to determine</w:t>
      </w:r>
    </w:p>
    <w:p>
      <w:pPr>
        <w:spacing w:after="0" w:line="82" w:lineRule="exact"/>
        <w:rPr>
          <w:sz w:val="20"/>
          <w:szCs w:val="20"/>
          <w:color w:val="auto"/>
        </w:rPr>
      </w:pPr>
    </w:p>
    <w:p>
      <w:pPr>
        <w:ind w:left="1011" w:hanging="241"/>
        <w:spacing w:after="0"/>
        <w:tabs>
          <w:tab w:leader="none" w:pos="1011" w:val="left"/>
        </w:tabs>
        <w:numPr>
          <w:ilvl w:val="0"/>
          <w:numId w:val="71"/>
        </w:numPr>
        <w:rPr>
          <w:rFonts w:ascii="Arial" w:cs="Arial" w:eastAsia="Arial" w:hAnsi="Arial"/>
          <w:sz w:val="29"/>
          <w:szCs w:val="29"/>
          <w:color w:val="363639"/>
          <w:vertAlign w:val="superscript"/>
        </w:rPr>
      </w:pPr>
      <w:r>
        <w:rPr>
          <w:rFonts w:ascii="Arial" w:cs="Arial" w:eastAsia="Arial" w:hAnsi="Arial"/>
          <w:sz w:val="18"/>
          <w:szCs w:val="18"/>
          <w:color w:val="363639"/>
        </w:rPr>
        <w:t>which eligible persons are to receive rights to acquire options under the Plan,</w:t>
      </w:r>
    </w:p>
    <w:p>
      <w:pPr>
        <w:spacing w:after="0" w:line="156" w:lineRule="exact"/>
        <w:rPr>
          <w:rFonts w:ascii="Arial" w:cs="Arial" w:eastAsia="Arial" w:hAnsi="Arial"/>
          <w:sz w:val="29"/>
          <w:szCs w:val="29"/>
          <w:color w:val="363639"/>
          <w:vertAlign w:val="superscript"/>
        </w:rPr>
      </w:pPr>
    </w:p>
    <w:p>
      <w:pPr>
        <w:ind w:left="1011" w:hanging="241"/>
        <w:spacing w:after="0" w:line="185" w:lineRule="auto"/>
        <w:tabs>
          <w:tab w:leader="none" w:pos="1011" w:val="left"/>
        </w:tabs>
        <w:numPr>
          <w:ilvl w:val="0"/>
          <w:numId w:val="71"/>
        </w:numPr>
        <w:rPr>
          <w:rFonts w:ascii="Arial" w:cs="Arial" w:eastAsia="Arial" w:hAnsi="Arial"/>
          <w:sz w:val="28"/>
          <w:szCs w:val="28"/>
          <w:color w:val="363639"/>
          <w:vertAlign w:val="superscript"/>
        </w:rPr>
      </w:pPr>
      <w:r>
        <w:rPr>
          <w:rFonts w:ascii="Arial" w:cs="Arial" w:eastAsia="Arial" w:hAnsi="Arial"/>
          <w:sz w:val="17"/>
          <w:szCs w:val="17"/>
          <w:color w:val="363639"/>
        </w:rPr>
        <w:t>the time or times when such option grants are to be made,</w:t>
      </w:r>
    </w:p>
    <w:p>
      <w:pPr>
        <w:spacing w:after="0" w:line="156" w:lineRule="exact"/>
        <w:rPr>
          <w:rFonts w:ascii="Arial" w:cs="Arial" w:eastAsia="Arial" w:hAnsi="Arial"/>
          <w:sz w:val="28"/>
          <w:szCs w:val="28"/>
          <w:color w:val="363639"/>
          <w:vertAlign w:val="superscript"/>
        </w:rPr>
      </w:pPr>
    </w:p>
    <w:p>
      <w:pPr>
        <w:ind w:left="1011" w:hanging="241"/>
        <w:spacing w:after="0" w:line="185" w:lineRule="auto"/>
        <w:tabs>
          <w:tab w:leader="none" w:pos="1011" w:val="left"/>
        </w:tabs>
        <w:numPr>
          <w:ilvl w:val="0"/>
          <w:numId w:val="71"/>
        </w:numPr>
        <w:rPr>
          <w:rFonts w:ascii="Arial" w:cs="Arial" w:eastAsia="Arial" w:hAnsi="Arial"/>
          <w:sz w:val="28"/>
          <w:szCs w:val="28"/>
          <w:color w:val="363639"/>
          <w:vertAlign w:val="superscript"/>
        </w:rPr>
      </w:pPr>
      <w:r>
        <w:rPr>
          <w:rFonts w:ascii="Arial" w:cs="Arial" w:eastAsia="Arial" w:hAnsi="Arial"/>
          <w:sz w:val="17"/>
          <w:szCs w:val="17"/>
          <w:color w:val="363639"/>
        </w:rPr>
        <w:t>the number of shares covered by each such grant,</w:t>
      </w:r>
    </w:p>
    <w:p>
      <w:pPr>
        <w:spacing w:after="0" w:line="156" w:lineRule="exact"/>
        <w:rPr>
          <w:rFonts w:ascii="Arial" w:cs="Arial" w:eastAsia="Arial" w:hAnsi="Arial"/>
          <w:sz w:val="28"/>
          <w:szCs w:val="28"/>
          <w:color w:val="363639"/>
          <w:vertAlign w:val="superscript"/>
        </w:rPr>
      </w:pPr>
    </w:p>
    <w:p>
      <w:pPr>
        <w:ind w:left="1011" w:hanging="241"/>
        <w:spacing w:after="0" w:line="185" w:lineRule="auto"/>
        <w:tabs>
          <w:tab w:leader="none" w:pos="1011" w:val="left"/>
        </w:tabs>
        <w:numPr>
          <w:ilvl w:val="0"/>
          <w:numId w:val="71"/>
        </w:numPr>
        <w:rPr>
          <w:rFonts w:ascii="Arial" w:cs="Arial" w:eastAsia="Arial" w:hAnsi="Arial"/>
          <w:sz w:val="28"/>
          <w:szCs w:val="28"/>
          <w:color w:val="363639"/>
          <w:vertAlign w:val="superscript"/>
        </w:rPr>
      </w:pPr>
      <w:r>
        <w:rPr>
          <w:rFonts w:ascii="Arial" w:cs="Arial" w:eastAsia="Arial" w:hAnsi="Arial"/>
          <w:sz w:val="17"/>
          <w:szCs w:val="17"/>
          <w:color w:val="363639"/>
        </w:rPr>
        <w:t>the time or times at which each option is to become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189230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1"/>
          </w:cols>
          <w:pgMar w:left="329" w:top="249" w:right="27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color w:val="auto"/>
        </w:rPr>
        <w:t>5</w:t>
      </w:r>
    </w:p>
    <w:p>
      <w:pPr>
        <w:ind w:left="1020" w:hanging="241"/>
        <w:spacing w:after="0" w:line="235" w:lineRule="auto"/>
        <w:tabs>
          <w:tab w:leader="none" w:pos="1020" w:val="left"/>
        </w:tabs>
        <w:numPr>
          <w:ilvl w:val="1"/>
          <w:numId w:val="72"/>
        </w:numPr>
        <w:rPr>
          <w:rFonts w:ascii="Arial" w:cs="Arial" w:eastAsia="Arial" w:hAnsi="Arial"/>
          <w:sz w:val="29"/>
          <w:szCs w:val="29"/>
          <w:color w:val="363639"/>
          <w:vertAlign w:val="superscript"/>
        </w:rPr>
      </w:pPr>
      <w:r>
        <w:rPr>
          <w:rFonts w:ascii="Arial" w:cs="Arial" w:eastAsia="Arial" w:hAnsi="Arial"/>
          <w:sz w:val="18"/>
          <w:szCs w:val="18"/>
          <w:color w:val="363639"/>
        </w:rPr>
        <w:t>the restriction to exercise applicable to the options,</w:t>
      </w:r>
    </w:p>
    <w:p>
      <w:pPr>
        <w:spacing w:after="0" w:line="157" w:lineRule="exact"/>
        <w:rPr>
          <w:rFonts w:ascii="Arial" w:cs="Arial" w:eastAsia="Arial" w:hAnsi="Arial"/>
          <w:sz w:val="29"/>
          <w:szCs w:val="29"/>
          <w:color w:val="363639"/>
          <w:vertAlign w:val="superscript"/>
        </w:rPr>
      </w:pPr>
    </w:p>
    <w:p>
      <w:pPr>
        <w:ind w:left="1020" w:hanging="241"/>
        <w:spacing w:after="0" w:line="185" w:lineRule="auto"/>
        <w:tabs>
          <w:tab w:leader="none" w:pos="1020" w:val="left"/>
        </w:tabs>
        <w:numPr>
          <w:ilvl w:val="1"/>
          <w:numId w:val="72"/>
        </w:numPr>
        <w:rPr>
          <w:rFonts w:ascii="Arial" w:cs="Arial" w:eastAsia="Arial" w:hAnsi="Arial"/>
          <w:sz w:val="28"/>
          <w:szCs w:val="28"/>
          <w:color w:val="363639"/>
          <w:vertAlign w:val="superscript"/>
        </w:rPr>
      </w:pPr>
      <w:r>
        <w:rPr>
          <w:rFonts w:ascii="Arial" w:cs="Arial" w:eastAsia="Arial" w:hAnsi="Arial"/>
          <w:sz w:val="17"/>
          <w:szCs w:val="17"/>
          <w:color w:val="363639"/>
        </w:rPr>
        <w:t>the maximum term for which the option is to remain outstanding.</w:t>
      </w:r>
    </w:p>
    <w:p>
      <w:pPr>
        <w:spacing w:after="0" w:line="166" w:lineRule="exact"/>
        <w:rPr>
          <w:rFonts w:ascii="Arial" w:cs="Arial" w:eastAsia="Arial" w:hAnsi="Arial"/>
          <w:sz w:val="28"/>
          <w:szCs w:val="28"/>
          <w:color w:val="363639"/>
          <w:vertAlign w:val="superscript"/>
        </w:rPr>
      </w:pPr>
    </w:p>
    <w:p>
      <w:pPr>
        <w:spacing w:after="0"/>
        <w:rPr>
          <w:rFonts w:ascii="Arial" w:cs="Arial" w:eastAsia="Arial" w:hAnsi="Arial"/>
          <w:sz w:val="28"/>
          <w:szCs w:val="28"/>
          <w:color w:val="363639"/>
          <w:vertAlign w:val="superscript"/>
        </w:rPr>
      </w:pPr>
      <w:r>
        <w:rPr>
          <w:rFonts w:ascii="Arial" w:cs="Arial" w:eastAsia="Arial" w:hAnsi="Arial"/>
          <w:sz w:val="18"/>
          <w:szCs w:val="18"/>
          <w:b w:val="1"/>
          <w:bCs w:val="1"/>
          <w:color w:val="363639"/>
        </w:rPr>
        <w:t>E.</w:t>
      </w:r>
      <w:r>
        <w:rPr>
          <w:rFonts w:ascii="Arial" w:cs="Arial" w:eastAsia="Arial" w:hAnsi="Arial"/>
          <w:sz w:val="17"/>
          <w:szCs w:val="17"/>
          <w:b w:val="1"/>
          <w:bCs w:val="1"/>
          <w:color w:val="363639"/>
        </w:rPr>
        <w:t>Equity subject to the Plan</w:t>
      </w:r>
    </w:p>
    <w:p>
      <w:pPr>
        <w:spacing w:after="0" w:line="220" w:lineRule="exact"/>
        <w:rPr>
          <w:sz w:val="20"/>
          <w:szCs w:val="20"/>
          <w:color w:val="auto"/>
        </w:rPr>
      </w:pPr>
    </w:p>
    <w:p>
      <w:pPr>
        <w:ind w:left="780" w:right="60" w:hanging="761"/>
        <w:spacing w:after="0" w:line="246" w:lineRule="auto"/>
        <w:tabs>
          <w:tab w:leader="none" w:pos="939" w:val="left"/>
        </w:tabs>
        <w:numPr>
          <w:ilvl w:val="1"/>
          <w:numId w:val="73"/>
        </w:numPr>
        <w:rPr>
          <w:rFonts w:ascii="Arial" w:cs="Arial" w:eastAsia="Arial" w:hAnsi="Arial"/>
          <w:sz w:val="18"/>
          <w:szCs w:val="18"/>
          <w:color w:val="363639"/>
        </w:rPr>
      </w:pPr>
      <w:r>
        <w:rPr>
          <w:rFonts w:ascii="Arial" w:cs="Arial" w:eastAsia="Arial" w:hAnsi="Arial"/>
          <w:sz w:val="18"/>
          <w:szCs w:val="18"/>
          <w:color w:val="363639"/>
        </w:rPr>
        <w:t>Options granted under this Plan enable the Optionee to acquire the numbers of Stock listed in the Grant Notice. The maximum number of Stocks, which may be issued, shall be determined by the Board of Directors.</w:t>
      </w:r>
    </w:p>
    <w:p>
      <w:pPr>
        <w:spacing w:after="0" w:line="183" w:lineRule="exact"/>
        <w:rPr>
          <w:rFonts w:ascii="Arial" w:cs="Arial" w:eastAsia="Arial" w:hAnsi="Arial"/>
          <w:sz w:val="18"/>
          <w:szCs w:val="18"/>
          <w:color w:val="363639"/>
        </w:rPr>
      </w:pPr>
    </w:p>
    <w:p>
      <w:pPr>
        <w:jc w:val="both"/>
        <w:ind w:left="780" w:right="60" w:hanging="761"/>
        <w:spacing w:after="0"/>
        <w:tabs>
          <w:tab w:leader="none" w:pos="791" w:val="left"/>
        </w:tabs>
        <w:numPr>
          <w:ilvl w:val="1"/>
          <w:numId w:val="73"/>
        </w:numPr>
        <w:rPr>
          <w:rFonts w:ascii="Arial" w:cs="Arial" w:eastAsia="Arial" w:hAnsi="Arial"/>
          <w:sz w:val="18"/>
          <w:szCs w:val="18"/>
          <w:color w:val="363639"/>
        </w:rPr>
      </w:pPr>
      <w:r>
        <w:rPr>
          <w:rFonts w:ascii="Arial" w:cs="Arial" w:eastAsia="Arial" w:hAnsi="Arial"/>
          <w:sz w:val="18"/>
          <w:szCs w:val="18"/>
          <w:color w:val="363639"/>
        </w:rPr>
        <w:t>Stocks subject to outstanding options shall be available for subsequent issuance under the Plan to the extent (i) the Options expire or terminate for any reason prior to exercise or (ii) the Options are cancelled. Each Stock issued under the Plan, shall reduce the number of Stocks available for subsequent issuance under the Plan.</w:t>
      </w:r>
    </w:p>
    <w:p>
      <w:pPr>
        <w:spacing w:after="0" w:line="189" w:lineRule="exact"/>
        <w:rPr>
          <w:rFonts w:ascii="Arial" w:cs="Arial" w:eastAsia="Arial" w:hAnsi="Arial"/>
          <w:sz w:val="18"/>
          <w:szCs w:val="18"/>
          <w:color w:val="363639"/>
        </w:rPr>
      </w:pPr>
    </w:p>
    <w:p>
      <w:pPr>
        <w:jc w:val="both"/>
        <w:ind w:left="780" w:right="60" w:hanging="761"/>
        <w:spacing w:after="0" w:line="238" w:lineRule="auto"/>
        <w:tabs>
          <w:tab w:leader="none" w:pos="953" w:val="left"/>
        </w:tabs>
        <w:numPr>
          <w:ilvl w:val="1"/>
          <w:numId w:val="73"/>
        </w:numPr>
        <w:rPr>
          <w:rFonts w:ascii="Arial" w:cs="Arial" w:eastAsia="Arial" w:hAnsi="Arial"/>
          <w:sz w:val="18"/>
          <w:szCs w:val="18"/>
          <w:color w:val="363639"/>
        </w:rPr>
      </w:pPr>
      <w:r>
        <w:rPr>
          <w:rFonts w:ascii="Arial" w:cs="Arial" w:eastAsia="Arial" w:hAnsi="Arial"/>
          <w:sz w:val="18"/>
          <w:szCs w:val="18"/>
          <w:color w:val="363639"/>
        </w:rPr>
        <w:t>Should any change be made to the Share Capital by reason of any share split, share dividend, recapitalisation, combination of shares, exchange of shares or other changes affecting the outstanding Share Capital without the Company's receipt of consideration, appropriate adjustments shall be made to (i) the maximum number and/or class of securities issuable under the Plan and (ii) the number and/or class of securities and the exercise price per Stock in effect under each outstanding option in order to prevent the dilution or enlargement of benefits hereunder.</w:t>
      </w:r>
    </w:p>
    <w:p>
      <w:pPr>
        <w:spacing w:after="0" w:line="167" w:lineRule="exact"/>
        <w:rPr>
          <w:rFonts w:ascii="Arial" w:cs="Arial" w:eastAsia="Arial" w:hAnsi="Arial"/>
          <w:sz w:val="18"/>
          <w:szCs w:val="18"/>
          <w:color w:val="363639"/>
        </w:rPr>
      </w:pPr>
    </w:p>
    <w:p>
      <w:pPr>
        <w:ind w:left="760" w:hanging="751"/>
        <w:spacing w:after="0"/>
        <w:tabs>
          <w:tab w:leader="none" w:pos="760" w:val="left"/>
        </w:tabs>
        <w:numPr>
          <w:ilvl w:val="0"/>
          <w:numId w:val="74"/>
        </w:numPr>
        <w:rPr>
          <w:rFonts w:ascii="Arial" w:cs="Arial" w:eastAsia="Arial" w:hAnsi="Arial"/>
          <w:sz w:val="18"/>
          <w:szCs w:val="18"/>
          <w:b w:val="1"/>
          <w:bCs w:val="1"/>
          <w:color w:val="363639"/>
        </w:rPr>
      </w:pPr>
      <w:r>
        <w:rPr>
          <w:rFonts w:ascii="Arial" w:cs="Arial" w:eastAsia="Arial" w:hAnsi="Arial"/>
          <w:sz w:val="18"/>
          <w:szCs w:val="18"/>
          <w:b w:val="1"/>
          <w:bCs w:val="1"/>
          <w:color w:val="363639"/>
        </w:rPr>
        <w:t>OPTION TERMS</w:t>
      </w:r>
    </w:p>
    <w:p>
      <w:pPr>
        <w:spacing w:after="0" w:line="198" w:lineRule="exact"/>
        <w:rPr>
          <w:sz w:val="20"/>
          <w:szCs w:val="20"/>
          <w:color w:val="auto"/>
        </w:rPr>
      </w:pPr>
    </w:p>
    <w:p>
      <w:pPr>
        <w:ind w:left="760" w:hanging="751"/>
        <w:spacing w:after="0"/>
        <w:tabs>
          <w:tab w:leader="none" w:pos="760" w:val="left"/>
        </w:tabs>
        <w:numPr>
          <w:ilvl w:val="0"/>
          <w:numId w:val="75"/>
        </w:numPr>
        <w:rPr>
          <w:rFonts w:ascii="Arial" w:cs="Arial" w:eastAsia="Arial" w:hAnsi="Arial"/>
          <w:sz w:val="18"/>
          <w:szCs w:val="18"/>
          <w:b w:val="1"/>
          <w:bCs w:val="1"/>
          <w:color w:val="363639"/>
        </w:rPr>
      </w:pPr>
      <w:r>
        <w:rPr>
          <w:rFonts w:ascii="Arial" w:cs="Arial" w:eastAsia="Arial" w:hAnsi="Arial"/>
          <w:sz w:val="18"/>
          <w:szCs w:val="18"/>
          <w:b w:val="1"/>
          <w:bCs w:val="1"/>
          <w:color w:val="363639"/>
        </w:rPr>
        <w:t>Documentation</w:t>
      </w:r>
    </w:p>
    <w:p>
      <w:pPr>
        <w:spacing w:after="0" w:line="220" w:lineRule="exact"/>
        <w:rPr>
          <w:rFonts w:ascii="Arial" w:cs="Arial" w:eastAsia="Arial" w:hAnsi="Arial"/>
          <w:sz w:val="18"/>
          <w:szCs w:val="18"/>
          <w:b w:val="1"/>
          <w:bCs w:val="1"/>
          <w:color w:val="363639"/>
        </w:rPr>
      </w:pPr>
    </w:p>
    <w:p>
      <w:pPr>
        <w:jc w:val="both"/>
        <w:ind w:left="780" w:right="60"/>
        <w:spacing w:after="0"/>
        <w:rPr>
          <w:rFonts w:ascii="Arial" w:cs="Arial" w:eastAsia="Arial" w:hAnsi="Arial"/>
          <w:sz w:val="18"/>
          <w:szCs w:val="18"/>
          <w:b w:val="1"/>
          <w:bCs w:val="1"/>
          <w:color w:val="363639"/>
        </w:rPr>
      </w:pPr>
      <w:r>
        <w:rPr>
          <w:rFonts w:ascii="Arial" w:cs="Arial" w:eastAsia="Arial" w:hAnsi="Arial"/>
          <w:sz w:val="18"/>
          <w:szCs w:val="18"/>
          <w:color w:val="363639"/>
        </w:rPr>
        <w:t>Each Option shall be evidenced by one or more documents in the form proposed by the Plan Administrator; provided, however, that each such document shall comply with the terms specified below. Each document evidencing an Option shall, in addition, be subject to the provisions of this Plan</w:t>
      </w:r>
    </w:p>
    <w:p>
      <w:pPr>
        <w:spacing w:after="0" w:line="167" w:lineRule="exact"/>
        <w:rPr>
          <w:rFonts w:ascii="Arial" w:cs="Arial" w:eastAsia="Arial" w:hAnsi="Arial"/>
          <w:sz w:val="18"/>
          <w:szCs w:val="18"/>
          <w:b w:val="1"/>
          <w:bCs w:val="1"/>
          <w:color w:val="363639"/>
        </w:rPr>
      </w:pPr>
    </w:p>
    <w:p>
      <w:pPr>
        <w:ind w:left="760" w:hanging="751"/>
        <w:spacing w:after="0"/>
        <w:tabs>
          <w:tab w:leader="none" w:pos="760" w:val="left"/>
        </w:tabs>
        <w:numPr>
          <w:ilvl w:val="0"/>
          <w:numId w:val="75"/>
        </w:numPr>
        <w:rPr>
          <w:rFonts w:ascii="Arial" w:cs="Arial" w:eastAsia="Arial" w:hAnsi="Arial"/>
          <w:sz w:val="18"/>
          <w:szCs w:val="18"/>
          <w:b w:val="1"/>
          <w:bCs w:val="1"/>
          <w:color w:val="363639"/>
        </w:rPr>
      </w:pPr>
      <w:r>
        <w:rPr>
          <w:rFonts w:ascii="Arial" w:cs="Arial" w:eastAsia="Arial" w:hAnsi="Arial"/>
          <w:sz w:val="18"/>
          <w:szCs w:val="18"/>
          <w:b w:val="1"/>
          <w:bCs w:val="1"/>
          <w:color w:val="363639"/>
        </w:rPr>
        <w:t>Price</w:t>
      </w:r>
    </w:p>
    <w:p>
      <w:pPr>
        <w:spacing w:after="0" w:line="220" w:lineRule="exact"/>
        <w:rPr>
          <w:sz w:val="20"/>
          <w:szCs w:val="20"/>
          <w:color w:val="auto"/>
        </w:rPr>
      </w:pPr>
    </w:p>
    <w:p>
      <w:pPr>
        <w:ind w:left="780" w:right="60" w:hanging="761"/>
        <w:spacing w:after="0" w:line="246" w:lineRule="auto"/>
        <w:tabs>
          <w:tab w:leader="none" w:pos="791" w:val="left"/>
        </w:tabs>
        <w:numPr>
          <w:ilvl w:val="0"/>
          <w:numId w:val="76"/>
        </w:numPr>
        <w:rPr>
          <w:rFonts w:ascii="Arial" w:cs="Arial" w:eastAsia="Arial" w:hAnsi="Arial"/>
          <w:sz w:val="18"/>
          <w:szCs w:val="18"/>
          <w:color w:val="363639"/>
        </w:rPr>
      </w:pPr>
      <w:r>
        <w:rPr>
          <w:rFonts w:ascii="Arial" w:cs="Arial" w:eastAsia="Arial" w:hAnsi="Arial"/>
          <w:sz w:val="18"/>
          <w:szCs w:val="18"/>
          <w:color w:val="363639"/>
        </w:rPr>
        <w:t>Options are granted for free unless the Grant Notice specifies otherwise. A sale price shall not exceed the Fair Market Value on the Grant Date.</w:t>
      </w:r>
    </w:p>
    <w:p>
      <w:pPr>
        <w:spacing w:after="0" w:line="183" w:lineRule="exact"/>
        <w:rPr>
          <w:rFonts w:ascii="Arial" w:cs="Arial" w:eastAsia="Arial" w:hAnsi="Arial"/>
          <w:sz w:val="18"/>
          <w:szCs w:val="18"/>
          <w:color w:val="363639"/>
        </w:rPr>
      </w:pPr>
    </w:p>
    <w:p>
      <w:pPr>
        <w:ind w:left="780" w:right="60" w:hanging="761"/>
        <w:spacing w:after="0" w:line="246" w:lineRule="auto"/>
        <w:tabs>
          <w:tab w:leader="none" w:pos="966" w:val="left"/>
        </w:tabs>
        <w:numPr>
          <w:ilvl w:val="0"/>
          <w:numId w:val="76"/>
        </w:numPr>
        <w:rPr>
          <w:rFonts w:ascii="Arial" w:cs="Arial" w:eastAsia="Arial" w:hAnsi="Arial"/>
          <w:sz w:val="18"/>
          <w:szCs w:val="18"/>
          <w:color w:val="363639"/>
        </w:rPr>
      </w:pPr>
      <w:r>
        <w:rPr>
          <w:rFonts w:ascii="Arial" w:cs="Arial" w:eastAsia="Arial" w:hAnsi="Arial"/>
          <w:sz w:val="18"/>
          <w:szCs w:val="18"/>
          <w:color w:val="363639"/>
        </w:rPr>
        <w:t>The exercise price shall be fixed by the Plan Administrator. The exercise price becomes immediately due upon exercise of the option, and shall be payable to the Company. The Plan Administrator may provide for alternative payment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185420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20" w:top="249" w:right="27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color w:val="auto"/>
        </w:rPr>
        <w:t>6</w:t>
      </w:r>
    </w:p>
    <w:p>
      <w:pPr>
        <w:spacing w:after="0" w:line="88" w:lineRule="exact"/>
        <w:rPr>
          <w:sz w:val="20"/>
          <w:szCs w:val="20"/>
          <w:color w:val="auto"/>
        </w:rPr>
      </w:pPr>
    </w:p>
    <w:p>
      <w:pPr>
        <w:ind w:left="760" w:hanging="751"/>
        <w:spacing w:after="0"/>
        <w:tabs>
          <w:tab w:leader="none" w:pos="760" w:val="left"/>
        </w:tabs>
        <w:numPr>
          <w:ilvl w:val="0"/>
          <w:numId w:val="77"/>
        </w:numPr>
        <w:rPr>
          <w:rFonts w:ascii="Arial" w:cs="Arial" w:eastAsia="Arial" w:hAnsi="Arial"/>
          <w:sz w:val="18"/>
          <w:szCs w:val="18"/>
          <w:b w:val="1"/>
          <w:bCs w:val="1"/>
          <w:color w:val="363639"/>
        </w:rPr>
      </w:pPr>
      <w:r>
        <w:rPr>
          <w:rFonts w:ascii="Arial" w:cs="Arial" w:eastAsia="Arial" w:hAnsi="Arial"/>
          <w:sz w:val="18"/>
          <w:szCs w:val="18"/>
          <w:b w:val="1"/>
          <w:bCs w:val="1"/>
          <w:color w:val="363639"/>
        </w:rPr>
        <w:t>Exercise and Term of Options</w:t>
      </w:r>
    </w:p>
    <w:p>
      <w:pPr>
        <w:spacing w:after="0" w:line="220" w:lineRule="exact"/>
        <w:rPr>
          <w:rFonts w:ascii="Arial" w:cs="Arial" w:eastAsia="Arial" w:hAnsi="Arial"/>
          <w:sz w:val="18"/>
          <w:szCs w:val="18"/>
          <w:b w:val="1"/>
          <w:bCs w:val="1"/>
          <w:color w:val="363639"/>
        </w:rPr>
      </w:pPr>
    </w:p>
    <w:p>
      <w:pPr>
        <w:jc w:val="both"/>
        <w:ind w:left="780" w:right="60"/>
        <w:spacing w:after="0" w:line="239" w:lineRule="auto"/>
        <w:rPr>
          <w:rFonts w:ascii="Arial" w:cs="Arial" w:eastAsia="Arial" w:hAnsi="Arial"/>
          <w:sz w:val="18"/>
          <w:szCs w:val="18"/>
          <w:b w:val="1"/>
          <w:bCs w:val="1"/>
          <w:color w:val="363639"/>
        </w:rPr>
      </w:pPr>
      <w:r>
        <w:rPr>
          <w:rFonts w:ascii="Arial" w:cs="Arial" w:eastAsia="Arial" w:hAnsi="Arial"/>
          <w:sz w:val="18"/>
          <w:szCs w:val="18"/>
          <w:color w:val="363639"/>
        </w:rPr>
        <w:t>Each Option shall be exercisable at such time or times, during such period and for such number of Stocks as shall be determined by the Plan Administrator and set forth in the Grant Notice. However, no option shall have a term in excess of the Expiration Date. The Plan Administrator may in his discretion accept an Exercise Notice as valid if received within a two month grace period after the Expiration Date.</w:t>
      </w:r>
    </w:p>
    <w:p>
      <w:pPr>
        <w:spacing w:after="0" w:line="166" w:lineRule="exact"/>
        <w:rPr>
          <w:rFonts w:ascii="Arial" w:cs="Arial" w:eastAsia="Arial" w:hAnsi="Arial"/>
          <w:sz w:val="18"/>
          <w:szCs w:val="18"/>
          <w:b w:val="1"/>
          <w:bCs w:val="1"/>
          <w:color w:val="363639"/>
        </w:rPr>
      </w:pPr>
    </w:p>
    <w:p>
      <w:pPr>
        <w:ind w:left="760" w:hanging="751"/>
        <w:spacing w:after="0"/>
        <w:tabs>
          <w:tab w:leader="none" w:pos="760" w:val="left"/>
        </w:tabs>
        <w:numPr>
          <w:ilvl w:val="0"/>
          <w:numId w:val="77"/>
        </w:numPr>
        <w:rPr>
          <w:rFonts w:ascii="Arial" w:cs="Arial" w:eastAsia="Arial" w:hAnsi="Arial"/>
          <w:sz w:val="18"/>
          <w:szCs w:val="18"/>
          <w:b w:val="1"/>
          <w:bCs w:val="1"/>
          <w:color w:val="363639"/>
        </w:rPr>
      </w:pPr>
      <w:r>
        <w:rPr>
          <w:rFonts w:ascii="Arial" w:cs="Arial" w:eastAsia="Arial" w:hAnsi="Arial"/>
          <w:sz w:val="18"/>
          <w:szCs w:val="18"/>
          <w:b w:val="1"/>
          <w:bCs w:val="1"/>
          <w:color w:val="363639"/>
        </w:rPr>
        <w:t>Effect of Termination of Service.</w:t>
      </w:r>
    </w:p>
    <w:p>
      <w:pPr>
        <w:spacing w:after="0" w:line="220" w:lineRule="exact"/>
        <w:rPr>
          <w:sz w:val="20"/>
          <w:szCs w:val="20"/>
          <w:color w:val="auto"/>
        </w:rPr>
      </w:pPr>
    </w:p>
    <w:p>
      <w:pPr>
        <w:ind w:left="760" w:hanging="741"/>
        <w:spacing w:after="0"/>
        <w:tabs>
          <w:tab w:leader="none" w:pos="760" w:val="left"/>
        </w:tabs>
        <w:numPr>
          <w:ilvl w:val="0"/>
          <w:numId w:val="78"/>
        </w:numPr>
        <w:rPr>
          <w:rFonts w:ascii="Arial" w:cs="Arial" w:eastAsia="Arial" w:hAnsi="Arial"/>
          <w:sz w:val="18"/>
          <w:szCs w:val="18"/>
          <w:color w:val="363639"/>
        </w:rPr>
      </w:pPr>
      <w:r>
        <w:rPr>
          <w:rFonts w:ascii="Arial" w:cs="Arial" w:eastAsia="Arial" w:hAnsi="Arial"/>
          <w:sz w:val="18"/>
          <w:szCs w:val="18"/>
          <w:color w:val="363639"/>
        </w:rPr>
        <w:t>The following provisions shall govern the exercise of any options held by the Optionee at the time of cessation of Service:</w:t>
      </w:r>
    </w:p>
    <w:p>
      <w:pPr>
        <w:spacing w:after="0" w:line="198" w:lineRule="exact"/>
        <w:rPr>
          <w:rFonts w:ascii="Arial" w:cs="Arial" w:eastAsia="Arial" w:hAnsi="Arial"/>
          <w:sz w:val="18"/>
          <w:szCs w:val="18"/>
          <w:color w:val="363639"/>
        </w:rPr>
      </w:pPr>
    </w:p>
    <w:p>
      <w:pPr>
        <w:ind w:left="1160" w:right="60" w:hanging="381"/>
        <w:spacing w:after="0" w:line="246" w:lineRule="auto"/>
        <w:tabs>
          <w:tab w:leader="none" w:pos="1160" w:val="left"/>
        </w:tabs>
        <w:numPr>
          <w:ilvl w:val="1"/>
          <w:numId w:val="78"/>
        </w:numPr>
        <w:rPr>
          <w:rFonts w:ascii="Arial" w:cs="Arial" w:eastAsia="Arial" w:hAnsi="Arial"/>
          <w:sz w:val="18"/>
          <w:szCs w:val="18"/>
          <w:color w:val="363639"/>
        </w:rPr>
      </w:pPr>
      <w:r>
        <w:rPr>
          <w:rFonts w:ascii="Arial" w:cs="Arial" w:eastAsia="Arial" w:hAnsi="Arial"/>
          <w:sz w:val="18"/>
          <w:szCs w:val="18"/>
          <w:color w:val="363639"/>
        </w:rPr>
        <w:t>Should the Optionee's Service be terminated for Cause, then all outstanding Options, held by the Optionee shall terminate immediately and cease to be outstanding.</w:t>
      </w:r>
    </w:p>
    <w:p>
      <w:pPr>
        <w:spacing w:after="0" w:line="183" w:lineRule="exact"/>
        <w:rPr>
          <w:rFonts w:ascii="Arial" w:cs="Arial" w:eastAsia="Arial" w:hAnsi="Arial"/>
          <w:sz w:val="18"/>
          <w:szCs w:val="18"/>
          <w:color w:val="363639"/>
        </w:rPr>
      </w:pPr>
    </w:p>
    <w:p>
      <w:pPr>
        <w:jc w:val="both"/>
        <w:ind w:left="1160" w:right="60" w:hanging="381"/>
        <w:spacing w:after="0"/>
        <w:tabs>
          <w:tab w:leader="none" w:pos="1160" w:val="left"/>
        </w:tabs>
        <w:numPr>
          <w:ilvl w:val="1"/>
          <w:numId w:val="78"/>
        </w:numPr>
        <w:rPr>
          <w:rFonts w:ascii="Arial" w:cs="Arial" w:eastAsia="Arial" w:hAnsi="Arial"/>
          <w:sz w:val="18"/>
          <w:szCs w:val="18"/>
          <w:color w:val="363639"/>
        </w:rPr>
      </w:pPr>
      <w:r>
        <w:rPr>
          <w:rFonts w:ascii="Arial" w:cs="Arial" w:eastAsia="Arial" w:hAnsi="Arial"/>
          <w:sz w:val="18"/>
          <w:szCs w:val="18"/>
          <w:color w:val="363639"/>
        </w:rPr>
        <w:t>Any option exercisable by the Optionee at the time of death may be exercised subsequently for one year after the time of death by the personal representative of the Optionee's estate or by the person or persons to whom the option is transferred pursuant to.</w:t>
      </w:r>
    </w:p>
    <w:p>
      <w:pPr>
        <w:spacing w:after="0" w:line="167" w:lineRule="exact"/>
        <w:rPr>
          <w:sz w:val="20"/>
          <w:szCs w:val="20"/>
          <w:color w:val="auto"/>
        </w:rPr>
      </w:pPr>
    </w:p>
    <w:p>
      <w:pPr>
        <w:ind w:left="760" w:hanging="751"/>
        <w:spacing w:after="0"/>
        <w:tabs>
          <w:tab w:leader="none" w:pos="760" w:val="left"/>
        </w:tabs>
        <w:numPr>
          <w:ilvl w:val="0"/>
          <w:numId w:val="79"/>
        </w:numPr>
        <w:rPr>
          <w:rFonts w:ascii="Arial" w:cs="Arial" w:eastAsia="Arial" w:hAnsi="Arial"/>
          <w:sz w:val="18"/>
          <w:szCs w:val="18"/>
          <w:b w:val="1"/>
          <w:bCs w:val="1"/>
          <w:color w:val="363639"/>
        </w:rPr>
      </w:pPr>
      <w:r>
        <w:rPr>
          <w:rFonts w:ascii="Arial" w:cs="Arial" w:eastAsia="Arial" w:hAnsi="Arial"/>
          <w:sz w:val="18"/>
          <w:szCs w:val="18"/>
          <w:b w:val="1"/>
          <w:bCs w:val="1"/>
          <w:color w:val="363639"/>
        </w:rPr>
        <w:t>Shareholder Rights</w:t>
      </w:r>
    </w:p>
    <w:p>
      <w:pPr>
        <w:spacing w:after="0" w:line="220" w:lineRule="exact"/>
        <w:rPr>
          <w:rFonts w:ascii="Arial" w:cs="Arial" w:eastAsia="Arial" w:hAnsi="Arial"/>
          <w:sz w:val="18"/>
          <w:szCs w:val="18"/>
          <w:b w:val="1"/>
          <w:bCs w:val="1"/>
          <w:color w:val="363639"/>
        </w:rPr>
      </w:pPr>
    </w:p>
    <w:p>
      <w:pPr>
        <w:ind w:left="780" w:right="60"/>
        <w:spacing w:after="0" w:line="246" w:lineRule="auto"/>
        <w:rPr>
          <w:rFonts w:ascii="Arial" w:cs="Arial" w:eastAsia="Arial" w:hAnsi="Arial"/>
          <w:sz w:val="18"/>
          <w:szCs w:val="18"/>
          <w:b w:val="1"/>
          <w:bCs w:val="1"/>
          <w:color w:val="363639"/>
        </w:rPr>
      </w:pPr>
      <w:r>
        <w:rPr>
          <w:rFonts w:ascii="Arial" w:cs="Arial" w:eastAsia="Arial" w:hAnsi="Arial"/>
          <w:sz w:val="18"/>
          <w:szCs w:val="18"/>
          <w:color w:val="363639"/>
        </w:rPr>
        <w:t>The holder of an option shall have no stockholder rights with respect to the Stocks subject to the option until such person shall have exercised the option, paid the exercise price and become a holder of record of the purchased Stock.</w:t>
      </w:r>
    </w:p>
    <w:p>
      <w:pPr>
        <w:spacing w:after="0" w:line="161" w:lineRule="exact"/>
        <w:rPr>
          <w:rFonts w:ascii="Arial" w:cs="Arial" w:eastAsia="Arial" w:hAnsi="Arial"/>
          <w:sz w:val="18"/>
          <w:szCs w:val="18"/>
          <w:b w:val="1"/>
          <w:bCs w:val="1"/>
          <w:color w:val="363639"/>
        </w:rPr>
      </w:pPr>
    </w:p>
    <w:p>
      <w:pPr>
        <w:ind w:left="760" w:hanging="751"/>
        <w:spacing w:after="0"/>
        <w:tabs>
          <w:tab w:leader="none" w:pos="760" w:val="left"/>
        </w:tabs>
        <w:numPr>
          <w:ilvl w:val="0"/>
          <w:numId w:val="79"/>
        </w:numPr>
        <w:rPr>
          <w:rFonts w:ascii="Arial" w:cs="Arial" w:eastAsia="Arial" w:hAnsi="Arial"/>
          <w:sz w:val="18"/>
          <w:szCs w:val="18"/>
          <w:b w:val="1"/>
          <w:bCs w:val="1"/>
          <w:color w:val="363639"/>
        </w:rPr>
      </w:pPr>
      <w:r>
        <w:rPr>
          <w:rFonts w:ascii="Arial" w:cs="Arial" w:eastAsia="Arial" w:hAnsi="Arial"/>
          <w:sz w:val="18"/>
          <w:szCs w:val="18"/>
          <w:b w:val="1"/>
          <w:bCs w:val="1"/>
          <w:color w:val="363639"/>
        </w:rPr>
        <w:t>First Refusal Rights</w:t>
      </w:r>
    </w:p>
    <w:p>
      <w:pPr>
        <w:spacing w:after="0" w:line="220" w:lineRule="exact"/>
        <w:rPr>
          <w:rFonts w:ascii="Arial" w:cs="Arial" w:eastAsia="Arial" w:hAnsi="Arial"/>
          <w:sz w:val="18"/>
          <w:szCs w:val="18"/>
          <w:b w:val="1"/>
          <w:bCs w:val="1"/>
          <w:color w:val="363639"/>
        </w:rPr>
      </w:pPr>
    </w:p>
    <w:p>
      <w:pPr>
        <w:jc w:val="both"/>
        <w:ind w:left="780" w:right="60"/>
        <w:spacing w:after="0" w:line="238" w:lineRule="auto"/>
        <w:rPr>
          <w:rFonts w:ascii="Arial" w:cs="Arial" w:eastAsia="Arial" w:hAnsi="Arial"/>
          <w:sz w:val="18"/>
          <w:szCs w:val="18"/>
          <w:b w:val="1"/>
          <w:bCs w:val="1"/>
          <w:color w:val="363639"/>
        </w:rPr>
      </w:pPr>
      <w:r>
        <w:rPr>
          <w:rFonts w:ascii="Arial" w:cs="Arial" w:eastAsia="Arial" w:hAnsi="Arial"/>
          <w:sz w:val="18"/>
          <w:szCs w:val="18"/>
          <w:color w:val="363639"/>
        </w:rPr>
        <w:t>Until such time as the equity Capital of the Company shall be freely tradable on a public market, the Company or subsequently the Company's shareholders shall have the right of first refusal with respect to any proposed disposition by the Optionee (or any successor in interest) of any shares of Stock issued under the Plan. Such right of first refusal shall be exercisable in accordance with the terms established in the Company's Shareholders' Agreement, adhesion to which shall form a condition to the exercise of Options by Optionees.</w:t>
      </w:r>
    </w:p>
    <w:p>
      <w:pPr>
        <w:spacing w:after="0" w:line="167" w:lineRule="exact"/>
        <w:rPr>
          <w:rFonts w:ascii="Arial" w:cs="Arial" w:eastAsia="Arial" w:hAnsi="Arial"/>
          <w:sz w:val="18"/>
          <w:szCs w:val="18"/>
          <w:b w:val="1"/>
          <w:bCs w:val="1"/>
          <w:color w:val="363639"/>
        </w:rPr>
      </w:pPr>
    </w:p>
    <w:p>
      <w:pPr>
        <w:ind w:left="760" w:hanging="751"/>
        <w:spacing w:after="0"/>
        <w:tabs>
          <w:tab w:leader="none" w:pos="760" w:val="left"/>
        </w:tabs>
        <w:numPr>
          <w:ilvl w:val="0"/>
          <w:numId w:val="79"/>
        </w:numPr>
        <w:rPr>
          <w:rFonts w:ascii="Arial" w:cs="Arial" w:eastAsia="Arial" w:hAnsi="Arial"/>
          <w:sz w:val="18"/>
          <w:szCs w:val="18"/>
          <w:b w:val="1"/>
          <w:bCs w:val="1"/>
          <w:color w:val="363639"/>
        </w:rPr>
      </w:pPr>
      <w:r>
        <w:rPr>
          <w:rFonts w:ascii="Arial" w:cs="Arial" w:eastAsia="Arial" w:hAnsi="Arial"/>
          <w:sz w:val="18"/>
          <w:szCs w:val="18"/>
          <w:b w:val="1"/>
          <w:bCs w:val="1"/>
          <w:color w:val="363639"/>
        </w:rPr>
        <w:t>Transferability of Options</w:t>
      </w:r>
    </w:p>
    <w:p>
      <w:pPr>
        <w:spacing w:after="0" w:line="220" w:lineRule="exact"/>
        <w:rPr>
          <w:rFonts w:ascii="Arial" w:cs="Arial" w:eastAsia="Arial" w:hAnsi="Arial"/>
          <w:sz w:val="18"/>
          <w:szCs w:val="18"/>
          <w:b w:val="1"/>
          <w:bCs w:val="1"/>
          <w:color w:val="363639"/>
        </w:rPr>
      </w:pPr>
    </w:p>
    <w:p>
      <w:pPr>
        <w:jc w:val="both"/>
        <w:ind w:left="780" w:right="60"/>
        <w:spacing w:after="0"/>
        <w:rPr>
          <w:rFonts w:ascii="Arial" w:cs="Arial" w:eastAsia="Arial" w:hAnsi="Arial"/>
          <w:sz w:val="18"/>
          <w:szCs w:val="18"/>
          <w:b w:val="1"/>
          <w:bCs w:val="1"/>
          <w:color w:val="363639"/>
        </w:rPr>
      </w:pPr>
      <w:r>
        <w:rPr>
          <w:rFonts w:ascii="Arial" w:cs="Arial" w:eastAsia="Arial" w:hAnsi="Arial"/>
          <w:sz w:val="18"/>
          <w:szCs w:val="18"/>
          <w:color w:val="363639"/>
        </w:rPr>
        <w:t>Options that are not exercisable may not be transferred. The assignment or otherwise transfer of exercisable Options shall be governed by the same rights and restrictions as apply to the Common Shares. The assigned or otherwise transferred portion may only be exercised by the person or persons who acquire a proprietary interest in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189230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20" w:top="249" w:right="27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color w:val="auto"/>
        </w:rPr>
        <w:t>7</w:t>
      </w:r>
    </w:p>
    <w:p>
      <w:pPr>
        <w:spacing w:after="0" w:line="88" w:lineRule="exact"/>
        <w:rPr>
          <w:sz w:val="20"/>
          <w:szCs w:val="20"/>
          <w:color w:val="auto"/>
        </w:rPr>
      </w:pPr>
    </w:p>
    <w:p>
      <w:pPr>
        <w:ind w:left="760" w:hanging="751"/>
        <w:spacing w:after="0"/>
        <w:tabs>
          <w:tab w:leader="none" w:pos="760" w:val="left"/>
        </w:tabs>
        <w:numPr>
          <w:ilvl w:val="0"/>
          <w:numId w:val="80"/>
        </w:numPr>
        <w:rPr>
          <w:rFonts w:ascii="Arial" w:cs="Arial" w:eastAsia="Arial" w:hAnsi="Arial"/>
          <w:sz w:val="18"/>
          <w:szCs w:val="18"/>
          <w:b w:val="1"/>
          <w:bCs w:val="1"/>
          <w:color w:val="363639"/>
        </w:rPr>
      </w:pPr>
      <w:r>
        <w:rPr>
          <w:rFonts w:ascii="Arial" w:cs="Arial" w:eastAsia="Arial" w:hAnsi="Arial"/>
          <w:sz w:val="18"/>
          <w:szCs w:val="18"/>
          <w:b w:val="1"/>
          <w:bCs w:val="1"/>
          <w:color w:val="363639"/>
        </w:rPr>
        <w:t>Withholding</w:t>
      </w:r>
    </w:p>
    <w:p>
      <w:pPr>
        <w:spacing w:after="0" w:line="220" w:lineRule="exact"/>
        <w:rPr>
          <w:sz w:val="20"/>
          <w:szCs w:val="20"/>
          <w:color w:val="auto"/>
        </w:rPr>
      </w:pPr>
    </w:p>
    <w:p>
      <w:pPr>
        <w:jc w:val="both"/>
        <w:ind w:left="780" w:right="60"/>
        <w:spacing w:after="0"/>
        <w:rPr>
          <w:sz w:val="20"/>
          <w:szCs w:val="20"/>
          <w:color w:val="auto"/>
        </w:rPr>
      </w:pPr>
      <w:r>
        <w:rPr>
          <w:rFonts w:ascii="Arial" w:cs="Arial" w:eastAsia="Arial" w:hAnsi="Arial"/>
          <w:sz w:val="18"/>
          <w:szCs w:val="18"/>
          <w:color w:val="363639"/>
        </w:rPr>
        <w:t>The Company's obligation to deliver Stock upon the exercise of any Options granted under the Plan shall be subject to the satisfaction of all income and employment tax withholding requirements. Applicable income taxes and social security contributions at grant or delivery shall be assessed and borne by the Optionee.</w:t>
      </w:r>
    </w:p>
    <w:p>
      <w:pPr>
        <w:spacing w:after="0" w:line="167" w:lineRule="exact"/>
        <w:rPr>
          <w:sz w:val="20"/>
          <w:szCs w:val="20"/>
          <w:color w:val="auto"/>
        </w:rPr>
      </w:pPr>
    </w:p>
    <w:p>
      <w:pPr>
        <w:ind w:left="760" w:hanging="751"/>
        <w:spacing w:after="0"/>
        <w:tabs>
          <w:tab w:leader="none" w:pos="760" w:val="left"/>
        </w:tabs>
        <w:numPr>
          <w:ilvl w:val="0"/>
          <w:numId w:val="81"/>
        </w:numPr>
        <w:rPr>
          <w:rFonts w:ascii="Arial" w:cs="Arial" w:eastAsia="Arial" w:hAnsi="Arial"/>
          <w:sz w:val="18"/>
          <w:szCs w:val="18"/>
          <w:b w:val="1"/>
          <w:bCs w:val="1"/>
          <w:color w:val="363639"/>
        </w:rPr>
      </w:pPr>
      <w:r>
        <w:rPr>
          <w:rFonts w:ascii="Arial" w:cs="Arial" w:eastAsia="Arial" w:hAnsi="Arial"/>
          <w:sz w:val="18"/>
          <w:szCs w:val="18"/>
          <w:b w:val="1"/>
          <w:bCs w:val="1"/>
          <w:color w:val="363639"/>
        </w:rPr>
        <w:t>CANCELLATION OF OPTIONS</w:t>
      </w:r>
    </w:p>
    <w:p>
      <w:pPr>
        <w:spacing w:after="0" w:line="220" w:lineRule="exact"/>
        <w:rPr>
          <w:rFonts w:ascii="Arial" w:cs="Arial" w:eastAsia="Arial" w:hAnsi="Arial"/>
          <w:sz w:val="18"/>
          <w:szCs w:val="18"/>
          <w:b w:val="1"/>
          <w:bCs w:val="1"/>
          <w:color w:val="363639"/>
        </w:rPr>
      </w:pPr>
    </w:p>
    <w:p>
      <w:pPr>
        <w:jc w:val="both"/>
        <w:ind w:left="780" w:right="60"/>
        <w:spacing w:after="0" w:line="237" w:lineRule="auto"/>
        <w:rPr>
          <w:rFonts w:ascii="Arial" w:cs="Arial" w:eastAsia="Arial" w:hAnsi="Arial"/>
          <w:sz w:val="18"/>
          <w:szCs w:val="18"/>
          <w:b w:val="1"/>
          <w:bCs w:val="1"/>
          <w:color w:val="363639"/>
        </w:rPr>
      </w:pPr>
      <w:r>
        <w:rPr>
          <w:rFonts w:ascii="Arial" w:cs="Arial" w:eastAsia="Arial" w:hAnsi="Arial"/>
          <w:sz w:val="18"/>
          <w:szCs w:val="18"/>
          <w:color w:val="363639"/>
        </w:rPr>
        <w:t>The Plan Administrator shall have the authority to effect, at any time and from time to time, the cancellation of any or all outstanding options under the Plan and to grant in substitution therefore new options covering the same or different number of Stocks but with an exercise price per Stock based on the Fair Market Value on the new option grant date. The provisions of Section III remain reserved. The Plan Administrator shall also have the authority to cancel the Options in case of a transfer of the majority of shares of the Company in exchange of payment of the value of the cancelled options calculated on the Fair Market Value of the Stock at that time and assuming a volatility of 25%,</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363639"/>
        </w:rPr>
        <w:t>IV.</w:t>
      </w:r>
      <w:r>
        <w:rPr>
          <w:sz w:val="20"/>
          <w:szCs w:val="20"/>
          <w:color w:val="auto"/>
        </w:rPr>
        <w:tab/>
      </w:r>
      <w:r>
        <w:rPr>
          <w:rFonts w:ascii="Arial" w:cs="Arial" w:eastAsia="Arial" w:hAnsi="Arial"/>
          <w:sz w:val="18"/>
          <w:szCs w:val="18"/>
          <w:b w:val="1"/>
          <w:bCs w:val="1"/>
          <w:color w:val="363639"/>
        </w:rPr>
        <w:t>MISCELLANEOUS</w:t>
      </w:r>
    </w:p>
    <w:p>
      <w:pPr>
        <w:spacing w:after="0" w:line="198" w:lineRule="exact"/>
        <w:rPr>
          <w:sz w:val="20"/>
          <w:szCs w:val="20"/>
          <w:color w:val="auto"/>
        </w:rPr>
      </w:pPr>
    </w:p>
    <w:p>
      <w:pPr>
        <w:ind w:left="760" w:hanging="751"/>
        <w:spacing w:after="0"/>
        <w:tabs>
          <w:tab w:leader="none" w:pos="760" w:val="left"/>
        </w:tabs>
        <w:numPr>
          <w:ilvl w:val="0"/>
          <w:numId w:val="82"/>
        </w:numPr>
        <w:rPr>
          <w:rFonts w:ascii="Arial" w:cs="Arial" w:eastAsia="Arial" w:hAnsi="Arial"/>
          <w:sz w:val="18"/>
          <w:szCs w:val="18"/>
          <w:b w:val="1"/>
          <w:bCs w:val="1"/>
          <w:color w:val="363639"/>
        </w:rPr>
      </w:pPr>
      <w:r>
        <w:rPr>
          <w:rFonts w:ascii="Arial" w:cs="Arial" w:eastAsia="Arial" w:hAnsi="Arial"/>
          <w:sz w:val="18"/>
          <w:szCs w:val="18"/>
          <w:b w:val="1"/>
          <w:bCs w:val="1"/>
          <w:color w:val="363639"/>
        </w:rPr>
        <w:t>Payment and Financing</w:t>
      </w:r>
    </w:p>
    <w:p>
      <w:pPr>
        <w:spacing w:after="0" w:line="220" w:lineRule="exact"/>
        <w:rPr>
          <w:rFonts w:ascii="Arial" w:cs="Arial" w:eastAsia="Arial" w:hAnsi="Arial"/>
          <w:sz w:val="18"/>
          <w:szCs w:val="18"/>
          <w:b w:val="1"/>
          <w:bCs w:val="1"/>
          <w:color w:val="363639"/>
        </w:rPr>
      </w:pPr>
    </w:p>
    <w:p>
      <w:pPr>
        <w:ind w:left="780" w:right="60"/>
        <w:spacing w:after="0" w:line="246" w:lineRule="auto"/>
        <w:rPr>
          <w:rFonts w:ascii="Arial" w:cs="Arial" w:eastAsia="Arial" w:hAnsi="Arial"/>
          <w:sz w:val="18"/>
          <w:szCs w:val="18"/>
          <w:b w:val="1"/>
          <w:bCs w:val="1"/>
          <w:color w:val="363639"/>
        </w:rPr>
      </w:pPr>
      <w:r>
        <w:rPr>
          <w:rFonts w:ascii="Arial" w:cs="Arial" w:eastAsia="Arial" w:hAnsi="Arial"/>
          <w:sz w:val="18"/>
          <w:szCs w:val="18"/>
          <w:color w:val="363639"/>
        </w:rPr>
        <w:t>If possible, the Plan Administrator will permit the Optionee to pay the option exercise price by alternative methods, e.g. a cash-less exercise by payment of stock. An Optionee is not entitled to such alternative payment method.</w:t>
      </w:r>
    </w:p>
    <w:p>
      <w:pPr>
        <w:spacing w:after="0" w:line="183" w:lineRule="exact"/>
        <w:rPr>
          <w:rFonts w:ascii="Arial" w:cs="Arial" w:eastAsia="Arial" w:hAnsi="Arial"/>
          <w:sz w:val="18"/>
          <w:szCs w:val="18"/>
          <w:b w:val="1"/>
          <w:bCs w:val="1"/>
          <w:color w:val="363639"/>
        </w:rPr>
      </w:pPr>
    </w:p>
    <w:p>
      <w:pPr>
        <w:jc w:val="both"/>
        <w:ind w:left="780" w:right="60"/>
        <w:spacing w:after="0" w:line="238" w:lineRule="auto"/>
        <w:rPr>
          <w:rFonts w:ascii="Arial" w:cs="Arial" w:eastAsia="Arial" w:hAnsi="Arial"/>
          <w:sz w:val="18"/>
          <w:szCs w:val="18"/>
          <w:b w:val="1"/>
          <w:bCs w:val="1"/>
          <w:color w:val="363639"/>
        </w:rPr>
      </w:pPr>
      <w:r>
        <w:rPr>
          <w:rFonts w:ascii="Arial" w:cs="Arial" w:eastAsia="Arial" w:hAnsi="Arial"/>
          <w:sz w:val="18"/>
          <w:szCs w:val="18"/>
          <w:color w:val="363639"/>
        </w:rPr>
        <w:t>The Plan Administrator may permit any Optionee to pay the option exercise price by delivering a promissory note payable in one or more instalments. The terms of any such promissory note (including the interest rate and the terms of repayment) shall be established by the Plan Administrator in its sole discretion. Promissory notes may be authorised with or without security or collateral. In all events, the maximum credit available to the Optionee may not exceed the aggregate option exercise price payable for the purchased shares.</w:t>
      </w:r>
    </w:p>
    <w:p>
      <w:pPr>
        <w:spacing w:after="0" w:line="167" w:lineRule="exact"/>
        <w:rPr>
          <w:rFonts w:ascii="Arial" w:cs="Arial" w:eastAsia="Arial" w:hAnsi="Arial"/>
          <w:sz w:val="18"/>
          <w:szCs w:val="18"/>
          <w:b w:val="1"/>
          <w:bCs w:val="1"/>
          <w:color w:val="363639"/>
        </w:rPr>
      </w:pPr>
    </w:p>
    <w:p>
      <w:pPr>
        <w:ind w:left="760" w:hanging="751"/>
        <w:spacing w:after="0"/>
        <w:tabs>
          <w:tab w:leader="none" w:pos="760" w:val="left"/>
        </w:tabs>
        <w:numPr>
          <w:ilvl w:val="0"/>
          <w:numId w:val="82"/>
        </w:numPr>
        <w:rPr>
          <w:rFonts w:ascii="Arial" w:cs="Arial" w:eastAsia="Arial" w:hAnsi="Arial"/>
          <w:sz w:val="18"/>
          <w:szCs w:val="18"/>
          <w:b w:val="1"/>
          <w:bCs w:val="1"/>
          <w:color w:val="363639"/>
        </w:rPr>
      </w:pPr>
      <w:r>
        <w:rPr>
          <w:rFonts w:ascii="Arial" w:cs="Arial" w:eastAsia="Arial" w:hAnsi="Arial"/>
          <w:sz w:val="18"/>
          <w:szCs w:val="18"/>
          <w:b w:val="1"/>
          <w:bCs w:val="1"/>
          <w:color w:val="363639"/>
        </w:rPr>
        <w:t>Amendment of the Plan</w:t>
      </w:r>
    </w:p>
    <w:p>
      <w:pPr>
        <w:spacing w:after="0" w:line="220" w:lineRule="exact"/>
        <w:rPr>
          <w:rFonts w:ascii="Arial" w:cs="Arial" w:eastAsia="Arial" w:hAnsi="Arial"/>
          <w:sz w:val="18"/>
          <w:szCs w:val="18"/>
          <w:b w:val="1"/>
          <w:bCs w:val="1"/>
          <w:color w:val="363639"/>
        </w:rPr>
      </w:pPr>
    </w:p>
    <w:p>
      <w:pPr>
        <w:jc w:val="both"/>
        <w:ind w:left="780" w:right="60"/>
        <w:spacing w:after="0"/>
        <w:rPr>
          <w:rFonts w:ascii="Arial" w:cs="Arial" w:eastAsia="Arial" w:hAnsi="Arial"/>
          <w:sz w:val="18"/>
          <w:szCs w:val="18"/>
          <w:b w:val="1"/>
          <w:bCs w:val="1"/>
          <w:color w:val="363639"/>
        </w:rPr>
      </w:pPr>
      <w:r>
        <w:rPr>
          <w:rFonts w:ascii="Arial" w:cs="Arial" w:eastAsia="Arial" w:hAnsi="Arial"/>
          <w:sz w:val="18"/>
          <w:szCs w:val="18"/>
          <w:color w:val="363639"/>
        </w:rPr>
        <w:t>The Board shall have complete and exclusive power and authority to amend or modify the Plan in any or all respects. No such amendment or modification shall, without the consent of the concerned Optionee, adversely affect his rights and obligations under the 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189230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20" w:top="249" w:right="27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color w:val="auto"/>
        </w:rPr>
        <w:t>8</w:t>
      </w:r>
    </w:p>
    <w:p>
      <w:pPr>
        <w:spacing w:after="0" w:line="88" w:lineRule="exact"/>
        <w:rPr>
          <w:sz w:val="20"/>
          <w:szCs w:val="20"/>
          <w:color w:val="auto"/>
        </w:rPr>
      </w:pPr>
    </w:p>
    <w:p>
      <w:pPr>
        <w:ind w:left="760" w:hanging="751"/>
        <w:spacing w:after="0"/>
        <w:tabs>
          <w:tab w:leader="none" w:pos="760" w:val="left"/>
        </w:tabs>
        <w:numPr>
          <w:ilvl w:val="0"/>
          <w:numId w:val="83"/>
        </w:numPr>
        <w:rPr>
          <w:rFonts w:ascii="Arial" w:cs="Arial" w:eastAsia="Arial" w:hAnsi="Arial"/>
          <w:sz w:val="18"/>
          <w:szCs w:val="18"/>
          <w:b w:val="1"/>
          <w:bCs w:val="1"/>
          <w:color w:val="363639"/>
        </w:rPr>
      </w:pPr>
      <w:r>
        <w:rPr>
          <w:rFonts w:ascii="Arial" w:cs="Arial" w:eastAsia="Arial" w:hAnsi="Arial"/>
          <w:sz w:val="18"/>
          <w:szCs w:val="18"/>
          <w:b w:val="1"/>
          <w:bCs w:val="1"/>
          <w:color w:val="363639"/>
        </w:rPr>
        <w:t>Use of Proceeds</w:t>
      </w:r>
    </w:p>
    <w:p>
      <w:pPr>
        <w:spacing w:after="0" w:line="220" w:lineRule="exact"/>
        <w:rPr>
          <w:rFonts w:ascii="Arial" w:cs="Arial" w:eastAsia="Arial" w:hAnsi="Arial"/>
          <w:sz w:val="18"/>
          <w:szCs w:val="18"/>
          <w:b w:val="1"/>
          <w:bCs w:val="1"/>
          <w:color w:val="363639"/>
        </w:rPr>
      </w:pPr>
    </w:p>
    <w:p>
      <w:pPr>
        <w:ind w:left="780" w:right="60"/>
        <w:spacing w:after="0" w:line="246" w:lineRule="auto"/>
        <w:rPr>
          <w:rFonts w:ascii="Arial" w:cs="Arial" w:eastAsia="Arial" w:hAnsi="Arial"/>
          <w:sz w:val="18"/>
          <w:szCs w:val="18"/>
          <w:b w:val="1"/>
          <w:bCs w:val="1"/>
          <w:color w:val="363639"/>
        </w:rPr>
      </w:pPr>
      <w:r>
        <w:rPr>
          <w:rFonts w:ascii="Arial" w:cs="Arial" w:eastAsia="Arial" w:hAnsi="Arial"/>
          <w:sz w:val="18"/>
          <w:szCs w:val="18"/>
          <w:color w:val="363639"/>
        </w:rPr>
        <w:t>Any cash proceeds received by the Company from the sale of options and/or the sale of shares of Common Stock under the Plan shall be used for general corporate purposes.</w:t>
      </w:r>
    </w:p>
    <w:p>
      <w:pPr>
        <w:spacing w:after="0" w:line="161" w:lineRule="exact"/>
        <w:rPr>
          <w:rFonts w:ascii="Arial" w:cs="Arial" w:eastAsia="Arial" w:hAnsi="Arial"/>
          <w:sz w:val="18"/>
          <w:szCs w:val="18"/>
          <w:b w:val="1"/>
          <w:bCs w:val="1"/>
          <w:color w:val="363639"/>
        </w:rPr>
      </w:pPr>
    </w:p>
    <w:p>
      <w:pPr>
        <w:ind w:left="760" w:hanging="751"/>
        <w:spacing w:after="0"/>
        <w:tabs>
          <w:tab w:leader="none" w:pos="760" w:val="left"/>
        </w:tabs>
        <w:numPr>
          <w:ilvl w:val="0"/>
          <w:numId w:val="83"/>
        </w:numPr>
        <w:rPr>
          <w:rFonts w:ascii="Arial" w:cs="Arial" w:eastAsia="Arial" w:hAnsi="Arial"/>
          <w:sz w:val="18"/>
          <w:szCs w:val="18"/>
          <w:b w:val="1"/>
          <w:bCs w:val="1"/>
          <w:color w:val="363639"/>
        </w:rPr>
      </w:pPr>
      <w:r>
        <w:rPr>
          <w:rFonts w:ascii="Arial" w:cs="Arial" w:eastAsia="Arial" w:hAnsi="Arial"/>
          <w:sz w:val="18"/>
          <w:szCs w:val="18"/>
          <w:b w:val="1"/>
          <w:bCs w:val="1"/>
          <w:color w:val="363639"/>
        </w:rPr>
        <w:t>Regulatory Approvals</w:t>
      </w:r>
    </w:p>
    <w:p>
      <w:pPr>
        <w:spacing w:after="0" w:line="220" w:lineRule="exact"/>
        <w:rPr>
          <w:rFonts w:ascii="Arial" w:cs="Arial" w:eastAsia="Arial" w:hAnsi="Arial"/>
          <w:sz w:val="18"/>
          <w:szCs w:val="18"/>
          <w:b w:val="1"/>
          <w:bCs w:val="1"/>
          <w:color w:val="363639"/>
        </w:rPr>
      </w:pPr>
    </w:p>
    <w:p>
      <w:pPr>
        <w:jc w:val="both"/>
        <w:ind w:left="780" w:right="60"/>
        <w:spacing w:after="0"/>
        <w:rPr>
          <w:rFonts w:ascii="Arial" w:cs="Arial" w:eastAsia="Arial" w:hAnsi="Arial"/>
          <w:sz w:val="18"/>
          <w:szCs w:val="18"/>
          <w:b w:val="1"/>
          <w:bCs w:val="1"/>
          <w:color w:val="363639"/>
        </w:rPr>
      </w:pPr>
      <w:r>
        <w:rPr>
          <w:rFonts w:ascii="Arial" w:cs="Arial" w:eastAsia="Arial" w:hAnsi="Arial"/>
          <w:sz w:val="18"/>
          <w:szCs w:val="18"/>
          <w:color w:val="363639"/>
        </w:rPr>
        <w:t>The implementation of the Plan, the granting of any option under the Plan and the issuance of any Stocks upon the exercise of any option shall be subject to the Company's procurement of all approvals and permits required by regulatory authorities having jurisdiction over the Plan, the Options granted under it and the Stocks issued pursuant to it.</w:t>
      </w:r>
    </w:p>
    <w:p>
      <w:pPr>
        <w:spacing w:after="0" w:line="167" w:lineRule="exact"/>
        <w:rPr>
          <w:rFonts w:ascii="Arial" w:cs="Arial" w:eastAsia="Arial" w:hAnsi="Arial"/>
          <w:sz w:val="18"/>
          <w:szCs w:val="18"/>
          <w:b w:val="1"/>
          <w:bCs w:val="1"/>
          <w:color w:val="363639"/>
        </w:rPr>
      </w:pPr>
    </w:p>
    <w:p>
      <w:pPr>
        <w:ind w:left="760" w:hanging="751"/>
        <w:spacing w:after="0"/>
        <w:tabs>
          <w:tab w:leader="none" w:pos="760" w:val="left"/>
        </w:tabs>
        <w:numPr>
          <w:ilvl w:val="0"/>
          <w:numId w:val="83"/>
        </w:numPr>
        <w:rPr>
          <w:rFonts w:ascii="Arial" w:cs="Arial" w:eastAsia="Arial" w:hAnsi="Arial"/>
          <w:sz w:val="18"/>
          <w:szCs w:val="18"/>
          <w:b w:val="1"/>
          <w:bCs w:val="1"/>
          <w:color w:val="363639"/>
        </w:rPr>
      </w:pPr>
      <w:r>
        <w:rPr>
          <w:rFonts w:ascii="Arial" w:cs="Arial" w:eastAsia="Arial" w:hAnsi="Arial"/>
          <w:sz w:val="18"/>
          <w:szCs w:val="18"/>
          <w:b w:val="1"/>
          <w:bCs w:val="1"/>
          <w:color w:val="363639"/>
        </w:rPr>
        <w:t>No Employment or Service Rights</w:t>
      </w:r>
    </w:p>
    <w:p>
      <w:pPr>
        <w:spacing w:after="0" w:line="220" w:lineRule="exact"/>
        <w:rPr>
          <w:rFonts w:ascii="Arial" w:cs="Arial" w:eastAsia="Arial" w:hAnsi="Arial"/>
          <w:sz w:val="18"/>
          <w:szCs w:val="18"/>
          <w:b w:val="1"/>
          <w:bCs w:val="1"/>
          <w:color w:val="363639"/>
        </w:rPr>
      </w:pPr>
    </w:p>
    <w:p>
      <w:pPr>
        <w:jc w:val="both"/>
        <w:ind w:left="780" w:right="60"/>
        <w:spacing w:after="0" w:line="239" w:lineRule="auto"/>
        <w:rPr>
          <w:rFonts w:ascii="Arial" w:cs="Arial" w:eastAsia="Arial" w:hAnsi="Arial"/>
          <w:sz w:val="18"/>
          <w:szCs w:val="18"/>
          <w:b w:val="1"/>
          <w:bCs w:val="1"/>
          <w:color w:val="363639"/>
        </w:rPr>
      </w:pPr>
      <w:r>
        <w:rPr>
          <w:rFonts w:ascii="Arial" w:cs="Arial" w:eastAsia="Arial" w:hAnsi="Arial"/>
          <w:sz w:val="18"/>
          <w:szCs w:val="18"/>
          <w:color w:val="363639"/>
        </w:rPr>
        <w:t>Nothing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the Optionee's Service at any time for any reason, with or without cause.</w:t>
      </w:r>
    </w:p>
    <w:p>
      <w:pPr>
        <w:spacing w:after="0" w:line="166" w:lineRule="exact"/>
        <w:rPr>
          <w:rFonts w:ascii="Arial" w:cs="Arial" w:eastAsia="Arial" w:hAnsi="Arial"/>
          <w:sz w:val="18"/>
          <w:szCs w:val="18"/>
          <w:b w:val="1"/>
          <w:bCs w:val="1"/>
          <w:color w:val="363639"/>
        </w:rPr>
      </w:pPr>
    </w:p>
    <w:p>
      <w:pPr>
        <w:ind w:left="760" w:hanging="751"/>
        <w:spacing w:after="0"/>
        <w:tabs>
          <w:tab w:leader="none" w:pos="760" w:val="left"/>
        </w:tabs>
        <w:numPr>
          <w:ilvl w:val="0"/>
          <w:numId w:val="83"/>
        </w:numPr>
        <w:rPr>
          <w:rFonts w:ascii="Arial" w:cs="Arial" w:eastAsia="Arial" w:hAnsi="Arial"/>
          <w:sz w:val="18"/>
          <w:szCs w:val="18"/>
          <w:b w:val="1"/>
          <w:bCs w:val="1"/>
          <w:color w:val="363639"/>
        </w:rPr>
      </w:pPr>
      <w:r>
        <w:rPr>
          <w:rFonts w:ascii="Arial" w:cs="Arial" w:eastAsia="Arial" w:hAnsi="Arial"/>
          <w:sz w:val="18"/>
          <w:szCs w:val="18"/>
          <w:b w:val="1"/>
          <w:bCs w:val="1"/>
          <w:color w:val="363639"/>
        </w:rPr>
        <w:t>Foreign Law Provisions</w:t>
      </w:r>
    </w:p>
    <w:p>
      <w:pPr>
        <w:spacing w:after="0" w:line="220" w:lineRule="exact"/>
        <w:rPr>
          <w:rFonts w:ascii="Arial" w:cs="Arial" w:eastAsia="Arial" w:hAnsi="Arial"/>
          <w:sz w:val="18"/>
          <w:szCs w:val="18"/>
          <w:b w:val="1"/>
          <w:bCs w:val="1"/>
          <w:color w:val="363639"/>
        </w:rPr>
      </w:pPr>
    </w:p>
    <w:p>
      <w:pPr>
        <w:jc w:val="both"/>
        <w:ind w:left="780" w:right="60"/>
        <w:spacing w:after="0" w:line="239" w:lineRule="auto"/>
        <w:rPr>
          <w:rFonts w:ascii="Arial" w:cs="Arial" w:eastAsia="Arial" w:hAnsi="Arial"/>
          <w:sz w:val="18"/>
          <w:szCs w:val="18"/>
          <w:b w:val="1"/>
          <w:bCs w:val="1"/>
          <w:color w:val="363639"/>
        </w:rPr>
      </w:pPr>
      <w:r>
        <w:rPr>
          <w:rFonts w:ascii="Arial" w:cs="Arial" w:eastAsia="Arial" w:hAnsi="Arial"/>
          <w:sz w:val="18"/>
          <w:szCs w:val="18"/>
          <w:color w:val="363639"/>
        </w:rPr>
        <w:t>Additional or different provisions for individual non-Swiss Subsidiaries may be incorporated in one or more Addenda to the Plan. Such Addenda shall have full force and effect with respect to the Subsidiaries to which they apply. In the event of a conflict between the provisions of such an Addendum and one or more other provisions of the Plan, the provisions of the Addendum shall be prevailing.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188595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00"/>
      </w:cols>
      <w:pgMar w:left="320" w:top="25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decimal"/>
      <w:start w:val="1"/>
    </w:lvl>
  </w:abstractNum>
  <w:abstractNum w:abstractNumId="1">
    <w:nsid w:val="6A2342EC"/>
    <w:multiLevelType w:val="hybridMultilevel"/>
    <w:lvl w:ilvl="0">
      <w:lvlJc w:val="left"/>
      <w:lvlText w:val="(%1)"/>
      <w:numFmt w:val="lowerLetter"/>
      <w:start w:val="1"/>
    </w:lvl>
  </w:abstractNum>
  <w:abstractNum w:abstractNumId="2">
    <w:nsid w:val="2A487CB0"/>
    <w:multiLevelType w:val="hybridMultilevel"/>
    <w:lvl w:ilvl="0">
      <w:lvlJc w:val="left"/>
      <w:lvlText w:val="5"/>
      <w:numFmt w:val="bullet"/>
      <w:start w:val="1"/>
    </w:lvl>
  </w:abstractNum>
  <w:abstractNum w:abstractNumId="3">
    <w:nsid w:val="1D4ED43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725A06FB"/>
    <w:multiLevelType w:val="hybridMultilevel"/>
    <w:lvl w:ilvl="0">
      <w:lvlJc w:val="left"/>
      <w:lvlText w:val="%1"/>
      <w:numFmt w:val="lowerLetter"/>
      <w:start w:val="1"/>
    </w:lvl>
    <w:lvl w:ilvl="1">
      <w:lvlJc w:val="left"/>
      <w:lvlText w:val="(%2)"/>
      <w:numFmt w:val="decimal"/>
      <w:start w:val="2"/>
    </w:lvl>
  </w:abstractNum>
  <w:abstractNum w:abstractNumId="5">
    <w:nsid w:val="2CD89A32"/>
    <w:multiLevelType w:val="hybridMultilevel"/>
    <w:lvl w:ilvl="0">
      <w:lvlJc w:val="left"/>
      <w:lvlText w:val="(%1)"/>
      <w:numFmt w:val="lowerLetter"/>
      <w:start w:val="2"/>
    </w:lvl>
    <w:lvl w:ilvl="1">
      <w:lvlJc w:val="left"/>
      <w:lvlText w:val="%2"/>
      <w:numFmt w:val="decimal"/>
      <w:start w:val="1"/>
    </w:lvl>
  </w:abstractNum>
  <w:abstractNum w:abstractNumId="6">
    <w:nsid w:val="57E4CCAF"/>
    <w:multiLevelType w:val="hybridMultilevel"/>
    <w:lvl w:ilvl="0">
      <w:lvlJc w:val="left"/>
      <w:lvlText w:val="5"/>
      <w:numFmt w:val="bullet"/>
      <w:start w:val="1"/>
    </w:lvl>
  </w:abstractNum>
  <w:abstractNum w:abstractNumId="7">
    <w:nsid w:val="7A6D8D3C"/>
    <w:multiLevelType w:val="hybridMultilevel"/>
    <w:lvl w:ilvl="0">
      <w:lvlJc w:val="left"/>
      <w:lvlText w:val="%1)"/>
      <w:numFmt w:val="lowerLetter"/>
      <w:start w:val="6"/>
    </w:lvl>
  </w:abstractNum>
  <w:abstractNum w:abstractNumId="8">
    <w:nsid w:val="4B588F54"/>
    <w:multiLevelType w:val="hybridMultilevel"/>
    <w:lvl w:ilvl="0">
      <w:lvlJc w:val="left"/>
      <w:lvlText w:val="%1)"/>
      <w:numFmt w:val="lowerLetter"/>
      <w:start w:val="7"/>
    </w:lvl>
  </w:abstractNum>
  <w:abstractNum w:abstractNumId="9">
    <w:nsid w:val="542289E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0">
    <w:nsid w:val="6DE91B1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1">
    <w:nsid w:val="38437FD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
    <w:nsid w:val="7644A45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3">
    <w:nsid w:val="32FFF902"/>
    <w:multiLevelType w:val="hybridMultilevel"/>
    <w:lvl w:ilvl="0">
      <w:lvlJc w:val="left"/>
      <w:lvlText w:val="(%1)"/>
      <w:numFmt w:val="lowerRoman"/>
      <w:start w:val="3"/>
    </w:lvl>
  </w:abstractNum>
  <w:abstractNum w:abstractNumId="14">
    <w:nsid w:val="684A481A"/>
    <w:multiLevelType w:val="hybridMultilevel"/>
    <w:lvl w:ilvl="0">
      <w:lvlJc w:val="left"/>
      <w:lvlText w:val="(%1)"/>
      <w:numFmt w:val="lowerRoman"/>
      <w:start w:val="3"/>
    </w:lvl>
  </w:abstractNum>
  <w:abstractNum w:abstractNumId="15">
    <w:nsid w:val="579478FE"/>
    <w:multiLevelType w:val="hybridMultilevel"/>
    <w:lvl w:ilvl="0">
      <w:lvlJc w:val="left"/>
      <w:lvlText w:val="%1)"/>
      <w:numFmt w:val="lowerLetter"/>
      <w:start w:val="2"/>
    </w:lvl>
  </w:abstractNum>
  <w:abstractNum w:abstractNumId="16">
    <w:nsid w:val="749ABB43"/>
    <w:multiLevelType w:val="hybridMultilevel"/>
    <w:lvl w:ilvl="0">
      <w:lvlJc w:val="left"/>
      <w:lvlText w:val="%1)"/>
      <w:numFmt w:val="lowerLetter"/>
      <w:start w:val="3"/>
    </w:lvl>
  </w:abstractNum>
  <w:abstractNum w:abstractNumId="17">
    <w:nsid w:val="3DC240FB"/>
    <w:multiLevelType w:val="hybridMultilevel"/>
    <w:lvl w:ilvl="0">
      <w:lvlJc w:val="left"/>
      <w:lvlText w:val="%1)"/>
      <w:numFmt w:val="lowerLetter"/>
      <w:start w:val="4"/>
    </w:lvl>
  </w:abstractNum>
  <w:abstractNum w:abstractNumId="18">
    <w:nsid w:val="1BA026FA"/>
    <w:multiLevelType w:val="hybridMultilevel"/>
    <w:lvl w:ilvl="0">
      <w:lvlJc w:val="left"/>
      <w:lvlText w:val="%1)"/>
      <w:numFmt w:val="lowerLetter"/>
      <w:start w:val="4"/>
    </w:lvl>
  </w:abstractNum>
  <w:abstractNum w:abstractNumId="19">
    <w:nsid w:val="79A1DEAA"/>
    <w:multiLevelType w:val="hybridMultilevel"/>
    <w:lvl w:ilvl="0">
      <w:lvlJc w:val="left"/>
      <w:lvlText w:val="%1)"/>
      <w:numFmt w:val="lowerLetter"/>
      <w:start w:val="6"/>
    </w:lvl>
  </w:abstractNum>
  <w:abstractNum w:abstractNumId="20">
    <w:nsid w:val="75C6C33A"/>
    <w:multiLevelType w:val="hybridMultilevel"/>
    <w:lvl w:ilvl="0">
      <w:lvlJc w:val="left"/>
      <w:lvlText w:val="%1)"/>
      <w:numFmt w:val="lowerLetter"/>
      <w:start w:val="7"/>
    </w:lvl>
  </w:abstractNum>
  <w:abstractNum w:abstractNumId="21">
    <w:nsid w:val="12E685FB"/>
    <w:multiLevelType w:val="hybridMultilevel"/>
    <w:lvl w:ilvl="0">
      <w:lvlJc w:val="left"/>
      <w:lvlText w:val="%1)"/>
      <w:numFmt w:val="lowerLetter"/>
      <w:start w:val="3"/>
    </w:lvl>
  </w:abstractNum>
  <w:abstractNum w:abstractNumId="22">
    <w:nsid w:val="70C6A529"/>
    <w:multiLevelType w:val="hybridMultilevel"/>
    <w:lvl w:ilvl="0">
      <w:lvlJc w:val="left"/>
      <w:lvlText w:val="%1)"/>
      <w:numFmt w:val="lowerLetter"/>
      <w:start w:val="6"/>
    </w:lvl>
  </w:abstractNum>
  <w:abstractNum w:abstractNumId="23">
    <w:nsid w:val="520EEDD1"/>
    <w:multiLevelType w:val="hybridMultilevel"/>
    <w:lvl w:ilvl="0">
      <w:lvlJc w:val="left"/>
      <w:lvlText w:val="%1)"/>
      <w:numFmt w:val="lowerLetter"/>
      <w:start w:val="1"/>
    </w:lvl>
  </w:abstractNum>
  <w:abstractNum w:abstractNumId="24">
    <w:nsid w:val="374A3FE6"/>
    <w:multiLevelType w:val="hybridMultilevel"/>
    <w:lvl w:ilvl="0">
      <w:lvlJc w:val="left"/>
      <w:lvlText w:val="%1)"/>
      <w:numFmt w:val="lowerLetter"/>
      <w:start w:val="1"/>
    </w:lvl>
  </w:abstractNum>
  <w:abstractNum w:abstractNumId="25">
    <w:nsid w:val="4F4EF005"/>
    <w:multiLevelType w:val="hybridMultilevel"/>
    <w:lvl w:ilvl="0">
      <w:lvlJc w:val="left"/>
      <w:lvlText w:val="(%1)"/>
      <w:numFmt w:val="lowerRoman"/>
      <w:start w:val="1"/>
    </w:lvl>
  </w:abstractNum>
  <w:abstractNum w:abstractNumId="26">
    <w:nsid w:val="23F9C13C"/>
    <w:multiLevelType w:val="hybridMultilevel"/>
    <w:lvl w:ilvl="0">
      <w:lvlJc w:val="left"/>
      <w:lvlText w:val="%1."/>
      <w:numFmt w:val="upperLetter"/>
      <w:start w:val="9"/>
    </w:lvl>
  </w:abstractNum>
  <w:abstractNum w:abstractNumId="27">
    <w:nsid w:val="649BB77C"/>
    <w:multiLevelType w:val="hybridMultilevel"/>
    <w:lvl w:ilvl="0">
      <w:lvlJc w:val="left"/>
      <w:lvlText w:val="%1)"/>
      <w:numFmt w:val="lowerLetter"/>
      <w:start w:val="1"/>
    </w:lvl>
  </w:abstractNum>
  <w:abstractNum w:abstractNumId="28">
    <w:nsid w:val="275AC794"/>
    <w:multiLevelType w:val="hybridMultilevel"/>
    <w:lvl w:ilvl="0">
      <w:lvlJc w:val="left"/>
      <w:lvlText w:val="%1."/>
      <w:numFmt w:val="upperLetter"/>
      <w:start w:val="35"/>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1)"/>
      <w:numFmt w:val="lowerLetter"/>
      <w:start w:val="2"/>
    </w:lvl>
  </w:abstractNum>
  <w:abstractNum w:abstractNumId="31">
    <w:nsid w:val="180115BE"/>
    <w:multiLevelType w:val="hybridMultilevel"/>
    <w:lvl w:ilvl="0">
      <w:lvlJc w:val="left"/>
      <w:lvlText w:val="%1."/>
      <w:numFmt w:val="upperLetter"/>
      <w:start w:val="61"/>
    </w:lvl>
  </w:abstractNum>
  <w:abstractNum w:abstractNumId="32">
    <w:nsid w:val="235BA861"/>
    <w:multiLevelType w:val="hybridMultilevel"/>
    <w:lvl w:ilvl="0">
      <w:lvlJc w:val="left"/>
      <w:lvlText w:val="%1)"/>
      <w:numFmt w:val="lowerLetter"/>
      <w:start w:val="1"/>
    </w:lvl>
  </w:abstractNum>
  <w:abstractNum w:abstractNumId="33">
    <w:nsid w:val="47398C89"/>
    <w:multiLevelType w:val="hybridMultilevel"/>
    <w:lvl w:ilvl="0">
      <w:lvlJc w:val="left"/>
      <w:lvlText w:val="%1)"/>
      <w:numFmt w:val="lowerLetter"/>
      <w:start w:val="1"/>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1."/>
      <w:numFmt w:val="decimal"/>
      <w:start w:val="2"/>
    </w:lvl>
  </w:abstractNum>
  <w:abstractNum w:abstractNumId="36">
    <w:nsid w:val="741226BB"/>
    <w:multiLevelType w:val="hybridMultilevel"/>
    <w:lvl w:ilvl="0">
      <w:lvlJc w:val="left"/>
      <w:lvlText w:val="%1."/>
      <w:numFmt w:val="decimal"/>
      <w:start w:val="3"/>
    </w:lvl>
  </w:abstractNum>
  <w:abstractNum w:abstractNumId="37">
    <w:nsid w:val="D34B6A8"/>
    <w:multiLevelType w:val="hybridMultilevel"/>
    <w:lvl w:ilvl="0">
      <w:lvlJc w:val="left"/>
      <w:lvlText w:val="%1."/>
      <w:numFmt w:val="decimal"/>
      <w:start w:val="4"/>
    </w:lvl>
  </w:abstractNum>
  <w:abstractNum w:abstractNumId="38">
    <w:nsid w:val="10233C99"/>
    <w:multiLevelType w:val="hybridMultilevel"/>
    <w:lvl w:ilvl="0">
      <w:lvlJc w:val="left"/>
      <w:lvlText w:val="%1."/>
      <w:numFmt w:val="decimal"/>
      <w:start w:val="5"/>
    </w:lvl>
  </w:abstractNum>
  <w:abstractNum w:abstractNumId="39">
    <w:nsid w:val="3F6AB60F"/>
    <w:multiLevelType w:val="hybridMultilevel"/>
    <w:lvl w:ilvl="0">
      <w:lvlJc w:val="left"/>
      <w:lvlText w:val="%1."/>
      <w:numFmt w:val="decimal"/>
      <w:start w:val="6"/>
    </w:lvl>
  </w:abstractNum>
  <w:abstractNum w:abstractNumId="40">
    <w:nsid w:val="61574095"/>
    <w:multiLevelType w:val="hybridMultilevel"/>
    <w:lvl w:ilvl="0">
      <w:lvlJc w:val="left"/>
      <w:lvlText w:val="%1."/>
      <w:numFmt w:val="decimal"/>
      <w:start w:val="7"/>
    </w:lvl>
  </w:abstractNum>
  <w:abstractNum w:abstractNumId="41">
    <w:nsid w:val="7E0C57B1"/>
    <w:multiLevelType w:val="hybridMultilevel"/>
    <w:lvl w:ilvl="0">
      <w:lvlJc w:val="left"/>
      <w:lvlText w:val="%1."/>
      <w:numFmt w:val="decimal"/>
      <w:start w:val="8"/>
    </w:lvl>
  </w:abstractNum>
  <w:abstractNum w:abstractNumId="42">
    <w:nsid w:val="77AE35EB"/>
    <w:multiLevelType w:val="hybridMultilevel"/>
    <w:lvl w:ilvl="0">
      <w:lvlJc w:val="left"/>
      <w:lvlText w:val="%1."/>
      <w:numFmt w:val="decimal"/>
      <w:start w:val="9"/>
    </w:lvl>
  </w:abstractNum>
  <w:abstractNum w:abstractNumId="43">
    <w:nsid w:val="579BE4F1"/>
    <w:multiLevelType w:val="hybridMultilevel"/>
    <w:lvl w:ilvl="0">
      <w:lvlJc w:val="left"/>
      <w:lvlText w:val="%1."/>
      <w:numFmt w:val="decimal"/>
      <w:start w:val="10"/>
    </w:lvl>
  </w:abstractNum>
  <w:abstractNum w:abstractNumId="44">
    <w:nsid w:val="310C50B3"/>
    <w:multiLevelType w:val="hybridMultilevel"/>
    <w:lvl w:ilvl="0">
      <w:lvlJc w:val="left"/>
      <w:lvlText w:val="1"/>
      <w:numFmt w:val="bullet"/>
      <w:start w:val="1"/>
    </w:lvl>
  </w:abstractNum>
  <w:abstractNum w:abstractNumId="45">
    <w:nsid w:val="5FF87E05"/>
    <w:multiLevelType w:val="hybridMultilevel"/>
    <w:lvl w:ilvl="0">
      <w:lvlJc w:val="left"/>
      <w:lvlText w:val="%1."/>
      <w:numFmt w:val="decimal"/>
      <w:start w:val="11"/>
    </w:lvl>
  </w:abstractNum>
  <w:abstractNum w:abstractNumId="46">
    <w:nsid w:val="2F305DEF"/>
    <w:multiLevelType w:val="hybridMultilevel"/>
    <w:lvl w:ilvl="0">
      <w:lvlJc w:val="left"/>
      <w:lvlText w:val="%1."/>
      <w:numFmt w:val="decimal"/>
      <w:start w:val="13"/>
    </w:lvl>
  </w:abstractNum>
  <w:abstractNum w:abstractNumId="47">
    <w:nsid w:val="25A70BF7"/>
    <w:multiLevelType w:val="hybridMultilevel"/>
    <w:lvl w:ilvl="0">
      <w:lvlJc w:val="left"/>
      <w:lvlText w:val="%1."/>
      <w:numFmt w:val="decimal"/>
      <w:start w:val="14"/>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1."/>
      <w:numFmt w:val="decimal"/>
      <w:start w:val="15"/>
    </w:lvl>
  </w:abstractNum>
  <w:abstractNum w:abstractNumId="54">
    <w:nsid w:val="6590700B"/>
    <w:multiLevelType w:val="hybridMultilevel"/>
    <w:lvl w:ilvl="0">
      <w:lvlJc w:val="left"/>
      <w:lvlText w:val="%1."/>
      <w:numFmt w:val="decimal"/>
      <w:start w:val="16"/>
    </w:lvl>
  </w:abstractNum>
  <w:abstractNum w:abstractNumId="55">
    <w:nsid w:val="15014ACB"/>
    <w:multiLevelType w:val="hybridMultilevel"/>
    <w:lvl w:ilvl="0">
      <w:lvlJc w:val="left"/>
      <w:lvlText w:val="%1."/>
      <w:numFmt w:val="decimal"/>
      <w:start w:val="17"/>
    </w:lvl>
  </w:abstractNum>
  <w:abstractNum w:abstractNumId="56">
    <w:nsid w:val="5F5E7FD0"/>
    <w:multiLevelType w:val="hybridMultilevel"/>
    <w:lvl w:ilvl="0">
      <w:lvlJc w:val="left"/>
      <w:lvlText w:val="%1."/>
      <w:numFmt w:val="decimal"/>
      <w:start w:val="18"/>
    </w:lvl>
  </w:abstractNum>
  <w:abstractNum w:abstractNumId="57">
    <w:nsid w:val="98A3148"/>
    <w:multiLevelType w:val="hybridMultilevel"/>
    <w:lvl w:ilvl="0">
      <w:lvlJc w:val="left"/>
      <w:lvlText w:val="%1."/>
      <w:numFmt w:val="decimal"/>
      <w:start w:val="19"/>
    </w:lvl>
  </w:abstractNum>
  <w:abstractNum w:abstractNumId="58">
    <w:nsid w:val="799D0247"/>
    <w:multiLevelType w:val="hybridMultilevel"/>
    <w:lvl w:ilvl="0">
      <w:lvlJc w:val="left"/>
      <w:lvlText w:val="%1."/>
      <w:numFmt w:val="decimal"/>
      <w:start w:val="20"/>
    </w:lvl>
  </w:abstractNum>
  <w:abstractNum w:abstractNumId="59">
    <w:nsid w:val="6B94764"/>
    <w:multiLevelType w:val="hybridMultilevel"/>
    <w:lvl w:ilvl="0">
      <w:lvlJc w:val="left"/>
      <w:lvlText w:val="%1."/>
      <w:numFmt w:val="decimal"/>
      <w:start w:val="21"/>
    </w:lvl>
  </w:abstractNum>
  <w:abstractNum w:abstractNumId="60">
    <w:nsid w:val="42C296BD"/>
    <w:multiLevelType w:val="hybridMultilevel"/>
    <w:lvl w:ilvl="0">
      <w:lvlJc w:val="left"/>
      <w:lvlText w:val="%1."/>
      <w:numFmt w:val="decimal"/>
      <w:start w:val="22"/>
    </w:lvl>
  </w:abstractNum>
  <w:abstractNum w:abstractNumId="61">
    <w:nsid w:val="168E121F"/>
    <w:multiLevelType w:val="hybridMultilevel"/>
    <w:lvl w:ilvl="0">
      <w:lvlJc w:val="left"/>
      <w:lvlText w:val="%1."/>
      <w:numFmt w:val="decimal"/>
      <w:start w:val="23"/>
    </w:lvl>
  </w:abstractNum>
  <w:abstractNum w:abstractNumId="62">
    <w:nsid w:val="1EBA5D23"/>
    <w:multiLevelType w:val="hybridMultilevel"/>
    <w:lvl w:ilvl="0">
      <w:lvlJc w:val="left"/>
      <w:lvlText w:val="%1."/>
      <w:numFmt w:val="upperLetter"/>
      <w:start w:val="9"/>
    </w:lvl>
  </w:abstractNum>
  <w:abstractNum w:abstractNumId="63">
    <w:nsid w:val="661E3F1E"/>
    <w:multiLevelType w:val="hybridMultilevel"/>
    <w:lvl w:ilvl="0">
      <w:lvlJc w:val="left"/>
      <w:lvlText w:val="%1."/>
      <w:numFmt w:val="upperLetter"/>
      <w:start w:val="1"/>
    </w:lvl>
  </w:abstractNum>
  <w:abstractNum w:abstractNumId="64">
    <w:nsid w:val="5DC79EA8"/>
    <w:multiLevelType w:val="hybridMultilevel"/>
    <w:lvl w:ilvl="0">
      <w:lvlJc w:val="left"/>
      <w:lvlText w:val="%1"/>
      <w:numFmt w:val="lowerRoman"/>
      <w:start w:val="1"/>
    </w:lvl>
    <w:lvl w:ilvl="1">
      <w:lvlJc w:val="left"/>
      <w:lvlText w:val="(%2)"/>
      <w:numFmt w:val="lowerRoman"/>
      <w:start w:val="1"/>
    </w:lvl>
  </w:abstractNum>
  <w:abstractNum w:abstractNumId="65">
    <w:nsid w:val="540A471C"/>
    <w:multiLevelType w:val="hybridMultilevel"/>
    <w:lvl w:ilvl="0">
      <w:lvlJc w:val="left"/>
      <w:lvlText w:val="(%1)"/>
      <w:numFmt w:val="lowerRoman"/>
      <w:start w:val="2"/>
    </w:lvl>
    <w:lvl w:ilvl="1">
      <w:lvlJc w:val="left"/>
      <w:lvlText w:val="%2"/>
      <w:numFmt w:val="lowerRoman"/>
      <w:start w:val="1"/>
    </w:lvl>
  </w:abstractNum>
  <w:abstractNum w:abstractNumId="66">
    <w:nsid w:val="7BD3EE7B"/>
    <w:multiLevelType w:val="hybridMultilevel"/>
    <w:lvl w:ilvl="0">
      <w:lvlJc w:val="left"/>
      <w:lvlText w:val="%1."/>
      <w:numFmt w:val="upperLetter"/>
      <w:start w:val="3"/>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upperLetter"/>
      <w:start w:val="4"/>
    </w:lvl>
  </w:abstractNum>
  <w:abstractNum w:abstractNumId="69">
    <w:nsid w:val="BF72B14"/>
    <w:multiLevelType w:val="hybridMultilevel"/>
    <w:lvl w:ilvl="0">
      <w:lvlJc w:val="left"/>
      <w:lvlText w:val="%1."/>
      <w:numFmt w:val="decimal"/>
      <w:start w:val="1"/>
    </w:lvl>
    <w:lvl w:ilvl="1">
      <w:lvlJc w:val="left"/>
      <w:lvlText w:val="%2)"/>
      <w:numFmt w:val="lowerLetter"/>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1"/>
      <w:numFmt w:val="upperLetter"/>
      <w:start w:val="1"/>
    </w:lvl>
    <w:lvl w:ilvl="1">
      <w:lvlJc w:val="left"/>
      <w:lvlText w:val="-"/>
      <w:numFmt w:val="bullet"/>
      <w:start w:val="1"/>
    </w:lvl>
  </w:abstractNum>
  <w:abstractNum w:abstractNumId="72">
    <w:nsid w:val="A0382C5"/>
    <w:multiLevelType w:val="hybridMultilevel"/>
    <w:lvl w:ilvl="0">
      <w:lvlJc w:val="left"/>
      <w:lvlText w:val="%1"/>
      <w:numFmt w:val="upperLetter"/>
      <w:start w:val="1"/>
    </w:lvl>
    <w:lvl w:ilvl="1">
      <w:lvlJc w:val="left"/>
      <w:lvlText w:val="%2."/>
      <w:numFmt w:val="decimal"/>
      <w:start w:val="1"/>
    </w:lvl>
  </w:abstractNum>
  <w:abstractNum w:abstractNumId="73">
    <w:nsid w:val="8F2B15E"/>
    <w:multiLevelType w:val="hybridMultilevel"/>
    <w:lvl w:ilvl="0">
      <w:lvlJc w:val="left"/>
      <w:lvlText w:val="%1."/>
      <w:numFmt w:val="upperLetter"/>
      <w:start w:val="35"/>
    </w:lvl>
    <w:lvl w:ilvl="1">
      <w:lvlJc w:val="left"/>
      <w:lvlText w:val="%2"/>
      <w:numFmt w:val="decimal"/>
      <w:start w:val="1"/>
    </w:lvl>
  </w:abstractNum>
  <w:abstractNum w:abstractNumId="74">
    <w:nsid w:val="1A32234B"/>
    <w:multiLevelType w:val="hybridMultilevel"/>
    <w:lvl w:ilvl="0">
      <w:lvlJc w:val="left"/>
      <w:lvlText w:val="%1."/>
      <w:numFmt w:val="upperLetter"/>
      <w:start w:val="1"/>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upperLetter"/>
      <w:start w:val="3"/>
    </w:lvl>
  </w:abstractNum>
  <w:abstractNum w:abstractNumId="77">
    <w:nsid w:val="4962813B"/>
    <w:multiLevelType w:val="hybridMultilevel"/>
    <w:lvl w:ilvl="0">
      <w:lvlJc w:val="left"/>
      <w:lvlText w:val="%1."/>
      <w:numFmt w:val="decimal"/>
      <w:start w:val="1"/>
    </w:lvl>
    <w:lvl w:ilvl="1">
      <w:lvlJc w:val="left"/>
      <w:lvlText w:val="%2)"/>
      <w:numFmt w:val="lowerLetter"/>
      <w:start w:val="1"/>
    </w:lvl>
  </w:abstractNum>
  <w:abstractNum w:abstractNumId="78">
    <w:nsid w:val="60B6DF70"/>
    <w:multiLevelType w:val="hybridMultilevel"/>
    <w:lvl w:ilvl="0">
      <w:lvlJc w:val="left"/>
      <w:lvlText w:val="%1."/>
      <w:numFmt w:val="upperLetter"/>
      <w:start w:val="5"/>
    </w:lvl>
  </w:abstractNum>
  <w:abstractNum w:abstractNumId="79">
    <w:nsid w:val="6A5EE64"/>
    <w:multiLevelType w:val="hybridMultilevel"/>
    <w:lvl w:ilvl="0">
      <w:lvlJc w:val="left"/>
      <w:lvlText w:val="%1."/>
      <w:numFmt w:val="upperLetter"/>
      <w:start w:val="8"/>
    </w:lvl>
  </w:abstractNum>
  <w:abstractNum w:abstractNumId="80">
    <w:nsid w:val="14330624"/>
    <w:multiLevelType w:val="hybridMultilevel"/>
    <w:lvl w:ilvl="0">
      <w:lvlJc w:val="left"/>
      <w:lvlText w:val="%1."/>
      <w:numFmt w:val="upperLetter"/>
      <w:start w:val="61"/>
    </w:lvl>
  </w:abstractNum>
  <w:abstractNum w:abstractNumId="81">
    <w:nsid w:val="7FFFCA11"/>
    <w:multiLevelType w:val="hybridMultilevel"/>
    <w:lvl w:ilvl="0">
      <w:lvlJc w:val="left"/>
      <w:lvlText w:val="%1."/>
      <w:numFmt w:val="upperLetter"/>
      <w:start w:val="1"/>
    </w:lvl>
  </w:abstractNum>
  <w:abstractNum w:abstractNumId="82">
    <w:nsid w:val="1A27709E"/>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2019-12-09T03:23:08Z</dcterms:created>
  <dcterms:modified xsi:type="dcterms:W3CDTF">2019-12-09T03:23:08Z</dcterms:modified>
</cp:coreProperties>
</file>