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26" w:lineRule="exact"/>
        <w:rPr>
          <w:sz w:val="24"/>
          <w:szCs w:val="24"/>
          <w:color w:val="auto"/>
        </w:rPr>
      </w:pPr>
    </w:p>
    <w:p>
      <w:pPr>
        <w:ind w:left="800" w:right="439" w:hanging="432"/>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July, 2022</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181610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207010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819" w:right="1440" w:bottom="1440" w:gutter="0" w:footer="0" w:header="0"/>
        </w:sectPr>
      </w:pPr>
    </w:p>
    <w:bookmarkStart w:id="1" w:name="page2"/>
    <w:bookmarkEnd w:id="1"/>
    <w:p>
      <w:pPr>
        <w:ind w:firstLine="324"/>
        <w:spacing w:after="0" w:line="282" w:lineRule="auto"/>
        <w:rPr>
          <w:sz w:val="20"/>
          <w:szCs w:val="20"/>
          <w:color w:val="auto"/>
        </w:rPr>
      </w:pPr>
      <w:r>
        <w:rPr>
          <w:rFonts w:ascii="Times New Roman" w:cs="Times New Roman" w:eastAsia="Times New Roman" w:hAnsi="Times New Roman"/>
          <w:sz w:val="18"/>
          <w:szCs w:val="18"/>
          <w:color w:val="auto"/>
        </w:rPr>
        <w:t>This Report on Form 6-K (excluding Exhibit 99.3 herewith) is incorporated by reference into the Registrant's registration statement on Form F-3 (File Nos. 333-227016, 333-249655 and 333-255576) and Form S-8 (File No. 333-233019).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540" w:right="45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Joerg Hornstein</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536"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0" w:type="dxa"/>
            <w:vAlign w:val="bottom"/>
          </w:tcPr>
          <w:p>
            <w:pPr>
              <w:spacing w:after="0"/>
              <w:rPr>
                <w:sz w:val="20"/>
                <w:szCs w:val="20"/>
                <w:color w:val="auto"/>
              </w:rPr>
            </w:pPr>
          </w:p>
        </w:tc>
      </w:tr>
      <w:tr>
        <w:trPr>
          <w:trHeight w:val="410"/>
        </w:trPr>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10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000" w:type="dxa"/>
            <w:vAlign w:val="bottom"/>
            <w:tcBorders>
              <w:bottom w:val="single" w:sz="8" w:color="auto"/>
            </w:tcBorders>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tcPr>
          <w:p>
            <w:pPr>
              <w:spacing w:after="0"/>
              <w:rPr>
                <w:sz w:val="20"/>
                <w:szCs w:val="20"/>
                <w:color w:val="auto"/>
              </w:rPr>
            </w:pPr>
          </w:p>
        </w:tc>
      </w:tr>
      <w:tr>
        <w:trPr>
          <w:trHeight w:val="191"/>
        </w:trPr>
        <w:tc>
          <w:tcPr>
            <w:tcW w:w="1040" w:type="dxa"/>
            <w:vAlign w:val="bottom"/>
          </w:tcPr>
          <w:p>
            <w:pPr>
              <w:jc w:val="right"/>
              <w:ind w:right="630"/>
              <w:spacing w:after="0" w:line="191" w:lineRule="exact"/>
              <w:rPr>
                <w:sz w:val="20"/>
                <w:szCs w:val="20"/>
                <w:color w:val="auto"/>
              </w:rPr>
            </w:pPr>
            <w:r>
              <w:rPr>
                <w:rFonts w:ascii="Times New Roman" w:cs="Times New Roman" w:eastAsia="Times New Roman" w:hAnsi="Times New Roman"/>
                <w:sz w:val="18"/>
                <w:szCs w:val="18"/>
                <w:color w:val="auto"/>
                <w:w w:val="95"/>
              </w:rPr>
              <w:t>99.1</w:t>
            </w:r>
          </w:p>
        </w:tc>
        <w:tc>
          <w:tcPr>
            <w:tcW w:w="100" w:type="dxa"/>
            <w:vAlign w:val="bottom"/>
          </w:tcPr>
          <w:p>
            <w:pPr>
              <w:spacing w:after="0"/>
              <w:rPr>
                <w:sz w:val="16"/>
                <w:szCs w:val="16"/>
                <w:color w:val="auto"/>
              </w:rPr>
            </w:pPr>
          </w:p>
        </w:tc>
        <w:tc>
          <w:tcPr>
            <w:tcW w:w="10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Interim Condensed Consolidated Financial Statements (Unaudited) (IFRS) as of and for the three and six months ended June 30, 2022</w:t>
            </w:r>
          </w:p>
        </w:tc>
        <w:tc>
          <w:tcPr>
            <w:tcW w:w="100" w:type="dxa"/>
            <w:vAlign w:val="bottom"/>
          </w:tcPr>
          <w:p>
            <w:pPr>
              <w:spacing w:after="0"/>
              <w:rPr>
                <w:sz w:val="16"/>
                <w:szCs w:val="16"/>
                <w:color w:val="auto"/>
              </w:rPr>
            </w:pPr>
          </w:p>
        </w:tc>
      </w:tr>
      <w:tr>
        <w:trPr>
          <w:trHeight w:val="216"/>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99.2</w:t>
            </w:r>
          </w:p>
        </w:tc>
        <w:tc>
          <w:tcPr>
            <w:tcW w:w="10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00" w:type="dxa"/>
            <w:vAlign w:val="bottom"/>
          </w:tcPr>
          <w:p>
            <w:pPr>
              <w:spacing w:after="0"/>
              <w:rPr>
                <w:sz w:val="18"/>
                <w:szCs w:val="18"/>
                <w:color w:val="auto"/>
              </w:rPr>
            </w:pPr>
          </w:p>
        </w:tc>
      </w:tr>
      <w:tr>
        <w:trPr>
          <w:trHeight w:val="234"/>
        </w:trPr>
        <w:tc>
          <w:tcPr>
            <w:tcW w:w="1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95"/>
              </w:rPr>
              <w:t>99.3</w:t>
            </w:r>
          </w:p>
        </w:tc>
        <w:tc>
          <w:tcPr>
            <w:tcW w:w="100" w:type="dxa"/>
            <w:vAlign w:val="bottom"/>
          </w:tcPr>
          <w:p>
            <w:pPr>
              <w:spacing w:after="0"/>
              <w:rPr>
                <w:sz w:val="20"/>
                <w:szCs w:val="20"/>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July 28, 2022</w:t>
            </w:r>
          </w:p>
        </w:tc>
        <w:tc>
          <w:tcPr>
            <w:tcW w:w="100" w:type="dxa"/>
            <w:vAlign w:val="bottom"/>
          </w:tcPr>
          <w:p>
            <w:pPr>
              <w:spacing w:after="0"/>
              <w:rPr>
                <w:sz w:val="20"/>
                <w:szCs w:val="20"/>
                <w:color w:val="auto"/>
              </w:rPr>
            </w:pPr>
          </w:p>
        </w:tc>
      </w:tr>
      <w:tr>
        <w:trPr>
          <w:trHeight w:val="351"/>
        </w:trPr>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41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10"/>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D5EAEA"/>
            </w:tcBorders>
            <w:shd w:val="clear" w:color="auto" w:fill="D5EAEA"/>
          </w:tcPr>
          <w:p>
            <w:pPr>
              <w:spacing w:after="0"/>
              <w:rPr>
                <w:sz w:val="18"/>
                <w:szCs w:val="18"/>
                <w:color w:val="auto"/>
              </w:rPr>
            </w:pPr>
          </w:p>
        </w:tc>
        <w:tc>
          <w:tcPr>
            <w:tcW w:w="92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56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560" w:type="dxa"/>
            <w:vAlign w:val="bottom"/>
            <w:tcBorders>
              <w:top w:val="single" w:sz="8" w:color="auto"/>
            </w:tcBorders>
            <w:shd w:val="clear" w:color="auto" w:fill="D5EAEA"/>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5,116</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2,914</w:t>
            </w:r>
          </w:p>
        </w:tc>
      </w:tr>
      <w:tr>
        <w:trPr>
          <w:trHeight w:val="216"/>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50,416</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50,416</w:t>
            </w:r>
          </w:p>
        </w:tc>
      </w:tr>
      <w:tr>
        <w:trPr>
          <w:trHeight w:val="230"/>
        </w:trPr>
        <w:tc>
          <w:tcPr>
            <w:tcW w:w="698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color w:val="auto"/>
              </w:rPr>
              <w:t>Long-term financial assets</w:t>
            </w:r>
          </w:p>
        </w:tc>
        <w:tc>
          <w:tcPr>
            <w:tcW w:w="920" w:type="dxa"/>
            <w:vAlign w:val="bottom"/>
            <w:tcBorders>
              <w:bottom w:val="single" w:sz="8" w:color="D5EAEA"/>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2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58,406</w:t>
            </w:r>
          </w:p>
        </w:tc>
        <w:tc>
          <w:tcPr>
            <w:tcW w:w="100" w:type="dxa"/>
            <w:vAlign w:val="bottom"/>
            <w:tcBorders>
              <w:bottom w:val="single" w:sz="8" w:color="D5EAEA"/>
            </w:tcBorders>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58,809</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2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3,465</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3,015</w:t>
            </w:r>
          </w:p>
        </w:tc>
      </w:tr>
      <w:tr>
        <w:trPr>
          <w:trHeight w:val="216"/>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975</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receivables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Short-term financial assets</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91,000</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116,000</w:t>
            </w:r>
          </w:p>
        </w:tc>
      </w:tr>
      <w:tr>
        <w:trPr>
          <w:trHeight w:val="229"/>
        </w:trPr>
        <w:tc>
          <w:tcPr>
            <w:tcW w:w="698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Borders>
              <w:bottom w:val="single" w:sz="8" w:color="D5EAEA"/>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63,147</w:t>
            </w:r>
          </w:p>
        </w:tc>
        <w:tc>
          <w:tcPr>
            <w:tcW w:w="10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82,216</w:t>
            </w:r>
          </w:p>
        </w:tc>
      </w:tr>
      <w:tr>
        <w:trPr>
          <w:trHeight w:val="210"/>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158,380</w:t>
            </w:r>
          </w:p>
        </w:tc>
        <w:tc>
          <w:tcPr>
            <w:tcW w:w="10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202,634</w:t>
            </w:r>
          </w:p>
        </w:tc>
      </w:tr>
      <w:tr>
        <w:trPr>
          <w:trHeight w:val="290"/>
        </w:trPr>
        <w:tc>
          <w:tcPr>
            <w:tcW w:w="698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20" w:type="dxa"/>
            <w:vAlign w:val="bottom"/>
            <w:tcBorders>
              <w:bottom w:val="single" w:sz="8" w:color="D5EAEA"/>
            </w:tcBorders>
          </w:tcPr>
          <w:p>
            <w:pPr>
              <w:spacing w:after="0"/>
              <w:rPr>
                <w:sz w:val="24"/>
                <w:szCs w:val="24"/>
                <w:color w:val="auto"/>
              </w:rPr>
            </w:pPr>
          </w:p>
        </w:tc>
        <w:tc>
          <w:tcPr>
            <w:tcW w:w="120" w:type="dxa"/>
            <w:vAlign w:val="bottom"/>
            <w:tcBorders>
              <w:bottom w:val="single" w:sz="8" w:color="D5EAEA"/>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216,786</w:t>
            </w:r>
          </w:p>
        </w:tc>
        <w:tc>
          <w:tcPr>
            <w:tcW w:w="100" w:type="dxa"/>
            <w:vAlign w:val="bottom"/>
            <w:tcBorders>
              <w:bottom w:val="single" w:sz="8" w:color="D5EAEA"/>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261,443</w:t>
            </w:r>
          </w:p>
        </w:tc>
      </w:tr>
      <w:tr>
        <w:trPr>
          <w:trHeight w:val="223"/>
        </w:trPr>
        <w:tc>
          <w:tcPr>
            <w:tcW w:w="68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9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56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560" w:type="dxa"/>
            <w:vAlign w:val="bottom"/>
            <w:shd w:val="clear" w:color="auto" w:fill="D5EAEA"/>
          </w:tcPr>
          <w:p>
            <w:pPr>
              <w:spacing w:after="0"/>
              <w:rPr>
                <w:sz w:val="19"/>
                <w:szCs w:val="19"/>
                <w:color w:val="auto"/>
              </w:rPr>
            </w:pPr>
          </w:p>
        </w:tc>
      </w:tr>
      <w:tr>
        <w:trPr>
          <w:trHeight w:val="24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686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92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r>
      <w:tr>
        <w:trPr>
          <w:trHeight w:val="24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1,794</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431,260</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431,251</w:t>
            </w:r>
          </w:p>
        </w:tc>
      </w:tr>
      <w:tr>
        <w:trPr>
          <w:trHeight w:val="216"/>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9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(230,169)</w:t>
            </w:r>
          </w:p>
        </w:tc>
        <w:tc>
          <w:tcPr>
            <w:tcW w:w="10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(200,942)</w:t>
            </w:r>
          </w:p>
        </w:tc>
      </w:tr>
      <w:tr>
        <w:trPr>
          <w:trHeight w:val="290"/>
        </w:trPr>
        <w:tc>
          <w:tcPr>
            <w:tcW w:w="698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20" w:type="dxa"/>
            <w:vAlign w:val="bottom"/>
            <w:tcBorders>
              <w:bottom w:val="single" w:sz="8" w:color="D5EAEA"/>
            </w:tcBorders>
          </w:tcPr>
          <w:p>
            <w:pPr>
              <w:spacing w:after="0"/>
              <w:rPr>
                <w:sz w:val="24"/>
                <w:szCs w:val="24"/>
                <w:color w:val="auto"/>
              </w:rPr>
            </w:pPr>
          </w:p>
        </w:tc>
        <w:tc>
          <w:tcPr>
            <w:tcW w:w="120" w:type="dxa"/>
            <w:vAlign w:val="bottom"/>
            <w:tcBorders>
              <w:bottom w:val="single" w:sz="8" w:color="D5EAEA"/>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202,812</w:t>
            </w:r>
          </w:p>
        </w:tc>
        <w:tc>
          <w:tcPr>
            <w:tcW w:w="100" w:type="dxa"/>
            <w:vAlign w:val="bottom"/>
            <w:tcBorders>
              <w:bottom w:val="single" w:sz="8" w:color="D5EAEA"/>
            </w:tcBorders>
          </w:tcPr>
          <w:p>
            <w:pPr>
              <w:spacing w:after="0"/>
              <w:rPr>
                <w:sz w:val="24"/>
                <w:szCs w:val="24"/>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231,979</w:t>
            </w:r>
          </w:p>
        </w:tc>
      </w:tr>
      <w:tr>
        <w:trPr>
          <w:trHeight w:val="223"/>
        </w:trPr>
        <w:tc>
          <w:tcPr>
            <w:tcW w:w="686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9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560" w:type="dxa"/>
            <w:vAlign w:val="bottom"/>
            <w:shd w:val="clear" w:color="auto" w:fill="D5EAEA"/>
          </w:tcPr>
          <w:p>
            <w:pPr>
              <w:spacing w:after="0"/>
              <w:rPr>
                <w:sz w:val="19"/>
                <w:szCs w:val="19"/>
                <w:color w:val="auto"/>
              </w:rPr>
            </w:pPr>
          </w:p>
        </w:tc>
        <w:tc>
          <w:tcPr>
            <w:tcW w:w="100" w:type="dxa"/>
            <w:vAlign w:val="bottom"/>
            <w:shd w:val="clear" w:color="auto" w:fill="D5EAEA"/>
          </w:tcPr>
          <w:p>
            <w:pPr>
              <w:spacing w:after="0"/>
              <w:rPr>
                <w:sz w:val="19"/>
                <w:szCs w:val="19"/>
                <w:color w:val="auto"/>
              </w:rPr>
            </w:pPr>
          </w:p>
        </w:tc>
        <w:tc>
          <w:tcPr>
            <w:tcW w:w="1560" w:type="dxa"/>
            <w:vAlign w:val="bottom"/>
            <w:shd w:val="clear" w:color="auto" w:fill="D5EAEA"/>
          </w:tcPr>
          <w:p>
            <w:pPr>
              <w:spacing w:after="0"/>
              <w:rPr>
                <w:sz w:val="19"/>
                <w:szCs w:val="19"/>
                <w:color w:val="auto"/>
              </w:rPr>
            </w:pPr>
          </w:p>
        </w:tc>
      </w:tr>
      <w:tr>
        <w:trPr>
          <w:trHeight w:val="24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2,340</w:t>
            </w:r>
          </w:p>
        </w:tc>
      </w:tr>
      <w:tr>
        <w:trPr>
          <w:trHeight w:val="22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employee defined benefit liabilities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7,098</w:t>
            </w:r>
          </w:p>
        </w:tc>
      </w:tr>
      <w:tr>
        <w:trPr>
          <w:trHeight w:val="223"/>
        </w:trPr>
        <w:tc>
          <w:tcPr>
            <w:tcW w:w="698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92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5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56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9,438</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23"/>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3"/>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920" w:type="dxa"/>
            <w:vAlign w:val="bottom"/>
            <w:shd w:val="clear" w:color="auto" w:fill="D5EAEA"/>
          </w:tcPr>
          <w:p>
            <w:pPr>
              <w:spacing w:after="0"/>
              <w:rPr>
                <w:sz w:val="21"/>
                <w:szCs w:val="21"/>
                <w:color w:val="auto"/>
              </w:rPr>
            </w:pPr>
          </w:p>
        </w:tc>
        <w:tc>
          <w:tcPr>
            <w:tcW w:w="12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c>
          <w:tcPr>
            <w:tcW w:w="100" w:type="dxa"/>
            <w:vAlign w:val="bottom"/>
            <w:shd w:val="clear" w:color="auto" w:fill="D5EAEA"/>
          </w:tcPr>
          <w:p>
            <w:pPr>
              <w:spacing w:after="0"/>
              <w:rPr>
                <w:sz w:val="21"/>
                <w:szCs w:val="21"/>
                <w:color w:val="auto"/>
              </w:rPr>
            </w:pPr>
          </w:p>
        </w:tc>
        <w:tc>
          <w:tcPr>
            <w:tcW w:w="1560" w:type="dxa"/>
            <w:vAlign w:val="bottom"/>
            <w:shd w:val="clear" w:color="auto" w:fill="D5EAEA"/>
          </w:tcPr>
          <w:p>
            <w:pPr>
              <w:spacing w:after="0"/>
              <w:rPr>
                <w:sz w:val="21"/>
                <w:szCs w:val="21"/>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2,003</w:t>
            </w:r>
          </w:p>
        </w:tc>
      </w:tr>
      <w:tr>
        <w:trPr>
          <w:trHeight w:val="216"/>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10,585</w:t>
            </w:r>
          </w:p>
        </w:tc>
        <w:tc>
          <w:tcPr>
            <w:tcW w:w="10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16,736</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w:t>
            </w:r>
          </w:p>
        </w:tc>
      </w:tr>
      <w:tr>
        <w:trPr>
          <w:trHeight w:val="230"/>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r>
      <w:tr>
        <w:trPr>
          <w:trHeight w:val="210"/>
        </w:trPr>
        <w:tc>
          <w:tcPr>
            <w:tcW w:w="698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92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Borders>
              <w:bottom w:val="single" w:sz="8" w:color="D5EAEA"/>
            </w:tcBorders>
          </w:tcPr>
          <w:p>
            <w:pPr>
              <w:spacing w:after="0"/>
              <w:rPr>
                <w:sz w:val="18"/>
                <w:szCs w:val="18"/>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20,026</w:t>
            </w:r>
          </w:p>
        </w:tc>
      </w:tr>
      <w:tr>
        <w:trPr>
          <w:trHeight w:val="209"/>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shd w:val="clear" w:color="auto" w:fill="D5EAEA"/>
          </w:tcPr>
          <w:p>
            <w:pPr>
              <w:spacing w:after="0"/>
              <w:rPr>
                <w:sz w:val="18"/>
                <w:szCs w:val="18"/>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29,464</w:t>
            </w: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216,786</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261,443</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Income/(Loss)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 thousands except for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168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12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vMerge w:val="continue"/>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0" w:type="dxa"/>
            <w:vAlign w:val="bottom"/>
          </w:tcPr>
          <w:p>
            <w:pPr>
              <w:spacing w:after="0"/>
              <w:rPr>
                <w:sz w:val="1"/>
                <w:szCs w:val="1"/>
                <w:color w:val="auto"/>
              </w:rPr>
            </w:pPr>
          </w:p>
        </w:tc>
      </w:tr>
      <w:tr>
        <w:trPr>
          <w:trHeight w:val="209"/>
        </w:trPr>
        <w:tc>
          <w:tcPr>
            <w:tcW w:w="34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1680" w:type="dxa"/>
            <w:vAlign w:val="bottom"/>
            <w:shd w:val="clear" w:color="auto" w:fill="D5EAEA"/>
          </w:tcPr>
          <w:p>
            <w:pPr>
              <w:jc w:val="center"/>
              <w:ind w:left="430"/>
              <w:spacing w:after="0"/>
              <w:rPr>
                <w:sz w:val="20"/>
                <w:szCs w:val="20"/>
                <w:color w:val="auto"/>
              </w:rPr>
            </w:pPr>
            <w:r>
              <w:rPr>
                <w:rFonts w:ascii="Times New Roman" w:cs="Times New Roman" w:eastAsia="Times New Roman" w:hAnsi="Times New Roman"/>
                <w:sz w:val="18"/>
                <w:szCs w:val="18"/>
                <w:color w:val="auto"/>
                <w:w w:val="88"/>
              </w:rPr>
              <w:t>3</w:t>
            </w:r>
          </w:p>
        </w:tc>
        <w:tc>
          <w:tcPr>
            <w:tcW w:w="2120" w:type="dxa"/>
            <w:vAlign w:val="bottom"/>
            <w:gridSpan w:val="3"/>
            <w:shd w:val="clear" w:color="auto" w:fill="D5EAEA"/>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shd w:val="clear" w:color="auto" w:fill="D5EAEA"/>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42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80" w:type="dxa"/>
            <w:vAlign w:val="bottom"/>
            <w:tcBorders>
              <w:bottom w:val="single" w:sz="8" w:color="D5EAEA"/>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5EAEA"/>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5EAEA"/>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420" w:type="dxa"/>
            <w:vAlign w:val="bottom"/>
            <w:shd w:val="clear" w:color="auto" w:fill="D5EAEA"/>
          </w:tcPr>
          <w:p>
            <w:pPr>
              <w:spacing w:after="0"/>
              <w:rPr>
                <w:sz w:val="17"/>
                <w:szCs w:val="17"/>
                <w:color w:val="auto"/>
              </w:rPr>
            </w:pPr>
          </w:p>
        </w:tc>
        <w:tc>
          <w:tcPr>
            <w:tcW w:w="1680" w:type="dxa"/>
            <w:vAlign w:val="bottom"/>
            <w:shd w:val="clear" w:color="auto" w:fill="D5EAEA"/>
          </w:tcPr>
          <w:p>
            <w:pPr>
              <w:spacing w:after="0"/>
              <w:rPr>
                <w:sz w:val="17"/>
                <w:szCs w:val="17"/>
                <w:color w:val="auto"/>
              </w:rPr>
            </w:pPr>
          </w:p>
        </w:tc>
        <w:tc>
          <w:tcPr>
            <w:tcW w:w="14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52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4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540" w:type="dxa"/>
            <w:vAlign w:val="bottom"/>
            <w:shd w:val="clear" w:color="auto" w:fill="D5EAEA"/>
          </w:tcPr>
          <w:p>
            <w:pPr>
              <w:spacing w:after="0"/>
              <w:rPr>
                <w:sz w:val="17"/>
                <w:szCs w:val="17"/>
                <w:color w:val="auto"/>
              </w:rPr>
            </w:pPr>
          </w:p>
        </w:tc>
        <w:tc>
          <w:tcPr>
            <w:tcW w:w="90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Research &amp; development expenses</w:t>
            </w:r>
          </w:p>
        </w:tc>
        <w:tc>
          <w:tcPr>
            <w:tcW w:w="1680" w:type="dxa"/>
            <w:vAlign w:val="bottom"/>
            <w:shd w:val="clear" w:color="auto" w:fill="D5EAEA"/>
          </w:tcPr>
          <w:p>
            <w:pPr>
              <w:spacing w:after="0"/>
              <w:rPr>
                <w:sz w:val="18"/>
                <w:szCs w:val="18"/>
                <w:color w:val="auto"/>
              </w:rPr>
            </w:pPr>
          </w:p>
        </w:tc>
        <w:tc>
          <w:tcPr>
            <w:tcW w:w="14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20" w:type="dxa"/>
            <w:vAlign w:val="bottom"/>
            <w:shd w:val="clear" w:color="auto" w:fill="D5EAEA"/>
          </w:tcPr>
          <w:p>
            <w:pPr>
              <w:spacing w:after="0"/>
              <w:rPr>
                <w:sz w:val="18"/>
                <w:szCs w:val="18"/>
                <w:color w:val="auto"/>
              </w:rPr>
            </w:pPr>
          </w:p>
        </w:tc>
        <w:tc>
          <w:tcPr>
            <w:tcW w:w="520" w:type="dxa"/>
            <w:vAlign w:val="bottom"/>
            <w:shd w:val="clear" w:color="auto" w:fill="D5EAEA"/>
          </w:tcPr>
          <w:p>
            <w:pPr>
              <w:spacing w:after="0"/>
              <w:rPr>
                <w:sz w:val="18"/>
                <w:szCs w:val="18"/>
                <w:color w:val="auto"/>
              </w:rPr>
            </w:pPr>
          </w:p>
        </w:tc>
        <w:tc>
          <w:tcPr>
            <w:tcW w:w="92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shd w:val="clear" w:color="auto" w:fill="D5EAEA"/>
          </w:tcPr>
          <w:p>
            <w:pPr>
              <w:spacing w:after="0"/>
              <w:rPr>
                <w:sz w:val="18"/>
                <w:szCs w:val="18"/>
                <w:color w:val="auto"/>
              </w:rPr>
            </w:pPr>
          </w:p>
        </w:tc>
        <w:tc>
          <w:tcPr>
            <w:tcW w:w="14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(30,815)</w:t>
            </w:r>
          </w:p>
        </w:tc>
        <w:tc>
          <w:tcPr>
            <w:tcW w:w="120" w:type="dxa"/>
            <w:vAlign w:val="bottom"/>
            <w:shd w:val="clear" w:color="auto" w:fill="D5EAEA"/>
          </w:tcPr>
          <w:p>
            <w:pPr>
              <w:spacing w:after="0"/>
              <w:rPr>
                <w:sz w:val="18"/>
                <w:szCs w:val="18"/>
                <w:color w:val="auto"/>
              </w:rPr>
            </w:pPr>
          </w:p>
        </w:tc>
        <w:tc>
          <w:tcPr>
            <w:tcW w:w="540" w:type="dxa"/>
            <w:vAlign w:val="bottom"/>
            <w:shd w:val="clear" w:color="auto" w:fill="D5EAEA"/>
          </w:tcPr>
          <w:p>
            <w:pPr>
              <w:spacing w:after="0"/>
              <w:rPr>
                <w:sz w:val="18"/>
                <w:szCs w:val="18"/>
                <w:color w:val="auto"/>
              </w:rPr>
            </w:pPr>
          </w:p>
        </w:tc>
        <w:tc>
          <w:tcPr>
            <w:tcW w:w="9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(27,040)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General &amp; administrative expenses</w:t>
            </w:r>
          </w:p>
        </w:tc>
        <w:tc>
          <w:tcPr>
            <w:tcW w:w="16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0" w:type="dxa"/>
            <w:vAlign w:val="bottom"/>
          </w:tcPr>
          <w:p>
            <w:pPr>
              <w:spacing w:after="0"/>
              <w:rPr>
                <w:sz w:val="1"/>
                <w:szCs w:val="1"/>
                <w:color w:val="auto"/>
              </w:rPr>
            </w:pPr>
          </w:p>
        </w:tc>
      </w:tr>
      <w:tr>
        <w:trPr>
          <w:trHeight w:val="229"/>
        </w:trPr>
        <w:tc>
          <w:tcPr>
            <w:tcW w:w="34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Other operating income/(expense)</w:t>
            </w:r>
          </w:p>
        </w:tc>
        <w:tc>
          <w:tcPr>
            <w:tcW w:w="1680" w:type="dxa"/>
            <w:vAlign w:val="bottom"/>
            <w:shd w:val="clear" w:color="auto" w:fill="D5EAEA"/>
          </w:tcPr>
          <w:p>
            <w:pPr>
              <w:jc w:val="center"/>
              <w:ind w:left="430"/>
              <w:spacing w:after="0"/>
              <w:rPr>
                <w:sz w:val="20"/>
                <w:szCs w:val="20"/>
                <w:color w:val="auto"/>
              </w:rPr>
            </w:pPr>
            <w:r>
              <w:rPr>
                <w:rFonts w:ascii="Times New Roman" w:cs="Times New Roman" w:eastAsia="Times New Roman" w:hAnsi="Times New Roman"/>
                <w:sz w:val="18"/>
                <w:szCs w:val="18"/>
                <w:color w:val="auto"/>
                <w:w w:val="88"/>
              </w:rPr>
              <w:t>3</w:t>
            </w:r>
          </w:p>
        </w:tc>
        <w:tc>
          <w:tcPr>
            <w:tcW w:w="14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D5EAEA"/>
          </w:tcPr>
          <w:p>
            <w:pPr>
              <w:spacing w:after="0"/>
              <w:rPr>
                <w:sz w:val="19"/>
                <w:szCs w:val="19"/>
                <w:color w:val="auto"/>
              </w:rPr>
            </w:pPr>
          </w:p>
        </w:tc>
        <w:tc>
          <w:tcPr>
            <w:tcW w:w="520" w:type="dxa"/>
            <w:vAlign w:val="bottom"/>
            <w:tcBorders>
              <w:bottom w:val="single" w:sz="8" w:color="auto"/>
            </w:tcBorders>
            <w:shd w:val="clear" w:color="auto" w:fill="D5EAEA"/>
          </w:tcPr>
          <w:p>
            <w:pPr>
              <w:spacing w:after="0"/>
              <w:rPr>
                <w:sz w:val="19"/>
                <w:szCs w:val="19"/>
                <w:color w:val="auto"/>
              </w:rPr>
            </w:pPr>
          </w:p>
        </w:tc>
        <w:tc>
          <w:tcPr>
            <w:tcW w:w="92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D5EAEA"/>
          </w:tcPr>
          <w:p>
            <w:pPr>
              <w:spacing w:after="0"/>
              <w:rPr>
                <w:sz w:val="19"/>
                <w:szCs w:val="19"/>
                <w:color w:val="auto"/>
              </w:rPr>
            </w:pPr>
          </w:p>
        </w:tc>
        <w:tc>
          <w:tcPr>
            <w:tcW w:w="14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D5EAEA"/>
          </w:tcPr>
          <w:p>
            <w:pPr>
              <w:spacing w:after="0"/>
              <w:rPr>
                <w:sz w:val="19"/>
                <w:szCs w:val="19"/>
                <w:color w:val="auto"/>
              </w:rPr>
            </w:pPr>
          </w:p>
        </w:tc>
        <w:tc>
          <w:tcPr>
            <w:tcW w:w="540" w:type="dxa"/>
            <w:vAlign w:val="bottom"/>
            <w:tcBorders>
              <w:bottom w:val="single" w:sz="8" w:color="auto"/>
            </w:tcBorders>
            <w:shd w:val="clear" w:color="auto" w:fill="D5EAEA"/>
          </w:tcPr>
          <w:p>
            <w:pPr>
              <w:spacing w:after="0"/>
              <w:rPr>
                <w:sz w:val="19"/>
                <w:szCs w:val="19"/>
                <w:color w:val="auto"/>
              </w:rPr>
            </w:pPr>
          </w:p>
        </w:tc>
        <w:tc>
          <w:tcPr>
            <w:tcW w:w="90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63"/>
        </w:trPr>
        <w:tc>
          <w:tcPr>
            <w:tcW w:w="342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80" w:type="dxa"/>
            <w:vAlign w:val="bottom"/>
            <w:tcBorders>
              <w:bottom w:val="single" w:sz="8" w:color="D5EAEA"/>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20" w:type="dxa"/>
            <w:vAlign w:val="bottom"/>
            <w:tcBorders>
              <w:bottom w:val="single" w:sz="8" w:color="D5EAEA"/>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(18,689)</w:t>
            </w:r>
          </w:p>
        </w:tc>
        <w:tc>
          <w:tcPr>
            <w:tcW w:w="100" w:type="dxa"/>
            <w:vAlign w:val="bottom"/>
            <w:tcBorders>
              <w:bottom w:val="single" w:sz="8" w:color="D5EAEA"/>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(38,688)</w:t>
            </w:r>
          </w:p>
        </w:tc>
        <w:tc>
          <w:tcPr>
            <w:tcW w:w="120" w:type="dxa"/>
            <w:vAlign w:val="bottom"/>
            <w:tcBorders>
              <w:bottom w:val="single" w:sz="8" w:color="D5EAEA"/>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(35,940)</w:t>
            </w:r>
          </w:p>
        </w:tc>
        <w:tc>
          <w:tcPr>
            <w:tcW w:w="0" w:type="dxa"/>
            <w:vAlign w:val="bottom"/>
          </w:tcPr>
          <w:p>
            <w:pPr>
              <w:spacing w:after="0"/>
              <w:rPr>
                <w:sz w:val="1"/>
                <w:szCs w:val="1"/>
                <w:color w:val="auto"/>
              </w:rPr>
            </w:pPr>
          </w:p>
        </w:tc>
      </w:tr>
      <w:tr>
        <w:trPr>
          <w:trHeight w:val="196"/>
        </w:trPr>
        <w:tc>
          <w:tcPr>
            <w:tcW w:w="3420" w:type="dxa"/>
            <w:vAlign w:val="bottom"/>
            <w:shd w:val="clear" w:color="auto" w:fill="D5EAEA"/>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loss</w:t>
            </w:r>
          </w:p>
        </w:tc>
        <w:tc>
          <w:tcPr>
            <w:tcW w:w="1680" w:type="dxa"/>
            <w:vAlign w:val="bottom"/>
            <w:shd w:val="clear" w:color="auto" w:fill="D5EAEA"/>
          </w:tcPr>
          <w:p>
            <w:pPr>
              <w:spacing w:after="0"/>
              <w:rPr>
                <w:sz w:val="17"/>
                <w:szCs w:val="17"/>
                <w:color w:val="auto"/>
              </w:rPr>
            </w:pPr>
          </w:p>
        </w:tc>
        <w:tc>
          <w:tcPr>
            <w:tcW w:w="1480" w:type="dxa"/>
            <w:vAlign w:val="bottom"/>
            <w:tcBorders>
              <w:bottom w:val="single" w:sz="8" w:color="auto"/>
            </w:tcBorders>
            <w:shd w:val="clear" w:color="auto" w:fill="D5EAEA"/>
          </w:tcPr>
          <w:p>
            <w:pPr>
              <w:jc w:val="right"/>
              <w:spacing w:after="0" w:line="196" w:lineRule="exact"/>
              <w:rPr>
                <w:sz w:val="20"/>
                <w:szCs w:val="20"/>
                <w:color w:val="auto"/>
              </w:rPr>
            </w:pPr>
            <w:r>
              <w:rPr>
                <w:rFonts w:ascii="Times New Roman" w:cs="Times New Roman" w:eastAsia="Times New Roman" w:hAnsi="Times New Roman"/>
                <w:sz w:val="18"/>
                <w:szCs w:val="18"/>
                <w:color w:val="auto"/>
              </w:rPr>
              <w:t>(19,859)</w:t>
            </w:r>
          </w:p>
        </w:tc>
        <w:tc>
          <w:tcPr>
            <w:tcW w:w="120" w:type="dxa"/>
            <w:vAlign w:val="bottom"/>
            <w:shd w:val="clear" w:color="auto" w:fill="D5EAEA"/>
          </w:tcPr>
          <w:p>
            <w:pPr>
              <w:spacing w:after="0"/>
              <w:rPr>
                <w:sz w:val="17"/>
                <w:szCs w:val="17"/>
                <w:color w:val="auto"/>
              </w:rPr>
            </w:pPr>
          </w:p>
        </w:tc>
        <w:tc>
          <w:tcPr>
            <w:tcW w:w="520" w:type="dxa"/>
            <w:vAlign w:val="bottom"/>
            <w:tcBorders>
              <w:bottom w:val="single" w:sz="8" w:color="auto"/>
            </w:tcBorders>
            <w:shd w:val="clear" w:color="auto" w:fill="D5EAEA"/>
          </w:tcPr>
          <w:p>
            <w:pPr>
              <w:spacing w:after="0"/>
              <w:rPr>
                <w:sz w:val="17"/>
                <w:szCs w:val="17"/>
                <w:color w:val="auto"/>
              </w:rPr>
            </w:pPr>
          </w:p>
        </w:tc>
        <w:tc>
          <w:tcPr>
            <w:tcW w:w="920" w:type="dxa"/>
            <w:vAlign w:val="bottom"/>
            <w:tcBorders>
              <w:bottom w:val="single" w:sz="8" w:color="auto"/>
            </w:tcBorders>
            <w:shd w:val="clear" w:color="auto" w:fill="D5EAEA"/>
          </w:tcPr>
          <w:p>
            <w:pPr>
              <w:jc w:val="right"/>
              <w:spacing w:after="0" w:line="196" w:lineRule="exact"/>
              <w:rPr>
                <w:sz w:val="20"/>
                <w:szCs w:val="20"/>
                <w:color w:val="auto"/>
              </w:rPr>
            </w:pPr>
            <w:r>
              <w:rPr>
                <w:rFonts w:ascii="Times New Roman" w:cs="Times New Roman" w:eastAsia="Times New Roman" w:hAnsi="Times New Roman"/>
                <w:sz w:val="18"/>
                <w:szCs w:val="18"/>
                <w:color w:val="auto"/>
              </w:rPr>
              <w:t>(18,689)</w:t>
            </w:r>
          </w:p>
        </w:tc>
        <w:tc>
          <w:tcPr>
            <w:tcW w:w="100" w:type="dxa"/>
            <w:vAlign w:val="bottom"/>
            <w:shd w:val="clear" w:color="auto" w:fill="D5EAEA"/>
          </w:tcPr>
          <w:p>
            <w:pPr>
              <w:spacing w:after="0"/>
              <w:rPr>
                <w:sz w:val="17"/>
                <w:szCs w:val="17"/>
                <w:color w:val="auto"/>
              </w:rPr>
            </w:pPr>
          </w:p>
        </w:tc>
        <w:tc>
          <w:tcPr>
            <w:tcW w:w="1440" w:type="dxa"/>
            <w:vAlign w:val="bottom"/>
            <w:tcBorders>
              <w:bottom w:val="single" w:sz="8" w:color="auto"/>
            </w:tcBorders>
            <w:shd w:val="clear" w:color="auto" w:fill="D5EAEA"/>
          </w:tcPr>
          <w:p>
            <w:pPr>
              <w:jc w:val="right"/>
              <w:spacing w:after="0" w:line="196" w:lineRule="exact"/>
              <w:rPr>
                <w:sz w:val="20"/>
                <w:szCs w:val="20"/>
                <w:color w:val="auto"/>
              </w:rPr>
            </w:pPr>
            <w:r>
              <w:rPr>
                <w:rFonts w:ascii="Times New Roman" w:cs="Times New Roman" w:eastAsia="Times New Roman" w:hAnsi="Times New Roman"/>
                <w:sz w:val="18"/>
                <w:szCs w:val="18"/>
                <w:color w:val="auto"/>
              </w:rPr>
              <w:t>(38,688)</w:t>
            </w:r>
          </w:p>
        </w:tc>
        <w:tc>
          <w:tcPr>
            <w:tcW w:w="120" w:type="dxa"/>
            <w:vAlign w:val="bottom"/>
            <w:shd w:val="clear" w:color="auto" w:fill="D5EAEA"/>
          </w:tcPr>
          <w:p>
            <w:pPr>
              <w:spacing w:after="0"/>
              <w:rPr>
                <w:sz w:val="17"/>
                <w:szCs w:val="17"/>
                <w:color w:val="auto"/>
              </w:rPr>
            </w:pPr>
          </w:p>
        </w:tc>
        <w:tc>
          <w:tcPr>
            <w:tcW w:w="540" w:type="dxa"/>
            <w:vAlign w:val="bottom"/>
            <w:tcBorders>
              <w:bottom w:val="single" w:sz="8" w:color="auto"/>
            </w:tcBorders>
            <w:shd w:val="clear" w:color="auto" w:fill="D5EAEA"/>
          </w:tcPr>
          <w:p>
            <w:pPr>
              <w:spacing w:after="0"/>
              <w:rPr>
                <w:sz w:val="17"/>
                <w:szCs w:val="17"/>
                <w:color w:val="auto"/>
              </w:rPr>
            </w:pPr>
          </w:p>
        </w:tc>
        <w:tc>
          <w:tcPr>
            <w:tcW w:w="900" w:type="dxa"/>
            <w:vAlign w:val="bottom"/>
            <w:tcBorders>
              <w:bottom w:val="single" w:sz="8" w:color="auto"/>
            </w:tcBorders>
            <w:shd w:val="clear" w:color="auto" w:fill="D5EAEA"/>
          </w:tcPr>
          <w:p>
            <w:pPr>
              <w:jc w:val="right"/>
              <w:spacing w:after="0" w:line="196" w:lineRule="exact"/>
              <w:rPr>
                <w:sz w:val="20"/>
                <w:szCs w:val="20"/>
                <w:color w:val="auto"/>
              </w:rPr>
            </w:pPr>
            <w:r>
              <w:rPr>
                <w:rFonts w:ascii="Times New Roman" w:cs="Times New Roman" w:eastAsia="Times New Roman" w:hAnsi="Times New Roman"/>
                <w:sz w:val="18"/>
                <w:szCs w:val="18"/>
                <w:color w:val="auto"/>
              </w:rPr>
              <w:t>(35,940)</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36"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6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640" w:type="dxa"/>
            <w:vAlign w:val="bottom"/>
          </w:tcPr>
          <w:p>
            <w:pPr>
              <w:spacing w:after="0"/>
              <w:rPr>
                <w:sz w:val="18"/>
                <w:szCs w:val="18"/>
                <w:color w:val="auto"/>
              </w:rPr>
            </w:pPr>
          </w:p>
        </w:tc>
      </w:tr>
      <w:tr>
        <w:trPr>
          <w:trHeight w:val="22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640" w:type="dxa"/>
            <w:vAlign w:val="bottom"/>
          </w:tcPr>
          <w:p>
            <w:pPr>
              <w:spacing w:after="0"/>
              <w:rPr>
                <w:sz w:val="19"/>
                <w:szCs w:val="19"/>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r>
      <w:tr>
        <w:trPr>
          <w:trHeight w:val="454"/>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tax</w:t>
            </w:r>
          </w:p>
        </w:tc>
        <w:tc>
          <w:tcPr>
            <w:tcW w:w="640" w:type="dxa"/>
            <w:vAlign w:val="bottom"/>
          </w:tcPr>
          <w:p>
            <w:pPr>
              <w:spacing w:after="0"/>
              <w:rPr>
                <w:sz w:val="24"/>
                <w:szCs w:val="24"/>
                <w:color w:val="auto"/>
              </w:rPr>
            </w:pPr>
          </w:p>
        </w:tc>
      </w:tr>
      <w:tr>
        <w:trPr>
          <w:trHeight w:val="22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40" w:type="dxa"/>
            <w:vAlign w:val="bottom"/>
          </w:tcPr>
          <w:p>
            <w:pPr>
              <w:spacing w:after="0"/>
              <w:rPr>
                <w:sz w:val="19"/>
                <w:szCs w:val="19"/>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640" w:type="dxa"/>
            <w:vAlign w:val="bottom"/>
          </w:tcPr>
          <w:p>
            <w:pPr>
              <w:spacing w:after="0"/>
              <w:rPr>
                <w:sz w:val="20"/>
                <w:szCs w:val="20"/>
                <w:color w:val="auto"/>
              </w:rPr>
            </w:pPr>
          </w:p>
        </w:tc>
      </w:tr>
      <w:tr>
        <w:trPr>
          <w:trHeight w:val="441"/>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for the period attributable to</w:t>
            </w:r>
          </w:p>
        </w:tc>
        <w:tc>
          <w:tcPr>
            <w:tcW w:w="640" w:type="dxa"/>
            <w:vAlign w:val="bottom"/>
          </w:tcPr>
          <w:p>
            <w:pPr>
              <w:spacing w:after="0"/>
              <w:rPr>
                <w:sz w:val="18"/>
                <w:szCs w:val="18"/>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equity holders</w:t>
            </w:r>
          </w:p>
        </w:tc>
        <w:tc>
          <w:tcPr>
            <w:tcW w:w="640" w:type="dxa"/>
            <w:vAlign w:val="bottom"/>
          </w:tcPr>
          <w:p>
            <w:pPr>
              <w:spacing w:after="0"/>
              <w:rPr>
                <w:sz w:val="20"/>
                <w:szCs w:val="20"/>
                <w:color w:val="auto"/>
              </w:rPr>
            </w:pPr>
          </w:p>
        </w:tc>
      </w:tr>
      <w:tr>
        <w:trPr>
          <w:trHeight w:val="437"/>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w:t>
            </w:r>
          </w:p>
        </w:tc>
        <w:tc>
          <w:tcPr>
            <w:tcW w:w="640" w:type="dxa"/>
            <w:vAlign w:val="bottom"/>
          </w:tcPr>
          <w:p>
            <w:pPr>
              <w:spacing w:after="0"/>
              <w:rPr>
                <w:sz w:val="24"/>
                <w:szCs w:val="24"/>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Income/(Loss) (Unaudited)</w:t>
            </w:r>
          </w:p>
        </w:tc>
        <w:tc>
          <w:tcPr>
            <w:tcW w:w="640" w:type="dxa"/>
            <w:vAlign w:val="bottom"/>
          </w:tcPr>
          <w:p>
            <w:pPr>
              <w:spacing w:after="0"/>
              <w:rPr>
                <w:sz w:val="19"/>
                <w:szCs w:val="19"/>
                <w:color w:val="auto"/>
              </w:rPr>
            </w:pP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r>
      <w:tr>
        <w:trPr>
          <w:trHeight w:val="42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640" w:type="dxa"/>
            <w:vAlign w:val="bottom"/>
          </w:tcPr>
          <w:p>
            <w:pPr>
              <w:spacing w:after="0"/>
              <w:rPr>
                <w:sz w:val="24"/>
                <w:szCs w:val="24"/>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Items that will be reclassified to income or loss in</w:t>
            </w:r>
          </w:p>
        </w:tc>
        <w:tc>
          <w:tcPr>
            <w:tcW w:w="6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subsequent periods (net of tax):</w:t>
            </w:r>
          </w:p>
        </w:tc>
        <w:tc>
          <w:tcPr>
            <w:tcW w:w="6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6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Items that will not to be reclassified to income or loss</w:t>
            </w:r>
          </w:p>
        </w:tc>
        <w:tc>
          <w:tcPr>
            <w:tcW w:w="6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 subsequent periods (net of tax):</w:t>
            </w:r>
          </w:p>
        </w:tc>
        <w:tc>
          <w:tcPr>
            <w:tcW w:w="64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gains on defined-benefit plans (net of</w:t>
            </w:r>
          </w:p>
        </w:tc>
        <w:tc>
          <w:tcPr>
            <w:tcW w:w="640" w:type="dxa"/>
            <w:vAlign w:val="bottom"/>
          </w:tcPr>
          <w:p>
            <w:pPr>
              <w:spacing w:after="0"/>
              <w:rPr>
                <w:sz w:val="18"/>
                <w:szCs w:val="18"/>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tax)</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net of tax</w:t>
            </w:r>
          </w:p>
        </w:tc>
        <w:tc>
          <w:tcPr>
            <w:tcW w:w="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4"/>
        </w:trPr>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r>
      <w:tr>
        <w:trPr>
          <w:trHeight w:val="210"/>
        </w:trPr>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r>
      <w:tr>
        <w:trPr>
          <w:trHeight w:val="439"/>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10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(38,482)</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209"/>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(38,489)</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858"/>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437"/>
        </w:trPr>
        <w:tc>
          <w:tcPr>
            <w:tcW w:w="31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r>
      <w:tr>
        <w:trPr>
          <w:trHeight w:val="238"/>
        </w:trPr>
        <w:tc>
          <w:tcPr>
            <w:tcW w:w="212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920" w:type="dxa"/>
            <w:vAlign w:val="bottom"/>
            <w:tcBorders>
              <w:bottom w:val="single" w:sz="8" w:color="auto"/>
            </w:tcBorders>
          </w:tcPr>
          <w:p>
            <w:pPr>
              <w:spacing w:after="0"/>
              <w:rPr>
                <w:sz w:val="20"/>
                <w:szCs w:val="20"/>
                <w:color w:val="auto"/>
              </w:rPr>
            </w:pPr>
          </w:p>
        </w:tc>
      </w:tr>
      <w:tr>
        <w:trPr>
          <w:trHeight w:val="210"/>
        </w:trPr>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42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648"/>
        </w:trPr>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877"/>
        </w:trPr>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-3710940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-3436620</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-3145155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-2853690</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-2562225</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-2279650</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-1285240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-873760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-462280</wp:posOffset>
            </wp:positionV>
            <wp:extent cx="713232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740" w:space="360"/>
            <w:col w:w="6140"/>
          </w:cols>
          <w:pgMar w:left="320" w:top="536"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7"/>
          <w:szCs w:val="17"/>
          <w:color w:val="auto"/>
        </w:rPr>
        <w:t>The accompanying notes are an integral part of these Interim Condensed Consolidated Financial Statements (Unaudited).</w:t>
      </w: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Differences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8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560" w:type="dxa"/>
            <w:vAlign w:val="bottom"/>
            <w:tcBorders>
              <w:top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50"/>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tcBorders>
              <w:top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346,890</w:t>
            </w:r>
          </w:p>
        </w:tc>
        <w:tc>
          <w:tcPr>
            <w:tcW w:w="100" w:type="dxa"/>
            <w:vAlign w:val="bottom"/>
            <w:tcBorders>
              <w:top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(132,850)</w:t>
            </w:r>
          </w:p>
        </w:tc>
        <w:tc>
          <w:tcPr>
            <w:tcW w:w="12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215,478</w:t>
            </w:r>
          </w:p>
        </w:tc>
      </w:tr>
      <w:tr>
        <w:trPr>
          <w:trHeight w:val="210"/>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229"/>
        </w:trPr>
        <w:tc>
          <w:tcPr>
            <w:tcW w:w="3960" w:type="dxa"/>
            <w:vAlign w:val="bottom"/>
            <w:gridSpan w:val="3"/>
            <w:shd w:val="clear" w:color="auto" w:fill="D5EAEA"/>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1280" w:type="dxa"/>
            <w:vAlign w:val="bottom"/>
            <w:gridSpan w:val="2"/>
            <w:shd w:val="clear" w:color="auto" w:fill="D5EA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960" w:type="dxa"/>
            <w:vAlign w:val="bottom"/>
            <w:tcBorders>
              <w:bottom w:val="single" w:sz="8" w:color="D5EAEA"/>
            </w:tcBorders>
            <w:gridSpan w:val="3"/>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120" w:type="dxa"/>
            <w:vAlign w:val="bottom"/>
            <w:tcBorders>
              <w:bottom w:val="single" w:sz="8" w:color="D5EAEA"/>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(35,803)</w:t>
            </w:r>
          </w:p>
        </w:tc>
      </w:tr>
      <w:tr>
        <w:trPr>
          <w:trHeight w:val="210"/>
        </w:trPr>
        <w:tc>
          <w:tcPr>
            <w:tcW w:w="3280" w:type="dxa"/>
            <w:vAlign w:val="bottom"/>
            <w:shd w:val="clear" w:color="auto" w:fill="D5EAEA"/>
          </w:tcPr>
          <w:p>
            <w:pPr>
              <w:spacing w:after="0"/>
              <w:rPr>
                <w:sz w:val="18"/>
                <w:szCs w:val="18"/>
                <w:color w:val="auto"/>
              </w:rPr>
            </w:pP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r>
      <w:tr>
        <w:trPr>
          <w:trHeight w:val="198"/>
        </w:trPr>
        <w:tc>
          <w:tcPr>
            <w:tcW w:w="3960" w:type="dxa"/>
            <w:vAlign w:val="bottom"/>
            <w:gridSpan w:val="3"/>
            <w:shd w:val="clear" w:color="auto" w:fill="D5EAEA"/>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treasury shares in</w:t>
            </w: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r>
      <w:tr>
        <w:trPr>
          <w:trHeight w:val="216"/>
        </w:trPr>
        <w:tc>
          <w:tcPr>
            <w:tcW w:w="3960" w:type="dxa"/>
            <w:vAlign w:val="bottom"/>
            <w:gridSpan w:val="3"/>
            <w:shd w:val="clear" w:color="auto" w:fill="D5EAEA"/>
          </w:tcPr>
          <w:p>
            <w:pPr>
              <w:spacing w:after="0"/>
              <w:rPr>
                <w:sz w:val="20"/>
                <w:szCs w:val="20"/>
                <w:color w:val="auto"/>
              </w:rPr>
            </w:pPr>
            <w:r>
              <w:rPr>
                <w:rFonts w:ascii="Times New Roman" w:cs="Times New Roman" w:eastAsia="Times New Roman" w:hAnsi="Times New Roman"/>
                <w:sz w:val="18"/>
                <w:szCs w:val="18"/>
                <w:color w:val="auto"/>
              </w:rPr>
              <w:t>public offerings, net of underwriting fees</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34"/>
        </w:trPr>
        <w:tc>
          <w:tcPr>
            <w:tcW w:w="3960" w:type="dxa"/>
            <w:vAlign w:val="bottom"/>
            <w:gridSpan w:val="3"/>
            <w:shd w:val="clear" w:color="auto" w:fill="D5EAEA"/>
          </w:tcPr>
          <w:p>
            <w:pPr>
              <w:spacing w:after="0"/>
              <w:rPr>
                <w:sz w:val="20"/>
                <w:szCs w:val="20"/>
                <w:color w:val="auto"/>
              </w:rPr>
            </w:pPr>
            <w:r>
              <w:rPr>
                <w:rFonts w:ascii="Times New Roman" w:cs="Times New Roman" w:eastAsia="Times New Roman" w:hAnsi="Times New Roman"/>
                <w:sz w:val="18"/>
                <w:szCs w:val="18"/>
                <w:color w:val="auto"/>
              </w:rPr>
              <w:t>and transaction costs</w:t>
            </w:r>
          </w:p>
        </w:tc>
        <w:tc>
          <w:tcPr>
            <w:tcW w:w="1280" w:type="dxa"/>
            <w:vAlign w:val="bottom"/>
            <w:gridSpan w:val="2"/>
            <w:shd w:val="clear" w:color="auto" w:fill="D5EA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shd w:val="clear" w:color="auto" w:fill="D5EAEA"/>
          </w:tcPr>
          <w:p>
            <w:pPr>
              <w:spacing w:after="0"/>
              <w:rPr>
                <w:sz w:val="20"/>
                <w:szCs w:val="20"/>
                <w:color w:val="auto"/>
              </w:rPr>
            </w:pPr>
          </w:p>
        </w:tc>
        <w:tc>
          <w:tcPr>
            <w:tcW w:w="112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D5EAEA"/>
          </w:tcPr>
          <w:p>
            <w:pPr>
              <w:spacing w:after="0"/>
              <w:rPr>
                <w:sz w:val="20"/>
                <w:szCs w:val="20"/>
                <w:color w:val="auto"/>
              </w:rPr>
            </w:pP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7,840</w:t>
            </w:r>
          </w:p>
        </w:tc>
      </w:tr>
      <w:tr>
        <w:trPr>
          <w:trHeight w:val="21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960" w:type="dxa"/>
            <w:vAlign w:val="bottom"/>
            <w:gridSpan w:val="3"/>
            <w:shd w:val="clear" w:color="auto" w:fill="D5EAEA"/>
          </w:tcPr>
          <w:p>
            <w:pPr>
              <w:ind w:left="60"/>
              <w:spacing w:after="0"/>
              <w:rPr>
                <w:sz w:val="20"/>
                <w:szCs w:val="20"/>
                <w:color w:val="auto"/>
              </w:rPr>
            </w:pPr>
            <w:r>
              <w:rPr>
                <w:rFonts w:ascii="Times New Roman" w:cs="Times New Roman" w:eastAsia="Times New Roman" w:hAnsi="Times New Roman"/>
                <w:sz w:val="18"/>
                <w:szCs w:val="18"/>
                <w:color w:val="auto"/>
              </w:rPr>
              <w:t>restricted share awards</w:t>
            </w:r>
          </w:p>
        </w:tc>
        <w:tc>
          <w:tcPr>
            <w:tcW w:w="1160" w:type="dxa"/>
            <w:vAlign w:val="bottom"/>
            <w:shd w:val="clear" w:color="auto" w:fill="D5EAEA"/>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3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exercise of options</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3960" w:type="dxa"/>
            <w:vAlign w:val="bottom"/>
            <w:tcBorders>
              <w:top w:val="single" w:sz="8" w:color="D5EAEA"/>
              <w:bottom w:val="single" w:sz="8" w:color="D5EAEA"/>
            </w:tcBorders>
            <w:gridSpan w:val="3"/>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2021</w:t>
            </w:r>
          </w:p>
        </w:tc>
        <w:tc>
          <w:tcPr>
            <w:tcW w:w="1160" w:type="dxa"/>
            <w:vAlign w:val="bottom"/>
            <w:tcBorders>
              <w:top w:val="single" w:sz="8" w:color="auto"/>
              <w:bottom w:val="single" w:sz="8" w:color="auto"/>
            </w:tcBorders>
            <w:shd w:val="clear" w:color="auto" w:fill="D5EAEA"/>
          </w:tcPr>
          <w:p>
            <w:pPr>
              <w:jc w:val="right"/>
              <w:ind w:right="50"/>
              <w:spacing w:after="0"/>
              <w:rPr>
                <w:sz w:val="20"/>
                <w:szCs w:val="20"/>
                <w:color w:val="auto"/>
              </w:rPr>
            </w:pPr>
            <w:r>
              <w:rPr>
                <w:rFonts w:ascii="Times New Roman" w:cs="Times New Roman" w:eastAsia="Times New Roman" w:hAnsi="Times New Roman"/>
                <w:sz w:val="18"/>
                <w:szCs w:val="18"/>
                <w:color w:val="auto"/>
              </w:rPr>
              <w:t>1,539</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354,899</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(167,071)</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189,282</w:t>
            </w:r>
          </w:p>
        </w:tc>
      </w:tr>
      <w:tr>
        <w:trPr>
          <w:trHeight w:val="20"/>
        </w:trPr>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Differences</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80" w:type="dxa"/>
            <w:vAlign w:val="bottom"/>
            <w:tcBorders>
              <w:top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560" w:type="dxa"/>
            <w:vAlign w:val="bottom"/>
            <w:tcBorders>
              <w:top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50"/>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Borders>
              <w:top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431,251</w:t>
            </w:r>
          </w:p>
        </w:tc>
        <w:tc>
          <w:tcPr>
            <w:tcW w:w="100" w:type="dxa"/>
            <w:vAlign w:val="bottom"/>
            <w:tcBorders>
              <w:top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(200,942)</w:t>
            </w:r>
          </w:p>
        </w:tc>
        <w:tc>
          <w:tcPr>
            <w:tcW w:w="12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231,979</w:t>
            </w: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(38,489)</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(38,489)</w:t>
            </w:r>
          </w:p>
        </w:tc>
      </w:tr>
      <w:tr>
        <w:trPr>
          <w:trHeight w:val="229"/>
        </w:trPr>
        <w:tc>
          <w:tcPr>
            <w:tcW w:w="32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560" w:type="dxa"/>
            <w:vAlign w:val="bottom"/>
            <w:shd w:val="clear" w:color="auto" w:fill="D5EAEA"/>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D5EAEA"/>
          </w:tcPr>
          <w:p>
            <w:pPr>
              <w:spacing w:after="0"/>
              <w:rPr>
                <w:sz w:val="19"/>
                <w:szCs w:val="19"/>
                <w:color w:val="auto"/>
              </w:rPr>
            </w:pPr>
          </w:p>
        </w:tc>
        <w:tc>
          <w:tcPr>
            <w:tcW w:w="1280" w:type="dxa"/>
            <w:vAlign w:val="bottom"/>
            <w:gridSpan w:val="2"/>
            <w:shd w:val="clear" w:color="auto" w:fill="D5EA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7,381</w:t>
            </w:r>
          </w:p>
        </w:tc>
        <w:tc>
          <w:tcPr>
            <w:tcW w:w="120" w:type="dxa"/>
            <w:vAlign w:val="bottom"/>
            <w:shd w:val="clear" w:color="auto" w:fill="D5EAEA"/>
          </w:tcPr>
          <w:p>
            <w:pPr>
              <w:spacing w:after="0"/>
              <w:rPr>
                <w:sz w:val="19"/>
                <w:szCs w:val="19"/>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D5EAEA"/>
          </w:tcPr>
          <w:p>
            <w:pPr>
              <w:spacing w:after="0"/>
              <w:rPr>
                <w:sz w:val="19"/>
                <w:szCs w:val="19"/>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7,430</w:t>
            </w:r>
          </w:p>
        </w:tc>
      </w:tr>
      <w:tr>
        <w:trPr>
          <w:trHeight w:val="210"/>
        </w:trPr>
        <w:tc>
          <w:tcPr>
            <w:tcW w:w="328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560" w:type="dxa"/>
            <w:vAlign w:val="bottom"/>
            <w:tcBorders>
              <w:bottom w:val="single" w:sz="8" w:color="D5EAEA"/>
            </w:tcBorders>
          </w:tcPr>
          <w:p>
            <w:pPr>
              <w:spacing w:after="0"/>
              <w:rPr>
                <w:sz w:val="18"/>
                <w:szCs w:val="18"/>
                <w:color w:val="auto"/>
              </w:rPr>
            </w:pPr>
          </w:p>
        </w:tc>
        <w:tc>
          <w:tcPr>
            <w:tcW w:w="120" w:type="dxa"/>
            <w:vAlign w:val="bottom"/>
            <w:tcBorders>
              <w:bottom w:val="single" w:sz="8" w:color="D5EAEA"/>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5EAEA"/>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5EAEA"/>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120" w:type="dxa"/>
            <w:vAlign w:val="bottom"/>
            <w:tcBorders>
              <w:bottom w:val="single" w:sz="8" w:color="D5EAEA"/>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D5EAEA"/>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(31,059)</w:t>
            </w:r>
          </w:p>
        </w:tc>
      </w:tr>
      <w:tr>
        <w:trPr>
          <w:trHeight w:val="209"/>
        </w:trPr>
        <w:tc>
          <w:tcPr>
            <w:tcW w:w="3280" w:type="dxa"/>
            <w:vAlign w:val="bottom"/>
            <w:shd w:val="clear" w:color="auto" w:fill="D5EAEA"/>
          </w:tcPr>
          <w:p>
            <w:pPr>
              <w:spacing w:after="0"/>
              <w:rPr>
                <w:sz w:val="18"/>
                <w:szCs w:val="18"/>
                <w:color w:val="auto"/>
              </w:rPr>
            </w:pP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32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Transaction offering costs</w:t>
            </w: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net of transaction costs: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280" w:type="dxa"/>
            <w:vAlign w:val="bottom"/>
            <w:shd w:val="clear" w:color="auto" w:fill="D5EAEA"/>
          </w:tcPr>
          <w:p>
            <w:pPr>
              <w:ind w:left="60"/>
              <w:spacing w:after="0"/>
              <w:rPr>
                <w:sz w:val="20"/>
                <w:szCs w:val="20"/>
                <w:color w:val="auto"/>
              </w:rPr>
            </w:pPr>
            <w:r>
              <w:rPr>
                <w:rFonts w:ascii="Times New Roman" w:cs="Times New Roman" w:eastAsia="Times New Roman" w:hAnsi="Times New Roman"/>
                <w:sz w:val="18"/>
                <w:szCs w:val="18"/>
                <w:color w:val="auto"/>
              </w:rPr>
              <w:t>restricted share awards</w:t>
            </w:r>
          </w:p>
        </w:tc>
        <w:tc>
          <w:tcPr>
            <w:tcW w:w="5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280" w:type="dxa"/>
            <w:vAlign w:val="bottom"/>
            <w:gridSpan w:val="2"/>
            <w:shd w:val="clear" w:color="auto" w:fill="D5EAEA"/>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D5EAEA"/>
          </w:tcPr>
          <w:p>
            <w:pPr>
              <w:spacing w:after="0"/>
              <w:rPr>
                <w:sz w:val="18"/>
                <w:szCs w:val="18"/>
                <w:color w:val="auto"/>
              </w:rPr>
            </w:pPr>
          </w:p>
        </w:tc>
        <w:tc>
          <w:tcPr>
            <w:tcW w:w="122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of options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280" w:type="dxa"/>
            <w:vAlign w:val="bottom"/>
            <w:tcBorders>
              <w:top w:val="single" w:sz="8" w:color="D5EAEA"/>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560" w:type="dxa"/>
            <w:vAlign w:val="bottom"/>
            <w:tcBorders>
              <w:top w:val="single" w:sz="8" w:color="D5EAEA"/>
              <w:bottom w:val="single" w:sz="8" w:color="D5EAEA"/>
            </w:tcBorders>
            <w:shd w:val="clear" w:color="auto" w:fill="D5EAEA"/>
          </w:tcPr>
          <w:p>
            <w:pPr>
              <w:spacing w:after="0"/>
              <w:rPr>
                <w:sz w:val="19"/>
                <w:szCs w:val="19"/>
                <w:color w:val="auto"/>
              </w:rPr>
            </w:pP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60" w:type="dxa"/>
            <w:vAlign w:val="bottom"/>
            <w:tcBorders>
              <w:top w:val="single" w:sz="8" w:color="auto"/>
              <w:bottom w:val="single" w:sz="8" w:color="auto"/>
            </w:tcBorders>
            <w:shd w:val="clear" w:color="auto" w:fill="D5EAEA"/>
          </w:tcPr>
          <w:p>
            <w:pPr>
              <w:jc w:val="right"/>
              <w:ind w:right="50"/>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431,260</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(230,169)</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202,812</w:t>
            </w:r>
          </w:p>
        </w:tc>
      </w:tr>
      <w:tr>
        <w:trPr>
          <w:trHeight w:val="20"/>
        </w:trPr>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these Interim Condensed Consolidated Financial Statements (Unaudited).</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c>
          <w:tcPr>
            <w:tcW w:w="0" w:type="dxa"/>
            <w:vAlign w:val="bottom"/>
          </w:tcPr>
          <w:p>
            <w:pPr>
              <w:spacing w:after="0"/>
              <w:rPr>
                <w:sz w:val="1"/>
                <w:szCs w:val="1"/>
                <w:color w:val="auto"/>
              </w:rPr>
            </w:pPr>
          </w:p>
        </w:tc>
      </w:tr>
      <w:tr>
        <w:trPr>
          <w:trHeight w:val="194"/>
        </w:trPr>
        <w:tc>
          <w:tcPr>
            <w:tcW w:w="6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10"/>
        </w:trPr>
        <w:tc>
          <w:tcPr>
            <w:tcW w:w="6980" w:type="dxa"/>
            <w:vAlign w:val="bottom"/>
            <w:vMerge w:val="continue"/>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(38,489)</w:t>
            </w: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9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(35,803)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for the period to net cash flows: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Finance (income)/expense, net</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9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Change in net employee defined benefit liability</w:t>
            </w: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w:t>
            </w: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980" w:type="dxa"/>
            <w:vAlign w:val="bottom"/>
            <w:shd w:val="clear" w:color="auto" w:fill="D5EAEA"/>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prepaid expenses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Decrease in accrued income</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9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other current receivables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(Decrease) in accrued expenses</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9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deferred income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Decrease in trade and other payables</w:t>
            </w:r>
          </w:p>
        </w:tc>
        <w:tc>
          <w:tcPr>
            <w:tcW w:w="9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D5EAEA"/>
          </w:tcPr>
          <w:p>
            <w:pPr>
              <w:spacing w:after="0"/>
              <w:rPr>
                <w:sz w:val="19"/>
                <w:szCs w:val="19"/>
                <w:color w:val="auto"/>
              </w:rPr>
            </w:pPr>
          </w:p>
        </w:tc>
        <w:tc>
          <w:tcPr>
            <w:tcW w:w="5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used in operating activities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(33,168)</w:t>
            </w: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2240" w:type="dxa"/>
            <w:vAlign w:val="bottom"/>
            <w:gridSpan w:val="3"/>
            <w:shd w:val="clear" w:color="auto" w:fill="D5EAEA"/>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920" w:type="dxa"/>
            <w:vAlign w:val="bottom"/>
            <w:shd w:val="clear" w:color="auto" w:fill="D5EAEA"/>
          </w:tcPr>
          <w:p>
            <w:pPr>
              <w:spacing w:after="0"/>
              <w:rPr>
                <w:sz w:val="19"/>
                <w:szCs w:val="19"/>
                <w:color w:val="auto"/>
              </w:rPr>
            </w:pPr>
          </w:p>
        </w:tc>
        <w:tc>
          <w:tcPr>
            <w:tcW w:w="12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D5EAEA"/>
          </w:tcPr>
          <w:p>
            <w:pPr>
              <w:spacing w:after="0"/>
              <w:rPr>
                <w:sz w:val="19"/>
                <w:szCs w:val="19"/>
                <w:color w:val="auto"/>
              </w:rPr>
            </w:pPr>
          </w:p>
        </w:tc>
        <w:tc>
          <w:tcPr>
            <w:tcW w:w="5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operating activities</w:t>
            </w:r>
          </w:p>
        </w:tc>
        <w:tc>
          <w:tcPr>
            <w:tcW w:w="92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00" w:type="dxa"/>
            <w:vAlign w:val="bottom"/>
            <w:tcBorders>
              <w:bottom w:val="single" w:sz="8" w:color="D5EAEA"/>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(33,362)</w:t>
            </w:r>
          </w:p>
        </w:tc>
        <w:tc>
          <w:tcPr>
            <w:tcW w:w="0" w:type="dxa"/>
            <w:vAlign w:val="bottom"/>
          </w:tcPr>
          <w:p>
            <w:pPr>
              <w:spacing w:after="0"/>
              <w:rPr>
                <w:sz w:val="1"/>
                <w:szCs w:val="1"/>
                <w:color w:val="auto"/>
              </w:rPr>
            </w:pPr>
          </w:p>
        </w:tc>
      </w:tr>
      <w:tr>
        <w:trPr>
          <w:trHeight w:val="197"/>
        </w:trPr>
        <w:tc>
          <w:tcPr>
            <w:tcW w:w="698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5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58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Short-term financial assets, net</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9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30"/>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D5EAEA"/>
          </w:tcPr>
          <w:p>
            <w:pPr>
              <w:spacing w:after="0"/>
              <w:rPr>
                <w:sz w:val="19"/>
                <w:szCs w:val="19"/>
                <w:color w:val="auto"/>
              </w:rPr>
            </w:pPr>
          </w:p>
        </w:tc>
        <w:tc>
          <w:tcPr>
            <w:tcW w:w="5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3"/>
        </w:trPr>
        <w:tc>
          <w:tcPr>
            <w:tcW w:w="698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by/(used in) investing activities</w:t>
            </w:r>
          </w:p>
        </w:tc>
        <w:tc>
          <w:tcPr>
            <w:tcW w:w="920" w:type="dxa"/>
            <w:vAlign w:val="bottom"/>
            <w:tcBorders>
              <w:bottom w:val="single" w:sz="8" w:color="D5EAEA"/>
            </w:tcBorders>
          </w:tcPr>
          <w:p>
            <w:pPr>
              <w:spacing w:after="0"/>
              <w:rPr>
                <w:sz w:val="22"/>
                <w:szCs w:val="22"/>
                <w:color w:val="auto"/>
              </w:rPr>
            </w:pPr>
          </w:p>
        </w:tc>
        <w:tc>
          <w:tcPr>
            <w:tcW w:w="120" w:type="dxa"/>
            <w:vAlign w:val="bottom"/>
            <w:tcBorders>
              <w:bottom w:val="single" w:sz="8" w:color="D5EAEA"/>
            </w:tcBorders>
          </w:tcPr>
          <w:p>
            <w:pPr>
              <w:spacing w:after="0"/>
              <w:rPr>
                <w:sz w:val="22"/>
                <w:szCs w:val="22"/>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tcBorders>
              <w:bottom w:val="single" w:sz="8" w:color="D5EAEA"/>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0" w:type="dxa"/>
            <w:vAlign w:val="bottom"/>
          </w:tcPr>
          <w:p>
            <w:pPr>
              <w:spacing w:after="0"/>
              <w:rPr>
                <w:sz w:val="1"/>
                <w:szCs w:val="1"/>
                <w:color w:val="auto"/>
              </w:rPr>
            </w:pPr>
          </w:p>
        </w:tc>
      </w:tr>
      <w:tr>
        <w:trPr>
          <w:trHeight w:val="196"/>
        </w:trPr>
        <w:tc>
          <w:tcPr>
            <w:tcW w:w="6980" w:type="dxa"/>
            <w:vAlign w:val="bottom"/>
            <w:shd w:val="clear" w:color="auto" w:fill="D5EAEA"/>
          </w:tcPr>
          <w:p>
            <w:pPr>
              <w:spacing w:after="0"/>
              <w:rPr>
                <w:sz w:val="17"/>
                <w:szCs w:val="17"/>
                <w:color w:val="auto"/>
              </w:rPr>
            </w:pP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5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58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Principal payments of lease obligations</w:t>
            </w:r>
          </w:p>
        </w:tc>
        <w:tc>
          <w:tcPr>
            <w:tcW w:w="920" w:type="dxa"/>
            <w:vAlign w:val="bottom"/>
            <w:shd w:val="clear" w:color="auto" w:fill="D5EAEA"/>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shd w:val="clear" w:color="auto" w:fill="D5EAEA"/>
          </w:tcPr>
          <w:p>
            <w:pPr>
              <w:spacing w:after="0"/>
              <w:rPr>
                <w:sz w:val="18"/>
                <w:szCs w:val="18"/>
                <w:color w:val="auto"/>
              </w:rPr>
            </w:pPr>
          </w:p>
        </w:tc>
        <w:tc>
          <w:tcPr>
            <w:tcW w:w="15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D5EAEA"/>
          </w:tcPr>
          <w:p>
            <w:pPr>
              <w:spacing w:after="0"/>
              <w:rPr>
                <w:sz w:val="18"/>
                <w:szCs w:val="18"/>
                <w:color w:val="auto"/>
              </w:rPr>
            </w:pPr>
          </w:p>
        </w:tc>
        <w:tc>
          <w:tcPr>
            <w:tcW w:w="580" w:type="dxa"/>
            <w:vAlign w:val="bottom"/>
            <w:shd w:val="clear" w:color="auto" w:fill="D5EAEA"/>
          </w:tcPr>
          <w:p>
            <w:pPr>
              <w:spacing w:after="0"/>
              <w:rPr>
                <w:sz w:val="18"/>
                <w:szCs w:val="18"/>
                <w:color w:val="auto"/>
              </w:rPr>
            </w:pPr>
          </w:p>
        </w:tc>
        <w:tc>
          <w:tcPr>
            <w:tcW w:w="9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98"/>
        </w:trPr>
        <w:tc>
          <w:tcPr>
            <w:tcW w:w="6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Proceeds from sale of treasury shares in public offerings, net of underwriting fees and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tcPr>
          <w:p>
            <w:pPr>
              <w:spacing w:after="0"/>
              <w:rPr>
                <w:sz w:val="20"/>
                <w:szCs w:val="20"/>
                <w:color w:val="auto"/>
              </w:rPr>
            </w:pPr>
          </w:p>
        </w:tc>
        <w:tc>
          <w:tcPr>
            <w:tcW w:w="22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198"/>
        </w:trPr>
        <w:tc>
          <w:tcPr>
            <w:tcW w:w="6980" w:type="dxa"/>
            <w:vAlign w:val="bottom"/>
            <w:shd w:val="clear" w:color="auto" w:fill="D5EAEA"/>
          </w:tcPr>
          <w:p>
            <w:pPr>
              <w:spacing w:after="0" w:line="198" w:lineRule="exact"/>
              <w:rPr>
                <w:sz w:val="20"/>
                <w:szCs w:val="20"/>
                <w:color w:val="auto"/>
              </w:rPr>
            </w:pPr>
            <w:r>
              <w:rPr>
                <w:rFonts w:ascii="Times New Roman" w:cs="Times New Roman" w:eastAsia="Times New Roman" w:hAnsi="Times New Roman"/>
                <w:sz w:val="18"/>
                <w:szCs w:val="18"/>
                <w:color w:val="auto"/>
              </w:rPr>
              <w:t>Transaction costs associated with issuance of shares in relation to asset acquisition previously</w:t>
            </w:r>
          </w:p>
        </w:tc>
        <w:tc>
          <w:tcPr>
            <w:tcW w:w="9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56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580" w:type="dxa"/>
            <w:vAlign w:val="bottom"/>
            <w:shd w:val="clear" w:color="auto" w:fill="D5EAEA"/>
          </w:tcPr>
          <w:p>
            <w:pPr>
              <w:spacing w:after="0"/>
              <w:rPr>
                <w:sz w:val="17"/>
                <w:szCs w:val="17"/>
                <w:color w:val="auto"/>
              </w:rPr>
            </w:pPr>
          </w:p>
        </w:tc>
        <w:tc>
          <w:tcPr>
            <w:tcW w:w="980" w:type="dxa"/>
            <w:vAlign w:val="bottom"/>
            <w:shd w:val="clear" w:color="auto" w:fill="D5EAEA"/>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recorded in Accrued expenses</w:t>
            </w:r>
          </w:p>
        </w:tc>
        <w:tc>
          <w:tcPr>
            <w:tcW w:w="920" w:type="dxa"/>
            <w:vAlign w:val="bottom"/>
            <w:shd w:val="clear" w:color="auto" w:fill="D5EAEA"/>
          </w:tcPr>
          <w:p>
            <w:pPr>
              <w:spacing w:after="0"/>
              <w:rPr>
                <w:sz w:val="20"/>
                <w:szCs w:val="20"/>
                <w:color w:val="auto"/>
              </w:rPr>
            </w:pPr>
          </w:p>
        </w:tc>
        <w:tc>
          <w:tcPr>
            <w:tcW w:w="120" w:type="dxa"/>
            <w:vAlign w:val="bottom"/>
            <w:shd w:val="clear" w:color="auto" w:fill="D5EAEA"/>
          </w:tcPr>
          <w:p>
            <w:pPr>
              <w:spacing w:after="0"/>
              <w:rPr>
                <w:sz w:val="20"/>
                <w:szCs w:val="20"/>
                <w:color w:val="auto"/>
              </w:rPr>
            </w:pPr>
          </w:p>
        </w:tc>
        <w:tc>
          <w:tcPr>
            <w:tcW w:w="156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D5EAEA"/>
          </w:tcPr>
          <w:p>
            <w:pPr>
              <w:spacing w:after="0"/>
              <w:rPr>
                <w:sz w:val="20"/>
                <w:szCs w:val="20"/>
                <w:color w:val="auto"/>
              </w:rPr>
            </w:pPr>
          </w:p>
        </w:tc>
        <w:tc>
          <w:tcPr>
            <w:tcW w:w="580" w:type="dxa"/>
            <w:vAlign w:val="bottom"/>
            <w:shd w:val="clear" w:color="auto" w:fill="D5EAEA"/>
          </w:tcPr>
          <w:p>
            <w:pPr>
              <w:spacing w:after="0"/>
              <w:rPr>
                <w:sz w:val="20"/>
                <w:szCs w:val="20"/>
                <w:color w:val="auto"/>
              </w:rPr>
            </w:pPr>
          </w:p>
        </w:tc>
        <w:tc>
          <w:tcPr>
            <w:tcW w:w="98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D5EAEA"/>
            </w:tcBorders>
          </w:tcPr>
          <w:p>
            <w:pPr>
              <w:spacing w:after="0"/>
              <w:rPr>
                <w:sz w:val="20"/>
                <w:szCs w:val="20"/>
                <w:color w:val="auto"/>
              </w:rPr>
            </w:pPr>
            <w:r>
              <w:rPr>
                <w:rFonts w:ascii="Times New Roman" w:cs="Times New Roman" w:eastAsia="Times New Roman" w:hAnsi="Times New Roman"/>
                <w:sz w:val="18"/>
                <w:szCs w:val="18"/>
                <w:color w:val="auto"/>
              </w:rPr>
              <w:t>Proceeds from issuance of common shares</w:t>
            </w:r>
          </w:p>
        </w:tc>
        <w:tc>
          <w:tcPr>
            <w:tcW w:w="920" w:type="dxa"/>
            <w:vAlign w:val="bottom"/>
            <w:tcBorders>
              <w:bottom w:val="single" w:sz="8" w:color="D5EAEA"/>
            </w:tcBorders>
          </w:tcPr>
          <w:p>
            <w:pPr>
              <w:spacing w:after="0"/>
              <w:rPr>
                <w:sz w:val="19"/>
                <w:szCs w:val="19"/>
                <w:color w:val="auto"/>
              </w:rPr>
            </w:pPr>
          </w:p>
        </w:tc>
        <w:tc>
          <w:tcPr>
            <w:tcW w:w="120" w:type="dxa"/>
            <w:vAlign w:val="bottom"/>
            <w:tcBorders>
              <w:bottom w:val="single" w:sz="8" w:color="D5EAEA"/>
            </w:tcBorders>
          </w:tcPr>
          <w:p>
            <w:pPr>
              <w:spacing w:after="0"/>
              <w:rPr>
                <w:sz w:val="19"/>
                <w:szCs w:val="19"/>
                <w:color w:val="auto"/>
              </w:rPr>
            </w:pP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D5EAEA"/>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in)/provided by financing activities</w:t>
            </w:r>
          </w:p>
        </w:tc>
        <w:tc>
          <w:tcPr>
            <w:tcW w:w="920" w:type="dxa"/>
            <w:vAlign w:val="bottom"/>
            <w:tcBorders>
              <w:bottom w:val="single" w:sz="8" w:color="D5EAEA"/>
            </w:tcBorders>
            <w:shd w:val="clear" w:color="auto" w:fill="D5EAEA"/>
          </w:tcPr>
          <w:p>
            <w:pPr>
              <w:spacing w:after="0"/>
              <w:rPr>
                <w:sz w:val="19"/>
                <w:szCs w:val="19"/>
                <w:color w:val="auto"/>
              </w:rPr>
            </w:pPr>
          </w:p>
        </w:tc>
        <w:tc>
          <w:tcPr>
            <w:tcW w:w="120" w:type="dxa"/>
            <w:vAlign w:val="bottom"/>
            <w:tcBorders>
              <w:bottom w:val="single" w:sz="8" w:color="D5EAEA"/>
            </w:tcBorders>
            <w:shd w:val="clear" w:color="auto" w:fill="D5EAEA"/>
          </w:tcPr>
          <w:p>
            <w:pPr>
              <w:spacing w:after="0"/>
              <w:rPr>
                <w:sz w:val="19"/>
                <w:szCs w:val="19"/>
                <w:color w:val="auto"/>
              </w:rPr>
            </w:pPr>
          </w:p>
        </w:tc>
        <w:tc>
          <w:tcPr>
            <w:tcW w:w="156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Borders>
              <w:bottom w:val="single" w:sz="8" w:color="D5EAEA"/>
            </w:tcBorders>
            <w:shd w:val="clear" w:color="auto" w:fill="D5EAEA"/>
          </w:tcPr>
          <w:p>
            <w:pPr>
              <w:spacing w:after="0"/>
              <w:rPr>
                <w:sz w:val="19"/>
                <w:szCs w:val="19"/>
                <w:color w:val="auto"/>
              </w:rPr>
            </w:pPr>
          </w:p>
        </w:tc>
        <w:tc>
          <w:tcPr>
            <w:tcW w:w="580" w:type="dxa"/>
            <w:vAlign w:val="bottom"/>
            <w:tcBorders>
              <w:bottom w:val="single" w:sz="8" w:color="auto"/>
            </w:tcBorders>
            <w:shd w:val="clear" w:color="auto" w:fill="D5EAEA"/>
          </w:tcPr>
          <w:p>
            <w:pPr>
              <w:spacing w:after="0"/>
              <w:rPr>
                <w:sz w:val="19"/>
                <w:szCs w:val="19"/>
                <w:color w:val="auto"/>
              </w:rPr>
            </w:pPr>
          </w:p>
        </w:tc>
        <w:tc>
          <w:tcPr>
            <w:tcW w:w="98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80" w:type="dxa"/>
            <w:vAlign w:val="bottom"/>
            <w:tcBorders>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920" w:type="dxa"/>
            <w:vAlign w:val="bottom"/>
            <w:tcBorders>
              <w:bottom w:val="single" w:sz="8" w:color="D5EAEA"/>
            </w:tcBorders>
            <w:shd w:val="clear" w:color="auto" w:fill="D5EAEA"/>
          </w:tcPr>
          <w:p>
            <w:pPr>
              <w:spacing w:after="0"/>
              <w:rPr>
                <w:sz w:val="21"/>
                <w:szCs w:val="21"/>
                <w:color w:val="auto"/>
              </w:rPr>
            </w:pPr>
          </w:p>
        </w:tc>
        <w:tc>
          <w:tcPr>
            <w:tcW w:w="120" w:type="dxa"/>
            <w:vAlign w:val="bottom"/>
            <w:tcBorders>
              <w:bottom w:val="single" w:sz="8" w:color="D5EAEA"/>
            </w:tcBorders>
            <w:shd w:val="clear" w:color="auto" w:fill="D5EAEA"/>
          </w:tcPr>
          <w:p>
            <w:pPr>
              <w:spacing w:after="0"/>
              <w:rPr>
                <w:sz w:val="21"/>
                <w:szCs w:val="21"/>
                <w:color w:val="auto"/>
              </w:rPr>
            </w:pPr>
          </w:p>
        </w:tc>
        <w:tc>
          <w:tcPr>
            <w:tcW w:w="156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100" w:type="dxa"/>
            <w:vAlign w:val="bottom"/>
            <w:tcBorders>
              <w:bottom w:val="single" w:sz="8" w:color="D5EAEA"/>
            </w:tcBorders>
            <w:shd w:val="clear" w:color="auto" w:fill="D5EAEA"/>
          </w:tcPr>
          <w:p>
            <w:pPr>
              <w:spacing w:after="0"/>
              <w:rPr>
                <w:sz w:val="21"/>
                <w:szCs w:val="21"/>
                <w:color w:val="auto"/>
              </w:rPr>
            </w:pPr>
          </w:p>
        </w:tc>
        <w:tc>
          <w:tcPr>
            <w:tcW w:w="580" w:type="dxa"/>
            <w:vAlign w:val="bottom"/>
            <w:tcBorders>
              <w:bottom w:val="single" w:sz="8" w:color="auto"/>
            </w:tcBorders>
            <w:shd w:val="clear" w:color="auto" w:fill="D5EAEA"/>
          </w:tcPr>
          <w:p>
            <w:pPr>
              <w:spacing w:after="0"/>
              <w:rPr>
                <w:sz w:val="21"/>
                <w:szCs w:val="21"/>
                <w:color w:val="auto"/>
              </w:rPr>
            </w:pPr>
          </w:p>
        </w:tc>
        <w:tc>
          <w:tcPr>
            <w:tcW w:w="98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(57,121)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36"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82,216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Exchange gain on cash and cash equivalents</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w:t>
            </w:r>
          </w:p>
        </w:tc>
      </w:tr>
      <w:tr>
        <w:trPr>
          <w:trHeight w:val="248"/>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June 30</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63,147</w:t>
            </w:r>
          </w:p>
        </w:tc>
      </w:tr>
      <w:tr>
        <w:trPr>
          <w:trHeight w:val="223"/>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(19,752)</w:t>
            </w:r>
          </w:p>
        </w:tc>
      </w:tr>
      <w:tr>
        <w:trPr>
          <w:trHeight w:val="20"/>
        </w:trPr>
        <w:tc>
          <w:tcPr>
            <w:tcW w:w="8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Supplemental non-cash activity</w:t>
      </w:r>
    </w:p>
    <w:p>
      <w:pPr>
        <w:spacing w:after="0" w:line="31" w:lineRule="exact"/>
        <w:rPr>
          <w:sz w:val="20"/>
          <w:szCs w:val="20"/>
          <w:color w:val="auto"/>
        </w:rPr>
      </w:pPr>
    </w:p>
    <w:p>
      <w:pPr>
        <w:ind w:left="340" w:right="340" w:hanging="242"/>
        <w:spacing w:after="0" w:line="375" w:lineRule="auto"/>
        <w:rPr>
          <w:sz w:val="20"/>
          <w:szCs w:val="20"/>
          <w:color w:val="auto"/>
        </w:rPr>
      </w:pPr>
      <w:r>
        <w:rPr>
          <w:rFonts w:ascii="Times New Roman" w:cs="Times New Roman" w:eastAsia="Times New Roman" w:hAnsi="Times New Roman"/>
          <w:sz w:val="18"/>
          <w:szCs w:val="18"/>
          <w:color w:val="auto"/>
        </w:rPr>
        <w:t>Capital expenditures in Trade and other payables or Accrued expenses</w:t>
      </w:r>
      <w:r>
        <w:rPr>
          <w:sz w:val="20"/>
          <w:szCs w:val="20"/>
          <w:color w:val="auto"/>
        </w:rPr>
        <w:t xml:space="preserve"> </w:t>
      </w:r>
      <w:r>
        <w:rPr>
          <w:rFonts w:ascii="Times New Roman" w:cs="Times New Roman" w:eastAsia="Times New Roman" w:hAnsi="Times New Roman"/>
          <w:sz w:val="18"/>
          <w:szCs w:val="18"/>
          <w:color w:val="auto"/>
        </w:rPr>
        <w:t>5 1 The accompanying notes are an integral part of these Interim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160,893</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14605</wp:posOffset>
            </wp:positionV>
            <wp:extent cx="9861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(57,121)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17145</wp:posOffset>
            </wp:positionV>
            <wp:extent cx="986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247</w:t>
      </w:r>
    </w:p>
    <w:p>
      <w:pPr>
        <w:spacing w:after="0" w:line="334" w:lineRule="exact"/>
        <w:rPr>
          <w:sz w:val="20"/>
          <w:szCs w:val="20"/>
          <w:color w:val="auto"/>
        </w:rPr>
      </w:pPr>
    </w:p>
    <w:p>
      <w:pPr>
        <w:sectPr>
          <w:pgSz w:w="11900" w:h="16838" w:orient="portrait"/>
          <w:cols w:equalWidth="0" w:num="2">
            <w:col w:w="9820" w:space="720"/>
            <w:col w:w="700"/>
          </w:cols>
          <w:pgMar w:left="320" w:top="536"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 thousands, except share and per share amounts)</w:t>
      </w:r>
    </w:p>
    <w:p>
      <w:pPr>
        <w:spacing w:after="0" w:line="203"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AC Immune SA was founded in 2003. The Company controls a fully-owned subsidiary, AC Immune USA, Inc. (“AC Immune USA” or “Subsidiary” and, together with AC Immune SA, “AC Immune,” “ACIU,” “Company,” “we,” “our,” “ours,” “us”), which was registered and is organized under the laws of Delaware, USA in June 2021. The Company and its Subsidiary form the Group (See “Note 2. Basis of preparation and changes to the Company’s accounting policies”).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AC Immune SA is a clinical-stage biopharmaceutical company leveraging our two proprietary technology platforms to discover, design and develop novel proprietary medicines and diagnostics for prevention and treatment of neurodegenerative diseases (NDD) associated with protein misfolding. Misfolded proteins are generally recognized as the leading cause of NDD, such as Alzheimer’s disease (AD) and Parkinson’s disease (PD), with common mechanisms and drug targets, such as amyloid beta (Abeta), Tau, alpha-synuclein (a-syn) and TDP-43. Our corporate strategy is founded upon a three-pillar approach that targets (i) AD, (ii) focused non-AD NDD including Parkinson’s disease, ALS and NeuroOrphan indications and (iii) diagnostics. We use our two unique proprietary platform technologies, SupraAntigen (conformation-specific biologics) and Morphomer (conformation-specific small molecules), to discover, design and develop novel medicines and diagnostics to target misfolded proteins.</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AC Immune SA as of and for the three and six months ended June 30, 2022 were authorized for issuance by the Company’s Audit and Finance Committee on July 27, 2022.</w:t>
      </w:r>
    </w:p>
    <w:p>
      <w:pPr>
        <w:spacing w:after="0" w:line="158" w:lineRule="exact"/>
        <w:rPr>
          <w:sz w:val="20"/>
          <w:szCs w:val="20"/>
          <w:color w:val="auto"/>
        </w:rPr>
      </w:pPr>
    </w:p>
    <w:p>
      <w:pPr>
        <w:ind w:right="5460" w:firstLine="8"/>
        <w:spacing w:after="0" w:line="503" w:lineRule="auto"/>
        <w:tabs>
          <w:tab w:leader="none" w:pos="3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changes to the Company’s accounting policies Statement of compliance</w:t>
      </w: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These Interim Condensed Consolidated Financial Statements as of June 30, 2022 and for the three and six months ended June 30, 2022 and 2021, have been prepared in accordance with International Accounting Standard 34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 as issued by the International Accounting Standards Board (IASB), and such financial information should be read in conjunction with the audited consolidated financial statements in AC Immune’s Annual Report on Form 20-F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Interim Condensed Consolidated Financial Statements have been prepared under the historical cost convention.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Functional and reporting currency</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These Interim Condensed Consolidated Financial Statements and accompanying notes are presented in Swiss Francs (CHF), which is AC Immune SA’s functional currency and the Group’s reporting currency. The Company’s subsidiary has a functional currency of the US Dollar (USD). The following exchange rates have been used for the translation of the financial statements of AC Immune USA: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44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244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0" w:type="dxa"/>
            <w:vAlign w:val="bottom"/>
          </w:tcPr>
          <w:p>
            <w:pPr>
              <w:spacing w:after="0"/>
              <w:rPr>
                <w:sz w:val="1"/>
                <w:szCs w:val="1"/>
                <w:color w:val="auto"/>
              </w:rPr>
            </w:pPr>
          </w:p>
        </w:tc>
      </w:tr>
      <w:tr>
        <w:trPr>
          <w:trHeight w:val="209"/>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CHF/USD</w:t>
            </w: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Closing rate, USD 1</w:t>
            </w: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0.9650</w:t>
            </w:r>
          </w:p>
        </w:tc>
        <w:tc>
          <w:tcPr>
            <w:tcW w:w="120" w:type="dxa"/>
            <w:vAlign w:val="bottom"/>
            <w:shd w:val="clear" w:color="auto" w:fill="D5EAEA"/>
          </w:tcPr>
          <w:p>
            <w:pPr>
              <w:spacing w:after="0"/>
              <w:rPr>
                <w:sz w:val="18"/>
                <w:szCs w:val="18"/>
                <w:color w:val="auto"/>
              </w:rPr>
            </w:pPr>
          </w:p>
        </w:tc>
        <w:tc>
          <w:tcPr>
            <w:tcW w:w="940" w:type="dxa"/>
            <w:vAlign w:val="bottom"/>
            <w:shd w:val="clear" w:color="auto" w:fill="D5EAEA"/>
          </w:tcPr>
          <w:p>
            <w:pPr>
              <w:spacing w:after="0"/>
              <w:rPr>
                <w:sz w:val="18"/>
                <w:szCs w:val="18"/>
                <w:color w:val="auto"/>
              </w:rPr>
            </w:pPr>
          </w:p>
        </w:tc>
        <w:tc>
          <w:tcPr>
            <w:tcW w:w="500" w:type="dxa"/>
            <w:vAlign w:val="bottom"/>
            <w:gridSpan w:val="2"/>
            <w:shd w:val="clear" w:color="auto" w:fill="D5EAEA"/>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0.9650</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exchange rate, USD 1</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0.9871</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0.9913</w:t>
            </w:r>
          </w:p>
        </w:tc>
        <w:tc>
          <w:tcPr>
            <w:tcW w:w="100" w:type="dxa"/>
            <w:vAlign w:val="bottom"/>
          </w:tcPr>
          <w:p>
            <w:pPr>
              <w:spacing w:after="0"/>
              <w:rPr>
                <w:sz w:val="20"/>
                <w:szCs w:val="20"/>
                <w:color w:val="auto"/>
              </w:rPr>
            </w:pPr>
          </w:p>
        </w:tc>
        <w:tc>
          <w:tcPr>
            <w:tcW w:w="13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judgments and accounting estimates</w:t>
      </w:r>
    </w:p>
    <w:p>
      <w:pPr>
        <w:spacing w:after="0" w:line="229" w:lineRule="exact"/>
        <w:rPr>
          <w:sz w:val="20"/>
          <w:szCs w:val="20"/>
          <w:color w:val="auto"/>
        </w:rPr>
      </w:pPr>
    </w:p>
    <w:p>
      <w:pPr>
        <w:jc w:val="both"/>
        <w:ind w:firstLine="321"/>
        <w:spacing w:after="0" w:line="282" w:lineRule="auto"/>
        <w:rPr>
          <w:sz w:val="20"/>
          <w:szCs w:val="20"/>
          <w:color w:val="auto"/>
        </w:rPr>
      </w:pPr>
      <w:r>
        <w:rPr>
          <w:rFonts w:ascii="Times New Roman" w:cs="Times New Roman" w:eastAsia="Times New Roman" w:hAnsi="Times New Roman"/>
          <w:sz w:val="18"/>
          <w:szCs w:val="18"/>
          <w:color w:val="auto"/>
        </w:rPr>
        <w:t>The preparation of the Company’s Interim Condensed Consolidated Financial Statements in conformity with IAS 34 requires management to make judgments, estimates and assumptions that affect the amounts reported in</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9" w:name="page10"/>
    <w:bookmarkEnd w:id="9"/>
    <w:p>
      <w:pPr>
        <w:spacing w:after="0" w:line="282" w:lineRule="auto"/>
        <w:rPr>
          <w:sz w:val="20"/>
          <w:szCs w:val="20"/>
          <w:color w:val="auto"/>
        </w:rPr>
      </w:pPr>
      <w:r>
        <w:rPr>
          <w:rFonts w:ascii="Times New Roman" w:cs="Times New Roman" w:eastAsia="Times New Roman" w:hAnsi="Times New Roman"/>
          <w:sz w:val="18"/>
          <w:szCs w:val="18"/>
          <w:color w:val="auto"/>
        </w:rPr>
        <w:t>the Interim Condensed Consolidated Financial Statements and accompanying notes, and the related application of accounting policies as it relates to the reported amounts of assets, liabilities, income and expenses.</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areas where AC Immune has had to make judgments, estimates and assumptions relate to (i) revenue recognition on Licensing and Collaboration Agreements, (ii) clinical development accruals, (iii) net employee defined benefit liability, (iv) income taxes, (v) share-based compensation, (vi) right-of-use assets and lease liabilities and (vii) our IPR&amp;D asset.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assets and liabilities</w:t>
      </w:r>
    </w:p>
    <w:p>
      <w:pPr>
        <w:spacing w:after="0" w:line="229" w:lineRule="exact"/>
        <w:rPr>
          <w:sz w:val="20"/>
          <w:szCs w:val="20"/>
          <w:color w:val="auto"/>
        </w:rPr>
      </w:pPr>
    </w:p>
    <w:p>
      <w:pPr>
        <w:jc w:val="both"/>
        <w:ind w:right="20" w:firstLine="321"/>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are composed of receivables, short-term and long-term financial assets, cash and cash equivalents, trade and other payables, accrued expenses and lease liabilities. The fair value of these financial instruments approximates their respective carrying values due to the short-term maturity of these instruments, and are held at their amortized cost in accordance with IFRS 9, unless otherwise explicitly noted.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new standards, interpretations and amendments adopted by the Company</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adopted in the preparation of the Interim Condensed Consolidated Financial Statements are consistent with those followed in the preparation of the Company’s annual consolidated financial statements for the year ended December 31, 2021.</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Company has not adopted any other standard, interpretation or amendment that has been issued but is not yet effective. Such standards are not currently expected to have a material impact on the entity in the current or future reporting periods, and on foreseeable future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believes that it will be able to meet all of its obligations as they fall due for at least 12 months from June 30, 2022, after considering the Company’s cash position of CHF 63.1 million and short-term financial assets of CHF 91.0 million as of June 30, 2022. Hence, the unaudited Interim Condensed Consolidated Financial Statements have been prepared on a going-concern basis.</w:t>
      </w:r>
    </w:p>
    <w:p>
      <w:pPr>
        <w:spacing w:after="0" w:line="17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To date, the Company has financed its cash requirements primarily from its public offerings, share issuances, contract revenues from license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foregoing, based on the Company’s current assessment, the Company does not expect any material impact on its long-term development timeline, its liquidity or ability to remain a going concern due to the worldwide spread of the Covid-19 virus. The Company continues to assess the effect on its operations by carefully monitoring the spread of Covid-19 and taking appropriate steps intended to offset any negative impacts from the Covid-19 virus.</w:t>
      </w:r>
    </w:p>
    <w:p>
      <w:pPr>
        <w:spacing w:after="0" w:line="17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revenues and other operating income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six months ended June 30, 2022 and 2021, AC Immune generated no contract revenues.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changes in the Company’s contract assets and liabilities during the six months ended June 30, 2022 and 2021:</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Balance at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at the</w:t>
            </w:r>
          </w:p>
        </w:tc>
      </w:t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beginning of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 of the</w:t>
            </w:r>
          </w:p>
        </w:tc>
      </w:tr>
      <w:tr>
        <w:trPr>
          <w:trHeight w:val="238"/>
        </w:trPr>
        <w:tc>
          <w:tcPr>
            <w:tcW w:w="55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4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period</w:t>
            </w:r>
          </w:p>
        </w:tc>
      </w:tr>
      <w:tr>
        <w:trPr>
          <w:trHeight w:val="209"/>
        </w:trPr>
        <w:tc>
          <w:tcPr>
            <w:tcW w:w="5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552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54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8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552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w:t>
            </w:r>
          </w:p>
        </w:tc>
      </w:tr>
    </w:tbl>
    <w:p>
      <w:pPr>
        <w:spacing w:after="0" w:line="17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and 2021, the Company did not recognize contract revenues as a result of changes in the contract asset and the contract liability balances in the respective periods nor from performance obligations satisfied in previous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Licensing and collaboration agreements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licensing and collaboration agreements for the fiscal year ended December 31, 2021, please refer to Note 13.1 “Licensing and Collaboration agreements” of our Annual Report on Form 20-F for the year ended December 31, 2021 filed on March 22, 2022.</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it relates to revenue recognition, there have been no significant events or transactions associated with our license and collaboration agreements that have occurred for the three and six months ended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Grant income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Grants from the Michael J. Fox Foundation</w:t>
      </w:r>
    </w:p>
    <w:p>
      <w:pPr>
        <w:spacing w:after="0" w:line="227"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Grants from the Michael J. Fox Foundation (MJFF) for the fiscal year ended December 31, 2021, please refer to Note 13.2 “Grant Income” of our Annual Report on Form 20-F for the year ended December 31, 2021 filed on March 22, 2022.</w:t>
      </w:r>
    </w:p>
    <w:p>
      <w:pPr>
        <w:spacing w:after="0" w:line="162"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Company has recognized CHF 0.2 million and CHF 0.6 million in grant income, respectively. As of June 30, 2022, the Company has recorded CHF 0.4 million in both accrued income and deferred income,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Grant from the Target ALS Foundation</w:t>
      </w:r>
    </w:p>
    <w:p>
      <w:pPr>
        <w:spacing w:after="0" w:line="227"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Grants from the Target ALS Foundation (Target ALS) for the fiscal year ended December 31, 2021, please refer to Note 13.2 “Grant Income” of our Annual Report on Form 20-F for the year ended December 31, 2021 filed on March 22, 2022.</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Company recognized less than CHF 0.1 million and CHF 0.1 million, respectively. As of June 30, 2022, the Company has recorded CHF 0.1 million in in deferred income.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1" w:name="page12"/>
    <w:bookmarkEnd w:id="11"/>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2806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8066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ind w:right="300"/>
        <w:spacing w:after="0" w:line="250" w:lineRule="auto"/>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 attributable to equity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in CHF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2806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 (EPS)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 attributable to equity holders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ind w:right="300"/>
        <w:spacing w:after="0" w:line="250" w:lineRule="auto"/>
        <w:rPr>
          <w:sz w:val="20"/>
          <w:szCs w:val="20"/>
          <w:color w:val="auto"/>
        </w:rPr>
      </w:pPr>
      <w:r>
        <w:rPr>
          <w:rFonts w:ascii="Times New Roman" w:cs="Times New Roman" w:eastAsia="Times New Roman" w:hAnsi="Times New Roman"/>
          <w:sz w:val="18"/>
          <w:szCs w:val="18"/>
          <w:color w:val="auto"/>
        </w:rPr>
        <w:t>Weighted-average number of shares outstanding used to compute EPS basic and diluted attributable to equity 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for the period attributable to equity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5715</wp:posOffset>
            </wp:positionV>
            <wp:extent cx="17741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ind w:left="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19685</wp:posOffset>
            </wp:positionV>
            <wp:extent cx="17741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60"/>
        <w:spacing w:after="0"/>
        <w:tabs>
          <w:tab w:leader="none" w:pos="1680" w:val="left"/>
        </w:tabs>
        <w:rPr>
          <w:sz w:val="20"/>
          <w:szCs w:val="20"/>
          <w:color w:val="auto"/>
        </w:rPr>
      </w:pPr>
      <w:r>
        <w:rPr>
          <w:rFonts w:ascii="Times New Roman" w:cs="Times New Roman" w:eastAsia="Times New Roman" w:hAnsi="Times New Roman"/>
          <w:sz w:val="18"/>
          <w:szCs w:val="18"/>
          <w:color w:val="auto"/>
        </w:rPr>
        <w:t>(19,643)</w:t>
      </w:r>
      <w:r>
        <w:rPr>
          <w:sz w:val="20"/>
          <w:szCs w:val="20"/>
          <w:color w:val="auto"/>
        </w:rPr>
        <w:tab/>
      </w:r>
      <w:r>
        <w:rPr>
          <w:rFonts w:ascii="Times New Roman" w:cs="Times New Roman" w:eastAsia="Times New Roman" w:hAnsi="Times New Roman"/>
          <w:sz w:val="18"/>
          <w:szCs w:val="18"/>
          <w:color w:val="auto"/>
        </w:rPr>
        <w:t>(19,069)</w:t>
      </w:r>
    </w:p>
    <w:p>
      <w:pPr>
        <w:spacing w:after="0" w:line="200" w:lineRule="exact"/>
        <w:rPr>
          <w:sz w:val="20"/>
          <w:szCs w:val="20"/>
          <w:color w:val="auto"/>
        </w:rPr>
      </w:pPr>
    </w:p>
    <w:p>
      <w:pPr>
        <w:spacing w:after="0" w:line="25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84,462,675</w:t>
      </w:r>
      <w:r>
        <w:rPr>
          <w:sz w:val="20"/>
          <w:szCs w:val="20"/>
          <w:color w:val="auto"/>
        </w:rPr>
        <w:tab/>
      </w:r>
      <w:r>
        <w:rPr>
          <w:rFonts w:ascii="Times New Roman" w:cs="Times New Roman" w:eastAsia="Times New Roman" w:hAnsi="Times New Roman"/>
          <w:sz w:val="18"/>
          <w:szCs w:val="18"/>
          <w:color w:val="auto"/>
        </w:rPr>
        <w:t>72,715,783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17145</wp:posOffset>
            </wp:positionV>
            <wp:extent cx="17741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6" w:lineRule="exact"/>
        <w:rPr>
          <w:sz w:val="20"/>
          <w:szCs w:val="20"/>
          <w:color w:val="auto"/>
        </w:rPr>
      </w:pPr>
    </w:p>
    <w:p>
      <w:pPr>
        <w:jc w:val="right"/>
        <w:ind w:right="40"/>
        <w:spacing w:after="0"/>
        <w:tabs>
          <w:tab w:leader="none" w:pos="420" w:val="left"/>
        </w:tabs>
        <w:rPr>
          <w:sz w:val="20"/>
          <w:szCs w:val="20"/>
          <w:color w:val="auto"/>
        </w:rPr>
      </w:pPr>
      <w:r>
        <w:rPr>
          <w:rFonts w:ascii="Times New Roman" w:cs="Times New Roman" w:eastAsia="Times New Roman" w:hAnsi="Times New Roman"/>
          <w:sz w:val="18"/>
          <w:szCs w:val="18"/>
          <w:color w:val="auto"/>
        </w:rPr>
        <w:t>(0.23)</w:t>
      </w:r>
      <w:r>
        <w:rPr>
          <w:sz w:val="20"/>
          <w:szCs w:val="20"/>
          <w:color w:val="auto"/>
        </w:rPr>
        <w:tab/>
      </w:r>
      <w:r>
        <w:rPr>
          <w:rFonts w:ascii="Times New Roman" w:cs="Times New Roman" w:eastAsia="Times New Roman" w:hAnsi="Times New Roman"/>
          <w:sz w:val="18"/>
          <w:szCs w:val="18"/>
          <w:color w:val="auto"/>
        </w:rPr>
        <w:t>(0.26)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17145</wp:posOffset>
            </wp:positionV>
            <wp:extent cx="177419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74190" cy="26035"/>
                    </a:xfrm>
                    <a:prstGeom prst="rect">
                      <a:avLst/>
                    </a:prstGeom>
                    <a:noFill/>
                  </pic:spPr>
                </pic:pic>
              </a:graphicData>
            </a:graphic>
          </wp:anchor>
        </w:drawing>
      </w:r>
    </w:p>
    <w:p>
      <w:pPr>
        <w:spacing w:after="0" w:line="2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For the Six Months</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5715</wp:posOffset>
            </wp:positionV>
            <wp:extent cx="17741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ind w:left="6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19685</wp:posOffset>
            </wp:positionV>
            <wp:extent cx="17741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60"/>
        <w:spacing w:after="0"/>
        <w:tabs>
          <w:tab w:leader="none" w:pos="1680" w:val="left"/>
        </w:tabs>
        <w:rPr>
          <w:sz w:val="20"/>
          <w:szCs w:val="20"/>
          <w:color w:val="auto"/>
        </w:rPr>
      </w:pPr>
      <w:r>
        <w:rPr>
          <w:rFonts w:ascii="Times New Roman" w:cs="Times New Roman" w:eastAsia="Times New Roman" w:hAnsi="Times New Roman"/>
          <w:sz w:val="18"/>
          <w:szCs w:val="18"/>
          <w:color w:val="auto"/>
        </w:rPr>
        <w:t>(38,489)</w:t>
      </w:r>
      <w:r>
        <w:rPr>
          <w:sz w:val="20"/>
          <w:szCs w:val="20"/>
          <w:color w:val="auto"/>
        </w:rPr>
        <w:tab/>
      </w:r>
      <w:r>
        <w:rPr>
          <w:rFonts w:ascii="Times New Roman" w:cs="Times New Roman" w:eastAsia="Times New Roman" w:hAnsi="Times New Roman"/>
          <w:sz w:val="18"/>
          <w:szCs w:val="18"/>
          <w:color w:val="auto"/>
        </w:rPr>
        <w:t>(35,803)</w:t>
      </w:r>
    </w:p>
    <w:p>
      <w:pPr>
        <w:spacing w:after="0" w:line="200" w:lineRule="exact"/>
        <w:rPr>
          <w:sz w:val="20"/>
          <w:szCs w:val="20"/>
          <w:color w:val="auto"/>
        </w:rPr>
      </w:pPr>
    </w:p>
    <w:p>
      <w:pPr>
        <w:spacing w:after="0" w:line="25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color w:val="auto"/>
        </w:rPr>
        <w:t>83,510,567</w:t>
      </w:r>
      <w:r>
        <w:rPr>
          <w:sz w:val="20"/>
          <w:szCs w:val="20"/>
          <w:color w:val="auto"/>
        </w:rPr>
        <w:tab/>
      </w:r>
      <w:r>
        <w:rPr>
          <w:rFonts w:ascii="Times New Roman" w:cs="Times New Roman" w:eastAsia="Times New Roman" w:hAnsi="Times New Roman"/>
          <w:sz w:val="18"/>
          <w:szCs w:val="18"/>
          <w:color w:val="auto"/>
        </w:rPr>
        <w:t>72,113,581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17145</wp:posOffset>
            </wp:positionV>
            <wp:extent cx="17741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6" w:lineRule="exact"/>
        <w:rPr>
          <w:sz w:val="20"/>
          <w:szCs w:val="20"/>
          <w:color w:val="auto"/>
        </w:rPr>
      </w:pPr>
    </w:p>
    <w:p>
      <w:pPr>
        <w:jc w:val="right"/>
        <w:ind w:right="40"/>
        <w:spacing w:after="0"/>
        <w:tabs>
          <w:tab w:leader="none" w:pos="420" w:val="left"/>
        </w:tabs>
        <w:rPr>
          <w:sz w:val="20"/>
          <w:szCs w:val="20"/>
          <w:color w:val="auto"/>
        </w:rPr>
      </w:pPr>
      <w:r>
        <w:rPr>
          <w:rFonts w:ascii="Times New Roman" w:cs="Times New Roman" w:eastAsia="Times New Roman" w:hAnsi="Times New Roman"/>
          <w:sz w:val="18"/>
          <w:szCs w:val="18"/>
          <w:color w:val="auto"/>
        </w:rPr>
        <w:t>(0.46)</w:t>
      </w:r>
      <w:r>
        <w:rPr>
          <w:sz w:val="20"/>
          <w:szCs w:val="20"/>
          <w:color w:val="auto"/>
        </w:rPr>
        <w:tab/>
      </w:r>
      <w:r>
        <w:rPr>
          <w:rFonts w:ascii="Times New Roman" w:cs="Times New Roman" w:eastAsia="Times New Roman" w:hAnsi="Times New Roman"/>
          <w:sz w:val="18"/>
          <w:szCs w:val="18"/>
          <w:color w:val="auto"/>
        </w:rPr>
        <w:t>(0.50)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17145</wp:posOffset>
            </wp:positionV>
            <wp:extent cx="177419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7419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60" w:space="720"/>
            <w:col w:w="2360"/>
          </w:cols>
          <w:pgMar w:left="320" w:top="536" w:right="339" w:bottom="1440" w:gutter="0" w:footer="0" w:header="0"/>
        </w:sectPr>
      </w:pP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r>
      <w:tr>
        <w:trPr>
          <w:trHeight w:val="238"/>
        </w:trPr>
        <w:tc>
          <w:tcPr>
            <w:tcW w:w="4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23"/>
        </w:trPr>
        <w:tc>
          <w:tcPr>
            <w:tcW w:w="4520" w:type="dxa"/>
            <w:vAlign w:val="bottom"/>
            <w:tcBorders>
              <w:bottom w:val="single" w:sz="8" w:color="D5EAEA"/>
            </w:tcBorders>
          </w:tcPr>
          <w:p>
            <w:pPr>
              <w:spacing w:after="0"/>
              <w:rPr>
                <w:sz w:val="19"/>
                <w:szCs w:val="19"/>
                <w:color w:val="auto"/>
              </w:rPr>
            </w:pPr>
          </w:p>
        </w:tc>
        <w:tc>
          <w:tcPr>
            <w:tcW w:w="392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5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Share options issued and outstanding</w:t>
            </w:r>
          </w:p>
        </w:tc>
        <w:tc>
          <w:tcPr>
            <w:tcW w:w="39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149,457</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1,174,014</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 subject to future vesting</w:t>
            </w:r>
          </w:p>
        </w:tc>
        <w:tc>
          <w:tcPr>
            <w:tcW w:w="5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16,039</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8,511</w:t>
            </w:r>
          </w:p>
        </w:tc>
      </w:tr>
      <w:tr>
        <w:trPr>
          <w:trHeight w:val="418"/>
        </w:trPr>
        <w:tc>
          <w:tcPr>
            <w:tcW w:w="45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Six Months</w:t>
            </w:r>
          </w:p>
        </w:tc>
      </w:tr>
      <w:tr>
        <w:trPr>
          <w:trHeight w:val="238"/>
        </w:trPr>
        <w:tc>
          <w:tcPr>
            <w:tcW w:w="4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23"/>
        </w:trPr>
        <w:tc>
          <w:tcPr>
            <w:tcW w:w="4520" w:type="dxa"/>
            <w:vAlign w:val="bottom"/>
            <w:tcBorders>
              <w:bottom w:val="single" w:sz="8" w:color="D5EAEA"/>
            </w:tcBorders>
          </w:tcPr>
          <w:p>
            <w:pPr>
              <w:spacing w:after="0"/>
              <w:rPr>
                <w:sz w:val="19"/>
                <w:szCs w:val="19"/>
                <w:color w:val="auto"/>
              </w:rPr>
            </w:pPr>
          </w:p>
        </w:tc>
        <w:tc>
          <w:tcPr>
            <w:tcW w:w="3920" w:type="dxa"/>
            <w:vAlign w:val="bottom"/>
            <w:tcBorders>
              <w:bottom w:val="single" w:sz="8" w:color="D5EAEA"/>
            </w:tcBorders>
          </w:tcPr>
          <w:p>
            <w:pPr>
              <w:spacing w:after="0"/>
              <w:rPr>
                <w:sz w:val="19"/>
                <w:szCs w:val="19"/>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52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Share options issued and outstanding</w:t>
            </w:r>
          </w:p>
        </w:tc>
        <w:tc>
          <w:tcPr>
            <w:tcW w:w="3920" w:type="dxa"/>
            <w:vAlign w:val="bottom"/>
            <w:shd w:val="clear" w:color="auto" w:fill="D5EAEA"/>
          </w:tcPr>
          <w:p>
            <w:pPr>
              <w:spacing w:after="0"/>
              <w:rPr>
                <w:sz w:val="18"/>
                <w:szCs w:val="18"/>
                <w:color w:val="auto"/>
              </w:rPr>
            </w:pPr>
          </w:p>
        </w:tc>
        <w:tc>
          <w:tcPr>
            <w:tcW w:w="136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174,408</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1,179,992</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 subject to future vesting</w:t>
            </w:r>
          </w:p>
        </w:tc>
        <w:tc>
          <w:tcPr>
            <w:tcW w:w="5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8,328</w:t>
            </w:r>
          </w:p>
        </w:tc>
        <w:tc>
          <w:tcPr>
            <w:tcW w:w="10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11,594</w:t>
            </w:r>
          </w:p>
        </w:tc>
      </w:tr>
      <w:tr>
        <w:trPr>
          <w:trHeight w:val="306"/>
        </w:trPr>
        <w:tc>
          <w:tcPr>
            <w:tcW w:w="45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right"/>
              <w:ind w:right="2710"/>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type w:val="continuous"/>
        </w:sectPr>
      </w:pPr>
    </w:p>
    <w:bookmarkStart w:id="12" w:name="page13"/>
    <w:bookmarkEnd w:id="12"/>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movement in the net book values of property, plant and equipment for the six months ended June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87"/>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rPr>
              <w:t>Lab</w:t>
            </w:r>
          </w:p>
        </w:tc>
        <w:tc>
          <w:tcPr>
            <w:tcW w:w="122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Leasehold</w:t>
            </w:r>
          </w:p>
        </w:tc>
        <w:tc>
          <w:tcPr>
            <w:tcW w:w="1220" w:type="dxa"/>
            <w:vAlign w:val="bottom"/>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Assets Under</w:t>
            </w:r>
          </w:p>
        </w:tc>
        <w:tc>
          <w:tcPr>
            <w:tcW w:w="1100" w:type="dxa"/>
            <w:vAlign w:val="bottom"/>
          </w:tcPr>
          <w:p>
            <w:pPr>
              <w:spacing w:after="0"/>
              <w:rPr>
                <w:sz w:val="16"/>
                <w:szCs w:val="16"/>
                <w:color w:val="auto"/>
              </w:rPr>
            </w:pPr>
          </w:p>
        </w:tc>
      </w:tr>
      <w:tr>
        <w:trPr>
          <w:trHeight w:val="238"/>
        </w:trPr>
        <w:tc>
          <w:tcPr>
            <w:tcW w:w="39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Furniture</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 Equipment</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Improvements</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82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Acquisition Cost</w:t>
            </w:r>
          </w:p>
        </w:tc>
        <w:tc>
          <w:tcPr>
            <w:tcW w:w="120" w:type="dxa"/>
            <w:vAlign w:val="bottom"/>
            <w:tcBorders>
              <w:top w:val="single" w:sz="8" w:color="D5EAEA"/>
            </w:tcBorders>
            <w:shd w:val="clear" w:color="auto" w:fill="D5EAEA"/>
          </w:tcPr>
          <w:p>
            <w:pPr>
              <w:spacing w:after="0"/>
              <w:rPr>
                <w:sz w:val="18"/>
                <w:szCs w:val="18"/>
                <w:color w:val="auto"/>
              </w:rPr>
            </w:pPr>
          </w:p>
        </w:tc>
        <w:tc>
          <w:tcPr>
            <w:tcW w:w="116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tcBorders>
            <w:shd w:val="clear" w:color="auto" w:fill="D5EAEA"/>
          </w:tcPr>
          <w:p>
            <w:pPr>
              <w:spacing w:after="0"/>
              <w:rPr>
                <w:sz w:val="18"/>
                <w:szCs w:val="18"/>
                <w:color w:val="auto"/>
              </w:rPr>
            </w:pPr>
          </w:p>
        </w:tc>
        <w:tc>
          <w:tcPr>
            <w:tcW w:w="10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spacing w:after="0"/>
              <w:rPr>
                <w:sz w:val="18"/>
                <w:szCs w:val="18"/>
                <w:color w:val="auto"/>
              </w:rPr>
            </w:pP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tcBorders>
            <w:shd w:val="clear" w:color="auto" w:fill="D5EAEA"/>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9,142</w:t>
            </w:r>
          </w:p>
        </w:tc>
        <w:tc>
          <w:tcPr>
            <w:tcW w:w="10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12,666</w:t>
            </w:r>
          </w:p>
        </w:tc>
      </w:tr>
      <w:tr>
        <w:trPr>
          <w:trHeight w:val="216"/>
        </w:trPr>
        <w:tc>
          <w:tcPr>
            <w:tcW w:w="394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Additions</w:t>
            </w:r>
          </w:p>
        </w:tc>
        <w:tc>
          <w:tcPr>
            <w:tcW w:w="116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774</w:t>
            </w:r>
          </w:p>
        </w:tc>
      </w:tr>
      <w:tr>
        <w:trPr>
          <w:trHeight w:val="22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40" w:type="dxa"/>
            <w:vAlign w:val="bottom"/>
            <w:tcBorders>
              <w:top w:val="single" w:sz="8" w:color="D5EAEA"/>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2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top w:val="single" w:sz="8" w:color="D5EAEA"/>
              <w:bottom w:val="single" w:sz="8" w:color="D5EAEA"/>
            </w:tcBorders>
            <w:shd w:val="clear" w:color="auto" w:fill="D5EAEA"/>
          </w:tcPr>
          <w:p>
            <w:pPr>
              <w:spacing w:after="0"/>
              <w:rPr>
                <w:sz w:val="19"/>
                <w:szCs w:val="19"/>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13,440</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94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16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spacing w:after="0"/>
              <w:rPr>
                <w:sz w:val="18"/>
                <w:szCs w:val="18"/>
                <w:color w:val="auto"/>
              </w:rPr>
            </w:pP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spacing w:after="0"/>
              <w:rPr>
                <w:sz w:val="18"/>
                <w:szCs w:val="18"/>
                <w:color w:val="auto"/>
              </w:rPr>
            </w:pPr>
          </w:p>
        </w:tc>
      </w:tr>
      <w:tr>
        <w:trPr>
          <w:trHeight w:val="229"/>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w:t>
            </w:r>
          </w:p>
        </w:tc>
      </w:tr>
      <w:tr>
        <w:trPr>
          <w:trHeight w:val="210"/>
        </w:trPr>
        <w:tc>
          <w:tcPr>
            <w:tcW w:w="3940" w:type="dxa"/>
            <w:vAlign w:val="bottom"/>
            <w:tcBorders>
              <w:top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D5EAEA"/>
            </w:tcBorders>
            <w:shd w:val="clear" w:color="auto" w:fill="D5EAEA"/>
          </w:tcPr>
          <w:p>
            <w:pPr>
              <w:spacing w:after="0"/>
              <w:rPr>
                <w:sz w:val="18"/>
                <w:szCs w:val="18"/>
                <w:color w:val="auto"/>
              </w:rPr>
            </w:pPr>
          </w:p>
        </w:tc>
        <w:tc>
          <w:tcPr>
            <w:tcW w:w="11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top w:val="single" w:sz="8" w:color="D5EAEA"/>
            </w:tcBorders>
            <w:shd w:val="clear" w:color="auto" w:fill="D5EAEA"/>
          </w:tcPr>
          <w:p>
            <w:pPr>
              <w:spacing w:after="0"/>
              <w:rPr>
                <w:sz w:val="18"/>
                <w:szCs w:val="18"/>
                <w:color w:val="auto"/>
              </w:rPr>
            </w:pPr>
          </w:p>
        </w:tc>
        <w:tc>
          <w:tcPr>
            <w:tcW w:w="112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D5EAEA"/>
            </w:tcBorders>
            <w:shd w:val="clear" w:color="auto" w:fill="D5EAEA"/>
          </w:tcPr>
          <w:p>
            <w:pPr>
              <w:spacing w:after="0"/>
              <w:rPr>
                <w:sz w:val="18"/>
                <w:szCs w:val="18"/>
                <w:color w:val="auto"/>
              </w:rPr>
            </w:pPr>
          </w:p>
        </w:tc>
        <w:tc>
          <w:tcPr>
            <w:tcW w:w="110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63"/>
        </w:trPr>
        <w:tc>
          <w:tcPr>
            <w:tcW w:w="394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D5EAEA"/>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20" w:type="dxa"/>
            <w:vAlign w:val="bottom"/>
            <w:tcBorders>
              <w:bottom w:val="single" w:sz="8" w:color="D5EAEA"/>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Borders>
              <w:bottom w:val="single" w:sz="8" w:color="D5EAEA"/>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D5EAEA"/>
            </w:tcBorders>
          </w:tcPr>
          <w:p>
            <w:pPr>
              <w:spacing w:after="0"/>
              <w:rPr>
                <w:sz w:val="22"/>
                <w:szCs w:val="22"/>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5EAEA"/>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197"/>
        </w:trPr>
        <w:tc>
          <w:tcPr>
            <w:tcW w:w="38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2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100" w:type="dxa"/>
            <w:vAlign w:val="bottom"/>
            <w:shd w:val="clear" w:color="auto" w:fill="D5EAEA"/>
          </w:tcPr>
          <w:p>
            <w:pPr>
              <w:spacing w:after="0"/>
              <w:rPr>
                <w:sz w:val="17"/>
                <w:szCs w:val="17"/>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94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16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D5EAEA"/>
          </w:tcPr>
          <w:p>
            <w:pPr>
              <w:spacing w:after="0"/>
              <w:rPr>
                <w:sz w:val="18"/>
                <w:szCs w:val="18"/>
                <w:color w:val="auto"/>
              </w:rPr>
            </w:pPr>
          </w:p>
        </w:tc>
        <w:tc>
          <w:tcPr>
            <w:tcW w:w="11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D5EAEA"/>
          </w:tcPr>
          <w:p>
            <w:pPr>
              <w:spacing w:after="0"/>
              <w:rPr>
                <w:sz w:val="18"/>
                <w:szCs w:val="18"/>
                <w:color w:val="auto"/>
              </w:rPr>
            </w:pPr>
          </w:p>
        </w:tc>
        <w:tc>
          <w:tcPr>
            <w:tcW w:w="112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3,403</w:t>
            </w:r>
          </w:p>
        </w:tc>
        <w:tc>
          <w:tcPr>
            <w:tcW w:w="10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695</w:t>
            </w:r>
          </w:p>
        </w:tc>
        <w:tc>
          <w:tcPr>
            <w:tcW w:w="120" w:type="dxa"/>
            <w:vAlign w:val="bottom"/>
            <w:shd w:val="clear" w:color="auto" w:fill="D5EAEA"/>
          </w:tcPr>
          <w:p>
            <w:pPr>
              <w:spacing w:after="0"/>
              <w:rPr>
                <w:sz w:val="18"/>
                <w:szCs w:val="18"/>
                <w:color w:val="auto"/>
              </w:rPr>
            </w:pPr>
          </w:p>
        </w:tc>
        <w:tc>
          <w:tcPr>
            <w:tcW w:w="110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5,116</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4,997</w:t>
            </w:r>
          </w:p>
        </w:tc>
      </w:tr>
    </w:tbl>
    <w:p>
      <w:pPr>
        <w:spacing w:after="0" w:line="17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AC Immune continues to enhance its laboratory equipment to support its R&amp;D functions and IT equipment. This effort has continued since the year ended December 31, 2021, with CHF 0.6 million invested in lab equipment, including the expansion of our leased lab space, and IT equipment, representing an increase of 5.8% from the beginning of the year in these categories.</w:t>
      </w:r>
    </w:p>
    <w:p>
      <w:pPr>
        <w:spacing w:after="0" w:line="17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Right-of-use assets and lease liabilities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 Immune recognized no additions for its right-of-use of leased assets for the six months ended June 30, 2022.</w:t>
      </w:r>
    </w:p>
    <w:p>
      <w:pPr>
        <w:spacing w:after="0" w:line="225" w:lineRule="exact"/>
        <w:rPr>
          <w:sz w:val="20"/>
          <w:szCs w:val="20"/>
          <w:color w:val="auto"/>
        </w:rPr>
      </w:pPr>
    </w:p>
    <w:p>
      <w:pPr>
        <w:jc w:val="both"/>
        <w:ind w:right="460" w:firstLine="324"/>
        <w:spacing w:after="0" w:line="266" w:lineRule="auto"/>
        <w:rPr>
          <w:sz w:val="20"/>
          <w:szCs w:val="20"/>
          <w:color w:val="auto"/>
        </w:rPr>
      </w:pPr>
      <w:r>
        <w:rPr>
          <w:rFonts w:ascii="Times New Roman" w:cs="Times New Roman" w:eastAsia="Times New Roman" w:hAnsi="Times New Roman"/>
          <w:sz w:val="18"/>
          <w:szCs w:val="18"/>
          <w:color w:val="auto"/>
        </w:rPr>
        <w:t>Regarding lease liabilities, the amortization depends on the rate implicit in the contract or the incremental borrowing rate for the respective lease component. The weighted averages of the incremental borrowing rates are 2.5% for buildings, 5.3% for office equipment and 2.6% for IT equipment,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movements in the net book values of right-of-use of leased assets for the six months ended June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IT</w:t>
            </w:r>
          </w:p>
        </w:tc>
        <w:tc>
          <w:tcPr>
            <w:tcW w:w="1340" w:type="dxa"/>
            <w:vAlign w:val="bottom"/>
          </w:tcPr>
          <w:p>
            <w:pPr>
              <w:spacing w:after="0"/>
              <w:rPr>
                <w:sz w:val="18"/>
                <w:szCs w:val="18"/>
                <w:color w:val="auto"/>
              </w:rPr>
            </w:pPr>
          </w:p>
        </w:tc>
      </w:tr>
      <w:tr>
        <w:trPr>
          <w:trHeight w:val="238"/>
        </w:trPr>
        <w:tc>
          <w:tcPr>
            <w:tcW w:w="55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5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40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2,914</w:t>
            </w:r>
          </w:p>
        </w:tc>
      </w:tr>
      <w:tr>
        <w:trPr>
          <w:trHeight w:val="230"/>
        </w:trPr>
        <w:tc>
          <w:tcPr>
            <w:tcW w:w="552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D5EAEA"/>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5520" w:type="dxa"/>
            <w:vAlign w:val="bottom"/>
            <w:tcBorders>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2022</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There are no variable lease payments that are not included in the measurement of lease obligations. All extension options have been included in the measurement of lease obligations.</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impact on the Company’s condensed consolidated statements of income/(loss) and consolidated statements of cash flows is as follows: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316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0" w:type="dxa"/>
            <w:vAlign w:val="bottom"/>
          </w:tcPr>
          <w:p>
            <w:pPr>
              <w:spacing w:after="0"/>
              <w:rPr>
                <w:sz w:val="1"/>
                <w:szCs w:val="1"/>
                <w:color w:val="auto"/>
              </w:rPr>
            </w:pPr>
          </w:p>
        </w:tc>
      </w:tr>
      <w:tr>
        <w:trPr>
          <w:trHeight w:val="238"/>
        </w:trPr>
        <w:tc>
          <w:tcPr>
            <w:tcW w:w="8100" w:type="dxa"/>
            <w:vAlign w:val="bottom"/>
            <w:vMerge w:val="restart"/>
          </w:tcPr>
          <w:p>
            <w:pPr>
              <w:ind w:left="336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2200" w:type="dxa"/>
            <w:vAlign w:val="bottom"/>
            <w:tcBorders>
              <w:bottom w:val="single" w:sz="8" w:color="auto"/>
            </w:tcBorders>
            <w:gridSpan w:val="4"/>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1580" w:type="dxa"/>
            <w:vAlign w:val="bottom"/>
            <w:shd w:val="clear" w:color="auto" w:fill="D5EAEA"/>
          </w:tcPr>
          <w:p>
            <w:pPr>
              <w:spacing w:after="0"/>
              <w:rPr>
                <w:sz w:val="18"/>
                <w:szCs w:val="18"/>
                <w:color w:val="auto"/>
              </w:rPr>
            </w:pPr>
          </w:p>
        </w:tc>
        <w:tc>
          <w:tcPr>
            <w:tcW w:w="20" w:type="dxa"/>
            <w:vAlign w:val="bottom"/>
            <w:shd w:val="clear" w:color="auto" w:fill="D5EAEA"/>
          </w:tcPr>
          <w:p>
            <w:pPr>
              <w:spacing w:after="0"/>
              <w:rPr>
                <w:sz w:val="18"/>
                <w:szCs w:val="18"/>
                <w:color w:val="auto"/>
              </w:rPr>
            </w:pPr>
          </w:p>
        </w:tc>
        <w:tc>
          <w:tcPr>
            <w:tcW w:w="80" w:type="dxa"/>
            <w:vAlign w:val="bottom"/>
            <w:shd w:val="clear" w:color="auto" w:fill="D5EAEA"/>
          </w:tcPr>
          <w:p>
            <w:pPr>
              <w:spacing w:after="0"/>
              <w:rPr>
                <w:sz w:val="18"/>
                <w:szCs w:val="18"/>
                <w:color w:val="auto"/>
              </w:rPr>
            </w:pPr>
          </w:p>
        </w:tc>
        <w:tc>
          <w:tcPr>
            <w:tcW w:w="520" w:type="dxa"/>
            <w:vAlign w:val="bottom"/>
            <w:shd w:val="clear" w:color="auto" w:fill="D5EAEA"/>
          </w:tcPr>
          <w:p>
            <w:pPr>
              <w:spacing w:after="0"/>
              <w:rPr>
                <w:sz w:val="18"/>
                <w:szCs w:val="18"/>
                <w:color w:val="auto"/>
              </w:rPr>
            </w:pPr>
          </w:p>
        </w:tc>
        <w:tc>
          <w:tcPr>
            <w:tcW w:w="940" w:type="dxa"/>
            <w:vAlign w:val="bottom"/>
            <w:shd w:val="clear" w:color="auto" w:fill="D5EAEA"/>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D5EAEA"/>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600" w:type="dxa"/>
            <w:vAlign w:val="bottom"/>
            <w:gridSpan w:val="2"/>
            <w:shd w:val="clear" w:color="auto" w:fill="D5EAEA"/>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D5EAEA"/>
          </w:tcPr>
          <w:p>
            <w:pPr>
              <w:spacing w:after="0"/>
              <w:rPr>
                <w:sz w:val="18"/>
                <w:szCs w:val="18"/>
                <w:color w:val="auto"/>
              </w:rPr>
            </w:pPr>
          </w:p>
        </w:tc>
        <w:tc>
          <w:tcPr>
            <w:tcW w:w="520" w:type="dxa"/>
            <w:vAlign w:val="bottom"/>
            <w:shd w:val="clear" w:color="auto" w:fill="D5EAEA"/>
          </w:tcPr>
          <w:p>
            <w:pPr>
              <w:spacing w:after="0"/>
              <w:rPr>
                <w:sz w:val="18"/>
                <w:szCs w:val="18"/>
                <w:color w:val="auto"/>
              </w:rPr>
            </w:pPr>
          </w:p>
        </w:tc>
        <w:tc>
          <w:tcPr>
            <w:tcW w:w="9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00" w:type="dxa"/>
            <w:vAlign w:val="bottom"/>
            <w:tcBorders>
              <w:top w:val="single" w:sz="8" w:color="D5EAEA"/>
              <w:bottom w:val="single" w:sz="8" w:color="D5EAEA"/>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Borders>
              <w:top w:val="single" w:sz="8" w:color="D5EAEA"/>
              <w:bottom w:val="single" w:sz="8" w:color="D5EAEA"/>
            </w:tcBorders>
            <w:shd w:val="clear" w:color="auto" w:fill="D5EAEA"/>
          </w:tcPr>
          <w:p>
            <w:pPr>
              <w:spacing w:after="0"/>
              <w:rPr>
                <w:sz w:val="18"/>
                <w:szCs w:val="18"/>
                <w:color w:val="auto"/>
              </w:rPr>
            </w:pPr>
          </w:p>
        </w:tc>
        <w:tc>
          <w:tcPr>
            <w:tcW w:w="80" w:type="dxa"/>
            <w:vAlign w:val="bottom"/>
            <w:tcBorders>
              <w:top w:val="single" w:sz="8" w:color="D5EAEA"/>
              <w:bottom w:val="single" w:sz="8" w:color="D5EAEA"/>
            </w:tcBorders>
            <w:shd w:val="clear" w:color="auto" w:fill="D5EAEA"/>
          </w:tcPr>
          <w:p>
            <w:pPr>
              <w:spacing w:after="0"/>
              <w:rPr>
                <w:sz w:val="18"/>
                <w:szCs w:val="18"/>
                <w:color w:val="auto"/>
              </w:rPr>
            </w:pPr>
          </w:p>
        </w:tc>
        <w:tc>
          <w:tcPr>
            <w:tcW w:w="520" w:type="dxa"/>
            <w:vAlign w:val="bottom"/>
            <w:tcBorders>
              <w:top w:val="single" w:sz="8" w:color="auto"/>
              <w:bottom w:val="single" w:sz="8" w:color="auto"/>
            </w:tcBorders>
            <w:shd w:val="clear" w:color="auto" w:fill="D5EAEA"/>
          </w:tcPr>
          <w:p>
            <w:pPr>
              <w:spacing w:after="0"/>
              <w:rPr>
                <w:sz w:val="18"/>
                <w:szCs w:val="18"/>
                <w:color w:val="auto"/>
              </w:rPr>
            </w:pPr>
          </w:p>
        </w:tc>
        <w:tc>
          <w:tcPr>
            <w:tcW w:w="9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100" w:type="dxa"/>
            <w:vAlign w:val="bottom"/>
            <w:tcBorders>
              <w:bottom w:val="single" w:sz="8" w:color="D5EAEA"/>
            </w:tcBorders>
            <w:shd w:val="clear" w:color="auto" w:fill="D5EAEA"/>
          </w:tcPr>
          <w:p>
            <w:pPr>
              <w:spacing w:after="0" w:line="142" w:lineRule="exact"/>
              <w:rPr>
                <w:sz w:val="20"/>
                <w:szCs w:val="20"/>
                <w:color w:val="auto"/>
              </w:rPr>
            </w:pPr>
            <w:r>
              <w:rPr>
                <w:rFonts w:ascii="Times New Roman" w:cs="Times New Roman" w:eastAsia="Times New Roman" w:hAnsi="Times New Roman"/>
                <w:sz w:val="16"/>
                <w:szCs w:val="16"/>
                <w:i w:val="1"/>
                <w:iCs w:val="1"/>
                <w:color w:val="auto"/>
              </w:rPr>
              <w:t>Statements of cash flows</w:t>
            </w:r>
          </w:p>
        </w:tc>
        <w:tc>
          <w:tcPr>
            <w:tcW w:w="1580" w:type="dxa"/>
            <w:vAlign w:val="bottom"/>
            <w:tcBorders>
              <w:bottom w:val="single" w:sz="8" w:color="auto"/>
            </w:tcBorders>
            <w:shd w:val="clear" w:color="auto" w:fill="D5EAEA"/>
          </w:tcPr>
          <w:p>
            <w:pPr>
              <w:spacing w:after="0"/>
              <w:rPr>
                <w:sz w:val="17"/>
                <w:szCs w:val="17"/>
                <w:color w:val="auto"/>
              </w:rPr>
            </w:pPr>
          </w:p>
        </w:tc>
        <w:tc>
          <w:tcPr>
            <w:tcW w:w="20" w:type="dxa"/>
            <w:vAlign w:val="bottom"/>
            <w:tcBorders>
              <w:bottom w:val="single" w:sz="8" w:color="D5EAEA"/>
            </w:tcBorders>
            <w:shd w:val="clear" w:color="auto" w:fill="D5EAEA"/>
          </w:tcPr>
          <w:p>
            <w:pPr>
              <w:spacing w:after="0"/>
              <w:rPr>
                <w:sz w:val="17"/>
                <w:szCs w:val="17"/>
                <w:color w:val="auto"/>
              </w:rPr>
            </w:pPr>
          </w:p>
        </w:tc>
        <w:tc>
          <w:tcPr>
            <w:tcW w:w="80" w:type="dxa"/>
            <w:vAlign w:val="bottom"/>
            <w:tcBorders>
              <w:bottom w:val="single" w:sz="8" w:color="D5EAEA"/>
            </w:tcBorders>
            <w:shd w:val="clear" w:color="auto" w:fill="D5EAEA"/>
          </w:tcPr>
          <w:p>
            <w:pPr>
              <w:spacing w:after="0"/>
              <w:rPr>
                <w:sz w:val="17"/>
                <w:szCs w:val="17"/>
                <w:color w:val="auto"/>
              </w:rPr>
            </w:pPr>
          </w:p>
        </w:tc>
        <w:tc>
          <w:tcPr>
            <w:tcW w:w="520" w:type="dxa"/>
            <w:vAlign w:val="bottom"/>
            <w:tcBorders>
              <w:bottom w:val="single" w:sz="8" w:color="auto"/>
            </w:tcBorders>
            <w:shd w:val="clear" w:color="auto" w:fill="D5EAEA"/>
          </w:tcPr>
          <w:p>
            <w:pPr>
              <w:spacing w:after="0"/>
              <w:rPr>
                <w:sz w:val="17"/>
                <w:szCs w:val="17"/>
                <w:color w:val="auto"/>
              </w:rPr>
            </w:pPr>
          </w:p>
        </w:tc>
        <w:tc>
          <w:tcPr>
            <w:tcW w:w="940" w:type="dxa"/>
            <w:vAlign w:val="bottom"/>
            <w:tcBorders>
              <w:bottom w:val="single" w:sz="8" w:color="auto"/>
            </w:tcBorders>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100" w:type="dxa"/>
            <w:vAlign w:val="bottom"/>
            <w:tcBorders>
              <w:top w:val="single" w:sz="8" w:color="D5EAEA"/>
            </w:tcBorders>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1600" w:type="dxa"/>
            <w:vAlign w:val="bottom"/>
            <w:tcBorders>
              <w:top w:val="single" w:sz="8" w:color="D5EAEA"/>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top w:val="single" w:sz="8" w:color="D5EAEA"/>
            </w:tcBorders>
          </w:tcPr>
          <w:p>
            <w:pPr>
              <w:spacing w:after="0"/>
              <w:rPr>
                <w:sz w:val="19"/>
                <w:szCs w:val="19"/>
                <w:color w:val="auto"/>
              </w:rPr>
            </w:pPr>
          </w:p>
        </w:tc>
        <w:tc>
          <w:tcPr>
            <w:tcW w:w="520" w:type="dxa"/>
            <w:vAlign w:val="bottom"/>
            <w:tcBorders>
              <w:top w:val="single" w:sz="8" w:color="D5EAEA"/>
              <w:bottom w:val="single" w:sz="8" w:color="auto"/>
            </w:tcBorders>
          </w:tcPr>
          <w:p>
            <w:pPr>
              <w:spacing w:after="0"/>
              <w:rPr>
                <w:sz w:val="19"/>
                <w:szCs w:val="19"/>
                <w:color w:val="auto"/>
              </w:rPr>
            </w:pPr>
          </w:p>
        </w:tc>
        <w:tc>
          <w:tcPr>
            <w:tcW w:w="940" w:type="dxa"/>
            <w:vAlign w:val="bottom"/>
            <w:tcBorders>
              <w:top w:val="single" w:sz="8" w:color="D5EAEA"/>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8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23"/>
        </w:trPr>
        <w:tc>
          <w:tcPr>
            <w:tcW w:w="8440" w:type="dxa"/>
            <w:vAlign w:val="bottom"/>
            <w:gridSpan w:val="2"/>
          </w:tcPr>
          <w:p>
            <w:pPr>
              <w:ind w:left="346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Statements of income/(loss)</w:t>
            </w:r>
          </w:p>
        </w:tc>
        <w:tc>
          <w:tcPr>
            <w:tcW w:w="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844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36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on lease liabilities</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44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Expense for short-term leases and leases of low value</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r>
      <w:tr>
        <w:trPr>
          <w:trHeight w:val="263"/>
        </w:trPr>
        <w:tc>
          <w:tcPr>
            <w:tcW w:w="844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r>
      <w:tr>
        <w:trPr>
          <w:trHeight w:val="197"/>
        </w:trPr>
        <w:tc>
          <w:tcPr>
            <w:tcW w:w="832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60" w:type="dxa"/>
            <w:vAlign w:val="bottom"/>
            <w:tcBorders>
              <w:bottom w:val="single" w:sz="8" w:color="auto"/>
            </w:tcBorders>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spacing w:after="0"/>
              <w:rPr>
                <w:sz w:val="17"/>
                <w:szCs w:val="17"/>
                <w:color w:val="auto"/>
              </w:rPr>
            </w:pPr>
          </w:p>
        </w:tc>
      </w:tr>
      <w:tr>
        <w:trPr>
          <w:trHeight w:val="196"/>
        </w:trPr>
        <w:tc>
          <w:tcPr>
            <w:tcW w:w="84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Statements of cash flows</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3"/>
        </w:trPr>
        <w:tc>
          <w:tcPr>
            <w:tcW w:w="8440" w:type="dxa"/>
            <w:vAlign w:val="bottom"/>
            <w:tcBorders>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Total cash outflow for leases</w:t>
            </w:r>
          </w:p>
        </w:tc>
        <w:tc>
          <w:tcPr>
            <w:tcW w:w="136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Borders>
              <w:bottom w:val="single" w:sz="8" w:color="D5EAEA"/>
            </w:tcBorders>
            <w:shd w:val="clear" w:color="auto" w:fill="D5EAEA"/>
          </w:tcPr>
          <w:p>
            <w:pPr>
              <w:spacing w:after="0"/>
              <w:rPr>
                <w:sz w:val="21"/>
                <w:szCs w:val="21"/>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36"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the contractual undiscounted cash flows for lease obligations as of June 30, 2022:</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one year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3-5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638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1,245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14605</wp:posOffset>
            </wp:positionV>
            <wp:extent cx="8483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17145</wp:posOffset>
            </wp:positionV>
            <wp:extent cx="8483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34290</wp:posOffset>
            </wp:positionV>
            <wp:extent cx="8483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20" w:space="720"/>
            <w:col w:w="1200"/>
          </w:cols>
          <w:pgMar w:left="320" w:top="536" w:right="339" w:bottom="1440" w:gutter="0" w:footer="0" w:header="0"/>
          <w:type w:val="continuous"/>
        </w:sectPr>
      </w:pPr>
    </w:p>
    <w:p>
      <w:pPr>
        <w:spacing w:after="0" w:line="66" w:lineRule="exact"/>
        <w:rPr>
          <w:sz w:val="20"/>
          <w:szCs w:val="20"/>
          <w:color w:val="auto"/>
        </w:rPr>
      </w:pPr>
    </w:p>
    <w:p>
      <w:pPr>
        <w:ind w:right="340" w:firstLine="324"/>
        <w:spacing w:after="0" w:line="312" w:lineRule="auto"/>
        <w:rPr>
          <w:sz w:val="20"/>
          <w:szCs w:val="20"/>
          <w:color w:val="auto"/>
        </w:rPr>
      </w:pPr>
      <w:r>
        <w:rPr>
          <w:rFonts w:ascii="Times New Roman" w:cs="Times New Roman" w:eastAsia="Times New Roman" w:hAnsi="Times New Roman"/>
          <w:sz w:val="17"/>
          <w:szCs w:val="17"/>
          <w:color w:val="auto"/>
        </w:rPr>
        <w:t>The Company also has deposits in escrow accounts totaling CHF 0.4 million for leases of the Company’s premises as of both June 30, 2022 and December 31, 2021, respectively. These deposits are presented in Long-term financial assets on the Company’s condensed consolidated balance sheets.</w:t>
      </w:r>
    </w:p>
    <w:p>
      <w:pPr>
        <w:spacing w:after="0" w:line="13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employee defined benefit liabilities</w:t>
      </w:r>
    </w:p>
    <w:p>
      <w:pPr>
        <w:spacing w:after="0" w:line="229" w:lineRule="exact"/>
        <w:rPr>
          <w:sz w:val="20"/>
          <w:szCs w:val="20"/>
          <w:color w:val="auto"/>
        </w:rPr>
      </w:pPr>
    </w:p>
    <w:p>
      <w:pPr>
        <w:ind w:right="40" w:firstLine="321"/>
        <w:spacing w:after="0" w:line="281" w:lineRule="auto"/>
        <w:rPr>
          <w:sz w:val="20"/>
          <w:szCs w:val="20"/>
          <w:color w:val="auto"/>
        </w:rPr>
      </w:pPr>
      <w:r>
        <w:rPr>
          <w:rFonts w:ascii="Times New Roman" w:cs="Times New Roman" w:eastAsia="Times New Roman" w:hAnsi="Times New Roman"/>
          <w:sz w:val="17"/>
          <w:szCs w:val="17"/>
          <w:color w:val="auto"/>
        </w:rPr>
        <w:t>The Company used its independent actuaries to update the calculation of the defined benefit obligation and plan assets as of June 30, 2022. As of the June 30, 2022, the Company recognized a remeasurement gain of CHF 7.4 million on the Company’s condensed consolidated statements of comprehensive income/(loss) related to its net employee defined benefit liability. The primary component of the remeasurement gain as of and for the three and six months period ended June 30, 2022 relates to the increase in the discount rate by 195 basis points to 2.25% from 0.3% as of December 31, 2021.</w:t>
      </w:r>
    </w:p>
    <w:p>
      <w:pPr>
        <w:spacing w:after="0" w:line="164"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resulting impact as a result of the asset ceiling test is to record nil for the net employee defined benefit liability on the Company’s condensed consolidated balance sheets as of June 30, 2022 compared to CHF 7.1 million as of December 31, 2021.</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73"/>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23"/>
        </w:trPr>
        <w:tc>
          <w:tcPr>
            <w:tcW w:w="8340" w:type="dxa"/>
            <w:vAlign w:val="bottom"/>
            <w:gridSpan w:val="2"/>
          </w:tcPr>
          <w:p>
            <w:pPr>
              <w:ind w:left="342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   December 31, 2021</w:t>
            </w:r>
          </w:p>
        </w:tc>
      </w:tr>
      <w:tr>
        <w:trPr>
          <w:trHeight w:val="223"/>
        </w:trPr>
        <w:tc>
          <w:tcPr>
            <w:tcW w:w="822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top w:val="single" w:sz="8" w:color="D5EAEA"/>
            </w:tcBorders>
            <w:shd w:val="clear" w:color="auto" w:fill="D5EAEA"/>
          </w:tcPr>
          <w:p>
            <w:pPr>
              <w:spacing w:after="0"/>
              <w:rPr>
                <w:sz w:val="19"/>
                <w:szCs w:val="19"/>
                <w:color w:val="auto"/>
              </w:rPr>
            </w:pPr>
          </w:p>
        </w:tc>
        <w:tc>
          <w:tcPr>
            <w:tcW w:w="12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100" w:type="dxa"/>
            <w:vAlign w:val="bottom"/>
            <w:tcBorders>
              <w:top w:val="single" w:sz="8" w:color="auto"/>
              <w:bottom w:val="single" w:sz="8" w:color="auto"/>
            </w:tcBorders>
            <w:shd w:val="clear" w:color="auto" w:fill="D5EAEA"/>
          </w:tcPr>
          <w:p>
            <w:pPr>
              <w:spacing w:after="0"/>
              <w:rPr>
                <w:sz w:val="19"/>
                <w:szCs w:val="19"/>
                <w:color w:val="auto"/>
              </w:rPr>
            </w:pPr>
          </w:p>
        </w:tc>
        <w:tc>
          <w:tcPr>
            <w:tcW w:w="100" w:type="dxa"/>
            <w:vAlign w:val="bottom"/>
            <w:tcBorders>
              <w:top w:val="single" w:sz="8" w:color="D5EAEA"/>
            </w:tcBorders>
            <w:shd w:val="clear" w:color="auto" w:fill="D5EAEA"/>
          </w:tcPr>
          <w:p>
            <w:pPr>
              <w:spacing w:after="0"/>
              <w:rPr>
                <w:sz w:val="19"/>
                <w:szCs w:val="19"/>
                <w:color w:val="auto"/>
              </w:rPr>
            </w:pPr>
          </w:p>
        </w:tc>
        <w:tc>
          <w:tcPr>
            <w:tcW w:w="14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16,736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10,585</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16,736</w:t>
            </w:r>
          </w:p>
        </w:tc>
      </w:tr>
      <w:tr>
        <w:trPr>
          <w:trHeight w:val="20"/>
        </w:trPr>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Company paid CHF 3.7 million in the period for a previous accrual associated with our cost sharing arrangement with Janssen and CHF 2.3 million related to performance-related remuneration for the six months ended June 30, 2022.</w:t>
      </w:r>
    </w:p>
    <w:p>
      <w:pPr>
        <w:spacing w:after="0" w:line="158"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AC Immune’s acquired IPR&amp;D asset is a clinically-validated active vaccine candidate for the treatment of Parkinson’s disease. The asset is not yet ready for use until the asset obtains market approval and is therefore not currently being amortized. The carrying amount and net book value are detailed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2022</w:t>
            </w: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r>
      <w:tr>
        <w:trPr>
          <w:trHeight w:val="187"/>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 Carrying</w:t>
            </w:r>
          </w:p>
        </w:tc>
        <w:tc>
          <w:tcPr>
            <w:tcW w:w="120" w:type="dxa"/>
            <w:vAlign w:val="bottom"/>
          </w:tcPr>
          <w:p>
            <w:pPr>
              <w:spacing w:after="0"/>
              <w:rPr>
                <w:sz w:val="16"/>
                <w:szCs w:val="16"/>
                <w:color w:val="auto"/>
              </w:rPr>
            </w:pPr>
          </w:p>
        </w:tc>
        <w:tc>
          <w:tcPr>
            <w:tcW w:w="1440" w:type="dxa"/>
            <w:vAlign w:val="bottom"/>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440" w:type="dxa"/>
            <w:vAlign w:val="bottom"/>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tcPr>
          <w:p>
            <w:pPr>
              <w:spacing w:after="0"/>
              <w:rPr>
                <w:sz w:val="16"/>
                <w:szCs w:val="16"/>
                <w:color w:val="auto"/>
              </w:rPr>
            </w:pPr>
          </w:p>
        </w:tc>
      </w:tr>
      <w:tr>
        <w:trPr>
          <w:trHeight w:val="238"/>
        </w:trPr>
        <w:tc>
          <w:tcPr>
            <w:tcW w:w="262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Net Book Value</w:t>
            </w:r>
          </w:p>
        </w:tc>
      </w:tr>
      <w:tr>
        <w:trPr>
          <w:trHeight w:val="223"/>
        </w:trPr>
        <w:tc>
          <w:tcPr>
            <w:tcW w:w="250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Acquired IPR&amp;D Asset</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ind w:right="50"/>
              <w:spacing w:after="0"/>
              <w:rPr>
                <w:sz w:val="20"/>
                <w:szCs w:val="20"/>
                <w:color w:val="auto"/>
              </w:rPr>
            </w:pPr>
            <w:r>
              <w:rPr>
                <w:rFonts w:ascii="Times New Roman" w:cs="Times New Roman" w:eastAsia="Times New Roman" w:hAnsi="Times New Roman"/>
                <w:sz w:val="18"/>
                <w:szCs w:val="18"/>
                <w:color w:val="auto"/>
              </w:rPr>
              <w:t>50,416</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50,416</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50,416</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50,416</w:t>
            </w:r>
          </w:p>
        </w:tc>
      </w:tr>
      <w:tr>
        <w:trPr>
          <w:trHeight w:val="223"/>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50,416</w:t>
            </w:r>
          </w:p>
        </w:tc>
        <w:tc>
          <w:tcPr>
            <w:tcW w:w="120" w:type="dxa"/>
            <w:vAlign w:val="bottom"/>
          </w:tcPr>
          <w:p>
            <w:pPr>
              <w:spacing w:after="0"/>
              <w:rPr>
                <w:sz w:val="19"/>
                <w:szCs w:val="19"/>
                <w:color w:val="auto"/>
              </w:rPr>
            </w:pPr>
          </w:p>
        </w:tc>
        <w:tc>
          <w:tcPr>
            <w:tcW w:w="13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50,416</w:t>
            </w:r>
          </w:p>
        </w:tc>
        <w:tc>
          <w:tcPr>
            <w:tcW w:w="12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50,416</w:t>
            </w:r>
          </w:p>
        </w:tc>
        <w:tc>
          <w:tcPr>
            <w:tcW w:w="100" w:type="dxa"/>
            <w:vAlign w:val="bottom"/>
          </w:tcPr>
          <w:p>
            <w:pPr>
              <w:spacing w:after="0"/>
              <w:rPr>
                <w:sz w:val="19"/>
                <w:szCs w:val="19"/>
                <w:color w:val="auto"/>
              </w:rPr>
            </w:pPr>
          </w:p>
        </w:tc>
        <w:tc>
          <w:tcPr>
            <w:tcW w:w="13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50,416</w:t>
            </w: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right="60" w:firstLine="321"/>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IAS 36 </w:t>
      </w:r>
      <w:r>
        <w:rPr>
          <w:rFonts w:ascii="Times New Roman" w:cs="Times New Roman" w:eastAsia="Times New Roman" w:hAnsi="Times New Roman"/>
          <w:sz w:val="18"/>
          <w:szCs w:val="18"/>
          <w:i w:val="1"/>
          <w:iCs w:val="1"/>
          <w:color w:val="auto"/>
        </w:rPr>
        <w:t>Impairment of Assets</w:t>
      </w:r>
      <w:r>
        <w:rPr>
          <w:rFonts w:ascii="Times New Roman" w:cs="Times New Roman" w:eastAsia="Times New Roman" w:hAnsi="Times New Roman"/>
          <w:sz w:val="18"/>
          <w:szCs w:val="18"/>
          <w:color w:val="auto"/>
        </w:rPr>
        <w:t xml:space="preserve">, the IPR&amp;D asset is reviewed at least annually for impairment by assessing the fair value less costs to sell (recoverable amount) and comparing this to the carrying value of the asset. The valuation is considered to be Level 3 in the fair value hierarchy in accordance with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due to unobservable inputs used in the valuation. The Company has not determined the IPR&amp;D asset to be impaired as of June 30, 2022.</w:t>
      </w:r>
    </w:p>
    <w:p>
      <w:pPr>
        <w:spacing w:after="0" w:line="178"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w:t>
      </w:r>
    </w:p>
    <w:p>
      <w:pPr>
        <w:spacing w:after="0" w:line="25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Prepaid expenses include prepaid R&amp;D costs, administrative costs and net employee defined benefit liability expenses totaled CHF 3.5 million and CHF 3.0 million as of June 30, 2022 and December 31, 2021, respectively.</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11. Cash and cash equivalents and financial assets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AC Immune’s cash and cash equivalents and short-term financial assets as of June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0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120" w:type="dxa"/>
            <w:vAlign w:val="bottom"/>
            <w:tcBorders>
              <w:top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63,147</w:t>
            </w:r>
          </w:p>
        </w:tc>
        <w:tc>
          <w:tcPr>
            <w:tcW w:w="100" w:type="dxa"/>
            <w:vAlign w:val="bottom"/>
            <w:tcBorders>
              <w:top w:val="single" w:sz="8" w:color="D5EAEA"/>
            </w:tcBorders>
            <w:shd w:val="clear" w:color="auto" w:fill="D5EAEA"/>
          </w:tcPr>
          <w:p>
            <w:pPr>
              <w:spacing w:after="0"/>
              <w:rPr>
                <w:sz w:val="19"/>
                <w:szCs w:val="19"/>
                <w:color w:val="auto"/>
              </w:rPr>
            </w:pPr>
          </w:p>
        </w:tc>
        <w:tc>
          <w:tcPr>
            <w:tcW w:w="140" w:type="dxa"/>
            <w:vAlign w:val="bottom"/>
            <w:tcBorders>
              <w:top w:val="single" w:sz="8" w:color="auto"/>
              <w:bottom w:val="single" w:sz="8" w:color="auto"/>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82,216</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63,147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82,216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0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in CHF thousands</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Short-term financial assets due in one year or less</w:t>
            </w:r>
          </w:p>
        </w:tc>
        <w:tc>
          <w:tcPr>
            <w:tcW w:w="3120" w:type="dxa"/>
            <w:vAlign w:val="bottom"/>
            <w:tcBorders>
              <w:top w:val="single" w:sz="8" w:color="auto"/>
            </w:tcBorders>
            <w:shd w:val="clear" w:color="auto" w:fill="D5EAEA"/>
          </w:tcPr>
          <w:p>
            <w:pPr>
              <w:spacing w:after="0"/>
              <w:rPr>
                <w:sz w:val="19"/>
                <w:szCs w:val="19"/>
                <w:color w:val="auto"/>
              </w:rPr>
            </w:pPr>
          </w:p>
        </w:tc>
        <w:tc>
          <w:tcPr>
            <w:tcW w:w="120" w:type="dxa"/>
            <w:vAlign w:val="bottom"/>
            <w:tcBorders>
              <w:top w:val="single" w:sz="8" w:color="D5EAEA"/>
            </w:tcBorders>
            <w:shd w:val="clear" w:color="auto" w:fill="D5EAEA"/>
          </w:tcPr>
          <w:p>
            <w:pPr>
              <w:spacing w:after="0"/>
              <w:rPr>
                <w:sz w:val="19"/>
                <w:szCs w:val="19"/>
                <w:color w:val="auto"/>
              </w:rPr>
            </w:pPr>
          </w:p>
        </w:tc>
        <w:tc>
          <w:tcPr>
            <w:tcW w:w="136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91,000</w:t>
            </w:r>
          </w:p>
        </w:tc>
        <w:tc>
          <w:tcPr>
            <w:tcW w:w="100" w:type="dxa"/>
            <w:vAlign w:val="bottom"/>
            <w:tcBorders>
              <w:top w:val="single" w:sz="8" w:color="D5EAEA"/>
            </w:tcBorders>
            <w:shd w:val="clear" w:color="auto" w:fill="D5EAEA"/>
          </w:tcPr>
          <w:p>
            <w:pPr>
              <w:spacing w:after="0"/>
              <w:rPr>
                <w:sz w:val="19"/>
                <w:szCs w:val="19"/>
                <w:color w:val="auto"/>
              </w:rPr>
            </w:pPr>
          </w:p>
        </w:tc>
        <w:tc>
          <w:tcPr>
            <w:tcW w:w="140" w:type="dxa"/>
            <w:vAlign w:val="bottom"/>
            <w:tcBorders>
              <w:top w:val="single" w:sz="8" w:color="auto"/>
              <w:bottom w:val="single" w:sz="8" w:color="auto"/>
            </w:tcBorders>
            <w:shd w:val="clear" w:color="auto" w:fill="D5EAEA"/>
          </w:tcPr>
          <w:p>
            <w:pPr>
              <w:spacing w:after="0"/>
              <w:rPr>
                <w:sz w:val="19"/>
                <w:szCs w:val="19"/>
                <w:color w:val="auto"/>
              </w:rPr>
            </w:pPr>
          </w:p>
        </w:tc>
        <w:tc>
          <w:tcPr>
            <w:tcW w:w="120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116,000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40" w:type="dxa"/>
            <w:vAlign w:val="bottom"/>
            <w:gridSpan w:val="2"/>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91,000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116,000</w:t>
            </w:r>
          </w:p>
        </w:tc>
        <w:tc>
          <w:tcPr>
            <w:tcW w:w="0" w:type="dxa"/>
            <w:vAlign w:val="bottom"/>
          </w:tcPr>
          <w:p>
            <w:pPr>
              <w:spacing w:after="0"/>
              <w:rPr>
                <w:sz w:val="1"/>
                <w:szCs w:val="1"/>
                <w:color w:val="auto"/>
              </w:rPr>
            </w:pPr>
          </w:p>
        </w:tc>
      </w:tr>
      <w:tr>
        <w:trPr>
          <w:trHeight w:val="20"/>
        </w:trPr>
        <w:tc>
          <w:tcPr>
            <w:tcW w:w="84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color w:val="auto"/>
              </w:rPr>
              <w:t>For the six months ended June 30, 2022, the Company purchased a net CHF 25.0 million in short-term financial</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8440" w:type="dxa"/>
            <w:vAlign w:val="bottom"/>
            <w:gridSpan w:val="3"/>
            <w:vMerge w:val="continue"/>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2"/>
        </w:trPr>
        <w:tc>
          <w:tcPr>
            <w:tcW w:w="52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25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12. Treasury shares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our at the market offering program with Jefferies LLC for the fiscal year ended December 31, 2021, please refer to Note 11 “Share capital” of our Annual Report on Form 20-F for the year ended December 31, 2021 filed on March 22, 2022.</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2022, the Company has 6,221,617 treasury shares remaining.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Finance result, net</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and 2021, AC Immune recorded CHF 0.2 million in net financial gains compared to CHF 0.4 million in net financial losses for the prior period. The Company recorded CHF 0.3 million in foreign currency gains compared to CHF 0.2 million foreign currency losses in the prior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2022 and 2021, the Company recorded CHF 0.2 million and CHF 0.1 million in net financial gains,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CHF 0.5 million and CHF 0.4 million in foreign currency gains,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after the balance sheet date, through the issuance of these Interim Condensed Consolidated Financial Statements, for appropriate accounting and disclosures. The Company has determined that there were no other such events that warrant disclosure or recognition in these Interim Condensed Consolidated Financial Statements.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36" w:right="4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is designed to provide you with a narrative explanation of our financial condition and results of operations. We recommend that you read this in conjunction with our unaudited interim condensed consolidated financial information as of and for the three and six months ended June 30, 2022, included as Exhibit 99.1 to this Report on Form 6-K. We also recommend that you read our management’s discussion and analysis and our audited consolidated financial statements and the notes thereto, which appear in our Annual Report on Form 20-F for the year ended December 31, 2021 on file with the U.S. Securities and Exchange Commission (the “SEC”).</w:t>
      </w:r>
    </w:p>
    <w:p>
      <w:pPr>
        <w:spacing w:after="0" w:line="183"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the terms “Company,” “AC Immune,” “ACIU,” “we,” “our,” “ours,” or “us” refer to AC Immune SA together with its fully-owned subsidiary, AC Immune USA, Inc.</w:t>
      </w:r>
    </w:p>
    <w:p>
      <w:pPr>
        <w:spacing w:after="0" w:line="15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prepare and report our consolidated financial statements and financial information in accordance with International Financial Reporting Standards (IFRS) as issued by the International Accounting Standards Board (the “IASB”). None of our consolidated financial statements were prepared in accordance with generally accepted accounting principles in the United States. We maintain our books and records in Swiss Francs (CHF). We have made rounding adjustments to some of the figures included in this management’s discussion and analysis. Accordingly, numerical figures shown as totals in some tables may not be an arithmetic aggregation of the figures that precede them. Unless otherwise indicated, all references to currency amounts in this discussion and analysis are in Swiss Francs.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This discussion and analysis is dated as of July 28,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goal is to continue leveraging our proprietary discovery platforms, SupraAntigen and Morphomer, to become a global leader in precision medicine for the diagnosis and treatment of neurodegenerative diseases. We are executing a clear business strategy built on three pillars: (i) accelerate development of novel therapeutics in AD with our partners; (ii) expand our strategic focus in Parkinson’ disease (PD) and non-AD neurodegenerative diseases, including NeuroOrphan indications and limbic-predominant age-related TDP-43 encephalopathy (LATE); and (iii) a continued focus on diagnostics enabling precision medicine to be an ultimate differentiator for the Company.</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three-pillar execution strategy reflects our unique precision medicine approach, which ultimately creates differentiation due to our ability to address the high levels of co-pathologies present in AD and other neurodegenerative diseases. Much like cancer, neurodegenerative diseases are heterogeneous and may require multiple therapeutic interventions tailored to patients’ specific disease drivers, to be used in concert in order to slow or stop the disease course. Ultimately, it is our belief that precision medicine will increase the chance of treatment success by enabling clinical trial participants to be better defined by their various proteinopathies, affording treatment with the right therapies at the right time.</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Leveraging our dual proprietary technology platforms, we have built a comprehensive pipeline of first-in-class or best-in-class candidates spanning multiple treatment modalities and targeting both established and emerging neurodegenerative pathologies. We are currently advancing eleven therapeutic and three diagnostic programs, with seven currently in clinical trials, targeting five different types of misfolded pathological proteins related to AD, PD and other neurodegenerative disorders. Our pipeline assets are further validated by the multiple partnerships we have established with leading global pharmaceutical companies. We believe our validated technology platforms and personalized medicine approach position AC Immune to revolutionize the treatment of neurodegenerative disease in the way precision diagnostics and targeted therapies are revolutionizing the treatment of cancer.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clinical-stage product candidates include:</w:t>
      </w:r>
    </w:p>
    <w:p>
      <w:pPr>
        <w:spacing w:after="0" w:line="221" w:lineRule="exact"/>
        <w:rPr>
          <w:sz w:val="20"/>
          <w:szCs w:val="20"/>
          <w:color w:val="auto"/>
        </w:rPr>
      </w:pPr>
    </w:p>
    <w:p>
      <w:pPr>
        <w:ind w:left="660" w:right="400" w:hanging="328"/>
        <w:spacing w:after="0" w:line="28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ACI-35.030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Janssen and AC Immune are evaluating the anti-phosphorylated-Tau (anti-pTau) vaccine candidate ACI-35.030 in a Phase 1b/2a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study in subjects with early AD. Interim results show that ACI-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ind w:left="328" w:right="140"/>
        <w:spacing w:after="0" w:line="256" w:lineRule="auto"/>
        <w:rPr>
          <w:sz w:val="20"/>
          <w:szCs w:val="20"/>
          <w:color w:val="auto"/>
        </w:rPr>
      </w:pPr>
      <w:r>
        <w:rPr>
          <w:rFonts w:ascii="Times New Roman" w:cs="Times New Roman" w:eastAsia="Times New Roman" w:hAnsi="Times New Roman"/>
          <w:sz w:val="18"/>
          <w:szCs w:val="18"/>
          <w:color w:val="auto"/>
        </w:rPr>
        <w:t>35.030 vaccination generated a strong antigen-specific antibody response against pTau in 100% of participants, achieving anti-pTau antibody levels of about two orders of magnitude higher than pre-vaccination levels, whereas anti-ePHF (enriched paired helical filaments) antibody titers increased by one order of magnitude from baseline as early as two weeks after the second injection at week 8 of the mid-dose of ACI-35.030. No clinically relevant safety concerns related to the vaccine candidate were observed. Based on these results, the second highest dose cohort was expanded in Q2 2021 to facilitate plans for further late-stage development. ACI-35.030 specifically targets pathological pTau species and is eventually intended as a disease-modifying treatment for AD and other Tauopathies.</w:t>
      </w:r>
    </w:p>
    <w:p>
      <w:pPr>
        <w:spacing w:after="0" w:line="183" w:lineRule="exact"/>
        <w:rPr>
          <w:sz w:val="20"/>
          <w:szCs w:val="20"/>
          <w:color w:val="auto"/>
        </w:rPr>
      </w:pPr>
    </w:p>
    <w:p>
      <w:pPr>
        <w:ind w:left="328" w:hanging="328"/>
        <w:spacing w:after="0" w:line="254"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ACI-24 for AD. </w:t>
      </w:r>
      <w:r>
        <w:rPr>
          <w:rFonts w:ascii="Times New Roman" w:cs="Times New Roman" w:eastAsia="Times New Roman" w:hAnsi="Times New Roman"/>
          <w:sz w:val="18"/>
          <w:szCs w:val="18"/>
          <w:color w:val="auto"/>
        </w:rPr>
        <w:t>A first Phase 1/2 study was completed and finalized in 2019. The subsequent Phase 2 study in AD assessed the safety, tolerability,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immunogenicity and target engagement of ACI-24 using intramuscular immunizations and analyzed the effects of ACI-24 on brain amyloid as assessed by PET imaging. This trial was completed and finalized in November 2021. ACI-24 was safe and well tolerated and triggered a clear IgM response with lower Abeta-specific IgG titers. While no apparent effect in amyloid-PET was observed in this limited study population, there was evidence of a pharmacodynamic effect observed by an increase of CSF Aβ1-40 and Aβ1-42 levels compared to the placebo, thus suggesting target engagement. These results support the clinical development of the optimized formulation of ACI-24 (i.e. ACI-24.060) with Abeta unrelated T-helper cell epitopes to increase the magnitude and the boost-ability of the antibody response. A phase 1b/2, multicenter, adaptive, double-blind, randomized, placebo-controlled study to assess the safety, tolerability, immunogenicity, and pharmacodynamic effects of ACl-24.060 is being evaluated in subjects with prodromal Alzheimer's disease and subsequently in adults with Down syndrome. The Clinical Trial Application (CTA) for a study evaluating the optimized formulation of ACI-24 in AD and Down syndrome populations has been approved and the first patient dosed in Q2 2022.</w:t>
      </w:r>
    </w:p>
    <w:p>
      <w:pPr>
        <w:spacing w:after="0" w:line="182" w:lineRule="exact"/>
        <w:rPr>
          <w:rFonts w:ascii="Times New Roman" w:cs="Times New Roman" w:eastAsia="Times New Roman" w:hAnsi="Times New Roman"/>
          <w:sz w:val="18"/>
          <w:szCs w:val="18"/>
          <w:color w:val="auto"/>
        </w:rPr>
      </w:pPr>
    </w:p>
    <w:p>
      <w:pPr>
        <w:ind w:left="328" w:right="140" w:hanging="328"/>
        <w:spacing w:after="0" w:line="26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ACI-24 for DS. </w:t>
      </w:r>
      <w:r>
        <w:rPr>
          <w:rFonts w:ascii="Times New Roman" w:cs="Times New Roman" w:eastAsia="Times New Roman" w:hAnsi="Times New Roman"/>
          <w:sz w:val="18"/>
          <w:szCs w:val="18"/>
          <w:color w:val="auto"/>
        </w:rPr>
        <w:t>Our Phase 1b clinical study of ACI-24 for individuals with DS, intended to assess safety, tolerability and immunogenicity at two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doses, was completed and results reported in Q1 2021. The results support a favorable safety and tolerability profile of ACI-24 and show a pharmacodynamic response in this vulnerable patient population and the advancement of this program with the optimized formulation of ACI-24 (i.e. ACI-24.060).</w:t>
      </w:r>
    </w:p>
    <w:p>
      <w:pPr>
        <w:spacing w:after="0" w:line="176" w:lineRule="exact"/>
        <w:rPr>
          <w:rFonts w:ascii="Times New Roman" w:cs="Times New Roman" w:eastAsia="Times New Roman" w:hAnsi="Times New Roman"/>
          <w:sz w:val="18"/>
          <w:szCs w:val="18"/>
          <w:color w:val="auto"/>
        </w:rPr>
      </w:pPr>
    </w:p>
    <w:p>
      <w:pPr>
        <w:ind w:left="328" w:right="20" w:hanging="328"/>
        <w:spacing w:after="0" w:line="259"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ACI-7104. </w:t>
      </w:r>
      <w:r>
        <w:rPr>
          <w:rFonts w:ascii="Times New Roman" w:cs="Times New Roman" w:eastAsia="Times New Roman" w:hAnsi="Times New Roman"/>
          <w:sz w:val="18"/>
          <w:szCs w:val="18"/>
          <w:color w:val="auto"/>
        </w:rPr>
        <w:t>ACI-7104, the optimized formulation of the clinically-validated PD vaccine candidate PD01, will advance into an adaptive, biomarker-based Phase 2 study. This trial will evaluate an initial dose-response of the optimized formulation focusing on immunogenicity against a-syn and pathological a-syn species. Additionally, the identification or verification of disease-specific biomarkers and progression of motor and non-motor symptoms of Parkinson’s disease will be monitored, together with digital, imaging and fluid biomarkers, in the second part of the study. The trial initiation is planned in H2 2022.</w:t>
      </w:r>
    </w:p>
    <w:p>
      <w:pPr>
        <w:spacing w:after="0" w:line="179" w:lineRule="exact"/>
        <w:rPr>
          <w:rFonts w:ascii="Times New Roman" w:cs="Times New Roman" w:eastAsia="Times New Roman" w:hAnsi="Times New Roman"/>
          <w:sz w:val="18"/>
          <w:szCs w:val="18"/>
          <w:color w:val="auto"/>
        </w:rPr>
      </w:pPr>
    </w:p>
    <w:p>
      <w:pPr>
        <w:ind w:left="328" w:right="60" w:hanging="328"/>
        <w:spacing w:after="0" w:line="255"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Semorinemab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collaboration partner, Genentech, a member of the Roche Group, completed a first Phase 2 study (Tauriel) conducted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patients with prodromal-to-mild AD in Q3 2020. This trial did not meet its primary efficacy endpoint of reducing decline on Clinical Dementia Rating-Sum of Boxes (CDR-SB) compared to placebo; the primary safety endpoint was met. A second Phase 2 study (Lauriet) conducted in patients with mild-to-moderate AD was completed in Q3 2021 and top-line data showed a statistically significant reduction on one of two co-primary endpoints, ADAS-Cog11. The second co-primary endpoint, ADCS-ADL, and secondary endpoints were not met. Safety data showed that semorinemab is well tolerated with no unanticipated safety signals. Genentech reported that the open label portion of the study will continue as planned and that further analyses are ongoing. Semorinemab is designed to slow the prion-like propagation of Tau pathology, which coincides with both clinical symptoms and disease progression in AD.</w:t>
      </w:r>
    </w:p>
    <w:p>
      <w:pPr>
        <w:spacing w:after="0" w:line="184" w:lineRule="exact"/>
        <w:rPr>
          <w:rFonts w:ascii="Times New Roman" w:cs="Times New Roman" w:eastAsia="Times New Roman" w:hAnsi="Times New Roman"/>
          <w:sz w:val="18"/>
          <w:szCs w:val="18"/>
          <w:color w:val="auto"/>
        </w:rPr>
      </w:pPr>
    </w:p>
    <w:p>
      <w:pPr>
        <w:ind w:left="328" w:right="100" w:hanging="328"/>
        <w:spacing w:after="0" w:line="259"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Crenezumab. </w:t>
      </w:r>
      <w:r>
        <w:rPr>
          <w:rFonts w:ascii="Times New Roman" w:cs="Times New Roman" w:eastAsia="Times New Roman" w:hAnsi="Times New Roman"/>
          <w:sz w:val="18"/>
          <w:szCs w:val="18"/>
          <w:color w:val="auto"/>
        </w:rPr>
        <w:t>In Q2 2022, the Company provided an update on its Alzheimer’s Prevention Initiative study evaluating crenezumab in autosomal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dominant Alzheimer’s disease. Crenezumab did not statistically significantly slow or prevent cognitive decline in people with a specific genetic mutation which causes early-onset Alzheimer’s disease. However, numerical differences favoring crenezumab over placebo were observed across the co-primary, multiple secondary and exploratory endpoints. Initial data will be presented at the Alzheimer's Association International Conference (AAIC) on August 2, 2022.</w:t>
      </w:r>
    </w:p>
    <w:p>
      <w:pPr>
        <w:spacing w:after="0" w:line="291"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540" w:right="339" w:bottom="1440" w:gutter="0" w:footer="0" w:header="0"/>
        </w:sectPr>
      </w:pPr>
    </w:p>
    <w:bookmarkStart w:id="18" w:name="page19"/>
    <w:bookmarkEnd w:id="18"/>
    <w:p>
      <w:pPr>
        <w:ind w:left="660" w:right="20" w:hanging="328"/>
        <w:spacing w:after="0" w:line="25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Morphomer Tau aggregation inhibitors. </w:t>
      </w:r>
      <w:r>
        <w:rPr>
          <w:rFonts w:ascii="Times New Roman" w:cs="Times New Roman" w:eastAsia="Times New Roman" w:hAnsi="Times New Roman"/>
          <w:sz w:val="18"/>
          <w:szCs w:val="18"/>
          <w:color w:val="auto"/>
        </w:rPr>
        <w:t>In collaboration with our partner, Lilly, we are researching and developing small molecule Tau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aggregation inhibitors with plans to evaluate candidates in AD and NeuroOrphan indications. We completed a Phase 1 clinical study in healthy volunteers with ACI-3024, in Q2 2020, which showed a dose-dependent exposure and brain penetration, achieving the desired levels of ACI-3024 in the CSF. In addition to AD, the program was expanded to NeuroOrphan indications and ACI-3024 will be further evaluated for efficacy in models of rare Tauopathies. Continued candidate characterization across the research program has also identified new and highly differentiated candidates with excellent cerebrospinal fluid exposure and selectivity for pathological aggregated Tau. These will be broadly developed in Tau-dependent neurodegenerative diseases.</w:t>
      </w:r>
    </w:p>
    <w:p>
      <w:pPr>
        <w:spacing w:after="0" w:line="182" w:lineRule="exact"/>
        <w:rPr>
          <w:rFonts w:ascii="Times New Roman" w:cs="Times New Roman" w:eastAsia="Times New Roman" w:hAnsi="Times New Roman"/>
          <w:sz w:val="18"/>
          <w:szCs w:val="18"/>
          <w:color w:val="auto"/>
        </w:rPr>
      </w:pPr>
    </w:p>
    <w:p>
      <w:pPr>
        <w:ind w:left="660" w:right="200" w:hanging="328"/>
        <w:spacing w:after="0" w:line="26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Tau-PET tracer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PI-2620 is our Tau-PET imaging agent. We are working with our partner, LMI, to advance PI-2620 as a highly differentiated,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best-in-class Tau diagnostic for AD as well as non-AD Tauopathies such as progressive supranuclear palsy (PSP) and corticobasal degeneration (CBD). Results have demonstrated PI-2620’s differentiated characteristics as a diagnostic tool for studying Tau-related diseases. PI-2620 completed a Phase 2 clinical trial in AD in Q4 2021.</w:t>
      </w:r>
    </w:p>
    <w:p>
      <w:pPr>
        <w:spacing w:after="0" w:line="180" w:lineRule="exact"/>
        <w:rPr>
          <w:rFonts w:ascii="Times New Roman" w:cs="Times New Roman" w:eastAsia="Times New Roman" w:hAnsi="Times New Roman"/>
          <w:sz w:val="18"/>
          <w:szCs w:val="18"/>
          <w:color w:val="auto"/>
        </w:rPr>
      </w:pPr>
    </w:p>
    <w:p>
      <w:pPr>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study published in Movement Disorders indicated a value of PI-2620 for evaluating corticobasal syndrome, providing quantitatively and regionally distinct signals in beta-amyloid-positive as well as beta-amyloid-negative corticobasal syndrome. Further, results demonstrated PI-2620’s excellent characteristics as a diagnostic tool for studying Tau-related diseases following a recent publication (J Cereb Blood Flow Metab) that PI-2620 binding characteristics in cortical regions differentiated between 3/4R- and 4R-tauopathies and might serve as a supportive readout in the diagnostic workup of neurodegenerative disorders. Two test-retest studies in PSP (Phase 1) are open and recruiting with results anticipated in H2 2022.</w:t>
      </w:r>
    </w:p>
    <w:p>
      <w:pPr>
        <w:spacing w:after="0" w:line="183" w:lineRule="exact"/>
        <w:rPr>
          <w:rFonts w:ascii="Times New Roman" w:cs="Times New Roman" w:eastAsia="Times New Roman" w:hAnsi="Times New Roman"/>
          <w:sz w:val="18"/>
          <w:szCs w:val="18"/>
          <w:color w:val="auto"/>
        </w:rPr>
      </w:pPr>
    </w:p>
    <w:p>
      <w:pPr>
        <w:ind w:left="660" w:right="220" w:hanging="328"/>
        <w:spacing w:after="0" w:line="23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A-syn-PET tracer. </w:t>
      </w:r>
      <w:r>
        <w:rPr>
          <w:rFonts w:ascii="Times New Roman" w:cs="Times New Roman" w:eastAsia="Times New Roman" w:hAnsi="Times New Roman"/>
          <w:sz w:val="18"/>
          <w:szCs w:val="18"/>
          <w:color w:val="auto"/>
        </w:rPr>
        <w:t>Our next-generation PET imaging tracer, derived from our Morphomer platform, has shown significant potential to reliably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detect and map deposits of pathological alpha-synuclein protein in the brain. Supported by the Michael J. Fox Foundation for Parkinson’s Research (MJFF), a first-in-human study and an investigator-initiated study of our latest diagnostic agent targeting a-syn, ACI-12589 were initiated in Q1 and Q3 2021, respectively. The readouts of these trials in patients with PD, multiple system atrophy (MSA) and other synucleinopathies were reported at the AD/PD</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2022 Conference. These images provided the first clinical proof-of-concept for an a-syn PET tracer, as ACI-12589 clearly distinguished patients with MSA from those with other alpha-synucleinopathies and healthy controls.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2022 Company Highlights</w:t>
      </w:r>
    </w:p>
    <w:p>
      <w:pPr>
        <w:spacing w:after="0" w:line="229" w:lineRule="exact"/>
        <w:rPr>
          <w:sz w:val="20"/>
          <w:szCs w:val="20"/>
          <w:color w:val="auto"/>
        </w:rPr>
      </w:pPr>
    </w:p>
    <w:p>
      <w:pPr>
        <w:ind w:left="620" w:right="60" w:hanging="302"/>
        <w:spacing w:after="0" w:line="26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 the first patient in the placebo-controlled, Phase 1b/2 ABATE study evaluating the anti-Abeta vaccine ACI-24.060 in patients with prodromal Alzheimer’s disease (AD) and individuals with Down syndrome (DS). An interim data readout from the Phase 1b portion of the trial in AD is expected in H2 2022.</w:t>
      </w:r>
    </w:p>
    <w:p>
      <w:pPr>
        <w:spacing w:after="0" w:line="175" w:lineRule="exact"/>
        <w:rPr>
          <w:rFonts w:ascii="Times New Roman" w:cs="Times New Roman" w:eastAsia="Times New Roman" w:hAnsi="Times New Roman"/>
          <w:sz w:val="18"/>
          <w:szCs w:val="18"/>
          <w:color w:val="auto"/>
        </w:rPr>
      </w:pPr>
    </w:p>
    <w:p>
      <w:pPr>
        <w:jc w:val="both"/>
        <w:ind w:left="620" w:right="240" w:hanging="302"/>
        <w:spacing w:after="0" w:line="26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peer-reviewed publication in JAMA Neurology featuring data showing that ACI-24, the predecessor of ACI-24.060, was safe and elicited an immune response in a Phase 1b clinical trial in adults with DS. This was the first-ever anti-Abeta vaccine study conducted in people living with DS and the paper also highlighted data providing evidence of target engagement in the trial.</w:t>
      </w:r>
    </w:p>
    <w:p>
      <w:pPr>
        <w:spacing w:after="0" w:line="175" w:lineRule="exact"/>
        <w:rPr>
          <w:rFonts w:ascii="Times New Roman" w:cs="Times New Roman" w:eastAsia="Times New Roman" w:hAnsi="Times New Roman"/>
          <w:sz w:val="18"/>
          <w:szCs w:val="18"/>
          <w:color w:val="auto"/>
        </w:rPr>
      </w:pPr>
    </w:p>
    <w:p>
      <w:pPr>
        <w:ind w:left="620" w:right="200" w:hanging="302"/>
        <w:spacing w:after="0" w:line="258"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topline results from the Phase 2 Alzheimer’s Prevention Initiative (API) study evaluating the anti-Abeta monoclonal antibody crenezumab in autosomal dominant Alzheimer’s disease (ADAD). Results showed that both co-primary endpoints of the study were not statistically significant but numerical differences favoring crenezumab were observed across the majority of primary, secondary and exploratory endpoints. More detailed results will be presented at the Alzheimer's Association International Conference (AAIC) on August 2, 2022 by AC Immune’s partner Genentech, a member of the Roche group and the Banner Alzheimer’s Institute.</w:t>
      </w:r>
    </w:p>
    <w:p>
      <w:pPr>
        <w:spacing w:after="0" w:line="183" w:lineRule="exact"/>
        <w:rPr>
          <w:rFonts w:ascii="Times New Roman" w:cs="Times New Roman" w:eastAsia="Times New Roman" w:hAnsi="Times New Roman"/>
          <w:sz w:val="18"/>
          <w:szCs w:val="18"/>
          <w:color w:val="auto"/>
        </w:rPr>
      </w:pPr>
    </w:p>
    <w:p>
      <w:pPr>
        <w:ind w:left="620" w:right="280" w:hanging="302"/>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that AC Immune Co-Founder and CEO Dr. Andrea Pfeifer received the prestigious Aenne Burda Award for Creative Leadership in recognition of her work.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19" w:name="page20"/>
    <w:bookmarkEnd w:id="19"/>
    <w:p>
      <w:pPr>
        <w:ind w:left="620" w:right="100" w:hanging="302"/>
        <w:spacing w:after="0" w:line="266"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leadership by appointing Howard Donovan as Chief Human Resources Officer and member of the Executive Committee. Mr. Donovan is an internationally experienced, commercially focused leader. He joins from the World Economic Forum, where he led People Services since 2015.</w:t>
      </w:r>
    </w:p>
    <w:p>
      <w:pPr>
        <w:spacing w:after="0" w:line="175" w:lineRule="exact"/>
        <w:rPr>
          <w:rFonts w:ascii="Times New Roman" w:cs="Times New Roman" w:eastAsia="Times New Roman" w:hAnsi="Times New Roman"/>
          <w:sz w:val="18"/>
          <w:szCs w:val="18"/>
          <w:color w:val="auto"/>
        </w:rPr>
      </w:pPr>
    </w:p>
    <w:p>
      <w:pPr>
        <w:ind w:left="620" w:right="180" w:hanging="302"/>
        <w:spacing w:after="0" w:line="261"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Joerg Hornstein, Chief Financial Officer (CFO), will leave AC Immune in the second half of 2022 to pursue a new opportunity. AC Immune is well positioned with two members of the Company’s proven Finance Leadership Team who will transition to new roles. Christopher Roberts has been appointed Vice President, Finance and interim CFO. Julian Snow has been appointed Vice President, U.S. Finance &amp; Corporate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Covid-19 global pandemic has impacted various countries in which AC Immune currently operates clinical trials and business operations. The extent to which Covid-19 may impact us will depend on future developments, which are currently uncertain and cannot be predicted with confidence, such as the duration of the outbreak, the severity of Covid-19, or the effectiveness of actions to contain and treat Covid-19.</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continues to effect its business continuity plan and adapt as the situation evolves. Currently, we have resumed normal operations at full capacity, with minimal disruption to our business. We are continuously assessing and adapting our working practices and business operations to ensure compliance with official guidance and orders related to the pandemic and are working proactively with our partners and other stakeholders to take steps intended to mitigate and minimize any negative impact to our research, clinical programs and other business operations.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currently have or project material impacts to the ongoing key trials. Additionally, the Company has drug supplies that are expected to be sufficient to complete ongoing trials as well as additional drug substance supplies expected to be sufficient to support ongoing cohorts of clinical trials for a period of at least three to six months. The Company will refrain from starting new clinical trials if a minimum of a six-month supply on hand cannot be secured. Finally, the Company currently does not expect delays to its clinical trials due to manufacturing or supply-chain issues.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2022 and 2021</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revenues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generated no contract revenues for the three and six months ended June 30, 2022 and 2021, respectively.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(R&amp;D) activities are essential to our business and represent the majority of our costs incurred. Costs for certain development activities, such as clinical trials, are recognized based on an evaluation of the progress to completion of specific tasks using information from the clinical sites and our vendors. Our collaboration arrangements have different arrangements to share costs for the development of our product candidates.</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completed our R&amp;D spending in both of our Genentech collaborations. We and Janssen are co-developing second-generation therapeutic vaccines, ACI-35.030 and JACI-35.054, through Phase 1b/2a completion. AC Immune and Janssen will jointly share R&amp;D costs until the completion of the first Phase 2b (AC Immune’s contribution to the first Phase 2b trial is capped). From Phase 2b and onwards, Janssen will assume responsibility for the clinical development, manufacturing and commercialization of the vaccines. We also expect to incur additional R&amp;D expenditures associated with the expansion of our Morphomer Tau program into AD and NeuroOrphan indications.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also intend to increase our R&amp;D costs associated with the advancement of ACI-7104 in Parkinson’s disease and our ACI-24 vaccine program (i.e.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ACI-24 AD and ACI-24 DS) through mid- and late-stage clinical development.</w:t>
      </w:r>
    </w:p>
    <w:p>
      <w:pPr>
        <w:spacing w:after="0" w:line="20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Finally, we intend to further characterize our other clinical and preclinical candidates. In addition to these arrangements and proprietarily held assets, we expect that our total future R&amp;D costs will increase over</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0" w:name="page21"/>
    <w:bookmarkEnd w:id="20"/>
    <w:p>
      <w:pPr>
        <w:ind w:right="40"/>
        <w:spacing w:after="0" w:line="282" w:lineRule="auto"/>
        <w:rPr>
          <w:sz w:val="20"/>
          <w:szCs w:val="20"/>
          <w:color w:val="auto"/>
        </w:rPr>
      </w:pPr>
      <w:r>
        <w:rPr>
          <w:rFonts w:ascii="Times New Roman" w:cs="Times New Roman" w:eastAsia="Times New Roman" w:hAnsi="Times New Roman"/>
          <w:sz w:val="18"/>
          <w:szCs w:val="18"/>
          <w:color w:val="auto"/>
        </w:rPr>
        <w:t>current levels, in line with our three-pillar strategy that focuses on (i) AD, (ii) focused non-AD NDD including Parkinson’s disease, ALS and NeuroOrphan indications and (iii) diagnostics.</w:t>
      </w:r>
    </w:p>
    <w:p>
      <w:pPr>
        <w:spacing w:after="0" w:line="16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table below provides a breakdown of our R&amp;D costs, including direct R&amp;D costs, manufacturing costs related to R&amp;D and other R&amp;D costs not allocated directly to programs for the periods covered by these Interim Condensed Consolidated Financial Statements. The R&amp;D costs not allocated to specific programs include employment costs, regulatory, QA and intellectual property costs. We do not assign our internal costs, such as salary and benefits, share-based compensation expenses, laboratory supplies, and other direct expenses and infrastructure costs to individual R&amp;D projects, because the employees within our R&amp;D groups are typically deployed across multiple R&amp;D programs.</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R&amp;D expenses totaled CHF 15.7 million compared with CHF 13.7 million for the comparable period in 2021, respectively. This represents an increase of CHF 2.0 million. The following table presents the R&amp;D expenses during the three months ended June 30, 2022 and 2021:</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Discovery and preclinical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Group function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Direct R&amp;D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Payroll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Other non-allocated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R&amp;D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340" w:type="dxa"/>
            <w:vAlign w:val="bottom"/>
          </w:tcPr>
          <w:p>
            <w:pPr>
              <w:spacing w:after="0"/>
              <w:rPr>
                <w:sz w:val="18"/>
                <w:szCs w:val="18"/>
                <w:color w:val="auto"/>
              </w:rPr>
            </w:pPr>
          </w:p>
        </w:tc>
      </w:tr>
      <w:tr>
        <w:trPr>
          <w:trHeight w:val="238"/>
        </w:trPr>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340" w:type="dxa"/>
            <w:vAlign w:val="bottom"/>
          </w:tcPr>
          <w:p>
            <w:pPr>
              <w:spacing w:after="0"/>
              <w:rPr>
                <w:sz w:val="20"/>
                <w:szCs w:val="20"/>
                <w:color w:val="auto"/>
              </w:rPr>
            </w:pPr>
          </w:p>
        </w:tc>
      </w:tr>
      <w:tr>
        <w:trPr>
          <w:trHeight w:val="223"/>
        </w:trPr>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13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4,405</w:t>
            </w:r>
          </w:p>
        </w:tc>
        <w:tc>
          <w:tcPr>
            <w:tcW w:w="100" w:type="dxa"/>
            <w:vAlign w:val="bottom"/>
          </w:tcPr>
          <w:p>
            <w:pPr>
              <w:spacing w:after="0"/>
              <w:rPr>
                <w:sz w:val="16"/>
                <w:szCs w:val="16"/>
                <w:color w:val="auto"/>
              </w:rPr>
            </w:pPr>
          </w:p>
        </w:tc>
        <w:tc>
          <w:tcPr>
            <w:tcW w:w="1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4,932</w:t>
            </w:r>
          </w:p>
        </w:tc>
        <w:tc>
          <w:tcPr>
            <w:tcW w:w="10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(527)</w:t>
            </w:r>
          </w:p>
        </w:tc>
      </w:tr>
      <w:tr>
        <w:trPr>
          <w:trHeight w:val="230"/>
        </w:trPr>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2,958</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w:t>
            </w:r>
          </w:p>
        </w:tc>
      </w:tr>
      <w:tr>
        <w:trPr>
          <w:trHeight w:val="234"/>
        </w:trPr>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8,069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8"/>
        </w:trPr>
        <w:tc>
          <w:tcPr>
            <w:tcW w:w="1380" w:type="dxa"/>
            <w:vAlign w:val="bottom"/>
          </w:tcPr>
          <w:p>
            <w:pPr>
              <w:jc w:val="right"/>
              <w:ind w:right="30"/>
              <w:spacing w:after="0" w:line="178" w:lineRule="exact"/>
              <w:rPr>
                <w:sz w:val="20"/>
                <w:szCs w:val="20"/>
                <w:color w:val="auto"/>
              </w:rPr>
            </w:pPr>
            <w:r>
              <w:rPr>
                <w:rFonts w:ascii="Times New Roman" w:cs="Times New Roman" w:eastAsia="Times New Roman" w:hAnsi="Times New Roman"/>
                <w:sz w:val="18"/>
                <w:szCs w:val="18"/>
                <w:color w:val="auto"/>
              </w:rPr>
              <w:t>4,743</w:t>
            </w:r>
          </w:p>
        </w:tc>
        <w:tc>
          <w:tcPr>
            <w:tcW w:w="100" w:type="dxa"/>
            <w:vAlign w:val="bottom"/>
          </w:tcPr>
          <w:p>
            <w:pPr>
              <w:spacing w:after="0"/>
              <w:rPr>
                <w:sz w:val="15"/>
                <w:szCs w:val="15"/>
                <w:color w:val="auto"/>
              </w:rPr>
            </w:pPr>
          </w:p>
        </w:tc>
        <w:tc>
          <w:tcPr>
            <w:tcW w:w="1340" w:type="dxa"/>
            <w:vAlign w:val="bottom"/>
          </w:tcPr>
          <w:p>
            <w:pPr>
              <w:jc w:val="right"/>
              <w:ind w:right="30"/>
              <w:spacing w:after="0" w:line="178" w:lineRule="exact"/>
              <w:rPr>
                <w:sz w:val="20"/>
                <w:szCs w:val="20"/>
                <w:color w:val="auto"/>
              </w:rPr>
            </w:pPr>
            <w:r>
              <w:rPr>
                <w:rFonts w:ascii="Times New Roman" w:cs="Times New Roman" w:eastAsia="Times New Roman" w:hAnsi="Times New Roman"/>
                <w:sz w:val="18"/>
                <w:szCs w:val="18"/>
                <w:color w:val="auto"/>
              </w:rPr>
              <w:t>4,021</w:t>
            </w:r>
          </w:p>
        </w:tc>
        <w:tc>
          <w:tcPr>
            <w:tcW w:w="100" w:type="dxa"/>
            <w:vAlign w:val="bottom"/>
          </w:tcPr>
          <w:p>
            <w:pPr>
              <w:spacing w:after="0"/>
              <w:rPr>
                <w:sz w:val="15"/>
                <w:szCs w:val="15"/>
                <w:color w:val="auto"/>
              </w:rPr>
            </w:pPr>
          </w:p>
        </w:tc>
        <w:tc>
          <w:tcPr>
            <w:tcW w:w="1340" w:type="dxa"/>
            <w:vAlign w:val="bottom"/>
          </w:tcPr>
          <w:p>
            <w:pPr>
              <w:jc w:val="right"/>
              <w:ind w:right="10"/>
              <w:spacing w:after="0" w:line="178" w:lineRule="exact"/>
              <w:rPr>
                <w:sz w:val="20"/>
                <w:szCs w:val="20"/>
                <w:color w:val="auto"/>
              </w:rPr>
            </w:pPr>
            <w:r>
              <w:rPr>
                <w:rFonts w:ascii="Times New Roman" w:cs="Times New Roman" w:eastAsia="Times New Roman" w:hAnsi="Times New Roman"/>
                <w:sz w:val="18"/>
                <w:szCs w:val="18"/>
                <w:color w:val="auto"/>
              </w:rPr>
              <w:t>722</w:t>
            </w:r>
          </w:p>
        </w:tc>
      </w:tr>
      <w:tr>
        <w:trPr>
          <w:trHeight w:val="230"/>
        </w:trPr>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1,330</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1,188</w:t>
            </w:r>
          </w:p>
        </w:tc>
      </w:tr>
      <w:tr>
        <w:trPr>
          <w:trHeight w:val="223"/>
        </w:trPr>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1,982</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9" w:lineRule="exact"/>
        <w:rPr>
          <w:sz w:val="20"/>
          <w:szCs w:val="20"/>
          <w:color w:val="auto"/>
        </w:rPr>
      </w:pPr>
    </w:p>
    <w:p>
      <w:pPr>
        <w:sectPr>
          <w:pgSz w:w="11900" w:h="16838" w:orient="portrait"/>
          <w:cols w:equalWidth="0" w:num="2">
            <w:col w:w="6260" w:space="720"/>
            <w:col w:w="4260"/>
          </w:cols>
          <w:pgMar w:left="320" w:top="5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69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860" w:type="dxa"/>
            <w:vAlign w:val="bottom"/>
            <w:tcBorders>
              <w:top w:val="single" w:sz="8" w:color="auto"/>
            </w:tcBorders>
            <w:shd w:val="clear" w:color="auto" w:fill="D5EAEA"/>
          </w:tcPr>
          <w:p>
            <w:pPr>
              <w:spacing w:after="0" w:line="25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1,226</w:t>
            </w:r>
          </w:p>
        </w:tc>
      </w:tr>
      <w:tr>
        <w:trPr>
          <w:trHeight w:val="270"/>
        </w:trPr>
        <w:tc>
          <w:tcPr>
            <w:tcW w:w="6980" w:type="dxa"/>
            <w:vAlign w:val="bottom"/>
            <w:tcBorders>
              <w:bottom w:val="single" w:sz="8" w:color="D5EAEA"/>
            </w:tcBorders>
            <w:gridSpan w:val="2"/>
          </w:tcPr>
          <w:p>
            <w:pPr>
              <w:spacing w:after="0" w:line="270" w:lineRule="exact"/>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9"/>
                <w:szCs w:val="29"/>
                <w:color w:val="auto"/>
                <w:vertAlign w:val="superscript"/>
              </w:rPr>
              <w:t>2</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756</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15,692</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13,710</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1,982</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340" w:hanging="332"/>
        <w:spacing w:after="0" w:line="180" w:lineRule="auto"/>
        <w:tabs>
          <w:tab w:leader="none" w:pos="34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depreciation expense</w:t>
      </w:r>
    </w:p>
    <w:p>
      <w:pPr>
        <w:spacing w:after="0" w:line="2" w:lineRule="exact"/>
        <w:rPr>
          <w:sz w:val="20"/>
          <w:szCs w:val="20"/>
          <w:color w:val="auto"/>
        </w:rPr>
      </w:pPr>
    </w:p>
    <w:p>
      <w:pPr>
        <w:ind w:right="7740" w:firstLine="8"/>
        <w:spacing w:after="0" w:line="349" w:lineRule="auto"/>
        <w:tabs>
          <w:tab w:leader="none" w:pos="324"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share-based compensation expense For the three months ended June 30, 2022:</w:t>
      </w:r>
    </w:p>
    <w:p>
      <w:pPr>
        <w:spacing w:after="0" w:line="41" w:lineRule="exact"/>
        <w:rPr>
          <w:rFonts w:ascii="Times New Roman" w:cs="Times New Roman" w:eastAsia="Times New Roman" w:hAnsi="Times New Roman"/>
          <w:sz w:val="30"/>
          <w:szCs w:val="30"/>
          <w:color w:val="auto"/>
          <w:vertAlign w:val="superscript"/>
        </w:rPr>
      </w:pPr>
    </w:p>
    <w:p>
      <w:pPr>
        <w:ind w:left="34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Discovery and preclinical expenses decreased by CHF 0.5 million, primarily due to:</w:t>
      </w:r>
    </w:p>
    <w:p>
      <w:pPr>
        <w:spacing w:after="0" w:line="225" w:lineRule="exact"/>
        <w:rPr>
          <w:sz w:val="20"/>
          <w:szCs w:val="20"/>
          <w:color w:val="auto"/>
        </w:rPr>
      </w:pPr>
    </w:p>
    <w:p>
      <w:pPr>
        <w:ind w:left="660" w:right="1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0.5 million in ACI-24 for DS for the development costs associated with the vaccine formulation and CHF 0.3 million for other discovery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660" w:righ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0.3 million associated with investments in our ACI-7104 vaccine, our alpha-synuclein vaccine for Parkinson’s disease acquired in Q4 2021.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Clinical expenses increased by CHF 0.4 million, primarily due to:</w:t>
      </w:r>
    </w:p>
    <w:p>
      <w:pPr>
        <w:spacing w:after="0" w:line="225" w:lineRule="exact"/>
        <w:rPr>
          <w:sz w:val="20"/>
          <w:szCs w:val="20"/>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0.8 million for the clinical development of ACI-7104, which were not incurred in the prior period and CHF 0.5 million for the clinical development of ACI-24 for 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660" w:right="18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0.4 million for the clinical development of ACI-35.030 driven by timing of activities across various cohorts started in prior years and expenses associated with the R&amp;D cost sharing, CHF 0.1 million for our alpha-synuclein imaging agent and CHF 0.4 million for other clinical programs.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21" w:name="page22"/>
    <w:bookmarkEnd w:id="21"/>
    <w:p>
      <w:pPr>
        <w:ind w:left="180"/>
        <w:spacing w:after="0"/>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intellectual property and other non-allocated costs.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variances in Other non-allocated expenses relate to administrative R&amp;D and certain non-allocated functional expenses, primarily due to:</w:t>
      </w:r>
    </w:p>
    <w:p>
      <w:pPr>
        <w:spacing w:after="0" w:line="225" w:lineRule="exact"/>
        <w:rPr>
          <w:sz w:val="20"/>
          <w:szCs w:val="20"/>
          <w:color w:val="auto"/>
        </w:rPr>
      </w:pPr>
    </w:p>
    <w:p>
      <w:pPr>
        <w:ind w:left="660" w:right="4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0.7 million associated with the reallocation of certain IT and facilities expenditures made in Q2 2022 that were not reclassified in the prior period, CHF 0.2 million in certain IT related investments and CHF 0.3 million across various cost centers particularly in clinical and technical operations.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salaries and related costs increased by CHF 0.8 million, primarily due to:</w:t>
      </w:r>
    </w:p>
    <w:p>
      <w:pPr>
        <w:spacing w:after="0" w:line="225" w:lineRule="exact"/>
        <w:rPr>
          <w:sz w:val="20"/>
          <w:szCs w:val="20"/>
          <w:color w:val="auto"/>
        </w:rPr>
      </w:pPr>
    </w:p>
    <w:p>
      <w:pPr>
        <w:ind w:left="660" w:right="40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salary- and benefit-related costs of CHF 0.7 million primarily related to new hires during the quarter and annualization of 2021 hires.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six months ended June 30, 2022, R&amp;D expenses totaled CHF 30.8 million compared with CHF 27.0 million for the comparable period in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represents an increase of CHF 3.8 million. The following table presents the R&amp;D expenses during the six months ended June 30, 2022 and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34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686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Discovery and preclinical expenses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9,812</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Clinical expenses</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r>
      <w:tr>
        <w:trPr>
          <w:trHeight w:val="230"/>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Group function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311</w:t>
            </w:r>
          </w:p>
        </w:tc>
      </w:tr>
      <w:tr>
        <w:trPr>
          <w:trHeight w:val="263"/>
        </w:trPr>
        <w:tc>
          <w:tcPr>
            <w:tcW w:w="698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Direct R&amp;D</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15,839</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15,400</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r>
      <w:tr>
        <w:trPr>
          <w:trHeight w:val="197"/>
        </w:trPr>
        <w:tc>
          <w:tcPr>
            <w:tcW w:w="6980" w:type="dxa"/>
            <w:vAlign w:val="bottom"/>
            <w:gridSpan w:val="2"/>
            <w:shd w:val="clear" w:color="auto" w:fill="D5EAEA"/>
          </w:tcPr>
          <w:p>
            <w:pPr>
              <w:spacing w:after="0" w:line="196" w:lineRule="exact"/>
              <w:rPr>
                <w:sz w:val="20"/>
                <w:szCs w:val="20"/>
                <w:color w:val="auto"/>
              </w:rPr>
            </w:pPr>
            <w:r>
              <w:rPr>
                <w:rFonts w:ascii="Times New Roman" w:cs="Times New Roman" w:eastAsia="Times New Roman" w:hAnsi="Times New Roman"/>
                <w:sz w:val="18"/>
                <w:szCs w:val="18"/>
                <w:color w:val="auto"/>
              </w:rPr>
              <w:t>Payroll expenses</w:t>
            </w:r>
          </w:p>
        </w:tc>
        <w:tc>
          <w:tcPr>
            <w:tcW w:w="1380" w:type="dxa"/>
            <w:vAlign w:val="bottom"/>
            <w:shd w:val="clear" w:color="auto" w:fill="D5EAEA"/>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9,085</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8,521</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564</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Other non-allocated</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5,136</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2,661</w:t>
            </w: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R&amp;D</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30,815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27,040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3,775</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34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50"/>
        </w:trPr>
        <w:tc>
          <w:tcPr>
            <w:tcW w:w="6860" w:type="dxa"/>
            <w:vAlign w:val="bottom"/>
            <w:tcBorders>
              <w:top w:val="single" w:sz="8" w:color="auto"/>
            </w:tcBorders>
            <w:shd w:val="clear" w:color="auto" w:fill="D5EAEA"/>
          </w:tcPr>
          <w:p>
            <w:pPr>
              <w:spacing w:after="0" w:line="250"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8"/>
                <w:szCs w:val="28"/>
                <w:color w:val="auto"/>
                <w:vertAlign w:val="superscript"/>
              </w:rPr>
              <w:t>1</w:t>
            </w:r>
          </w:p>
        </w:tc>
        <w:tc>
          <w:tcPr>
            <w:tcW w:w="120" w:type="dxa"/>
            <w:vAlign w:val="bottom"/>
            <w:tcBorders>
              <w:top w:val="single" w:sz="8" w:color="D5EAEA"/>
            </w:tcBorders>
            <w:shd w:val="clear" w:color="auto" w:fill="D5EAEA"/>
          </w:tcPr>
          <w:p>
            <w:pPr>
              <w:spacing w:after="0"/>
              <w:rPr>
                <w:sz w:val="21"/>
                <w:szCs w:val="21"/>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20,975</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17,875</w:t>
            </w:r>
          </w:p>
        </w:tc>
        <w:tc>
          <w:tcPr>
            <w:tcW w:w="100" w:type="dxa"/>
            <w:vAlign w:val="bottom"/>
            <w:tcBorders>
              <w:top w:val="single" w:sz="8" w:color="D5EAEA"/>
            </w:tcBorders>
            <w:shd w:val="clear" w:color="auto" w:fill="D5EAEA"/>
          </w:tcPr>
          <w:p>
            <w:pPr>
              <w:spacing w:after="0"/>
              <w:rPr>
                <w:sz w:val="21"/>
                <w:szCs w:val="21"/>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3,100</w:t>
            </w:r>
          </w:p>
        </w:tc>
      </w:tr>
      <w:tr>
        <w:trPr>
          <w:trHeight w:val="270"/>
        </w:trPr>
        <w:tc>
          <w:tcPr>
            <w:tcW w:w="6980" w:type="dxa"/>
            <w:vAlign w:val="bottom"/>
            <w:tcBorders>
              <w:bottom w:val="single" w:sz="8" w:color="D5EAEA"/>
            </w:tcBorders>
            <w:gridSpan w:val="2"/>
          </w:tcPr>
          <w:p>
            <w:pPr>
              <w:spacing w:after="0" w:line="270" w:lineRule="exact"/>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9"/>
                <w:szCs w:val="29"/>
                <w:color w:val="auto"/>
                <w:vertAlign w:val="superscript"/>
              </w:rPr>
              <w:t>2</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9,840</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9,165</w:t>
            </w:r>
          </w:p>
        </w:tc>
        <w:tc>
          <w:tcPr>
            <w:tcW w:w="100" w:type="dxa"/>
            <w:vAlign w:val="bottom"/>
            <w:tcBorders>
              <w:bottom w:val="single" w:sz="8" w:color="D5EAEA"/>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6980" w:type="dxa"/>
            <w:vAlign w:val="bottom"/>
            <w:tcBorders>
              <w:bottom w:val="single" w:sz="8" w:color="D5EAEA"/>
            </w:tcBorders>
            <w:gridSpan w:val="2"/>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Total R&amp;D expenses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30,815</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27,040</w:t>
            </w:r>
          </w:p>
        </w:tc>
        <w:tc>
          <w:tcPr>
            <w:tcW w:w="100" w:type="dxa"/>
            <w:vAlign w:val="bottom"/>
            <w:tcBorders>
              <w:bottom w:val="single" w:sz="8" w:color="D5EAEA"/>
            </w:tcBorders>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3,775</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ind w:left="340" w:hanging="332"/>
        <w:spacing w:after="0" w:line="180" w:lineRule="auto"/>
        <w:tabs>
          <w:tab w:leader="none" w:pos="34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depreciation expense</w:t>
      </w:r>
    </w:p>
    <w:p>
      <w:pPr>
        <w:spacing w:after="0" w:line="2" w:lineRule="exact"/>
        <w:rPr>
          <w:sz w:val="20"/>
          <w:szCs w:val="20"/>
          <w:color w:val="auto"/>
        </w:rPr>
      </w:pPr>
    </w:p>
    <w:p>
      <w:pPr>
        <w:ind w:right="7740" w:firstLine="8"/>
        <w:spacing w:after="0" w:line="349" w:lineRule="auto"/>
        <w:tabs>
          <w:tab w:leader="none" w:pos="324"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share-based compensation expense For the six months ended June 30, 2022:</w:t>
      </w:r>
    </w:p>
    <w:p>
      <w:pPr>
        <w:spacing w:after="0" w:line="41" w:lineRule="exact"/>
        <w:rPr>
          <w:rFonts w:ascii="Times New Roman" w:cs="Times New Roman" w:eastAsia="Times New Roman" w:hAnsi="Times New Roman"/>
          <w:sz w:val="30"/>
          <w:szCs w:val="30"/>
          <w:color w:val="auto"/>
          <w:vertAlign w:val="superscript"/>
        </w:rPr>
      </w:pPr>
    </w:p>
    <w:p>
      <w:pPr>
        <w:ind w:left="340"/>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Discovery and preclinical expenses decreased by CHF 1.1 million, primarily due to:</w:t>
      </w:r>
    </w:p>
    <w:p>
      <w:pPr>
        <w:spacing w:after="0" w:line="225" w:lineRule="exact"/>
        <w:rPr>
          <w:sz w:val="20"/>
          <w:szCs w:val="20"/>
          <w:color w:val="auto"/>
        </w:rPr>
      </w:pPr>
    </w:p>
    <w:p>
      <w:pPr>
        <w:ind w:left="660" w:right="1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1.0 million in ACI-24 for DS for the development costs associated with the vaccine formulation and CHF 0.3 million for other discovery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660" w:righ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0.3 million associated with investments in our ACI-7104 vaccine, our alpha-synuclein vaccine for Parkinson’s disease acquired in Q4 2021.</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Clinical expenses increased by CHF 1.2 million, primarily due to:</w:t>
      </w:r>
    </w:p>
    <w:p>
      <w:pPr>
        <w:spacing w:after="0" w:line="225" w:lineRule="exact"/>
        <w:rPr>
          <w:sz w:val="20"/>
          <w:szCs w:val="20"/>
          <w:color w:val="auto"/>
        </w:rPr>
      </w:pPr>
    </w:p>
    <w:p>
      <w:pPr>
        <w:ind w:left="660" w:right="3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1.3 million for the clinical development of ACI-24 for DS and CHF 1.0 million for the clinical development of ACI-7104, which were not incurred in the prior period,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660" w:right="1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0.3 million for the clinical development of ACI-35.030 driven by timing of activities across various cohorts started in prior years and expenses associated with the R&amp;D cost sharing, CHF 0.2 million for our alpha-synuclein imaging agent and CHF 0.4 million for other clinical programs.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variances in Group function expenses relate to regulatory and quality assurance, intellectual property and other non-allocated costs.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variances in Other non-allocated expenses relate to administrative R&amp;D and certain non-allocated functional expenses, primarily due to:</w:t>
      </w:r>
    </w:p>
    <w:p>
      <w:pPr>
        <w:spacing w:after="0" w:line="225" w:lineRule="exact"/>
        <w:rPr>
          <w:sz w:val="20"/>
          <w:szCs w:val="20"/>
          <w:color w:val="auto"/>
        </w:rPr>
      </w:pPr>
    </w:p>
    <w:p>
      <w:pPr>
        <w:jc w:val="both"/>
        <w:ind w:left="660" w:right="28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CHF 1.4 million associated with the reallocation of certain IT and facilities expenditures for the six months ended June 30, 2022 that were not reclassified in the prior period, CHF 0.4 million in certain IT related investments and CHF 0.9 million across various cost centers particularly in research.</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salaries and related costs increased by CHF 0.7 million, primarily due to:</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salary- and benefit-related costs of CHF 0.7 million primarily related to new hires during the period and annualization of 2021 hires.</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related costs, including share-based compensation, professional fees such as legal and accounting related services, infrastructure expenses, and other operating expenses.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general and administrative expenses totaled CHF 4.4 million compared with CHF 5.2 million for the comparable period in 2021. This represents a decrease of CHF 0.8 million. The following table presents the general and administrative expenses during the three months ended June 30, 2022 and 2021:</w:t>
      </w:r>
    </w:p>
    <w:p>
      <w:pPr>
        <w:sectPr>
          <w:pgSz w:w="11900" w:h="16838" w:orient="portrait"/>
          <w:cols w:equalWidth="0" w:num="1">
            <w:col w:w="11220"/>
          </w:cols>
          <w:pgMar w:left="320" w:top="5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7" w:lineRule="auto"/>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9"/>
          <w:szCs w:val="29"/>
          <w:color w:val="auto"/>
          <w:vertAlign w:val="superscript"/>
        </w:rPr>
        <w:t>1</w:t>
      </w:r>
    </w:p>
    <w:p>
      <w:pPr>
        <w:spacing w:after="0" w:line="195" w:lineRule="auto"/>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p>
      <w:pPr>
        <w:ind w:left="340" w:hanging="332"/>
        <w:spacing w:after="0" w:line="202" w:lineRule="auto"/>
        <w:tabs>
          <w:tab w:leader="none" w:pos="34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depreciation expense</w:t>
      </w:r>
    </w:p>
    <w:p>
      <w:pPr>
        <w:ind w:left="340" w:hanging="332"/>
        <w:spacing w:after="0" w:line="180" w:lineRule="auto"/>
        <w:tabs>
          <w:tab w:leader="none" w:pos="34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share-based compensation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2022, this decrease is primarily due to: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5715</wp:posOffset>
            </wp:positionV>
            <wp:extent cx="1783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tabs>
          <w:tab w:leader="none" w:pos="1440" w:val="left"/>
          <w:tab w:leader="none" w:pos="27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7"/>
          <w:szCs w:val="17"/>
          <w:b w:val="1"/>
          <w:bCs w:val="1"/>
          <w:color w:val="auto"/>
        </w:rPr>
        <w:t>Change</w:t>
      </w:r>
    </w:p>
    <w:p>
      <w:pPr>
        <w:spacing w:after="0" w:line="67" w:lineRule="exact"/>
        <w:rPr>
          <w:sz w:val="20"/>
          <w:szCs w:val="20"/>
          <w:color w:val="auto"/>
        </w:rPr>
      </w:pPr>
    </w:p>
    <w:p>
      <w:pPr>
        <w:ind w:left="360"/>
        <w:spacing w:after="0"/>
        <w:tabs>
          <w:tab w:leader="none" w:pos="1780" w:val="left"/>
          <w:tab w:leader="none" w:pos="3300" w:val="left"/>
        </w:tabs>
        <w:rPr>
          <w:sz w:val="20"/>
          <w:szCs w:val="20"/>
          <w:color w:val="auto"/>
        </w:rPr>
      </w:pPr>
      <w:r>
        <w:rPr>
          <w:rFonts w:ascii="Times New Roman" w:cs="Times New Roman" w:eastAsia="Times New Roman" w:hAnsi="Times New Roman"/>
          <w:sz w:val="18"/>
          <w:szCs w:val="18"/>
          <w:color w:val="auto"/>
        </w:rPr>
        <w:t>1,428</w:t>
      </w:r>
      <w:r>
        <w:rPr>
          <w:sz w:val="20"/>
          <w:szCs w:val="20"/>
          <w:color w:val="auto"/>
        </w:rPr>
        <w:tab/>
      </w:r>
      <w:r>
        <w:rPr>
          <w:rFonts w:ascii="Times New Roman" w:cs="Times New Roman" w:eastAsia="Times New Roman" w:hAnsi="Times New Roman"/>
          <w:sz w:val="18"/>
          <w:szCs w:val="18"/>
          <w:color w:val="auto"/>
        </w:rPr>
        <w:t>2,393</w:t>
      </w:r>
      <w:r>
        <w:rPr>
          <w:sz w:val="20"/>
          <w:szCs w:val="20"/>
          <w:color w:val="auto"/>
        </w:rPr>
        <w:tab/>
      </w:r>
      <w:r>
        <w:rPr>
          <w:rFonts w:ascii="Times New Roman" w:cs="Times New Roman" w:eastAsia="Times New Roman" w:hAnsi="Times New Roman"/>
          <w:sz w:val="18"/>
          <w:szCs w:val="18"/>
          <w:color w:val="auto"/>
        </w:rPr>
        <w:t>(965)</w:t>
      </w:r>
    </w:p>
    <w:p>
      <w:pPr>
        <w:spacing w:after="0" w:line="63" w:lineRule="exact"/>
        <w:rPr>
          <w:sz w:val="20"/>
          <w:szCs w:val="20"/>
          <w:color w:val="auto"/>
        </w:rPr>
      </w:pPr>
    </w:p>
    <w:p>
      <w:pPr>
        <w:ind w:left="360"/>
        <w:spacing w:after="0"/>
        <w:tabs>
          <w:tab w:leader="none" w:pos="1780" w:val="left"/>
          <w:tab w:leader="none" w:pos="3360" w:val="left"/>
        </w:tabs>
        <w:rPr>
          <w:sz w:val="20"/>
          <w:szCs w:val="20"/>
          <w:color w:val="auto"/>
        </w:rPr>
      </w:pPr>
      <w:r>
        <w:rPr>
          <w:rFonts w:ascii="Times New Roman" w:cs="Times New Roman" w:eastAsia="Times New Roman" w:hAnsi="Times New Roman"/>
          <w:sz w:val="18"/>
          <w:szCs w:val="18"/>
          <w:color w:val="auto"/>
        </w:rPr>
        <w:t>2,946</w:t>
      </w:r>
      <w:r>
        <w:rPr>
          <w:sz w:val="20"/>
          <w:szCs w:val="20"/>
          <w:color w:val="auto"/>
        </w:rPr>
        <w:tab/>
      </w:r>
      <w:r>
        <w:rPr>
          <w:rFonts w:ascii="Times New Roman" w:cs="Times New Roman" w:eastAsia="Times New Roman" w:hAnsi="Times New Roman"/>
          <w:sz w:val="18"/>
          <w:szCs w:val="18"/>
          <w:color w:val="auto"/>
        </w:rPr>
        <w:t>2,842</w:t>
      </w:r>
      <w:r>
        <w:rPr>
          <w:sz w:val="20"/>
          <w:szCs w:val="20"/>
          <w:color w:val="auto"/>
        </w:rPr>
        <w:tab/>
      </w:r>
      <w:r>
        <w:rPr>
          <w:rFonts w:ascii="Times New Roman" w:cs="Times New Roman" w:eastAsia="Times New Roman" w:hAnsi="Times New Roman"/>
          <w:sz w:val="18"/>
          <w:szCs w:val="18"/>
          <w:color w:val="auto"/>
        </w:rPr>
        <w:t>104</w:t>
      </w:r>
    </w:p>
    <w:p>
      <w:pPr>
        <w:spacing w:after="0" w:line="36" w:lineRule="exact"/>
        <w:rPr>
          <w:sz w:val="20"/>
          <w:szCs w:val="20"/>
          <w:color w:val="auto"/>
        </w:rPr>
      </w:pPr>
    </w:p>
    <w:p>
      <w:pPr>
        <w:ind w:left="360"/>
        <w:spacing w:after="0"/>
        <w:tabs>
          <w:tab w:leader="none" w:pos="1780" w:val="left"/>
          <w:tab w:leader="none" w:pos="3300" w:val="left"/>
        </w:tabs>
        <w:rPr>
          <w:sz w:val="20"/>
          <w:szCs w:val="20"/>
          <w:color w:val="auto"/>
        </w:rPr>
      </w:pPr>
      <w:r>
        <w:rPr>
          <w:rFonts w:ascii="Times New Roman" w:cs="Times New Roman" w:eastAsia="Times New Roman" w:hAnsi="Times New Roman"/>
          <w:sz w:val="18"/>
          <w:szCs w:val="18"/>
          <w:color w:val="auto"/>
        </w:rPr>
        <w:t>4,374</w:t>
      </w:r>
      <w:r>
        <w:rPr>
          <w:sz w:val="20"/>
          <w:szCs w:val="20"/>
          <w:color w:val="auto"/>
        </w:rPr>
        <w:tab/>
      </w:r>
      <w:r>
        <w:rPr>
          <w:rFonts w:ascii="Times New Roman" w:cs="Times New Roman" w:eastAsia="Times New Roman" w:hAnsi="Times New Roman"/>
          <w:sz w:val="18"/>
          <w:szCs w:val="18"/>
          <w:color w:val="auto"/>
        </w:rPr>
        <w:t>5,235</w:t>
      </w:r>
      <w:r>
        <w:rPr>
          <w:sz w:val="20"/>
          <w:szCs w:val="20"/>
          <w:color w:val="auto"/>
        </w:rPr>
        <w:tab/>
      </w:r>
      <w:r>
        <w:rPr>
          <w:rFonts w:ascii="Times New Roman" w:cs="Times New Roman" w:eastAsia="Times New Roman" w:hAnsi="Times New Roman"/>
          <w:sz w:val="18"/>
          <w:szCs w:val="18"/>
          <w:color w:val="auto"/>
        </w:rPr>
        <w:t>(861)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34290</wp:posOffset>
            </wp:positionV>
            <wp:extent cx="27000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6760" w:space="720"/>
            <w:col w:w="3740"/>
          </w:cols>
          <w:pgMar w:left="320" w:top="540" w:right="359" w:bottom="1440" w:gutter="0" w:footer="0" w:header="0"/>
          <w:type w:val="continuous"/>
        </w:sectPr>
      </w:pPr>
    </w:p>
    <w:p>
      <w:pPr>
        <w:spacing w:after="0" w:line="25" w:lineRule="exact"/>
        <w:rPr>
          <w:sz w:val="20"/>
          <w:szCs w:val="20"/>
          <w:color w:val="auto"/>
        </w:rPr>
      </w:pPr>
    </w:p>
    <w:p>
      <w:pPr>
        <w:ind w:left="660" w:right="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0.7 million associated with the reallocation of certain IT and facilities expenditures made in Q2 2022 that were not reclassified in the prior period;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CHF 0.4 million for transaction costs associated with our asset acquisition for a portfolio of therapeutics targeting alpha-synuclein and cash in 2021, which were not incurred in the current comparable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660" w:right="44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expenses, including share-based compensation expense, of CHF 0.1 million and CHF 0.1 million increase in certain professional costs.</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type w:val="continuous"/>
        </w:sectPr>
      </w:pPr>
    </w:p>
    <w:bookmarkStart w:id="23" w:name="page24"/>
    <w:bookmarkEnd w:id="23"/>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general and administrative expenses totaled CHF 8.6 million compared with CHF 9.6 million for the comparable period in 2021. This represents a decrease of CHF 1.0 million. The following table presents the general and administrative expenses during the six months ended June 30, 2022 and 2021:</w:t>
      </w:r>
    </w:p>
    <w:p>
      <w:pPr>
        <w:sectPr>
          <w:pgSz w:w="11900" w:h="16838" w:orient="portrait"/>
          <w:cols w:equalWidth="0" w:num="1">
            <w:col w:w="11240"/>
          </w:cols>
          <w:pgMar w:left="320" w:top="5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7" w:lineRule="auto"/>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9"/>
          <w:szCs w:val="29"/>
          <w:color w:val="auto"/>
          <w:vertAlign w:val="superscript"/>
        </w:rPr>
        <w:t>1</w:t>
      </w:r>
    </w:p>
    <w:p>
      <w:pPr>
        <w:spacing w:after="0" w:line="195" w:lineRule="auto"/>
        <w:rPr>
          <w:sz w:val="20"/>
          <w:szCs w:val="20"/>
          <w:color w:val="auto"/>
        </w:rPr>
      </w:pPr>
      <w:r>
        <w:rPr>
          <w:rFonts w:ascii="Times New Roman" w:cs="Times New Roman" w:eastAsia="Times New Roman" w:hAnsi="Times New Roman"/>
          <w:sz w:val="18"/>
          <w:szCs w:val="18"/>
          <w:color w:val="auto"/>
        </w:rPr>
        <w:t>Salaries and related costs</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expenses</w:t>
      </w:r>
    </w:p>
    <w:p>
      <w:pPr>
        <w:ind w:left="340" w:hanging="332"/>
        <w:spacing w:after="0" w:line="202" w:lineRule="auto"/>
        <w:tabs>
          <w:tab w:leader="none" w:pos="34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depreciation expense</w:t>
      </w:r>
    </w:p>
    <w:p>
      <w:pPr>
        <w:ind w:left="340" w:hanging="332"/>
        <w:spacing w:after="0" w:line="180" w:lineRule="auto"/>
        <w:tabs>
          <w:tab w:leader="none" w:pos="34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share-based compensation expense</w:t>
      </w:r>
    </w:p>
    <w:p>
      <w:pPr>
        <w:spacing w:after="0" w:line="198" w:lineRule="exact"/>
        <w:rPr>
          <w:rFonts w:ascii="Times New Roman" w:cs="Times New Roman" w:eastAsia="Times New Roman" w:hAnsi="Times New Roman"/>
          <w:sz w:val="25"/>
          <w:szCs w:val="25"/>
          <w:color w:val="auto"/>
          <w:vertAlign w:val="superscript"/>
        </w:rPr>
      </w:pPr>
    </w:p>
    <w:p>
      <w:pPr>
        <w:ind w:left="340"/>
        <w:spacing w:after="0"/>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For the six months ended June 30, 2022, this decrease is primarily due to:</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For the Six Months</w:t>
      </w:r>
    </w:p>
    <w:p>
      <w:pPr>
        <w:spacing w:after="0" w:line="31"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5715</wp:posOffset>
            </wp:positionV>
            <wp:extent cx="1783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tabs>
          <w:tab w:leader="none" w:pos="1440" w:val="left"/>
          <w:tab w:leader="none" w:pos="27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r>
        <w:rPr>
          <w:sz w:val="20"/>
          <w:szCs w:val="20"/>
          <w:color w:val="auto"/>
        </w:rPr>
        <w:tab/>
      </w:r>
      <w:r>
        <w:rPr>
          <w:rFonts w:ascii="Times New Roman" w:cs="Times New Roman" w:eastAsia="Times New Roman" w:hAnsi="Times New Roman"/>
          <w:sz w:val="17"/>
          <w:szCs w:val="17"/>
          <w:b w:val="1"/>
          <w:bCs w:val="1"/>
          <w:color w:val="auto"/>
        </w:rPr>
        <w:t>Change</w:t>
      </w:r>
    </w:p>
    <w:p>
      <w:pPr>
        <w:spacing w:after="0" w:line="67" w:lineRule="exact"/>
        <w:rPr>
          <w:sz w:val="20"/>
          <w:szCs w:val="20"/>
          <w:color w:val="auto"/>
        </w:rPr>
      </w:pPr>
    </w:p>
    <w:p>
      <w:pPr>
        <w:ind w:left="360"/>
        <w:spacing w:after="0"/>
        <w:tabs>
          <w:tab w:leader="none" w:pos="1780" w:val="left"/>
          <w:tab w:leader="none" w:pos="3160" w:val="left"/>
        </w:tabs>
        <w:rPr>
          <w:sz w:val="20"/>
          <w:szCs w:val="20"/>
          <w:color w:val="auto"/>
        </w:rPr>
      </w:pPr>
      <w:r>
        <w:rPr>
          <w:rFonts w:ascii="Times New Roman" w:cs="Times New Roman" w:eastAsia="Times New Roman" w:hAnsi="Times New Roman"/>
          <w:sz w:val="18"/>
          <w:szCs w:val="18"/>
          <w:color w:val="auto"/>
        </w:rPr>
        <w:t>2,869</w:t>
      </w:r>
      <w:r>
        <w:rPr>
          <w:sz w:val="20"/>
          <w:szCs w:val="20"/>
          <w:color w:val="auto"/>
        </w:rPr>
        <w:tab/>
      </w:r>
      <w:r>
        <w:rPr>
          <w:rFonts w:ascii="Times New Roman" w:cs="Times New Roman" w:eastAsia="Times New Roman" w:hAnsi="Times New Roman"/>
          <w:sz w:val="18"/>
          <w:szCs w:val="18"/>
          <w:color w:val="auto"/>
        </w:rPr>
        <w:t>4,337</w:t>
      </w:r>
      <w:r>
        <w:rPr>
          <w:sz w:val="20"/>
          <w:szCs w:val="20"/>
          <w:color w:val="auto"/>
        </w:rPr>
        <w:tab/>
      </w:r>
      <w:r>
        <w:rPr>
          <w:rFonts w:ascii="Times New Roman" w:cs="Times New Roman" w:eastAsia="Times New Roman" w:hAnsi="Times New Roman"/>
          <w:sz w:val="18"/>
          <w:szCs w:val="18"/>
          <w:color w:val="auto"/>
        </w:rPr>
        <w:t>(1,468)</w:t>
      </w:r>
    </w:p>
    <w:p>
      <w:pPr>
        <w:spacing w:after="0" w:line="63" w:lineRule="exact"/>
        <w:rPr>
          <w:sz w:val="20"/>
          <w:szCs w:val="20"/>
          <w:color w:val="auto"/>
        </w:rPr>
      </w:pPr>
    </w:p>
    <w:p>
      <w:pPr>
        <w:ind w:left="360"/>
        <w:spacing w:after="0"/>
        <w:tabs>
          <w:tab w:leader="none" w:pos="1780" w:val="left"/>
          <w:tab w:leader="none" w:pos="3360" w:val="left"/>
        </w:tabs>
        <w:rPr>
          <w:sz w:val="20"/>
          <w:szCs w:val="20"/>
          <w:color w:val="auto"/>
        </w:rPr>
      </w:pPr>
      <w:r>
        <w:rPr>
          <w:rFonts w:ascii="Times New Roman" w:cs="Times New Roman" w:eastAsia="Times New Roman" w:hAnsi="Times New Roman"/>
          <w:sz w:val="18"/>
          <w:szCs w:val="18"/>
          <w:color w:val="auto"/>
        </w:rPr>
        <w:t>5,681</w:t>
      </w:r>
      <w:r>
        <w:rPr>
          <w:sz w:val="20"/>
          <w:szCs w:val="20"/>
          <w:color w:val="auto"/>
        </w:rPr>
        <w:tab/>
      </w:r>
      <w:r>
        <w:rPr>
          <w:rFonts w:ascii="Times New Roman" w:cs="Times New Roman" w:eastAsia="Times New Roman" w:hAnsi="Times New Roman"/>
          <w:sz w:val="18"/>
          <w:szCs w:val="18"/>
          <w:color w:val="auto"/>
        </w:rPr>
        <w:t>5,236</w:t>
      </w:r>
      <w:r>
        <w:rPr>
          <w:sz w:val="20"/>
          <w:szCs w:val="20"/>
          <w:color w:val="auto"/>
        </w:rPr>
        <w:tab/>
      </w:r>
      <w:r>
        <w:rPr>
          <w:rFonts w:ascii="Times New Roman" w:cs="Times New Roman" w:eastAsia="Times New Roman" w:hAnsi="Times New Roman"/>
          <w:sz w:val="18"/>
          <w:szCs w:val="18"/>
          <w:color w:val="auto"/>
        </w:rPr>
        <w:t>445</w:t>
      </w:r>
    </w:p>
    <w:p>
      <w:pPr>
        <w:spacing w:after="0" w:line="36" w:lineRule="exact"/>
        <w:rPr>
          <w:sz w:val="20"/>
          <w:szCs w:val="20"/>
          <w:color w:val="auto"/>
        </w:rPr>
      </w:pPr>
    </w:p>
    <w:p>
      <w:pPr>
        <w:ind w:left="360"/>
        <w:spacing w:after="0"/>
        <w:tabs>
          <w:tab w:leader="none" w:pos="1780" w:val="left"/>
          <w:tab w:leader="none" w:pos="3160" w:val="left"/>
        </w:tabs>
        <w:rPr>
          <w:sz w:val="20"/>
          <w:szCs w:val="20"/>
          <w:color w:val="auto"/>
        </w:rPr>
      </w:pPr>
      <w:r>
        <w:rPr>
          <w:rFonts w:ascii="Times New Roman" w:cs="Times New Roman" w:eastAsia="Times New Roman" w:hAnsi="Times New Roman"/>
          <w:sz w:val="18"/>
          <w:szCs w:val="18"/>
          <w:color w:val="auto"/>
        </w:rPr>
        <w:t>8,550</w:t>
      </w:r>
      <w:r>
        <w:rPr>
          <w:sz w:val="20"/>
          <w:szCs w:val="20"/>
          <w:color w:val="auto"/>
        </w:rPr>
        <w:tab/>
      </w:r>
      <w:r>
        <w:rPr>
          <w:rFonts w:ascii="Times New Roman" w:cs="Times New Roman" w:eastAsia="Times New Roman" w:hAnsi="Times New Roman"/>
          <w:sz w:val="18"/>
          <w:szCs w:val="18"/>
          <w:color w:val="auto"/>
        </w:rPr>
        <w:t>9,573</w:t>
      </w:r>
      <w:r>
        <w:rPr>
          <w:sz w:val="20"/>
          <w:szCs w:val="20"/>
          <w:color w:val="auto"/>
        </w:rPr>
        <w:tab/>
      </w:r>
      <w:r>
        <w:rPr>
          <w:rFonts w:ascii="Times New Roman" w:cs="Times New Roman" w:eastAsia="Times New Roman" w:hAnsi="Times New Roman"/>
          <w:sz w:val="18"/>
          <w:szCs w:val="18"/>
          <w:color w:val="auto"/>
        </w:rPr>
        <w:t>(1,023)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34290</wp:posOffset>
            </wp:positionV>
            <wp:extent cx="27000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092" w:lineRule="exact"/>
        <w:rPr>
          <w:sz w:val="20"/>
          <w:szCs w:val="20"/>
          <w:color w:val="auto"/>
        </w:rPr>
      </w:pPr>
    </w:p>
    <w:p>
      <w:pPr>
        <w:sectPr>
          <w:pgSz w:w="11900" w:h="16838" w:orient="portrait"/>
          <w:cols w:equalWidth="0" w:num="2">
            <w:col w:w="6760" w:space="720"/>
            <w:col w:w="3760"/>
          </w:cols>
          <w:pgMar w:left="320" w:top="540" w:right="339" w:bottom="1440" w:gutter="0" w:footer="0" w:header="0"/>
          <w:type w:val="continuous"/>
        </w:sectPr>
      </w:pPr>
    </w:p>
    <w:p>
      <w:pPr>
        <w:spacing w:after="0" w:line="37" w:lineRule="exact"/>
        <w:rPr>
          <w:sz w:val="20"/>
          <w:szCs w:val="20"/>
          <w:color w:val="auto"/>
        </w:rPr>
      </w:pPr>
    </w:p>
    <w:p>
      <w:pPr>
        <w:ind w:left="660" w:right="4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1.4 million associated with the reallocation of certain IT and facilities expenditures for the six months ended June 30, 2022 that were not reclassified in the prior period; and</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CHF 0.4 million for transaction costs associated with our asset acquisition for a portfolio of therapeutics targeting alpha-synuclein and cash in 2021, which were not incurred in the current comparable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660" w:right="7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expenses, including share-based compensation expense, of CHF 0.4 million, CHF 0.2 million increase in certain professional costs and CHF 0.2 million in other administrative expenses.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operating income/(expense)</w:t>
      </w:r>
    </w:p>
    <w:p>
      <w:pPr>
        <w:spacing w:after="0" w:line="22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Other operating income/(expense) consists primarily of income associated with foundation grants such as those from the Michael J. Fox Foundation (MJFF) or Target ALS.</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other operating income/(expense) totaled CHF 0.2 million compared with CHF 0.3 million for the comparable period in 2021. This represents a decrease of CHF 0.1 million. The following table presents the other operating income/(expense) during the three months ended June 30,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34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86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Other operating income/(expense)</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3"/>
        </w:trPr>
        <w:tc>
          <w:tcPr>
            <w:tcW w:w="698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D5EAEA"/>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196"/>
        </w:trPr>
        <w:tc>
          <w:tcPr>
            <w:tcW w:w="686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bl>
    <w:p>
      <w:pPr>
        <w:spacing w:after="0"/>
        <w:rPr>
          <w:sz w:val="20"/>
          <w:szCs w:val="20"/>
          <w:color w:val="auto"/>
        </w:rPr>
      </w:pPr>
      <w:r>
        <w:rPr>
          <w:rFonts w:ascii="Times New Roman" w:cs="Times New Roman" w:eastAsia="Times New Roman" w:hAnsi="Times New Roman"/>
          <w:sz w:val="18"/>
          <w:szCs w:val="18"/>
          <w:color w:val="auto"/>
        </w:rPr>
        <w:t>For the three months ended June 30, 2022, this decrease is primarily due to:</w:t>
      </w:r>
    </w:p>
    <w:p>
      <w:pPr>
        <w:spacing w:after="0" w:line="20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less than CHF 0.1 million in grant income related to activities for the Company’s MJFF awards.</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other operating income/(expense) totaled CHF 0.7 million compared with CHF 0.7 million for the comparable period in 2021. This represents an increase of less than CHF 0.1 million. The following table presents the other operating income/(expense) during the six months ended June 30,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340" w:type="dxa"/>
            <w:vAlign w:val="bottom"/>
          </w:tcPr>
          <w:p>
            <w:pPr>
              <w:spacing w:after="0"/>
              <w:rPr>
                <w:sz w:val="18"/>
                <w:szCs w:val="18"/>
                <w:color w:val="auto"/>
              </w:rPr>
            </w:pPr>
          </w:p>
        </w:tc>
      </w:tr>
      <w:tr>
        <w:trPr>
          <w:trHeight w:val="230"/>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340" w:type="dxa"/>
            <w:vAlign w:val="bottom"/>
          </w:tcPr>
          <w:p>
            <w:pPr>
              <w:spacing w:after="0"/>
              <w:rPr>
                <w:sz w:val="19"/>
                <w:szCs w:val="19"/>
                <w:color w:val="auto"/>
              </w:rPr>
            </w:pPr>
          </w:p>
        </w:tc>
      </w:tr>
      <w:tr>
        <w:trPr>
          <w:trHeight w:val="238"/>
        </w:trPr>
        <w:tc>
          <w:tcPr>
            <w:tcW w:w="69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86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Other operating income/(expense)</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operating income/(expense)</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this increase is primarily due to:</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24" w:name="page25"/>
    <w:bookmarkEnd w:id="24"/>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less than CHF 0.1 million in grant income related to activities for two MJFF awards awarded in Q4 2021.</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Finance result, net</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2022, finance result was a CHF 0.2 million gain compared with a CHF 0.4 million loss for the comparable period in 2021. This represents an increase of CHF 0.6 million. The following table presents the finance result during the three months ended June 30, 2022 and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34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June 30, 2022, net finance result was a gain, primarily related to:</w:t>
      </w:r>
    </w:p>
    <w:p>
      <w:pPr>
        <w:spacing w:after="0" w:line="225" w:lineRule="exact"/>
        <w:rPr>
          <w:sz w:val="20"/>
          <w:szCs w:val="20"/>
          <w:color w:val="auto"/>
        </w:rPr>
      </w:pPr>
    </w:p>
    <w:p>
      <w:pPr>
        <w:ind w:left="660" w:right="10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0.5 million increase in exchange differences, primarily related to favorable movement in the USD-CHF exchange rate during the period as well as interest expense paid on short-term deposits.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finance result was a CHF 0.2 million gain compared with a CHF 0.1 million gain for the comparable period in 2021. This represents an increase of CHF 0.1 million. The following table presents the finance result during the six months ended June 30, 2022 and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340" w:type="dxa"/>
            <w:vAlign w:val="bottom"/>
          </w:tcPr>
          <w:p>
            <w:pPr>
              <w:spacing w:after="0"/>
              <w:rPr>
                <w:sz w:val="18"/>
                <w:szCs w:val="18"/>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340" w:type="dxa"/>
            <w:vAlign w:val="bottom"/>
          </w:tcPr>
          <w:p>
            <w:pPr>
              <w:spacing w:after="0"/>
              <w:rPr>
                <w:sz w:val="20"/>
                <w:szCs w:val="20"/>
                <w:color w:val="auto"/>
              </w:rPr>
            </w:pPr>
          </w:p>
        </w:tc>
      </w:tr>
      <w:tr>
        <w:trPr>
          <w:trHeight w:val="223"/>
        </w:trPr>
        <w:tc>
          <w:tcPr>
            <w:tcW w:w="69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13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686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expense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result, net</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2022, net finance result was a gain, primarily related to:</w:t>
      </w:r>
    </w:p>
    <w:p>
      <w:pPr>
        <w:spacing w:after="0" w:line="225" w:lineRule="exact"/>
        <w:rPr>
          <w:sz w:val="20"/>
          <w:szCs w:val="20"/>
          <w:color w:val="auto"/>
        </w:rPr>
      </w:pPr>
    </w:p>
    <w:p>
      <w:pPr>
        <w:ind w:left="660" w:right="2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CHF 0.1 million increase in exchange differences, primarily related to overall favorable movement in the USD-CHF exchange rate during the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partially offset by;</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CHF 0.1 million paid in finance costs and interest expense on short-term deposits.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To date, AC Immune has financed its cash requirements primarily from its public offerings, share issuances, contract revenues from license and collaboration agreements and grants. The Company is a clinical-stage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 (i) establish and maintain a strong patent position and protection, (ii) enter into collaborations with partners in the pharmaceutical and biopharmaceutical industries, (iii) successfully move its product candidates through clinical development, (iv) attract and retain key personnel and (v) acquire capital to support its operations. As of June 30, 2022, we had cash and cash equivalents of CHF 63.1 million and short-term financial assets of CHF 91.0 million for a total liquidity balance of CHF 154.1 million.</w:t>
      </w:r>
    </w:p>
    <w:p>
      <w:pPr>
        <w:spacing w:after="0" w:line="18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R&amp;D expenses, compensation and related expenses, and other operating expenses including rent. Cash and cash equivalents used to fund operating expenses are impacted by the timing of when we pay expenses, as reflected in the change in our outstanding</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p>
      <w:pPr>
        <w:ind w:right="20"/>
        <w:spacing w:after="0" w:line="255" w:lineRule="auto"/>
        <w:rPr>
          <w:sz w:val="20"/>
          <w:szCs w:val="20"/>
          <w:color w:val="auto"/>
        </w:rPr>
      </w:pPr>
      <w:r>
        <w:rPr>
          <w:rFonts w:ascii="Times New Roman" w:cs="Times New Roman" w:eastAsia="Times New Roman" w:hAnsi="Times New Roman"/>
          <w:sz w:val="18"/>
          <w:szCs w:val="18"/>
          <w:color w:val="auto"/>
        </w:rPr>
        <w:t>accounts payable and accrued expenses. We expect to incur substantial expenses in connection with a number of our product candidates in various stages of clinical development. We and Janssen are co-developing second-generation therapeutic vaccines, ACI-35.030 and JACI-35.054, through Phase 1b/2a completion. AC Immune and Janssen will jointly share R&amp;D costs until the completion of the first Phase 2b (AC Immune’s contribution to the first Phase 2b trial is capped). From Phase 2b and onwards, Janssen will assume responsibility for the clinical development, manufacturing and commercialization of the vaccines. We expect to incur additional R&amp;D expenditures associated with the expansion of our Morphomer Tau program into AD and NeuroOrphan indications. We intend to increase our R&amp;D costs associated with the advancement of ACI-7104 in Parkinson’s disease and our ACI-24 vaccine program (i.e. ACI-24 AD and ACI-24 DS) through mid-stage clinical development. We also intend to further characterize our preclinical candidates.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plan to continue to fund our operating and capital funding needs through proceeds received from licensing and collaboration agreements (LCAs) and through equity or other forms of financing. For example, in Q3 2020 we entered into the Open Market Sale Agreement (Sale Agreement) with Jefferies LLC (Jefferies), which provides that, upon the terms and subject to the conditions and limitations set forth in the Sale Agreement, we may elect to issue and sell, from time to time, shares of our common shares having an aggregate offering price of up to USD 80.0 (CHF 77.2) million through Jefferies acting as our sales agent. We replaced this Sale Agreement in Q2 2021 to continue the ATM program. Under the new Sale Agreement, Jefferies may sell the shares of common shares by any method permitted by law deemed to be an “at the market offering” as defined under the Securities Act of 1933, as amended, in privately negotiated transactions with our consent or in block transactions. Jefferies will use commercially reasonable efforts to sell the shares of common shares subject to the new Sales Agreement from time to time, consistent with its normal sales and trading practices, on mutually agreed terms. We will pay Jefferies a commission of up to 3.0% of the gross sales proceeds of any common shares sold through Jefferies under the new Sales Agreement. We are not obligated to make any sales of common shares under the new Sales Agreement, and we have not yet sold any common shares pursuant to the new Sales Agreement.</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may also consider entering into additional LCAs and selectively partnering for clinical development and commercialization.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6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AC Immune’s cash flows for the periods indicated:</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0"/>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1340" w:type="dxa"/>
            <w:vAlign w:val="bottom"/>
          </w:tcPr>
          <w:p>
            <w:pPr>
              <w:spacing w:after="0"/>
              <w:rPr>
                <w:sz w:val="24"/>
                <w:szCs w:val="24"/>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340" w:type="dxa"/>
            <w:vAlign w:val="bottom"/>
          </w:tcPr>
          <w:p>
            <w:pPr>
              <w:spacing w:after="0"/>
              <w:rPr>
                <w:sz w:val="20"/>
                <w:szCs w:val="20"/>
                <w:color w:val="auto"/>
              </w:rPr>
            </w:pPr>
          </w:p>
        </w:tc>
      </w:tr>
      <w:tr>
        <w:trPr>
          <w:trHeight w:val="223"/>
        </w:trPr>
        <w:tc>
          <w:tcPr>
            <w:tcW w:w="686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in CHF thousands, unaudited</w:t>
            </w:r>
          </w:p>
        </w:tc>
        <w:tc>
          <w:tcPr>
            <w:tcW w:w="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37"/>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38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(33,362)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(9,262)</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23,925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55,372</w:t>
            </w:r>
          </w:p>
        </w:tc>
      </w:tr>
      <w:tr>
        <w:trPr>
          <w:trHeight w:val="229"/>
        </w:trPr>
        <w:tc>
          <w:tcPr>
            <w:tcW w:w="698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38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7,688</w:t>
            </w:r>
          </w:p>
        </w:tc>
        <w:tc>
          <w:tcPr>
            <w:tcW w:w="100" w:type="dxa"/>
            <w:vAlign w:val="bottom"/>
            <w:shd w:val="clear" w:color="auto" w:fill="D5EAEA"/>
          </w:tcPr>
          <w:p>
            <w:pPr>
              <w:spacing w:after="0"/>
              <w:rPr>
                <w:sz w:val="19"/>
                <w:szCs w:val="19"/>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color w:val="auto"/>
              </w:rPr>
              <w:t>(8,741)</w:t>
            </w:r>
          </w:p>
        </w:tc>
      </w:tr>
      <w:tr>
        <w:trPr>
          <w:trHeight w:val="223"/>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(19,752)</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(57,121)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37,369</w:t>
            </w: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CHF 42.6 million for the six months ended June 30, 2022, compared with net cash used in operating activities of CHF 33.4 million for the six months ended June 30, 2021. The change in cash used in operating activities for the six months ended June 30, 2022 was due to (i) the Company’s reporting a net loss of CHF 38.5 million for period, compared with a net loss of CHF 35.8 million for the same period in 2021, driven by a CHF 3.8 million increase in R&amp;D expenditures for the six months ended June 30, 2022 and (ii) and a decrease of CHF 4.3 million in accrued expenses, representing cash outflows associated with the timing of certain accrual payments during the period.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CHF 23.9 million for the six months ended June 30, 2022, compared with net cash used in investing activities of CHF 31.4 million for the six months ended June 30, 2021. The Company settled short-term financial assets totaling CHF 25.0 million for the current period compared to</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6" w:name="page27"/>
    <w:bookmarkEnd w:id="26"/>
    <w:p>
      <w:pPr>
        <w:ind w:right="440"/>
        <w:spacing w:after="0" w:line="282" w:lineRule="auto"/>
        <w:rPr>
          <w:sz w:val="20"/>
          <w:szCs w:val="20"/>
          <w:color w:val="auto"/>
        </w:rPr>
      </w:pPr>
      <w:r>
        <w:rPr>
          <w:rFonts w:ascii="Times New Roman" w:cs="Times New Roman" w:eastAsia="Times New Roman" w:hAnsi="Times New Roman"/>
          <w:sz w:val="18"/>
          <w:szCs w:val="18"/>
          <w:color w:val="auto"/>
        </w:rPr>
        <w:t>the investment of a net CHF 30.0 million in the prior period. The Company additionally acquired CHF 1.1 million in fixed assets in the current period compared to CHF 1.4 million in the prior period.</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CHF 1.1 million for the six months ended June 30, 2022, compared with net cash provided by financing activities of CHF 7.7 million for the six months ended June 30, 2021. The decrease of CHF 8.7 million is predominantly related to CHF 7.8 million received from proceeds from the sale of treasury shares in public offerings, net of underwriting fees and transaction costs in the prior period which were not received in the current comparable period. Additionally, the Company paid CHF 0.8 million in stamp duty associated with issuance of shares in relation to the asset acquisition that were previously accrued.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Capital Requirements and Plan of Operations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revenues from royalties based on product sales unless and until our partners obtain regulatory approval of, and successfully commercialize, our current or any future product candidates. As of June 30, 2022, we had cash and cash equivalents of CHF 63.1 million and short-term financial assets of CHF 91.0 million, resulting in CHF 154.1 million of liquidity. The decrease relative to December 31, 2021 was predominantly related to R&amp;D spending on our major discovery and R&amp;D programs, the strengthening of the Company’s infrastructure, systems and organization and other operating expenditures. There can be no certainty as to the exact timing of future milestone payments, or in fact, whether any of these will ever be made, given that they are contingent on clear milestones being reached. Accordingly, assuming that we do not receive potential milestone payments and based upon our currently contemplated R&amp;D strategy, we believe that our existing capital resources will be sufficient to meet our projected operating requirements through at least Q1 2024.</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expect to generate losses for the foreseeable future, and these losses could increase as we continue product development until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We expect to incur additional costs associated with operating a public company and we anticipate that we will need substantial additional funding in connection with our continuing operations. If we need to raise additional capital to fund our operations and complete our ongoing and planned clinical studies, funding may not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 the following:</w:t>
      </w:r>
    </w:p>
    <w:p>
      <w:pPr>
        <w:spacing w:after="0" w:line="225" w:lineRule="exact"/>
        <w:rPr>
          <w:sz w:val="20"/>
          <w:szCs w:val="20"/>
          <w:color w:val="auto"/>
        </w:rPr>
      </w:pPr>
    </w:p>
    <w:p>
      <w:pPr>
        <w:ind w:left="660" w:right="10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preclinical and clinical studies and other related activities, according to our long-term strategic plan;</w:t>
      </w:r>
    </w:p>
    <w:p>
      <w:pPr>
        <w:spacing w:after="0" w:line="188"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and establishing commercial supplies of our product candidates and any other products we may develop;</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regulatory approvals;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sales, marketing and distribution capabilities;</w:t>
      </w:r>
    </w:p>
    <w:p>
      <w:pPr>
        <w:spacing w:after="0" w:line="252"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 including any required milestone and royalty payments thereunder;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or other adverse market developments;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outcomes of managing, protecting and defending our intellectual property portfolio.</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Quantitative and Qualitative Disclosures about Market Risk</w:t>
      </w:r>
    </w:p>
    <w:p>
      <w:pPr>
        <w:spacing w:after="0" w:line="22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2022, there were no significant changes to our quantitative and qualitative disclosures about market risk described under the heading “Management’s Discussion and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7" w:name="page28"/>
    <w:bookmarkEnd w:id="27"/>
    <w:p>
      <w:pPr>
        <w:ind w:right="180"/>
        <w:spacing w:after="0" w:line="282" w:lineRule="auto"/>
        <w:rPr>
          <w:sz w:val="20"/>
          <w:szCs w:val="20"/>
          <w:color w:val="auto"/>
        </w:rPr>
      </w:pPr>
      <w:r>
        <w:rPr>
          <w:rFonts w:ascii="Times New Roman" w:cs="Times New Roman" w:eastAsia="Times New Roman" w:hAnsi="Times New Roman"/>
          <w:sz w:val="18"/>
          <w:szCs w:val="18"/>
          <w:color w:val="auto"/>
        </w:rPr>
        <w:t>Analysis of Financial Condition and Results of Operations – Quantitative and Qualitative Disclosures About Market Risk” in the Annual Report on Form 20-F.</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Critical Judgments and Accounting Estimates</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and estimates described under the heading “Management’s Discussion and Analysis of Financial Condition and Results of Operations – Critical Judgments and Accounting Estimates” in the Annual Report on Form 20-F, except as it relates to the Company’s derivative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In addition to AC Immune’s operating results, as calculated in accordance with International Financial Reporting Standards (IFRS), as issued by the International Accounting Standards Board, we use adjusted loss and adjusted loss per share when monitoring and evaluating our operational performance. Adjusted loss is defined as loss for the relevant period, as adjusted for certain items that we believe are not indicative of our ongoing operating performance. Adjusted loss per share is defined as adjusted loss for the relevant period divided by the weighted-average number of shares for such period.</w:t>
      </w:r>
    </w:p>
    <w:p>
      <w:pPr>
        <w:spacing w:after="0" w:line="16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that these measures assist our shareholders because they enhance the comparability of our results each period and provide more useful insight into operational results for the period. The Company’s executive management uses these non-IFRS measures to evaluate our operational performance. These non-IFRS financial measures are not meant to be considered alone or as substitutes for our IFRS financial measures and should be read in conjunction with the Company’s consolidated financial statements prepared in accordance with IFRS. The most directly comparable IFRS measure to these non-IFRS measures is net loss. The following table reconciles net loss to adjusted loss and adjusted loss per share for the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Loss to Adjusted Loss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Per Share to Adjusted Loss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7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Six Months</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278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Ended June 30,</w:t>
            </w:r>
          </w:p>
        </w:tc>
      </w:tr>
      <w:tr>
        <w:trPr>
          <w:trHeight w:val="223"/>
        </w:trPr>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in CHF thousands except for share and per share data, unaudited</w:t>
            </w:r>
          </w:p>
        </w:tc>
        <w:tc>
          <w:tcPr>
            <w:tcW w:w="13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400" w:type="dxa"/>
            <w:vAlign w:val="bottom"/>
            <w:tcBorders>
              <w:top w:val="single" w:sz="8" w:color="auto"/>
            </w:tcBorders>
            <w:shd w:val="clear" w:color="auto" w:fill="D5EAEA"/>
          </w:tcPr>
          <w:p>
            <w:pPr>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Borders>
              <w:top w:val="single" w:sz="8" w:color="D5EAEA"/>
            </w:tcBorders>
            <w:shd w:val="clear" w:color="auto" w:fill="D5EAEA"/>
          </w:tcPr>
          <w:p>
            <w:pPr>
              <w:spacing w:after="0"/>
              <w:rPr>
                <w:sz w:val="19"/>
                <w:szCs w:val="19"/>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b w:val="1"/>
                <w:bCs w:val="1"/>
                <w:color w:val="auto"/>
              </w:rPr>
              <w:t>(19,643)</w:t>
            </w:r>
          </w:p>
        </w:tc>
        <w:tc>
          <w:tcPr>
            <w:tcW w:w="12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b w:val="1"/>
                <w:bCs w:val="1"/>
                <w:color w:val="auto"/>
              </w:rPr>
              <w:t>(19,069)</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b w:val="1"/>
                <w:bCs w:val="1"/>
                <w:color w:val="auto"/>
              </w:rPr>
              <w:t>(38,489)</w:t>
            </w:r>
          </w:p>
        </w:tc>
        <w:tc>
          <w:tcPr>
            <w:tcW w:w="100" w:type="dxa"/>
            <w:vAlign w:val="bottom"/>
            <w:tcBorders>
              <w:top w:val="single" w:sz="8" w:color="D5EAEA"/>
            </w:tcBorders>
            <w:shd w:val="clear" w:color="auto" w:fill="D5EAEA"/>
          </w:tcPr>
          <w:p>
            <w:pPr>
              <w:spacing w:after="0"/>
              <w:rPr>
                <w:sz w:val="19"/>
                <w:szCs w:val="19"/>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Times New Roman" w:cs="Times New Roman" w:eastAsia="Times New Roman" w:hAnsi="Times New Roman"/>
                <w:sz w:val="18"/>
                <w:szCs w:val="18"/>
                <w:b w:val="1"/>
                <w:bCs w:val="1"/>
                <w:color w:val="auto"/>
              </w:rPr>
              <w:t>(35,803)</w:t>
            </w:r>
          </w:p>
        </w:tc>
      </w:tr>
      <w:tr>
        <w:trPr>
          <w:trHeight w:val="210"/>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7"/>
        </w:trPr>
        <w:tc>
          <w:tcPr>
            <w:tcW w:w="5520" w:type="dxa"/>
            <w:vAlign w:val="bottom"/>
            <w:gridSpan w:val="2"/>
            <w:shd w:val="clear" w:color="auto" w:fill="D5EAEA"/>
          </w:tcPr>
          <w:p>
            <w:pPr>
              <w:spacing w:after="0" w:line="256" w:lineRule="exact"/>
              <w:rPr>
                <w:sz w:val="20"/>
                <w:szCs w:val="20"/>
                <w:color w:val="auto"/>
              </w:rPr>
            </w:pPr>
            <w:r>
              <w:rPr>
                <w:rFonts w:ascii="Times New Roman" w:cs="Times New Roman" w:eastAsia="Times New Roman" w:hAnsi="Times New Roman"/>
                <w:sz w:val="18"/>
                <w:szCs w:val="18"/>
                <w:color w:val="auto"/>
              </w:rPr>
              <w:t>Non-cash share-based payments</w:t>
            </w:r>
            <w:r>
              <w:rPr>
                <w:rFonts w:ascii="Times New Roman" w:cs="Times New Roman" w:eastAsia="Times New Roman" w:hAnsi="Times New Roman"/>
                <w:sz w:val="29"/>
                <w:szCs w:val="29"/>
                <w:color w:val="auto"/>
                <w:vertAlign w:val="superscript"/>
              </w:rPr>
              <w:t>1</w:t>
            </w: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D5EAEA"/>
          </w:tcPr>
          <w:p>
            <w:pPr>
              <w:spacing w:after="0"/>
              <w:rPr>
                <w:sz w:val="22"/>
                <w:szCs w:val="22"/>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r>
      <w:tr>
        <w:trPr>
          <w:trHeight w:val="256"/>
        </w:trPr>
        <w:tc>
          <w:tcPr>
            <w:tcW w:w="55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Foreign currency (gains)/losses</w:t>
            </w:r>
            <w:r>
              <w:rPr>
                <w:rFonts w:ascii="Times New Roman" w:cs="Times New Roman" w:eastAsia="Times New Roman" w:hAnsi="Times New Roman"/>
                <w:sz w:val="29"/>
                <w:szCs w:val="29"/>
                <w:color w:val="auto"/>
                <w:vertAlign w:val="superscript"/>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70"/>
        </w:trPr>
        <w:tc>
          <w:tcPr>
            <w:tcW w:w="5520" w:type="dxa"/>
            <w:vAlign w:val="bottom"/>
            <w:gridSpan w:val="2"/>
            <w:shd w:val="clear" w:color="auto" w:fill="D5EAEA"/>
          </w:tcPr>
          <w:p>
            <w:pPr>
              <w:spacing w:after="0" w:line="27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9"/>
                <w:szCs w:val="29"/>
                <w:color w:val="auto"/>
                <w:vertAlign w:val="superscript"/>
              </w:rPr>
              <w:t>3</w:t>
            </w:r>
          </w:p>
        </w:tc>
        <w:tc>
          <w:tcPr>
            <w:tcW w:w="1500" w:type="dxa"/>
            <w:vAlign w:val="bottom"/>
            <w:gridSpan w:val="2"/>
            <w:shd w:val="clear" w:color="auto" w:fill="D5EA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D5EAEA"/>
          </w:tcPr>
          <w:p>
            <w:pPr>
              <w:spacing w:after="0"/>
              <w:rPr>
                <w:sz w:val="23"/>
                <w:szCs w:val="23"/>
                <w:color w:val="auto"/>
              </w:rPr>
            </w:pPr>
          </w:p>
        </w:tc>
        <w:tc>
          <w:tcPr>
            <w:tcW w:w="1440" w:type="dxa"/>
            <w:vAlign w:val="bottom"/>
            <w:gridSpan w:val="2"/>
            <w:shd w:val="clear" w:color="auto" w:fill="D5EAEA"/>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r>
      <w:tr>
        <w:trPr>
          <w:trHeight w:val="263"/>
        </w:trPr>
        <w:tc>
          <w:tcPr>
            <w:tcW w:w="5520" w:type="dxa"/>
            <w:vAlign w:val="bottom"/>
            <w:tcBorders>
              <w:bottom w:val="single" w:sz="8" w:color="D5EAEA"/>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Loss</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(19,175)</w:t>
            </w:r>
          </w:p>
        </w:tc>
        <w:tc>
          <w:tcPr>
            <w:tcW w:w="12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(17,565)</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(37,286)</w:t>
            </w:r>
          </w:p>
        </w:tc>
        <w:tc>
          <w:tcPr>
            <w:tcW w:w="100" w:type="dxa"/>
            <w:vAlign w:val="bottom"/>
            <w:tcBorders>
              <w:bottom w:val="single" w:sz="8" w:color="D5EAEA"/>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(34,062)</w:t>
            </w:r>
          </w:p>
        </w:tc>
      </w:tr>
      <w:tr>
        <w:trPr>
          <w:trHeight w:val="197"/>
        </w:trPr>
        <w:tc>
          <w:tcPr>
            <w:tcW w:w="540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16"/>
        </w:trPr>
        <w:tc>
          <w:tcPr>
            <w:tcW w:w="552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Adjustment to loss per share – basic and diluted</w:t>
            </w:r>
          </w:p>
        </w:tc>
        <w:tc>
          <w:tcPr>
            <w:tcW w:w="1500" w:type="dxa"/>
            <w:vAlign w:val="bottom"/>
            <w:gridSpan w:val="2"/>
            <w:shd w:val="clear" w:color="auto" w:fill="D5EAEA"/>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D5EAEA"/>
          </w:tcPr>
          <w:p>
            <w:pPr>
              <w:spacing w:after="0"/>
              <w:rPr>
                <w:sz w:val="18"/>
                <w:szCs w:val="18"/>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loss per share – basic and diluted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198"/>
        </w:trPr>
        <w:tc>
          <w:tcPr>
            <w:tcW w:w="5520" w:type="dxa"/>
            <w:vAlign w:val="bottom"/>
            <w:gridSpan w:val="2"/>
            <w:shd w:val="clear" w:color="auto" w:fill="D5EAEA"/>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Adjusted loss – basic and</w:t>
            </w:r>
          </w:p>
        </w:tc>
        <w:tc>
          <w:tcPr>
            <w:tcW w:w="138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spacing w:after="0"/>
              <w:rPr>
                <w:sz w:val="17"/>
                <w:szCs w:val="17"/>
                <w:color w:val="auto"/>
              </w:rPr>
            </w:pPr>
          </w:p>
        </w:tc>
      </w:tr>
      <w:tr>
        <w:trPr>
          <w:trHeight w:val="234"/>
        </w:trPr>
        <w:tc>
          <w:tcPr>
            <w:tcW w:w="5520" w:type="dxa"/>
            <w:vAlign w:val="bottom"/>
            <w:gridSpan w:val="2"/>
            <w:shd w:val="clear" w:color="auto" w:fill="D5EAEA"/>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84,462,675</w:t>
            </w:r>
          </w:p>
        </w:tc>
        <w:tc>
          <w:tcPr>
            <w:tcW w:w="12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72,715,783</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30"/>
              <w:spacing w:after="0"/>
              <w:rPr>
                <w:sz w:val="20"/>
                <w:szCs w:val="20"/>
                <w:color w:val="auto"/>
              </w:rPr>
            </w:pPr>
            <w:r>
              <w:rPr>
                <w:rFonts w:ascii="Times New Roman" w:cs="Times New Roman" w:eastAsia="Times New Roman" w:hAnsi="Times New Roman"/>
                <w:sz w:val="18"/>
                <w:szCs w:val="18"/>
                <w:color w:val="auto"/>
              </w:rPr>
              <w:t>83,510,567</w:t>
            </w:r>
          </w:p>
        </w:tc>
        <w:tc>
          <w:tcPr>
            <w:tcW w:w="100" w:type="dxa"/>
            <w:vAlign w:val="bottom"/>
            <w:shd w:val="clear" w:color="auto" w:fill="D5EAEA"/>
          </w:tcPr>
          <w:p>
            <w:pPr>
              <w:spacing w:after="0"/>
              <w:rPr>
                <w:sz w:val="20"/>
                <w:szCs w:val="20"/>
                <w:color w:val="auto"/>
              </w:rPr>
            </w:pPr>
          </w:p>
        </w:tc>
        <w:tc>
          <w:tcPr>
            <w:tcW w:w="1340" w:type="dxa"/>
            <w:vAlign w:val="bottom"/>
            <w:shd w:val="clear" w:color="auto" w:fill="D5EAEA"/>
          </w:tcPr>
          <w:p>
            <w:pPr>
              <w:jc w:val="right"/>
              <w:ind w:right="10"/>
              <w:spacing w:after="0"/>
              <w:rPr>
                <w:sz w:val="20"/>
                <w:szCs w:val="20"/>
                <w:color w:val="auto"/>
              </w:rPr>
            </w:pPr>
            <w:r>
              <w:rPr>
                <w:rFonts w:ascii="Times New Roman" w:cs="Times New Roman" w:eastAsia="Times New Roman" w:hAnsi="Times New Roman"/>
                <w:sz w:val="18"/>
                <w:szCs w:val="18"/>
                <w:color w:val="auto"/>
              </w:rPr>
              <w:t>72,113,581</w:t>
            </w:r>
          </w:p>
        </w:tc>
      </w:tr>
    </w:tbl>
    <w:p>
      <w:pPr>
        <w:spacing w:after="0" w:line="114"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non-cash expenses associated with share-based compensation for equity awards issued to Directors, Management and employees of the</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This expense reflects the awards’ fair value recognized for the portion of the equity award which is vesting over the period.</w:t>
      </w:r>
    </w:p>
    <w:p>
      <w:pPr>
        <w:ind w:left="340" w:hanging="332"/>
        <w:spacing w:after="0" w:line="186" w:lineRule="auto"/>
        <w:tabs>
          <w:tab w:leader="none" w:pos="340" w:val="left"/>
        </w:tabs>
        <w:numPr>
          <w:ilvl w:val="0"/>
          <w:numId w:val="4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Reflects foreign currency re-measurement gains and losses for the period, predominantly impacted by the change in the exchange rate between the US</w:t>
      </w:r>
    </w:p>
    <w:p>
      <w:pPr>
        <w:spacing w:after="0" w:line="88"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Reflects transaction costs associated with our asset acquisition for a portfolio of therapeutics targeting alpha-synuclein and cash.</w:t>
      </w:r>
    </w:p>
    <w:p>
      <w:pPr>
        <w:spacing w:after="0" w:line="198" w:lineRule="exact"/>
        <w:rPr>
          <w:sz w:val="20"/>
          <w:szCs w:val="20"/>
          <w:color w:val="auto"/>
        </w:rPr>
      </w:pPr>
    </w:p>
    <w:p>
      <w:pPr>
        <w:ind w:right="320" w:firstLine="321"/>
        <w:spacing w:after="0" w:line="258" w:lineRule="auto"/>
        <w:rPr>
          <w:sz w:val="20"/>
          <w:szCs w:val="20"/>
          <w:color w:val="auto"/>
        </w:rPr>
      </w:pPr>
      <w:r>
        <w:rPr>
          <w:rFonts w:ascii="Times New Roman" w:cs="Times New Roman" w:eastAsia="Times New Roman" w:hAnsi="Times New Roman"/>
          <w:sz w:val="18"/>
          <w:szCs w:val="18"/>
          <w:color w:val="auto"/>
        </w:rPr>
        <w:t>Adjustments for the three and six months ended June 30, 2022, decreased net loss by CHF 0.5 million and CHF 1.2 million, respectively compared with a decrease to net loss of CHF 1.5 million and CHF 1.7 million, respectively, for the comparable periods in 2021. The Company recorded CHF 0.9 million and CHF 1.9 million for share-based compensation expenses, respectively, in each of these periods, and there were foreign currency re-measurement gains of CHF 0.4 million and CHF 0.7 million, respectively, primarily related to movement in the USD-CHF exchange rate during the respective periods. Finally, the Company incurred CHF 0.4 million in</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 w:name="page29"/>
    <w:bookmarkEnd w:id="28"/>
    <w:p>
      <w:pPr>
        <w:ind w:right="320"/>
        <w:spacing w:after="0" w:line="282" w:lineRule="auto"/>
        <w:rPr>
          <w:sz w:val="20"/>
          <w:szCs w:val="20"/>
          <w:color w:val="auto"/>
        </w:rPr>
      </w:pPr>
      <w:r>
        <w:rPr>
          <w:rFonts w:ascii="Times New Roman" w:cs="Times New Roman" w:eastAsia="Times New Roman" w:hAnsi="Times New Roman"/>
          <w:sz w:val="18"/>
          <w:szCs w:val="18"/>
          <w:color w:val="auto"/>
        </w:rPr>
        <w:t>transaction costs associated with its acquisition of a portfolio of therapeutics targeting alpha-synuclein in the three and six months ended June 30, 2021, which were not incurred in the current comparable periods.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 Looking Statements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This discussion and analysis contains statements that constitute forward-looking statements. All statements other than statements of historical facts contained in this discussion and analysis, including statements regarding our future results of operations and financial position, business strategy, product candidates, product pipeline, ongoing and planned clinical studies, including those of our collaboration partners, regulatory approvals, R&amp;D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 Forward-looking statements appear in a number of places in this discussion and analysis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our Annual Report on Form 20-F, including the impact of Covid-19 on our business, suppliers, patients and employees, and any other impact of Covid-19. These forward-looking statements speak only as of the date of this discussion and analysis, and are subject to a number of risks, uncertainties and assumptions as described under the sections in our Annual Report on Form 20-F entitled “Risk Factors” and in this discussion and analysis.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such as the global pandemic originating with Covid-19,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774190" cy="557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AC Immune Reports Second Quarter 2022 Financial Results and Provides Corporate Update</w:t>
      </w:r>
    </w:p>
    <w:p>
      <w:pPr>
        <w:spacing w:after="0" w:line="218"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Three clinical readouts delivered year to date; four more expected by year-end</w:t>
      </w:r>
    </w:p>
    <w:p>
      <w:pPr>
        <w:spacing w:after="0" w:line="210" w:lineRule="exact"/>
        <w:rPr>
          <w:rFonts w:ascii="Times New Roman" w:cs="Times New Roman" w:eastAsia="Times New Roman" w:hAnsi="Times New Roman"/>
          <w:sz w:val="18"/>
          <w:szCs w:val="18"/>
          <w:color w:val="auto"/>
        </w:rPr>
      </w:pPr>
    </w:p>
    <w:p>
      <w:pPr>
        <w:ind w:left="660" w:right="20" w:hanging="328"/>
        <w:spacing w:after="0" w:line="270" w:lineRule="auto"/>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First patient dosed with anti-Abeta vaccine ACI-24.060 in Phase 1b/2 ABATE study in patients with prodromal Alzheimer’s disease and individuals with Down syndrome</w:t>
      </w:r>
    </w:p>
    <w:p>
      <w:pPr>
        <w:spacing w:after="0" w:line="140" w:lineRule="exact"/>
        <w:rPr>
          <w:rFonts w:ascii="Times New Roman" w:cs="Times New Roman" w:eastAsia="Times New Roman" w:hAnsi="Times New Roman"/>
          <w:sz w:val="18"/>
          <w:szCs w:val="18"/>
          <w:color w:val="auto"/>
        </w:rPr>
      </w:pPr>
    </w:p>
    <w:p>
      <w:pPr>
        <w:ind w:left="660" w:hanging="328"/>
        <w:spacing w:after="0" w:line="270" w:lineRule="auto"/>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Crenezumab API ADAD study results to be presented in detail at AAIC on August 2 after top-line data showed numerical differences favoring crenezumab over placebo across the majority of endpoints, though not statistically significant</w:t>
      </w:r>
    </w:p>
    <w:p>
      <w:pPr>
        <w:spacing w:after="0" w:line="1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0000FF"/>
        </w:rPr>
        <w:t>10 presentations</w:t>
      </w:r>
      <w:r>
        <w:rPr>
          <w:rFonts w:ascii="Arial" w:cs="Arial" w:eastAsia="Arial" w:hAnsi="Arial"/>
          <w:sz w:val="18"/>
          <w:szCs w:val="18"/>
          <w:color w:val="0000FF"/>
        </w:rPr>
        <w:t xml:space="preserve"> </w:t>
      </w:r>
      <w:r>
        <w:rPr>
          <w:rFonts w:ascii="Arial" w:cs="Arial" w:eastAsia="Arial" w:hAnsi="Arial"/>
          <w:sz w:val="18"/>
          <w:szCs w:val="18"/>
          <w:color w:val="000000"/>
        </w:rPr>
        <w:t>on data from AC Immune pipeline to be presented at AAIC</w:t>
      </w:r>
    </w:p>
    <w:p>
      <w:pPr>
        <w:spacing w:after="0" w:line="210" w:lineRule="exact"/>
        <w:rPr>
          <w:rFonts w:ascii="Times New Roman" w:cs="Times New Roman" w:eastAsia="Times New Roman" w:hAnsi="Times New Roman"/>
          <w:sz w:val="18"/>
          <w:szCs w:val="18"/>
          <w:color w:val="auto"/>
        </w:rPr>
      </w:pPr>
    </w:p>
    <w:p>
      <w:pPr>
        <w:ind w:left="660" w:right="20" w:hanging="328"/>
        <w:spacing w:after="0" w:line="270" w:lineRule="auto"/>
        <w:tabs>
          <w:tab w:leader="none" w:pos="66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Strong financial position of CHF 154.1 million ensures the Company is fully financed until Q1 2024 not considering any incoming milestone payments</w:t>
      </w:r>
    </w:p>
    <w:p>
      <w:pPr>
        <w:spacing w:after="0" w:line="14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July 28, 2022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reported results for the quarter ended June 30, 2022, and provided a corporate update.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“With world-class collaborators, including three major pharma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for operations until Q1 2024, we believe we are well positioned to execute on multiple value-creating milestones. Our experienced team is working to deliver in H2 2022 four further clinical readouts from our precision medicine pipeline, adding to the three already reported.</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“We continue to make real progress towards our goal of earlier diagnosis and prevention,” Dr. Pfeifer continued, “We recently treated the first prodromal Alzheimer’s disease patient in our innovative adaptive design Phase 1b/2 trial of ACI-24.060, a highly differentiated best-in-class vaccine-candidate that has </w:t>
      </w:r>
      <w:r>
        <w:rPr>
          <w:rFonts w:ascii="Arial" w:cs="Arial" w:eastAsia="Arial" w:hAnsi="Arial"/>
          <w:sz w:val="18"/>
          <w:szCs w:val="18"/>
          <w:u w:val="single" w:color="auto"/>
          <w:color w:val="0000FF"/>
        </w:rPr>
        <w:t>demonstrated</w:t>
      </w:r>
      <w:r>
        <w:rPr>
          <w:rFonts w:ascii="Arial" w:cs="Arial" w:eastAsia="Arial" w:hAnsi="Arial"/>
          <w:sz w:val="18"/>
          <w:szCs w:val="18"/>
          <w:color w:val="auto"/>
        </w:rPr>
        <w:t xml:space="preserve"> strong immunogenicity against the two most toxic forms of Abeta, pyroGlu-Abeta and oligomeric Abeta. We expect interim data later this year from the Phase 1b, enabling us to advance into Phase 2 in individuals with Down syndrome, virtually all of whom develop Alzheimer’s.”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2022 and Subsequent Highlights</w:t>
      </w:r>
    </w:p>
    <w:p>
      <w:pPr>
        <w:spacing w:after="0" w:line="198" w:lineRule="exact"/>
        <w:rPr>
          <w:sz w:val="20"/>
          <w:szCs w:val="20"/>
          <w:color w:val="auto"/>
        </w:rPr>
      </w:pPr>
    </w:p>
    <w:p>
      <w:pPr>
        <w:jc w:val="both"/>
        <w:ind w:left="660" w:hanging="328"/>
        <w:spacing w:after="0" w:line="231" w:lineRule="auto"/>
        <w:tabs>
          <w:tab w:leader="none" w:pos="660" w:val="left"/>
        </w:tabs>
        <w:numPr>
          <w:ilvl w:val="0"/>
          <w:numId w:val="49"/>
        </w:numPr>
        <w:rPr>
          <w:rFonts w:ascii="Arial" w:cs="Arial" w:eastAsia="Arial" w:hAnsi="Arial"/>
          <w:sz w:val="22"/>
          <w:szCs w:val="22"/>
          <w:color w:val="C00000"/>
        </w:rPr>
      </w:pPr>
      <w:r>
        <w:rPr>
          <w:rFonts w:ascii="Arial" w:cs="Arial" w:eastAsia="Arial" w:hAnsi="Arial"/>
          <w:sz w:val="18"/>
          <w:szCs w:val="18"/>
          <w:color w:val="auto"/>
        </w:rPr>
        <w:t>Dosed the first patient in the placebo-controlled, Phase 1b/2 ABATE study evaluating the anti-Abeta vaccine ACI-24.060 in patients with prodromal Alzheimer’s disease (AD) and individuals with Down syndrome (DS). An interim data readout from the Phase 1b portion of the trial in AD is expected in H2 2022.</w:t>
      </w:r>
    </w:p>
    <w:p>
      <w:pPr>
        <w:spacing w:after="0" w:line="187" w:lineRule="exact"/>
        <w:rPr>
          <w:rFonts w:ascii="Arial" w:cs="Arial" w:eastAsia="Arial" w:hAnsi="Arial"/>
          <w:sz w:val="22"/>
          <w:szCs w:val="22"/>
          <w:color w:val="C00000"/>
        </w:rPr>
      </w:pPr>
    </w:p>
    <w:p>
      <w:pPr>
        <w:jc w:val="both"/>
        <w:ind w:left="660" w:hanging="328"/>
        <w:spacing w:after="0" w:line="217" w:lineRule="auto"/>
        <w:tabs>
          <w:tab w:leader="none" w:pos="660" w:val="left"/>
        </w:tabs>
        <w:numPr>
          <w:ilvl w:val="0"/>
          <w:numId w:val="49"/>
        </w:numPr>
        <w:rPr>
          <w:rFonts w:ascii="Arial" w:cs="Arial" w:eastAsia="Arial" w:hAnsi="Arial"/>
          <w:sz w:val="22"/>
          <w:szCs w:val="22"/>
          <w:color w:val="C00000"/>
        </w:rPr>
      </w:pPr>
      <w:r>
        <w:rPr>
          <w:rFonts w:ascii="Arial" w:cs="Arial" w:eastAsia="Arial" w:hAnsi="Arial"/>
          <w:sz w:val="18"/>
          <w:szCs w:val="18"/>
          <w:color w:val="auto"/>
        </w:rPr>
        <w:t xml:space="preserve">Announced a </w:t>
      </w:r>
      <w:r>
        <w:rPr>
          <w:rFonts w:ascii="Arial" w:cs="Arial" w:eastAsia="Arial" w:hAnsi="Arial"/>
          <w:sz w:val="18"/>
          <w:szCs w:val="18"/>
          <w:u w:val="single" w:color="auto"/>
          <w:color w:val="0000FF"/>
        </w:rPr>
        <w:t>peer-reviewed publication in</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JAMA Neurology</w:t>
      </w:r>
      <w:r>
        <w:rPr>
          <w:rFonts w:ascii="Arial" w:cs="Arial" w:eastAsia="Arial" w:hAnsi="Arial"/>
          <w:sz w:val="29"/>
          <w:szCs w:val="29"/>
          <w:i w:val="1"/>
          <w:iCs w:val="1"/>
          <w:color w:val="0000FF"/>
          <w:vertAlign w:val="superscript"/>
        </w:rPr>
        <w:t>1</w:t>
      </w:r>
      <w:r>
        <w:rPr>
          <w:rFonts w:ascii="Arial" w:cs="Arial" w:eastAsia="Arial" w:hAnsi="Arial"/>
          <w:sz w:val="18"/>
          <w:szCs w:val="18"/>
          <w:color w:val="auto"/>
        </w:rPr>
        <w:t xml:space="preserve"> featuring data showing that ACI-24, the predecessor of ACI-24.060, was safe and elicited an immune response in a Phase 1b clinical trial in adults with DS. This was the first-ever anti-Abeta vaccine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color w:val="auto"/>
        </w:rPr>
        <w:t>conducted in people living with DS and the paper also highlighted data providing evidence of target engagement in the trial.</w:t>
      </w:r>
    </w:p>
    <w:p>
      <w:pPr>
        <w:spacing w:after="0" w:line="198" w:lineRule="exact"/>
        <w:rPr>
          <w:sz w:val="20"/>
          <w:szCs w:val="20"/>
          <w:color w:val="auto"/>
        </w:rPr>
      </w:pPr>
    </w:p>
    <w:p>
      <w:pPr>
        <w:jc w:val="both"/>
        <w:ind w:left="660" w:hanging="328"/>
        <w:spacing w:after="0" w:line="233" w:lineRule="auto"/>
        <w:tabs>
          <w:tab w:leader="none" w:pos="660" w:val="left"/>
        </w:tabs>
        <w:numPr>
          <w:ilvl w:val="0"/>
          <w:numId w:val="50"/>
        </w:numPr>
        <w:rPr>
          <w:rFonts w:ascii="Arial" w:cs="Arial" w:eastAsia="Arial" w:hAnsi="Arial"/>
          <w:sz w:val="22"/>
          <w:szCs w:val="22"/>
          <w:color w:val="C00000"/>
        </w:rPr>
      </w:pPr>
      <w:r>
        <w:rPr>
          <w:rFonts w:ascii="Arial" w:cs="Arial" w:eastAsia="Arial" w:hAnsi="Arial"/>
          <w:sz w:val="18"/>
          <w:szCs w:val="18"/>
          <w:color w:val="auto"/>
        </w:rPr>
        <w:t xml:space="preserve">Announced </w:t>
      </w:r>
      <w:r>
        <w:rPr>
          <w:rFonts w:ascii="Arial" w:cs="Arial" w:eastAsia="Arial" w:hAnsi="Arial"/>
          <w:sz w:val="18"/>
          <w:szCs w:val="18"/>
          <w:u w:val="single" w:color="auto"/>
          <w:color w:val="0000FF"/>
        </w:rPr>
        <w:t>topline results</w:t>
      </w:r>
      <w:r>
        <w:rPr>
          <w:rFonts w:ascii="Arial" w:cs="Arial" w:eastAsia="Arial" w:hAnsi="Arial"/>
          <w:sz w:val="18"/>
          <w:szCs w:val="18"/>
          <w:color w:val="auto"/>
        </w:rPr>
        <w:t xml:space="preserve"> from the Phase 2 Alzheimer’s Prevention Initiative (API) study evaluating the anti-Abeta monoclonal antibody crenezumab in autosomal dominant Alzheimer’s disease (ADAD). Results showed that both co-primary endpoints of the study were not statistically significant but numerical differences favoring crenezumab were observed across the majority of primary, secondary and exploratory endpoints. More detailed results will be presented at the Alzheimer's Association International Conference (AAIC) on August 2, 2022 by AC Immune’s partner Genentech, a member of the Roche group and the Banner Alzheimer’s Institute.</w:t>
      </w:r>
    </w:p>
    <w:p>
      <w:pPr>
        <w:spacing w:after="0" w:line="180" w:lineRule="exact"/>
        <w:rPr>
          <w:rFonts w:ascii="Arial" w:cs="Arial" w:eastAsia="Arial" w:hAnsi="Arial"/>
          <w:sz w:val="22"/>
          <w:szCs w:val="22"/>
          <w:color w:val="C00000"/>
        </w:rPr>
      </w:pPr>
    </w:p>
    <w:p>
      <w:pPr>
        <w:ind w:left="660" w:right="20" w:hanging="328"/>
        <w:spacing w:after="0" w:line="230" w:lineRule="auto"/>
        <w:tabs>
          <w:tab w:leader="none" w:pos="660" w:val="left"/>
        </w:tabs>
        <w:numPr>
          <w:ilvl w:val="0"/>
          <w:numId w:val="50"/>
        </w:numPr>
        <w:rPr>
          <w:rFonts w:ascii="Arial" w:cs="Arial" w:eastAsia="Arial" w:hAnsi="Arial"/>
          <w:sz w:val="22"/>
          <w:szCs w:val="22"/>
          <w:color w:val="C00000"/>
        </w:rPr>
      </w:pPr>
      <w:r>
        <w:rPr>
          <w:rFonts w:ascii="Arial" w:cs="Arial" w:eastAsia="Arial" w:hAnsi="Arial"/>
          <w:sz w:val="18"/>
          <w:szCs w:val="18"/>
          <w:color w:val="auto"/>
        </w:rPr>
        <w:t xml:space="preserve">Announced that AC Immune Co-Founder and CEO Dr. Andrea Pfeifer </w:t>
      </w:r>
      <w:r>
        <w:rPr>
          <w:rFonts w:ascii="Arial" w:cs="Arial" w:eastAsia="Arial" w:hAnsi="Arial"/>
          <w:sz w:val="18"/>
          <w:szCs w:val="18"/>
          <w:u w:val="single" w:color="auto"/>
          <w:color w:val="0000FF"/>
        </w:rPr>
        <w:t>received the prestigious Aenne Burda Award for Creative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Leadership</w:t>
      </w:r>
      <w:r>
        <w:rPr>
          <w:rFonts w:ascii="Arial" w:cs="Arial" w:eastAsia="Arial" w:hAnsi="Arial"/>
          <w:sz w:val="18"/>
          <w:szCs w:val="18"/>
          <w:color w:val="0000FF"/>
        </w:rPr>
        <w:t xml:space="preserve"> </w:t>
      </w:r>
      <w:r>
        <w:rPr>
          <w:rFonts w:ascii="Arial" w:cs="Arial" w:eastAsia="Arial" w:hAnsi="Arial"/>
          <w:sz w:val="18"/>
          <w:szCs w:val="18"/>
          <w:color w:val="000000"/>
        </w:rPr>
        <w:t>in recognition of her work.</w:t>
      </w:r>
    </w:p>
    <w:p>
      <w:pPr>
        <w:spacing w:after="0" w:line="180" w:lineRule="exact"/>
        <w:rPr>
          <w:rFonts w:ascii="Arial" w:cs="Arial" w:eastAsia="Arial" w:hAnsi="Arial"/>
          <w:sz w:val="22"/>
          <w:szCs w:val="22"/>
          <w:color w:val="C00000"/>
        </w:rPr>
      </w:pPr>
    </w:p>
    <w:p>
      <w:pPr>
        <w:jc w:val="both"/>
        <w:ind w:left="660" w:hanging="328"/>
        <w:spacing w:after="0" w:line="231" w:lineRule="auto"/>
        <w:tabs>
          <w:tab w:leader="none" w:pos="660" w:val="left"/>
        </w:tabs>
        <w:numPr>
          <w:ilvl w:val="0"/>
          <w:numId w:val="50"/>
        </w:numPr>
        <w:rPr>
          <w:rFonts w:ascii="Arial" w:cs="Arial" w:eastAsia="Arial" w:hAnsi="Arial"/>
          <w:sz w:val="22"/>
          <w:szCs w:val="22"/>
          <w:color w:val="C00000"/>
        </w:rPr>
      </w:pPr>
      <w:r>
        <w:rPr>
          <w:rFonts w:ascii="Arial" w:cs="Arial" w:eastAsia="Arial" w:hAnsi="Arial"/>
          <w:sz w:val="18"/>
          <w:szCs w:val="18"/>
          <w:color w:val="auto"/>
        </w:rPr>
        <w:t>Expanded leadership by appointing Howard Donovan as Chief Human Resources Officer and member of the Executive Committee. Mr. Donovan is an internationally experienced, commercially focused leader. He joins from the World Economic Forum, where he led People Services since 2015.</w:t>
      </w:r>
    </w:p>
    <w:p>
      <w:pPr>
        <w:spacing w:after="0" w:line="181" w:lineRule="exact"/>
        <w:rPr>
          <w:rFonts w:ascii="Arial" w:cs="Arial" w:eastAsia="Arial" w:hAnsi="Arial"/>
          <w:sz w:val="22"/>
          <w:szCs w:val="22"/>
          <w:color w:val="C00000"/>
        </w:rPr>
      </w:pPr>
    </w:p>
    <w:p>
      <w:pPr>
        <w:jc w:val="both"/>
        <w:ind w:left="660" w:hanging="328"/>
        <w:spacing w:after="0" w:line="232" w:lineRule="auto"/>
        <w:tabs>
          <w:tab w:leader="none" w:pos="660" w:val="left"/>
        </w:tabs>
        <w:numPr>
          <w:ilvl w:val="0"/>
          <w:numId w:val="50"/>
        </w:numPr>
        <w:rPr>
          <w:rFonts w:ascii="Arial" w:cs="Arial" w:eastAsia="Arial" w:hAnsi="Arial"/>
          <w:sz w:val="22"/>
          <w:szCs w:val="22"/>
          <w:color w:val="C00000"/>
        </w:rPr>
      </w:pPr>
      <w:r>
        <w:rPr>
          <w:rFonts w:ascii="Arial" w:cs="Arial" w:eastAsia="Arial" w:hAnsi="Arial"/>
          <w:sz w:val="18"/>
          <w:szCs w:val="18"/>
          <w:color w:val="auto"/>
        </w:rPr>
        <w:t>Joerg Hornstein, Chief Financial Officer (CFO), will leave AC Immune in the second half of 2022 to pursue a new opportunity. AC Immune is well positioned with two members of the Company’s proven Finance Leadership Team who will transition to new roles. Christopher Roberts has been appointed Vice President, Finance and interim CFO. Julian Snow has been appointed Vice President, U.S. Finance &amp; Corporate Development.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Achieved and Anticipated 2022 Clinical Milestones</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5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ACI-12589</w:t>
            </w:r>
          </w:p>
        </w:tc>
        <w:tc>
          <w:tcPr>
            <w:tcW w:w="8740" w:type="dxa"/>
            <w:vAlign w:val="bottom"/>
            <w:tcBorders>
              <w:top w:val="single" w:sz="8" w:color="auto"/>
              <w:right w:val="single" w:sz="8" w:color="auto"/>
            </w:tcBorders>
            <w:gridSpan w:val="6"/>
            <w:vMerge w:val="restart"/>
          </w:tcPr>
          <w:p>
            <w:pPr>
              <w:ind w:left="60"/>
              <w:spacing w:after="0"/>
              <w:rPr>
                <w:sz w:val="20"/>
                <w:szCs w:val="20"/>
                <w:color w:val="auto"/>
              </w:rPr>
            </w:pPr>
            <w:r>
              <w:rPr>
                <w:rFonts w:ascii="Arial" w:cs="Arial" w:eastAsia="Arial" w:hAnsi="Arial"/>
                <w:sz w:val="18"/>
                <w:szCs w:val="18"/>
                <w:color w:val="auto"/>
              </w:rPr>
              <w:t xml:space="preserve">Reported breakthrough </w:t>
            </w:r>
            <w:r>
              <w:rPr>
                <w:rFonts w:ascii="Arial" w:cs="Arial" w:eastAsia="Arial" w:hAnsi="Arial"/>
                <w:sz w:val="18"/>
                <w:szCs w:val="18"/>
                <w:color w:val="0000FF"/>
              </w:rPr>
              <w:t>results from first-in-human study at AD/PD™ 2022 conference</w:t>
            </w:r>
          </w:p>
        </w:tc>
        <w:tc>
          <w:tcPr>
            <w:tcW w:w="0" w:type="dxa"/>
            <w:vAlign w:val="bottom"/>
          </w:tcPr>
          <w:p>
            <w:pPr>
              <w:spacing w:after="0"/>
              <w:rPr>
                <w:sz w:val="1"/>
                <w:szCs w:val="1"/>
                <w:color w:val="auto"/>
              </w:rPr>
            </w:pPr>
          </w:p>
        </w:tc>
      </w:tr>
      <w:tr>
        <w:trPr>
          <w:trHeight w:val="86"/>
        </w:trPr>
        <w:tc>
          <w:tcPr>
            <w:tcW w:w="25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a-syn-PET tracer</w:t>
            </w:r>
          </w:p>
        </w:tc>
        <w:tc>
          <w:tcPr>
            <w:tcW w:w="874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500" w:type="dxa"/>
            <w:vAlign w:val="bottom"/>
            <w:tcBorders>
              <w:left w:val="single" w:sz="8" w:color="auto"/>
              <w:right w:val="single" w:sz="8" w:color="auto"/>
            </w:tcBorders>
            <w:vMerge w:val="continue"/>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0" w:type="dxa"/>
            <w:vAlign w:val="bottom"/>
            <w:tcBorders>
              <w:top w:val="single" w:sz="8" w:color="0000FF"/>
            </w:tcBorders>
          </w:tcPr>
          <w:p>
            <w:pPr>
              <w:spacing w:after="0"/>
              <w:rPr>
                <w:sz w:val="11"/>
                <w:szCs w:val="11"/>
                <w:color w:val="auto"/>
              </w:rPr>
            </w:pPr>
          </w:p>
        </w:tc>
        <w:tc>
          <w:tcPr>
            <w:tcW w:w="1180" w:type="dxa"/>
            <w:vAlign w:val="bottom"/>
            <w:tcBorders>
              <w:top w:val="single" w:sz="8" w:color="0000FF"/>
            </w:tcBorders>
          </w:tcPr>
          <w:p>
            <w:pPr>
              <w:spacing w:after="0"/>
              <w:rPr>
                <w:sz w:val="11"/>
                <w:szCs w:val="11"/>
                <w:color w:val="auto"/>
              </w:rPr>
            </w:pPr>
          </w:p>
        </w:tc>
        <w:tc>
          <w:tcPr>
            <w:tcW w:w="1760" w:type="dxa"/>
            <w:vAlign w:val="bottom"/>
            <w:tcBorders>
              <w:top w:val="single" w:sz="8" w:color="0000FF"/>
            </w:tcBorders>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ACI-35.030</w:t>
            </w:r>
          </w:p>
        </w:tc>
        <w:tc>
          <w:tcPr>
            <w:tcW w:w="874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 xml:space="preserve">Reported </w:t>
            </w:r>
            <w:r>
              <w:rPr>
                <w:rFonts w:ascii="Arial" w:cs="Arial" w:eastAsia="Arial" w:hAnsi="Arial"/>
                <w:sz w:val="18"/>
                <w:szCs w:val="18"/>
                <w:color w:val="0000FF"/>
              </w:rPr>
              <w:t>Phase 1b/2a interim analysis from highest dose group</w:t>
            </w:r>
            <w:r>
              <w:rPr>
                <w:rFonts w:ascii="Arial" w:cs="Arial" w:eastAsia="Arial" w:hAnsi="Arial"/>
                <w:sz w:val="18"/>
                <w:szCs w:val="18"/>
                <w:color w:val="auto"/>
              </w:rPr>
              <w:t>; Expect to disclose late-stage development</w:t>
            </w:r>
          </w:p>
        </w:tc>
        <w:tc>
          <w:tcPr>
            <w:tcW w:w="0" w:type="dxa"/>
            <w:vAlign w:val="bottom"/>
          </w:tcPr>
          <w:p>
            <w:pPr>
              <w:spacing w:after="0"/>
              <w:rPr>
                <w:sz w:val="1"/>
                <w:szCs w:val="1"/>
                <w:color w:val="auto"/>
              </w:rPr>
            </w:pPr>
          </w:p>
        </w:tc>
      </w:tr>
      <w:tr>
        <w:trPr>
          <w:trHeight w:val="20"/>
        </w:trPr>
        <w:tc>
          <w:tcPr>
            <w:tcW w:w="25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anti-pTau vaccine</w:t>
            </w:r>
          </w:p>
        </w:tc>
        <w:tc>
          <w:tcPr>
            <w:tcW w:w="86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600" w:type="dxa"/>
            <w:vAlign w:val="bottom"/>
            <w:tcBorders>
              <w:right w:val="single" w:sz="8" w:color="auto"/>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500" w:type="dxa"/>
            <w:vAlign w:val="bottom"/>
            <w:tcBorders>
              <w:left w:val="single" w:sz="8" w:color="auto"/>
              <w:right w:val="single" w:sz="8" w:color="auto"/>
            </w:tcBorders>
            <w:vMerge w:val="continue"/>
          </w:tcPr>
          <w:p>
            <w:pPr>
              <w:spacing w:after="0"/>
              <w:rPr>
                <w:sz w:val="20"/>
                <w:szCs w:val="20"/>
                <w:color w:val="auto"/>
              </w:rPr>
            </w:pPr>
          </w:p>
        </w:tc>
        <w:tc>
          <w:tcPr>
            <w:tcW w:w="5140" w:type="dxa"/>
            <w:vAlign w:val="bottom"/>
            <w:gridSpan w:val="4"/>
          </w:tcPr>
          <w:p>
            <w:pPr>
              <w:ind w:left="60"/>
              <w:spacing w:after="0"/>
              <w:rPr>
                <w:sz w:val="20"/>
                <w:szCs w:val="20"/>
                <w:color w:val="auto"/>
              </w:rPr>
            </w:pPr>
            <w:r>
              <w:rPr>
                <w:rFonts w:ascii="Arial" w:cs="Arial" w:eastAsia="Arial" w:hAnsi="Arial"/>
                <w:sz w:val="18"/>
                <w:szCs w:val="18"/>
                <w:color w:val="auto"/>
              </w:rPr>
              <w:t>plans in H2 2022</w:t>
            </w:r>
          </w:p>
        </w:tc>
        <w:tc>
          <w:tcPr>
            <w:tcW w:w="3600" w:type="dxa"/>
            <w:vAlign w:val="bottom"/>
            <w:tcBorders>
              <w:right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500" w:type="dxa"/>
            <w:vAlign w:val="bottom"/>
            <w:tcBorders>
              <w:left w:val="single" w:sz="8" w:color="auto"/>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25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ACI-24.060</w:t>
            </w:r>
          </w:p>
        </w:tc>
        <w:tc>
          <w:tcPr>
            <w:tcW w:w="874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Dosed first patient in Phase 1b/2 trial of ACI-24.060 in patients with AD and individuals with DS</w:t>
            </w:r>
          </w:p>
        </w:tc>
        <w:tc>
          <w:tcPr>
            <w:tcW w:w="0" w:type="dxa"/>
            <w:vAlign w:val="bottom"/>
          </w:tcPr>
          <w:p>
            <w:pPr>
              <w:spacing w:after="0"/>
              <w:rPr>
                <w:sz w:val="1"/>
                <w:szCs w:val="1"/>
                <w:color w:val="auto"/>
              </w:rPr>
            </w:pPr>
          </w:p>
        </w:tc>
      </w:tr>
      <w:tr>
        <w:trPr>
          <w:trHeight w:val="58"/>
        </w:trPr>
        <w:tc>
          <w:tcPr>
            <w:tcW w:w="2500" w:type="dxa"/>
            <w:vAlign w:val="bottom"/>
            <w:tcBorders>
              <w:left w:val="single" w:sz="8" w:color="auto"/>
              <w:right w:val="single" w:sz="8" w:color="auto"/>
            </w:tcBorders>
            <w:vMerge w:val="continue"/>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anti-Abeta vaccine</w:t>
            </w:r>
          </w:p>
        </w:tc>
        <w:tc>
          <w:tcPr>
            <w:tcW w:w="8740" w:type="dxa"/>
            <w:vAlign w:val="bottom"/>
            <w:tcBorders>
              <w:right w:val="single" w:sz="8" w:color="auto"/>
            </w:tcBorders>
            <w:gridSpan w:val="6"/>
            <w:vMerge w:val="restart"/>
          </w:tcPr>
          <w:p>
            <w:pPr>
              <w:ind w:left="60"/>
              <w:spacing w:after="0"/>
              <w:rPr>
                <w:sz w:val="20"/>
                <w:szCs w:val="20"/>
                <w:color w:val="auto"/>
              </w:rPr>
            </w:pPr>
            <w:r>
              <w:rPr>
                <w:rFonts w:ascii="Arial" w:cs="Arial" w:eastAsia="Arial" w:hAnsi="Arial"/>
                <w:sz w:val="18"/>
                <w:szCs w:val="18"/>
                <w:color w:val="auto"/>
              </w:rPr>
              <w:t>Phase 1b in AD readout and decision to move into DS expected in H2 2022</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tcPr>
          <w:p>
            <w:pPr>
              <w:spacing w:after="0"/>
              <w:rPr>
                <w:sz w:val="9"/>
                <w:szCs w:val="9"/>
                <w:color w:val="auto"/>
              </w:rPr>
            </w:pPr>
          </w:p>
        </w:tc>
        <w:tc>
          <w:tcPr>
            <w:tcW w:w="8740" w:type="dxa"/>
            <w:vAlign w:val="bottom"/>
            <w:tcBorders>
              <w:right w:val="single" w:sz="8" w:color="auto"/>
            </w:tcBorders>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Crenezumab</w:t>
            </w:r>
          </w:p>
        </w:tc>
        <w:tc>
          <w:tcPr>
            <w:tcW w:w="8740" w:type="dxa"/>
            <w:vAlign w:val="bottom"/>
            <w:tcBorders>
              <w:right w:val="single" w:sz="8" w:color="auto"/>
            </w:tcBorders>
            <w:gridSpan w:val="6"/>
            <w:vMerge w:val="restart"/>
          </w:tcPr>
          <w:p>
            <w:pPr>
              <w:ind w:left="60"/>
              <w:spacing w:after="0"/>
              <w:rPr>
                <w:sz w:val="20"/>
                <w:szCs w:val="20"/>
                <w:color w:val="auto"/>
              </w:rPr>
            </w:pPr>
            <w:r>
              <w:rPr>
                <w:rFonts w:ascii="Arial" w:cs="Arial" w:eastAsia="Arial" w:hAnsi="Arial"/>
                <w:sz w:val="18"/>
                <w:szCs w:val="18"/>
                <w:color w:val="auto"/>
              </w:rPr>
              <w:t xml:space="preserve">Reported </w:t>
            </w:r>
            <w:r>
              <w:rPr>
                <w:rFonts w:ascii="Arial" w:cs="Arial" w:eastAsia="Arial" w:hAnsi="Arial"/>
                <w:sz w:val="18"/>
                <w:szCs w:val="18"/>
                <w:color w:val="0000FF"/>
              </w:rPr>
              <w:t>top line Phase 2 results from API study</w:t>
            </w:r>
            <w:r>
              <w:rPr>
                <w:rFonts w:ascii="Arial" w:cs="Arial" w:eastAsia="Arial" w:hAnsi="Arial"/>
                <w:sz w:val="18"/>
                <w:szCs w:val="18"/>
                <w:color w:val="auto"/>
              </w:rPr>
              <w:t xml:space="preserve"> in autosomal dominant AD .</w:t>
            </w:r>
          </w:p>
        </w:tc>
        <w:tc>
          <w:tcPr>
            <w:tcW w:w="0" w:type="dxa"/>
            <w:vAlign w:val="bottom"/>
          </w:tcPr>
          <w:p>
            <w:pPr>
              <w:spacing w:after="0"/>
              <w:rPr>
                <w:sz w:val="1"/>
                <w:szCs w:val="1"/>
                <w:color w:val="auto"/>
              </w:rPr>
            </w:pPr>
          </w:p>
        </w:tc>
      </w:tr>
      <w:tr>
        <w:trPr>
          <w:trHeight w:val="86"/>
        </w:trPr>
        <w:tc>
          <w:tcPr>
            <w:tcW w:w="25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anti-Abeta antibody</w:t>
            </w:r>
          </w:p>
        </w:tc>
        <w:tc>
          <w:tcPr>
            <w:tcW w:w="8740" w:type="dxa"/>
            <w:vAlign w:val="bottom"/>
            <w:tcBorders>
              <w:right w:val="single" w:sz="8" w:color="auto"/>
            </w:tcBorders>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500" w:type="dxa"/>
            <w:vAlign w:val="bottom"/>
            <w:tcBorders>
              <w:left w:val="single" w:sz="8" w:color="auto"/>
              <w:right w:val="single" w:sz="8" w:color="auto"/>
            </w:tcBorders>
            <w:vMerge w:val="continue"/>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2000" w:type="dxa"/>
            <w:vAlign w:val="bottom"/>
            <w:tcBorders>
              <w:top w:val="single" w:sz="8" w:color="0000FF"/>
            </w:tcBorders>
          </w:tcPr>
          <w:p>
            <w:pPr>
              <w:spacing w:after="0"/>
              <w:rPr>
                <w:sz w:val="11"/>
                <w:szCs w:val="11"/>
                <w:color w:val="auto"/>
              </w:rPr>
            </w:pPr>
          </w:p>
        </w:tc>
        <w:tc>
          <w:tcPr>
            <w:tcW w:w="11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Semorinemab</w:t>
            </w:r>
          </w:p>
        </w:tc>
        <w:tc>
          <w:tcPr>
            <w:tcW w:w="8740" w:type="dxa"/>
            <w:vAlign w:val="bottom"/>
            <w:tcBorders>
              <w:right w:val="single" w:sz="8" w:color="auto"/>
            </w:tcBorders>
            <w:gridSpan w:val="6"/>
            <w:vMerge w:val="restart"/>
          </w:tcPr>
          <w:p>
            <w:pPr>
              <w:ind w:left="60"/>
              <w:spacing w:after="0"/>
              <w:rPr>
                <w:sz w:val="20"/>
                <w:szCs w:val="20"/>
                <w:color w:val="auto"/>
              </w:rPr>
            </w:pPr>
            <w:r>
              <w:rPr>
                <w:rFonts w:ascii="Arial" w:cs="Arial" w:eastAsia="Arial" w:hAnsi="Arial"/>
                <w:sz w:val="18"/>
                <w:szCs w:val="18"/>
                <w:color w:val="auto"/>
              </w:rPr>
              <w:t>Additional biomarker data from the Phase 2 Lauriet study in mild-to-moderate AD expected in H2 2022</w:t>
            </w:r>
          </w:p>
        </w:tc>
        <w:tc>
          <w:tcPr>
            <w:tcW w:w="0" w:type="dxa"/>
            <w:vAlign w:val="bottom"/>
          </w:tcPr>
          <w:p>
            <w:pPr>
              <w:spacing w:after="0"/>
              <w:rPr>
                <w:sz w:val="1"/>
                <w:szCs w:val="1"/>
                <w:color w:val="auto"/>
              </w:rPr>
            </w:pPr>
          </w:p>
        </w:tc>
      </w:tr>
      <w:tr>
        <w:trPr>
          <w:trHeight w:val="131"/>
        </w:trPr>
        <w:tc>
          <w:tcPr>
            <w:tcW w:w="25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anti-Tau antibody</w:t>
            </w:r>
          </w:p>
        </w:tc>
        <w:tc>
          <w:tcPr>
            <w:tcW w:w="8740" w:type="dxa"/>
            <w:vAlign w:val="bottom"/>
            <w:tcBorders>
              <w:right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50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Phase 2 results in AD to be unveiled at AAIC in San Diego, California (United States) and online, July 31 –</w:t>
            </w:r>
          </w:p>
        </w:tc>
        <w:tc>
          <w:tcPr>
            <w:tcW w:w="0" w:type="dxa"/>
            <w:vAlign w:val="bottom"/>
          </w:tcPr>
          <w:p>
            <w:pPr>
              <w:spacing w:after="0"/>
              <w:rPr>
                <w:sz w:val="1"/>
                <w:szCs w:val="1"/>
                <w:color w:val="auto"/>
              </w:rPr>
            </w:pPr>
          </w:p>
        </w:tc>
      </w:tr>
      <w:tr>
        <w:trPr>
          <w:trHeight w:val="203"/>
        </w:trPr>
        <w:tc>
          <w:tcPr>
            <w:tcW w:w="2500" w:type="dxa"/>
            <w:vAlign w:val="bottom"/>
            <w:tcBorders>
              <w:left w:val="single" w:sz="8" w:color="auto"/>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PI-2620</w:t>
            </w:r>
          </w:p>
        </w:tc>
        <w:tc>
          <w:tcPr>
            <w:tcW w:w="8740" w:type="dxa"/>
            <w:vAlign w:val="bottom"/>
            <w:tcBorders>
              <w:right w:val="single" w:sz="8" w:color="auto"/>
            </w:tcBorders>
            <w:gridSpan w:val="6"/>
          </w:tcPr>
          <w:p>
            <w:pPr>
              <w:ind w:left="60"/>
              <w:spacing w:after="0" w:line="202" w:lineRule="exact"/>
              <w:rPr>
                <w:sz w:val="20"/>
                <w:szCs w:val="20"/>
                <w:color w:val="auto"/>
              </w:rPr>
            </w:pPr>
            <w:r>
              <w:rPr>
                <w:rFonts w:ascii="Arial" w:cs="Arial" w:eastAsia="Arial" w:hAnsi="Arial"/>
                <w:sz w:val="18"/>
                <w:szCs w:val="18"/>
                <w:color w:val="auto"/>
              </w:rPr>
              <w:t>August 4, 2022.</w:t>
            </w:r>
          </w:p>
        </w:tc>
        <w:tc>
          <w:tcPr>
            <w:tcW w:w="0" w:type="dxa"/>
            <w:vAlign w:val="bottom"/>
          </w:tcPr>
          <w:p>
            <w:pPr>
              <w:spacing w:after="0"/>
              <w:rPr>
                <w:sz w:val="1"/>
                <w:szCs w:val="1"/>
                <w:color w:val="auto"/>
              </w:rPr>
            </w:pPr>
          </w:p>
        </w:tc>
      </w:tr>
      <w:tr>
        <w:trPr>
          <w:trHeight w:val="239"/>
        </w:trPr>
        <w:tc>
          <w:tcPr>
            <w:tcW w:w="2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Tau-PET tracer</w:t>
            </w:r>
          </w:p>
        </w:tc>
        <w:tc>
          <w:tcPr>
            <w:tcW w:w="8740" w:type="dxa"/>
            <w:vAlign w:val="bottom"/>
            <w:tcBorders>
              <w:right w:val="single" w:sz="8" w:color="auto"/>
            </w:tcBorders>
            <w:gridSpan w:val="6"/>
            <w:vMerge w:val="restart"/>
          </w:tcPr>
          <w:p>
            <w:pPr>
              <w:ind w:left="60"/>
              <w:spacing w:after="0"/>
              <w:rPr>
                <w:sz w:val="20"/>
                <w:szCs w:val="20"/>
                <w:color w:val="auto"/>
              </w:rPr>
            </w:pPr>
            <w:r>
              <w:rPr>
                <w:rFonts w:ascii="Arial" w:cs="Arial" w:eastAsia="Arial" w:hAnsi="Arial"/>
                <w:sz w:val="18"/>
                <w:szCs w:val="18"/>
                <w:color w:val="auto"/>
              </w:rPr>
              <w:t>Clinical PET study readout in orphan indication expected in H2 2022</w:t>
            </w:r>
          </w:p>
        </w:tc>
        <w:tc>
          <w:tcPr>
            <w:tcW w:w="0" w:type="dxa"/>
            <w:vAlign w:val="bottom"/>
          </w:tcPr>
          <w:p>
            <w:pPr>
              <w:spacing w:after="0"/>
              <w:rPr>
                <w:sz w:val="1"/>
                <w:szCs w:val="1"/>
                <w:color w:val="auto"/>
              </w:rPr>
            </w:pPr>
          </w:p>
        </w:tc>
      </w:tr>
      <w:tr>
        <w:trPr>
          <w:trHeight w:val="203"/>
        </w:trPr>
        <w:tc>
          <w:tcPr>
            <w:tcW w:w="2500" w:type="dxa"/>
            <w:vAlign w:val="bottom"/>
            <w:tcBorders>
              <w:left w:val="single" w:sz="8" w:color="auto"/>
              <w:right w:val="single" w:sz="8" w:color="auto"/>
            </w:tcBorders>
          </w:tcPr>
          <w:p>
            <w:pPr>
              <w:spacing w:after="0"/>
              <w:rPr>
                <w:sz w:val="17"/>
                <w:szCs w:val="17"/>
                <w:color w:val="auto"/>
              </w:rPr>
            </w:pPr>
          </w:p>
        </w:tc>
        <w:tc>
          <w:tcPr>
            <w:tcW w:w="8740" w:type="dxa"/>
            <w:vAlign w:val="bottom"/>
            <w:tcBorders>
              <w:right w:val="single" w:sz="8" w:color="auto"/>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5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ACI-7104</w:t>
            </w:r>
          </w:p>
        </w:tc>
        <w:tc>
          <w:tcPr>
            <w:tcW w:w="8740" w:type="dxa"/>
            <w:vAlign w:val="bottom"/>
            <w:tcBorders>
              <w:right w:val="single" w:sz="8" w:color="auto"/>
            </w:tcBorders>
            <w:gridSpan w:val="6"/>
            <w:vMerge w:val="restart"/>
          </w:tcPr>
          <w:p>
            <w:pPr>
              <w:ind w:left="60"/>
              <w:spacing w:after="0"/>
              <w:rPr>
                <w:sz w:val="20"/>
                <w:szCs w:val="20"/>
                <w:color w:val="auto"/>
              </w:rPr>
            </w:pPr>
            <w:r>
              <w:rPr>
                <w:rFonts w:ascii="Arial" w:cs="Arial" w:eastAsia="Arial" w:hAnsi="Arial"/>
                <w:sz w:val="18"/>
                <w:szCs w:val="18"/>
                <w:color w:val="auto"/>
              </w:rPr>
              <w:t>Initiation of Phase 2 trial in early PD expected in H2 2022</w:t>
            </w:r>
          </w:p>
        </w:tc>
        <w:tc>
          <w:tcPr>
            <w:tcW w:w="0" w:type="dxa"/>
            <w:vAlign w:val="bottom"/>
          </w:tcPr>
          <w:p>
            <w:pPr>
              <w:spacing w:after="0"/>
              <w:rPr>
                <w:sz w:val="1"/>
                <w:szCs w:val="1"/>
                <w:color w:val="auto"/>
              </w:rPr>
            </w:pPr>
          </w:p>
        </w:tc>
      </w:tr>
      <w:tr>
        <w:trPr>
          <w:trHeight w:val="131"/>
        </w:trPr>
        <w:tc>
          <w:tcPr>
            <w:tcW w:w="25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anti-a-syn vaccine</w:t>
            </w:r>
          </w:p>
        </w:tc>
        <w:tc>
          <w:tcPr>
            <w:tcW w:w="8740" w:type="dxa"/>
            <w:vAlign w:val="bottom"/>
            <w:tcBorders>
              <w:right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continue"/>
          </w:tcPr>
          <w:p>
            <w:pPr>
              <w:spacing w:after="0"/>
              <w:rPr>
                <w:sz w:val="9"/>
                <w:szCs w:val="9"/>
                <w:color w:val="auto"/>
              </w:rPr>
            </w:pPr>
          </w:p>
        </w:tc>
        <w:tc>
          <w:tcPr>
            <w:tcW w:w="8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500" w:type="dxa"/>
            <w:vAlign w:val="bottom"/>
            <w:tcBorders>
              <w:left w:val="single" w:sz="8" w:color="auto"/>
              <w:bottom w:val="single" w:sz="8" w:color="auto"/>
              <w:right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gridSpan w:val="6"/>
          </w:tcPr>
          <w:p>
            <w:pPr>
              <w:ind w:left="8340"/>
              <w:spacing w:after="0"/>
              <w:rPr>
                <w:sz w:val="20"/>
                <w:szCs w:val="20"/>
                <w:color w:val="auto"/>
              </w:rPr>
            </w:pPr>
            <w:r>
              <w:rPr>
                <w:rFonts w:ascii="Arial" w:cs="Arial" w:eastAsia="Arial" w:hAnsi="Arial"/>
                <w:sz w:val="18"/>
                <w:szCs w:val="18"/>
                <w:color w:val="auto"/>
              </w:rPr>
              <w:t>2 / 7</w:t>
            </w:r>
          </w:p>
        </w:tc>
        <w:tc>
          <w:tcPr>
            <w:tcW w:w="0" w:type="dxa"/>
            <w:vAlign w:val="bottom"/>
          </w:tcPr>
          <w:p>
            <w:pPr>
              <w:spacing w:after="0"/>
              <w:rPr>
                <w:sz w:val="1"/>
                <w:szCs w:val="1"/>
                <w:color w:val="auto"/>
              </w:rPr>
            </w:pPr>
          </w:p>
        </w:tc>
      </w:tr>
    </w:tbl>
    <w:p>
      <w:pPr>
        <w:sectPr>
          <w:pgSz w:w="11900" w:h="16838" w:orient="portrait"/>
          <w:cols w:equalWidth="0" w:num="1">
            <w:col w:w="11240"/>
          </w:cols>
          <w:pgMar w:left="320" w:top="5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Analysis of Financial Statements for the Quarter Ended June 30, 2022</w:t>
      </w:r>
    </w:p>
    <w:p>
      <w:pPr>
        <w:spacing w:after="0" w:line="198" w:lineRule="exact"/>
        <w:rPr>
          <w:sz w:val="20"/>
          <w:szCs w:val="20"/>
          <w:color w:val="auto"/>
        </w:rPr>
      </w:pPr>
    </w:p>
    <w:p>
      <w:pPr>
        <w:jc w:val="both"/>
        <w:ind w:left="660" w:hanging="328"/>
        <w:spacing w:after="0" w:line="232"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b w:val="1"/>
          <w:bCs w:val="1"/>
          <w:color w:val="auto"/>
        </w:rPr>
        <w:t xml:space="preserve">Cash Position: </w:t>
      </w:r>
      <w:r>
        <w:rPr>
          <w:rFonts w:ascii="Arial" w:cs="Arial" w:eastAsia="Arial" w:hAnsi="Arial"/>
          <w:sz w:val="18"/>
          <w:szCs w:val="18"/>
          <w:color w:val="auto"/>
        </w:rPr>
        <w:t>The Company had a total cash balance of CHF 154.1 million, composed of CHF 63.1 million in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and CHF 91.0 million in short-term financial assets. This compares to a total cash balance of CHF 198.2 million as of December 31, 2021. The Company’s cash balance provides enough capital resources to progress through at least Q1 2024 without consideration of potential incoming milestone payments.</w:t>
      </w:r>
    </w:p>
    <w:p>
      <w:pPr>
        <w:spacing w:after="0" w:line="202" w:lineRule="exact"/>
        <w:rPr>
          <w:rFonts w:ascii="Arial" w:cs="Arial" w:eastAsia="Arial" w:hAnsi="Arial"/>
          <w:sz w:val="22"/>
          <w:szCs w:val="22"/>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b w:val="1"/>
          <w:bCs w:val="1"/>
          <w:color w:val="auto"/>
        </w:rPr>
        <w:t xml:space="preserve">R&amp;D Expenditures: </w:t>
      </w:r>
      <w:r>
        <w:rPr>
          <w:rFonts w:ascii="Arial" w:cs="Arial" w:eastAsia="Arial" w:hAnsi="Arial"/>
          <w:sz w:val="18"/>
          <w:szCs w:val="18"/>
          <w:color w:val="auto"/>
        </w:rPr>
        <w:t>R&amp;D expenses increased by CHF 2.0 million for the three months ended June 30, 2022, to CHF 15.7 million.</w:t>
      </w:r>
    </w:p>
    <w:p>
      <w:pPr>
        <w:spacing w:after="0" w:line="239" w:lineRule="exact"/>
        <w:rPr>
          <w:sz w:val="20"/>
          <w:szCs w:val="20"/>
          <w:color w:val="auto"/>
        </w:rPr>
      </w:pPr>
    </w:p>
    <w:p>
      <w:pPr>
        <w:ind w:left="1300" w:hanging="320"/>
        <w:spacing w:after="0" w:line="271" w:lineRule="auto"/>
        <w:tabs>
          <w:tab w:leader="none" w:pos="1300" w:val="left"/>
        </w:tabs>
        <w:numPr>
          <w:ilvl w:val="2"/>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Discovery and preclinical expenses (- CHF 0.5 million): </w:t>
      </w:r>
      <w:r>
        <w:rPr>
          <w:rFonts w:ascii="Arial" w:cs="Arial" w:eastAsia="Arial" w:hAnsi="Arial"/>
          <w:sz w:val="18"/>
          <w:szCs w:val="18"/>
          <w:color w:val="auto"/>
        </w:rPr>
        <w:t>The Company decreased expenditures across a variety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and preclinical programs, led by ACI-24 for DS as this program advances into clinical development.</w:t>
      </w:r>
    </w:p>
    <w:p>
      <w:pPr>
        <w:spacing w:after="0" w:line="180" w:lineRule="exact"/>
        <w:rPr>
          <w:rFonts w:ascii="Arial" w:cs="Arial" w:eastAsia="Arial" w:hAnsi="Arial"/>
          <w:sz w:val="18"/>
          <w:szCs w:val="18"/>
          <w:color w:val="auto"/>
        </w:rPr>
      </w:pPr>
    </w:p>
    <w:p>
      <w:pPr>
        <w:ind w:left="1300" w:hanging="320"/>
        <w:spacing w:after="0" w:line="271" w:lineRule="auto"/>
        <w:tabs>
          <w:tab w:leader="none" w:pos="1300" w:val="left"/>
        </w:tabs>
        <w:numPr>
          <w:ilvl w:val="2"/>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Clinical expenses (+ CHF 0.4 million): </w:t>
      </w:r>
      <w:r>
        <w:rPr>
          <w:rFonts w:ascii="Arial" w:cs="Arial" w:eastAsia="Arial" w:hAnsi="Arial"/>
          <w:sz w:val="18"/>
          <w:szCs w:val="18"/>
          <w:color w:val="auto"/>
        </w:rPr>
        <w:t>The Company increased expenditures across multiple clinical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predominantly for ACI-24 for DS and ACI-7104.</w:t>
      </w:r>
    </w:p>
    <w:p>
      <w:pPr>
        <w:spacing w:after="0" w:line="180" w:lineRule="exact"/>
        <w:rPr>
          <w:rFonts w:ascii="Arial" w:cs="Arial" w:eastAsia="Arial" w:hAnsi="Arial"/>
          <w:sz w:val="18"/>
          <w:szCs w:val="18"/>
          <w:color w:val="auto"/>
        </w:rPr>
      </w:pPr>
    </w:p>
    <w:p>
      <w:pPr>
        <w:jc w:val="both"/>
        <w:ind w:left="1300" w:right="20" w:hanging="320"/>
        <w:spacing w:after="0" w:line="253" w:lineRule="auto"/>
        <w:tabs>
          <w:tab w:leader="none" w:pos="1300" w:val="left"/>
        </w:tabs>
        <w:numPr>
          <w:ilvl w:val="2"/>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Other non-allocated (+ CHF 1.2 million): </w:t>
      </w:r>
      <w:r>
        <w:rPr>
          <w:rFonts w:ascii="Arial" w:cs="Arial" w:eastAsia="Arial" w:hAnsi="Arial"/>
          <w:sz w:val="18"/>
          <w:szCs w:val="18"/>
          <w:color w:val="auto"/>
        </w:rPr>
        <w:t>The Company’s other non-allocated R&amp;D expenditure increased by CHF 0.9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mostly related to the reallocation of certain IT and facilities costs, IT investments, as well as CHF 0.3 million across various other cost centers.</w:t>
      </w:r>
    </w:p>
    <w:p>
      <w:pPr>
        <w:spacing w:after="0" w:line="195" w:lineRule="exact"/>
        <w:rPr>
          <w:rFonts w:ascii="Arial" w:cs="Arial" w:eastAsia="Arial" w:hAnsi="Arial"/>
          <w:sz w:val="18"/>
          <w:szCs w:val="18"/>
          <w:color w:val="auto"/>
        </w:rPr>
      </w:pPr>
    </w:p>
    <w:p>
      <w:pPr>
        <w:jc w:val="both"/>
        <w:ind w:left="660" w:hanging="328"/>
        <w:spacing w:after="0" w:line="231"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b w:val="1"/>
          <w:bCs w:val="1"/>
          <w:color w:val="auto"/>
        </w:rPr>
        <w:t xml:space="preserve">G&amp;A Expenditures: </w:t>
      </w:r>
      <w:r>
        <w:rPr>
          <w:rFonts w:ascii="Arial" w:cs="Arial" w:eastAsia="Arial" w:hAnsi="Arial"/>
          <w:sz w:val="18"/>
          <w:szCs w:val="18"/>
          <w:color w:val="auto"/>
        </w:rPr>
        <w:t>For the three months ended June 30, 2022, G&amp;A decreased by CHF 0.9 million to CHF 4.4 million. This</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is mostly related to the reallocation of certain IT and facilities expenditures made in Q2 2022 that were not reclassified in the prior period.</w:t>
      </w:r>
    </w:p>
    <w:p>
      <w:pPr>
        <w:spacing w:after="0" w:line="208" w:lineRule="exact"/>
        <w:rPr>
          <w:rFonts w:ascii="Arial" w:cs="Arial" w:eastAsia="Arial" w:hAnsi="Arial"/>
          <w:sz w:val="22"/>
          <w:szCs w:val="22"/>
          <w:color w:val="auto"/>
        </w:rPr>
      </w:pPr>
    </w:p>
    <w:p>
      <w:pPr>
        <w:jc w:val="both"/>
        <w:ind w:left="660" w:hanging="328"/>
        <w:spacing w:after="0" w:line="231"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b w:val="1"/>
          <w:bCs w:val="1"/>
          <w:color w:val="auto"/>
        </w:rPr>
        <w:t xml:space="preserve">Other Operating Income: </w:t>
      </w:r>
      <w:r>
        <w:rPr>
          <w:rFonts w:ascii="Arial" w:cs="Arial" w:eastAsia="Arial" w:hAnsi="Arial"/>
          <w:sz w:val="18"/>
          <w:szCs w:val="18"/>
          <w:color w:val="auto"/>
        </w:rPr>
        <w:t>The Company recognized CHF 0.2 million in grant income for R&amp;D activities performed under our Michael</w:t>
      </w:r>
      <w:r>
        <w:rPr>
          <w:rFonts w:ascii="Arial" w:cs="Arial" w:eastAsia="Arial" w:hAnsi="Arial"/>
          <w:sz w:val="18"/>
          <w:szCs w:val="18"/>
          <w:b w:val="1"/>
          <w:bCs w:val="1"/>
          <w:color w:val="auto"/>
        </w:rPr>
        <w:t xml:space="preserve"> </w:t>
      </w:r>
      <w:r>
        <w:rPr>
          <w:rFonts w:ascii="Arial" w:cs="Arial" w:eastAsia="Arial" w:hAnsi="Arial"/>
          <w:sz w:val="18"/>
          <w:szCs w:val="18"/>
          <w:color w:val="auto"/>
        </w:rPr>
        <w:t>J. Fox Foundation for Parkinson’s Research (MJFF) and Target ALS grants, a decrease of less than CHF 0.1 million compared to the prior period.</w:t>
      </w:r>
    </w:p>
    <w:p>
      <w:pPr>
        <w:spacing w:after="0" w:line="208"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b w:val="1"/>
          <w:bCs w:val="1"/>
          <w:color w:val="auto"/>
        </w:rPr>
        <w:t xml:space="preserve">IFRS Loss for the Period: </w:t>
      </w:r>
      <w:r>
        <w:rPr>
          <w:rFonts w:ascii="Arial" w:cs="Arial" w:eastAsia="Arial" w:hAnsi="Arial"/>
          <w:sz w:val="18"/>
          <w:szCs w:val="18"/>
          <w:color w:val="auto"/>
        </w:rPr>
        <w:t>The Company reported a net loss after taxes of CHF 19.6 million for the three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2022, compared with a net loss of CHF 19.1 million for the comparable period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198" w:lineRule="exact"/>
        <w:rPr>
          <w:sz w:val="20"/>
          <w:szCs w:val="20"/>
          <w:color w:val="auto"/>
        </w:rPr>
      </w:pPr>
    </w:p>
    <w:p>
      <w:pPr>
        <w:ind w:left="340" w:hanging="332"/>
        <w:spacing w:after="0" w:line="271"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Rafii MS et al, Safety, Tolerability, and Immunogenicity of the ACI-24 Vaccine in Adults With Down Syndrome, A Phase 1b Randomized Clinical Trial, JAMA Neurology, 2022 May 9:79(5).</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eleven therapeutic and three diagnostic candidates, six of which are currently in Phase 2 clinical trials. AC Immune has a strong track record of securing strategic partnerships with leading global pharmaceutical companies including Genentech, a member of the Roche Group, Eli Lilly and Company, and Janssen</w:t>
      </w:r>
    </w:p>
    <w:p>
      <w:pPr>
        <w:spacing w:after="0" w:line="276"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3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2" w:name="page33"/>
    <w:bookmarkEnd w:id="32"/>
    <w:p>
      <w:pPr>
        <w:jc w:val="both"/>
        <w:spacing w:after="0" w:line="271" w:lineRule="auto"/>
        <w:rPr>
          <w:sz w:val="20"/>
          <w:szCs w:val="20"/>
          <w:color w:val="auto"/>
        </w:rPr>
      </w:pPr>
      <w:r>
        <w:rPr>
          <w:rFonts w:ascii="Arial" w:cs="Arial" w:eastAsia="Arial" w:hAnsi="Arial"/>
          <w:sz w:val="18"/>
          <w:szCs w:val="18"/>
          <w:color w:val="auto"/>
        </w:rPr>
        <w:t>Pharmaceuticals, Inc., resulting in substantial non-dilutive funding to advance its proprietary programs and &gt;$3 billion in potential milestone payments.</w:t>
      </w:r>
    </w:p>
    <w:p>
      <w:pPr>
        <w:spacing w:after="0" w:line="144"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and SG.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NO and RU.</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6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Media Relations</w:t>
            </w:r>
          </w:p>
        </w:tc>
        <w:tc>
          <w:tcPr>
            <w:tcW w:w="4020" w:type="dxa"/>
            <w:vAlign w:val="bottom"/>
            <w:gridSpan w:val="2"/>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Saoyuth Nidh</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Gary Waanders, Ph.D., MBA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+41 21 345 91 34</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+41 21 345 91 91</w:t>
            </w:r>
          </w:p>
        </w:tc>
      </w:tr>
      <w:tr>
        <w:trPr>
          <w:trHeight w:val="194"/>
        </w:trPr>
        <w:tc>
          <w:tcPr>
            <w:tcW w:w="4280" w:type="dxa"/>
            <w:vAlign w:val="bottom"/>
            <w:gridSpan w:val="3"/>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4020" w:type="dxa"/>
            <w:vAlign w:val="bottom"/>
            <w:gridSpan w:val="2"/>
          </w:tcPr>
          <w:p>
            <w:pPr>
              <w:ind w:left="900"/>
              <w:spacing w:after="0" w:line="195"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FF"/>
                <w:w w:val="98"/>
              </w:rPr>
              <w:t>gary.waanders@acimmune.com</w:t>
            </w:r>
          </w:p>
        </w:tc>
      </w:tr>
      <w:tr>
        <w:trPr>
          <w:trHeight w:val="20"/>
        </w:trPr>
        <w:tc>
          <w:tcPr>
            <w:tcW w:w="5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3760" w:type="dxa"/>
            <w:vAlign w:val="bottom"/>
            <w:gridSpan w:val="2"/>
          </w:tcPr>
          <w:p>
            <w:pPr>
              <w:ind w:left="100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Shani Lewis</w:t>
            </w:r>
          </w:p>
        </w:tc>
        <w:tc>
          <w:tcPr>
            <w:tcW w:w="376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LaVoieHealthScience</w:t>
            </w:r>
          </w:p>
        </w:tc>
        <w:tc>
          <w:tcPr>
            <w:tcW w:w="376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Phone: +1 609 516 5761</w:t>
            </w:r>
          </w:p>
        </w:tc>
        <w:tc>
          <w:tcPr>
            <w:tcW w:w="376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4180" w:type="dxa"/>
            <w:vAlign w:val="bottom"/>
            <w:gridSpan w:val="3"/>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slewis@lavoiehealthscience.com</w:t>
            </w:r>
          </w:p>
        </w:tc>
        <w:tc>
          <w:tcPr>
            <w:tcW w:w="3760" w:type="dxa"/>
            <w:vAlign w:val="bottom"/>
            <w:gridSpan w:val="2"/>
          </w:tcPr>
          <w:p>
            <w:pPr>
              <w:ind w:left="100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r>
        <w:trPr>
          <w:trHeight w:val="438"/>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Forward looking statements</w:t>
            </w: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5"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4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20"/>
          <w:szCs w:val="20"/>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CHF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b w:val="1"/>
                <w:bCs w:val="1"/>
                <w:color w:val="auto"/>
              </w:rPr>
              <w:t>As of June 30,   As of December 31,</w:t>
            </w:r>
          </w:p>
        </w:tc>
        <w:tc>
          <w:tcPr>
            <w:tcW w:w="0" w:type="dxa"/>
            <w:vAlign w:val="bottom"/>
          </w:tcPr>
          <w:p>
            <w:pPr>
              <w:spacing w:after="0"/>
              <w:rPr>
                <w:sz w:val="1"/>
                <w:szCs w:val="1"/>
                <w:color w:val="auto"/>
              </w:rPr>
            </w:pPr>
          </w:p>
        </w:tc>
      </w:tr>
      <w:tr>
        <w:trPr>
          <w:trHeight w:val="221"/>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79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9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Property, plant and equipment</w:t>
            </w:r>
          </w:p>
        </w:tc>
        <w:tc>
          <w:tcPr>
            <w:tcW w:w="15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4,997</w:t>
            </w: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5,116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Right-of-use assets</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2,632</w:t>
            </w:r>
          </w:p>
        </w:tc>
        <w:tc>
          <w:tcPr>
            <w:tcW w:w="12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Intangible asset</w:t>
            </w:r>
          </w:p>
        </w:tc>
        <w:tc>
          <w:tcPr>
            <w:tcW w:w="15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50,416</w:t>
            </w: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50,416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Borders>
              <w:bottom w:val="single" w:sz="8" w:color="D5EAEA"/>
            </w:tcBorders>
          </w:tcPr>
          <w:p>
            <w:pPr>
              <w:ind w:left="180"/>
              <w:spacing w:after="0"/>
              <w:rPr>
                <w:sz w:val="20"/>
                <w:szCs w:val="20"/>
                <w:color w:val="auto"/>
              </w:rPr>
            </w:pPr>
            <w:r>
              <w:rPr>
                <w:rFonts w:ascii="Arial" w:cs="Arial" w:eastAsia="Arial" w:hAnsi="Arial"/>
                <w:sz w:val="18"/>
                <w:szCs w:val="18"/>
                <w:color w:val="auto"/>
              </w:rPr>
              <w:t>Long-term financial assets</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D5EAEA"/>
            </w:tcBorders>
          </w:tcPr>
          <w:p>
            <w:pPr>
              <w:spacing w:after="0"/>
              <w:rPr>
                <w:sz w:val="18"/>
                <w:szCs w:val="18"/>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40" w:type="dxa"/>
            <w:vAlign w:val="bottom"/>
            <w:tcBorders>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assets</w:t>
            </w:r>
          </w:p>
        </w:tc>
        <w:tc>
          <w:tcPr>
            <w:tcW w:w="15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58,406</w:t>
            </w:r>
          </w:p>
        </w:tc>
        <w:tc>
          <w:tcPr>
            <w:tcW w:w="120" w:type="dxa"/>
            <w:vAlign w:val="bottom"/>
            <w:tcBorders>
              <w:bottom w:val="single" w:sz="8" w:color="D5EAEA"/>
            </w:tcBorders>
            <w:shd w:val="clear" w:color="auto" w:fill="D5EAEA"/>
          </w:tcPr>
          <w:p>
            <w:pPr>
              <w:spacing w:after="0"/>
              <w:rPr>
                <w:sz w:val="18"/>
                <w:szCs w:val="18"/>
                <w:color w:val="auto"/>
              </w:rPr>
            </w:pPr>
          </w:p>
        </w:tc>
        <w:tc>
          <w:tcPr>
            <w:tcW w:w="16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58,809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15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3,465</w:t>
            </w: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Accrued income</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433</w:t>
            </w:r>
          </w:p>
        </w:tc>
        <w:tc>
          <w:tcPr>
            <w:tcW w:w="12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Other current receivables</w:t>
            </w:r>
          </w:p>
        </w:tc>
        <w:tc>
          <w:tcPr>
            <w:tcW w:w="15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335</w:t>
            </w: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428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Short-term financial assets</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91,000</w:t>
            </w:r>
          </w:p>
        </w:tc>
        <w:tc>
          <w:tcPr>
            <w:tcW w:w="12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Cash and cash equivalents</w:t>
            </w:r>
          </w:p>
        </w:tc>
        <w:tc>
          <w:tcPr>
            <w:tcW w:w="15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63,147</w:t>
            </w:r>
          </w:p>
        </w:tc>
        <w:tc>
          <w:tcPr>
            <w:tcW w:w="120" w:type="dxa"/>
            <w:vAlign w:val="bottom"/>
            <w:shd w:val="clear" w:color="auto" w:fill="D5EAEA"/>
          </w:tcPr>
          <w:p>
            <w:pPr>
              <w:spacing w:after="0"/>
              <w:rPr>
                <w:sz w:val="18"/>
                <w:szCs w:val="18"/>
                <w:color w:val="auto"/>
              </w:rPr>
            </w:pPr>
          </w:p>
        </w:tc>
        <w:tc>
          <w:tcPr>
            <w:tcW w:w="16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82,216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158,380</w:t>
            </w:r>
          </w:p>
        </w:tc>
        <w:tc>
          <w:tcPr>
            <w:tcW w:w="120" w:type="dxa"/>
            <w:vAlign w:val="bottom"/>
            <w:tcBorders>
              <w:bottom w:val="single" w:sz="8" w:color="D5EAEA"/>
            </w:tcBorders>
          </w:tcPr>
          <w:p>
            <w:pPr>
              <w:spacing w:after="0"/>
              <w:rPr>
                <w:sz w:val="21"/>
                <w:szCs w:val="21"/>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202,634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94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assets</w:t>
            </w:r>
          </w:p>
        </w:tc>
        <w:tc>
          <w:tcPr>
            <w:tcW w:w="154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216,786</w:t>
            </w:r>
          </w:p>
        </w:tc>
        <w:tc>
          <w:tcPr>
            <w:tcW w:w="120" w:type="dxa"/>
            <w:vAlign w:val="bottom"/>
            <w:tcBorders>
              <w:bottom w:val="single" w:sz="8" w:color="D5EAEA"/>
            </w:tcBorders>
            <w:shd w:val="clear" w:color="auto" w:fill="D5EAEA"/>
          </w:tcPr>
          <w:p>
            <w:pPr>
              <w:spacing w:after="0"/>
              <w:rPr>
                <w:sz w:val="15"/>
                <w:szCs w:val="15"/>
                <w:color w:val="auto"/>
              </w:rPr>
            </w:pPr>
          </w:p>
        </w:tc>
        <w:tc>
          <w:tcPr>
            <w:tcW w:w="164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261,443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SHAREHOLDERS’ EQUITY AND LIABILITIES</w:t>
            </w:r>
          </w:p>
        </w:tc>
        <w:tc>
          <w:tcPr>
            <w:tcW w:w="15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b w:val="1"/>
                <w:bCs w:val="1"/>
                <w:color w:val="auto"/>
              </w:rPr>
              <w:t>Shareholders’ equity</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Share capital</w:t>
            </w:r>
          </w:p>
        </w:tc>
        <w:tc>
          <w:tcPr>
            <w:tcW w:w="15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1,796</w:t>
            </w: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Share premium</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431,260</w:t>
            </w:r>
          </w:p>
        </w:tc>
        <w:tc>
          <w:tcPr>
            <w:tcW w:w="12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Treasury shares</w:t>
            </w:r>
          </w:p>
        </w:tc>
        <w:tc>
          <w:tcPr>
            <w:tcW w:w="15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(124)</w:t>
            </w: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Currency translation differences</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w:t>
            </w:r>
          </w:p>
        </w:tc>
        <w:tc>
          <w:tcPr>
            <w:tcW w:w="12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Accumulated losses</w:t>
            </w:r>
          </w:p>
        </w:tc>
        <w:tc>
          <w:tcPr>
            <w:tcW w:w="15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(230,169)</w:t>
            </w:r>
          </w:p>
        </w:tc>
        <w:tc>
          <w:tcPr>
            <w:tcW w:w="120" w:type="dxa"/>
            <w:vAlign w:val="bottom"/>
            <w:shd w:val="clear" w:color="auto" w:fill="D5EAEA"/>
          </w:tcPr>
          <w:p>
            <w:pPr>
              <w:spacing w:after="0"/>
              <w:rPr>
                <w:sz w:val="18"/>
                <w:szCs w:val="18"/>
                <w:color w:val="auto"/>
              </w:rPr>
            </w:pPr>
          </w:p>
        </w:tc>
        <w:tc>
          <w:tcPr>
            <w:tcW w:w="16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(200,942)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202,812</w:t>
            </w:r>
          </w:p>
        </w:tc>
        <w:tc>
          <w:tcPr>
            <w:tcW w:w="120" w:type="dxa"/>
            <w:vAlign w:val="bottom"/>
            <w:tcBorders>
              <w:bottom w:val="single" w:sz="8" w:color="D5EAEA"/>
            </w:tcBorders>
          </w:tcPr>
          <w:p>
            <w:pPr>
              <w:spacing w:after="0"/>
              <w:rPr>
                <w:sz w:val="21"/>
                <w:szCs w:val="21"/>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231,979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940" w:type="dxa"/>
            <w:vAlign w:val="bottom"/>
            <w:shd w:val="clear" w:color="auto" w:fill="D5EAEA"/>
          </w:tcPr>
          <w:p>
            <w:pPr>
              <w:spacing w:after="0"/>
              <w:rPr>
                <w:sz w:val="15"/>
                <w:szCs w:val="15"/>
                <w:color w:val="auto"/>
              </w:rPr>
            </w:pPr>
          </w:p>
        </w:tc>
        <w:tc>
          <w:tcPr>
            <w:tcW w:w="154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640" w:type="dxa"/>
            <w:vAlign w:val="bottom"/>
            <w:shd w:val="clear" w:color="auto" w:fill="D5EAEA"/>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Long-term lease liabilities</w:t>
            </w:r>
          </w:p>
        </w:tc>
        <w:tc>
          <w:tcPr>
            <w:tcW w:w="15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2,050</w:t>
            </w: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2,340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80"/>
              <w:spacing w:after="0"/>
              <w:rPr>
                <w:sz w:val="20"/>
                <w:szCs w:val="20"/>
                <w:color w:val="auto"/>
              </w:rPr>
            </w:pPr>
            <w:r>
              <w:rPr>
                <w:rFonts w:ascii="Arial" w:cs="Arial" w:eastAsia="Arial" w:hAnsi="Arial"/>
                <w:sz w:val="18"/>
                <w:szCs w:val="18"/>
                <w:color w:val="auto"/>
              </w:rPr>
              <w:t>Net employee defined-benefit liabilities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4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Total non-current liabilities</w:t>
            </w:r>
          </w:p>
        </w:tc>
        <w:tc>
          <w:tcPr>
            <w:tcW w:w="15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2,050</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640" w:type="dxa"/>
            <w:vAlign w:val="bottom"/>
            <w:tcBorders>
              <w:top w:val="single" w:sz="8" w:color="auto"/>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9,438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1540" w:type="dxa"/>
            <w:vAlign w:val="bottom"/>
            <w:shd w:val="clear" w:color="auto" w:fill="D5EAEA"/>
          </w:tcPr>
          <w:p>
            <w:pPr>
              <w:spacing w:after="0"/>
              <w:rPr>
                <w:sz w:val="17"/>
                <w:szCs w:val="17"/>
                <w:color w:val="auto"/>
              </w:rPr>
            </w:pP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Trade and other payables</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337</w:t>
            </w:r>
          </w:p>
        </w:tc>
        <w:tc>
          <w:tcPr>
            <w:tcW w:w="12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4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15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10,585</w:t>
            </w:r>
          </w:p>
        </w:tc>
        <w:tc>
          <w:tcPr>
            <w:tcW w:w="120" w:type="dxa"/>
            <w:vAlign w:val="bottom"/>
            <w:shd w:val="clear" w:color="auto" w:fill="D5EAEA"/>
          </w:tcPr>
          <w:p>
            <w:pPr>
              <w:spacing w:after="0"/>
              <w:rPr>
                <w:sz w:val="17"/>
                <w:szCs w:val="17"/>
                <w:color w:val="auto"/>
              </w:rPr>
            </w:pPr>
          </w:p>
        </w:tc>
        <w:tc>
          <w:tcPr>
            <w:tcW w:w="16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16,736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4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w:t>
            </w:r>
          </w:p>
        </w:tc>
        <w:tc>
          <w:tcPr>
            <w:tcW w:w="1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425</w:t>
            </w:r>
          </w:p>
        </w:tc>
        <w:tc>
          <w:tcPr>
            <w:tcW w:w="120" w:type="dxa"/>
            <w:vAlign w:val="bottom"/>
          </w:tcPr>
          <w:p>
            <w:pPr>
              <w:spacing w:after="0"/>
              <w:rPr>
                <w:sz w:val="17"/>
                <w:szCs w:val="17"/>
                <w:color w:val="auto"/>
              </w:rPr>
            </w:pPr>
          </w:p>
        </w:tc>
        <w:tc>
          <w:tcPr>
            <w:tcW w:w="16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D5EAEA"/>
          </w:tcPr>
          <w:p>
            <w:pPr>
              <w:ind w:left="180"/>
              <w:spacing w:after="0"/>
              <w:rPr>
                <w:sz w:val="20"/>
                <w:szCs w:val="20"/>
                <w:color w:val="auto"/>
              </w:rPr>
            </w:pPr>
            <w:r>
              <w:rPr>
                <w:rFonts w:ascii="Arial" w:cs="Arial" w:eastAsia="Arial" w:hAnsi="Arial"/>
                <w:sz w:val="18"/>
                <w:szCs w:val="18"/>
                <w:color w:val="auto"/>
              </w:rPr>
              <w:t>Short-term lease liabilities</w:t>
            </w:r>
          </w:p>
        </w:tc>
        <w:tc>
          <w:tcPr>
            <w:tcW w:w="15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D5EAEA"/>
          </w:tcPr>
          <w:p>
            <w:pPr>
              <w:spacing w:after="0"/>
              <w:rPr>
                <w:sz w:val="18"/>
                <w:szCs w:val="18"/>
                <w:color w:val="auto"/>
              </w:rPr>
            </w:pPr>
          </w:p>
        </w:tc>
        <w:tc>
          <w:tcPr>
            <w:tcW w:w="16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11,924</w:t>
            </w:r>
          </w:p>
        </w:tc>
        <w:tc>
          <w:tcPr>
            <w:tcW w:w="120" w:type="dxa"/>
            <w:vAlign w:val="bottom"/>
            <w:tcBorders>
              <w:bottom w:val="single" w:sz="8" w:color="D5EAEA"/>
            </w:tcBorders>
          </w:tcPr>
          <w:p>
            <w:pPr>
              <w:spacing w:after="0"/>
              <w:rPr>
                <w:sz w:val="21"/>
                <w:szCs w:val="21"/>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794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Total liabilities</w:t>
            </w:r>
          </w:p>
        </w:tc>
        <w:tc>
          <w:tcPr>
            <w:tcW w:w="154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13,974</w:t>
            </w:r>
          </w:p>
        </w:tc>
        <w:tc>
          <w:tcPr>
            <w:tcW w:w="120" w:type="dxa"/>
            <w:vAlign w:val="bottom"/>
            <w:tcBorders>
              <w:bottom w:val="single" w:sz="8" w:color="D5EAEA"/>
            </w:tcBorders>
            <w:shd w:val="clear" w:color="auto" w:fill="D5EAEA"/>
          </w:tcPr>
          <w:p>
            <w:pPr>
              <w:spacing w:after="0"/>
              <w:rPr>
                <w:sz w:val="15"/>
                <w:szCs w:val="15"/>
                <w:color w:val="auto"/>
              </w:rPr>
            </w:pPr>
          </w:p>
        </w:tc>
        <w:tc>
          <w:tcPr>
            <w:tcW w:w="1640" w:type="dxa"/>
            <w:vAlign w:val="bottom"/>
            <w:tcBorders>
              <w:bottom w:val="single" w:sz="8" w:color="auto"/>
            </w:tcBorders>
            <w:shd w:val="clear" w:color="auto" w:fill="D5EAEA"/>
          </w:tcPr>
          <w:p>
            <w:pPr>
              <w:jc w:val="right"/>
              <w:ind w:right="10"/>
              <w:spacing w:after="0" w:line="183" w:lineRule="exact"/>
              <w:rPr>
                <w:sz w:val="20"/>
                <w:szCs w:val="20"/>
                <w:color w:val="auto"/>
              </w:rPr>
            </w:pPr>
            <w:r>
              <w:rPr>
                <w:rFonts w:ascii="Arial" w:cs="Arial" w:eastAsia="Arial" w:hAnsi="Arial"/>
                <w:sz w:val="18"/>
                <w:szCs w:val="18"/>
                <w:color w:val="auto"/>
              </w:rPr>
              <w:t>29,464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40" w:type="dxa"/>
            <w:vAlign w:val="bottom"/>
            <w:vMerge w:val="continue"/>
          </w:tcPr>
          <w:p>
            <w:pPr>
              <w:spacing w:after="0"/>
              <w:rPr>
                <w:sz w:val="15"/>
                <w:szCs w:val="15"/>
                <w:color w:val="auto"/>
              </w:rPr>
            </w:pPr>
          </w:p>
        </w:tc>
        <w:tc>
          <w:tcPr>
            <w:tcW w:w="154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216,786</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261,443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9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 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34" w:right="31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b w:val="1"/>
          <w:bCs w:val="1"/>
          <w:color w:val="auto"/>
        </w:rPr>
        <w:t>Statements of Income/(Loss)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 CHF thousands, except for per-share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9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7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21"/>
        </w:trPr>
        <w:tc>
          <w:tcPr>
            <w:tcW w:w="5520" w:type="dxa"/>
            <w:vAlign w:val="bottom"/>
          </w:tcPr>
          <w:p>
            <w:pPr>
              <w:spacing w:after="0"/>
              <w:rPr>
                <w:sz w:val="19"/>
                <w:szCs w:val="19"/>
                <w:color w:val="auto"/>
              </w:rPr>
            </w:pPr>
          </w:p>
        </w:tc>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Ended June 30,</w:t>
            </w:r>
          </w:p>
        </w:tc>
        <w:tc>
          <w:tcPr>
            <w:tcW w:w="27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09"/>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Contract revenue</w:t>
            </w:r>
          </w:p>
        </w:tc>
        <w:tc>
          <w:tcPr>
            <w:tcW w:w="150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revenue</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5EAEA"/>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D5EAEA"/>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520" w:type="dxa"/>
            <w:vAlign w:val="bottom"/>
            <w:shd w:val="clear" w:color="auto" w:fill="D5EAEA"/>
          </w:tcPr>
          <w:p>
            <w:pPr>
              <w:spacing w:after="0"/>
              <w:rPr>
                <w:sz w:val="15"/>
                <w:szCs w:val="15"/>
                <w:color w:val="auto"/>
              </w:rPr>
            </w:pPr>
          </w:p>
        </w:tc>
        <w:tc>
          <w:tcPr>
            <w:tcW w:w="138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b w:val="1"/>
                <w:bCs w:val="1"/>
                <w:color w:val="auto"/>
              </w:rPr>
              <w:t>Operating expenses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Research &amp; development expenses</w:t>
            </w:r>
          </w:p>
        </w:tc>
        <w:tc>
          <w:tcPr>
            <w:tcW w:w="138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(15,692)</w:t>
            </w:r>
          </w:p>
        </w:tc>
        <w:tc>
          <w:tcPr>
            <w:tcW w:w="12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(13,710)</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(30,815)</w:t>
            </w:r>
          </w:p>
        </w:tc>
        <w:tc>
          <w:tcPr>
            <w:tcW w:w="100" w:type="dxa"/>
            <w:vAlign w:val="bottom"/>
            <w:shd w:val="clear" w:color="auto" w:fill="D5EAEA"/>
          </w:tcPr>
          <w:p>
            <w:pPr>
              <w:spacing w:after="0"/>
              <w:rPr>
                <w:sz w:val="17"/>
                <w:szCs w:val="17"/>
                <w:color w:val="auto"/>
              </w:rPr>
            </w:pPr>
          </w:p>
        </w:tc>
        <w:tc>
          <w:tcPr>
            <w:tcW w:w="1340" w:type="dxa"/>
            <w:vAlign w:val="bottom"/>
            <w:shd w:val="clear" w:color="auto" w:fill="D5EAEA"/>
          </w:tcPr>
          <w:p>
            <w:pPr>
              <w:jc w:val="right"/>
              <w:spacing w:after="0" w:line="202" w:lineRule="exact"/>
              <w:rPr>
                <w:sz w:val="20"/>
                <w:szCs w:val="20"/>
                <w:color w:val="auto"/>
              </w:rPr>
            </w:pPr>
            <w:r>
              <w:rPr>
                <w:rFonts w:ascii="Arial" w:cs="Arial" w:eastAsia="Arial" w:hAnsi="Arial"/>
                <w:sz w:val="18"/>
                <w:szCs w:val="18"/>
                <w:color w:val="auto"/>
              </w:rPr>
              <w:t>(27,040)</w:t>
            </w:r>
          </w:p>
        </w:tc>
        <w:tc>
          <w:tcPr>
            <w:tcW w:w="0" w:type="dxa"/>
            <w:vAlign w:val="bottom"/>
          </w:tcPr>
          <w:p>
            <w:pPr>
              <w:spacing w:after="0"/>
              <w:rPr>
                <w:sz w:val="1"/>
                <w:szCs w:val="1"/>
                <w:color w:val="auto"/>
              </w:rPr>
            </w:pPr>
          </w:p>
        </w:tc>
      </w:tr>
      <w:tr>
        <w:trPr>
          <w:trHeight w:val="202"/>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General &amp; administrative expenses</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(4,374)</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(5,235)</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(8,550)</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Other operating income/(expense)</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(19,859)</w:t>
            </w:r>
          </w:p>
        </w:tc>
        <w:tc>
          <w:tcPr>
            <w:tcW w:w="12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(18,689)</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(38,688)</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(35,940)</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D5EAEA"/>
            </w:tcBorders>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Operating loss</w:t>
            </w:r>
          </w:p>
        </w:tc>
        <w:tc>
          <w:tcPr>
            <w:tcW w:w="138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(19,859)</w:t>
            </w:r>
          </w:p>
        </w:tc>
        <w:tc>
          <w:tcPr>
            <w:tcW w:w="12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(18,689)</w:t>
            </w:r>
          </w:p>
        </w:tc>
        <w:tc>
          <w:tcPr>
            <w:tcW w:w="10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(38,688)</w:t>
            </w:r>
          </w:p>
        </w:tc>
        <w:tc>
          <w:tcPr>
            <w:tcW w:w="100" w:type="dxa"/>
            <w:vAlign w:val="bottom"/>
            <w:tcBorders>
              <w:bottom w:val="single" w:sz="8" w:color="D5EAEA"/>
            </w:tcBorders>
            <w:shd w:val="clear" w:color="auto" w:fill="D5EAEA"/>
          </w:tcPr>
          <w:p>
            <w:pPr>
              <w:spacing w:after="0"/>
              <w:rPr>
                <w:sz w:val="15"/>
                <w:szCs w:val="15"/>
                <w:color w:val="auto"/>
              </w:rPr>
            </w:pPr>
          </w:p>
        </w:tc>
        <w:tc>
          <w:tcPr>
            <w:tcW w:w="1340" w:type="dxa"/>
            <w:vAlign w:val="bottom"/>
            <w:tcBorders>
              <w:bottom w:val="single" w:sz="8" w:color="auto"/>
            </w:tcBorders>
            <w:shd w:val="clear" w:color="auto" w:fill="D5EAEA"/>
          </w:tcPr>
          <w:p>
            <w:pPr>
              <w:jc w:val="right"/>
              <w:spacing w:after="0" w:line="183" w:lineRule="exact"/>
              <w:rPr>
                <w:sz w:val="20"/>
                <w:szCs w:val="20"/>
                <w:color w:val="auto"/>
              </w:rPr>
            </w:pPr>
            <w:r>
              <w:rPr>
                <w:rFonts w:ascii="Arial" w:cs="Arial" w:eastAsia="Arial" w:hAnsi="Arial"/>
                <w:sz w:val="18"/>
                <w:szCs w:val="18"/>
                <w:color w:val="auto"/>
              </w:rPr>
              <w:t>(35,940)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20" w:type="dxa"/>
            <w:vAlign w:val="bottom"/>
            <w:shd w:val="clear" w:color="auto" w:fill="D5EAEA"/>
          </w:tcPr>
          <w:p>
            <w:pPr>
              <w:ind w:left="180"/>
              <w:spacing w:after="0" w:line="202" w:lineRule="exact"/>
              <w:rPr>
                <w:sz w:val="20"/>
                <w:szCs w:val="20"/>
                <w:color w:val="auto"/>
              </w:rPr>
            </w:pPr>
            <w:r>
              <w:rPr>
                <w:rFonts w:ascii="Arial" w:cs="Arial" w:eastAsia="Arial" w:hAnsi="Arial"/>
                <w:sz w:val="18"/>
                <w:szCs w:val="18"/>
                <w:color w:val="auto"/>
              </w:rPr>
              <w:t>Financial income</w:t>
            </w:r>
          </w:p>
        </w:tc>
        <w:tc>
          <w:tcPr>
            <w:tcW w:w="1500" w:type="dxa"/>
            <w:vAlign w:val="bottom"/>
            <w:gridSpan w:val="2"/>
            <w:shd w:val="clear" w:color="auto" w:fill="D5EAEA"/>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D5EAEA"/>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520" w:type="dxa"/>
            <w:vAlign w:val="bottom"/>
          </w:tcPr>
          <w:p>
            <w:pPr>
              <w:ind w:left="180"/>
              <w:spacing w:after="0" w:line="202" w:lineRule="exact"/>
              <w:rPr>
                <w:sz w:val="20"/>
                <w:szCs w:val="20"/>
                <w:color w:val="auto"/>
              </w:rPr>
            </w:pPr>
            <w:r>
              <w:rPr>
                <w:rFonts w:ascii="Arial" w:cs="Arial" w:eastAsia="Arial" w:hAnsi="Arial"/>
                <w:sz w:val="18"/>
                <w:szCs w:val="18"/>
                <w:color w:val="auto"/>
              </w:rPr>
              <w:t>Financial expense</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(279)</w:t>
            </w:r>
          </w:p>
        </w:tc>
        <w:tc>
          <w:tcPr>
            <w:tcW w:w="1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520" w:type="dxa"/>
            <w:vAlign w:val="bottom"/>
            <w:shd w:val="clear" w:color="auto" w:fill="D5EAEA"/>
          </w:tcPr>
          <w:p>
            <w:pPr>
              <w:ind w:left="180"/>
              <w:spacing w:after="0"/>
              <w:rPr>
                <w:sz w:val="20"/>
                <w:szCs w:val="20"/>
                <w:color w:val="auto"/>
              </w:rPr>
            </w:pPr>
            <w:r>
              <w:rPr>
                <w:rFonts w:ascii="Arial" w:cs="Arial" w:eastAsia="Arial" w:hAnsi="Arial"/>
                <w:sz w:val="18"/>
                <w:szCs w:val="18"/>
                <w:color w:val="auto"/>
              </w:rPr>
              <w:t>Exchange differences</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D5EAEA"/>
          </w:tcPr>
          <w:p>
            <w:pPr>
              <w:spacing w:after="0"/>
              <w:rPr>
                <w:sz w:val="18"/>
                <w:szCs w:val="18"/>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D5EAEA"/>
            </w:tcBorders>
          </w:tcPr>
          <w:p>
            <w:pPr>
              <w:spacing w:after="0"/>
              <w:rPr>
                <w:sz w:val="20"/>
                <w:szCs w:val="20"/>
                <w:color w:val="auto"/>
              </w:rPr>
            </w:pPr>
            <w:r>
              <w:rPr>
                <w:rFonts w:ascii="Arial" w:cs="Arial" w:eastAsia="Arial" w:hAnsi="Arial"/>
                <w:sz w:val="18"/>
                <w:szCs w:val="18"/>
                <w:b w:val="1"/>
                <w:bCs w:val="1"/>
                <w:color w:val="auto"/>
              </w:rPr>
              <w:t>Finance result, net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D5EAEA"/>
            </w:tcBorders>
          </w:tcPr>
          <w:p>
            <w:pPr>
              <w:spacing w:after="0"/>
              <w:rPr>
                <w:sz w:val="21"/>
                <w:szCs w:val="21"/>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183"/>
        </w:trPr>
        <w:tc>
          <w:tcPr>
            <w:tcW w:w="5520" w:type="dxa"/>
            <w:vAlign w:val="bottom"/>
            <w:shd w:val="clear" w:color="auto" w:fill="D5EAEA"/>
          </w:tcPr>
          <w:p>
            <w:pPr>
              <w:spacing w:after="0" w:line="183" w:lineRule="exact"/>
              <w:rPr>
                <w:sz w:val="20"/>
                <w:szCs w:val="20"/>
                <w:color w:val="auto"/>
              </w:rPr>
            </w:pPr>
            <w:r>
              <w:rPr>
                <w:rFonts w:ascii="Arial" w:cs="Arial" w:eastAsia="Arial" w:hAnsi="Arial"/>
                <w:sz w:val="18"/>
                <w:szCs w:val="18"/>
                <w:b w:val="1"/>
                <w:bCs w:val="1"/>
                <w:color w:val="auto"/>
              </w:rPr>
              <w:t>Loss before tax</w:t>
            </w:r>
          </w:p>
        </w:tc>
        <w:tc>
          <w:tcPr>
            <w:tcW w:w="138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(19,640)</w:t>
            </w:r>
          </w:p>
        </w:tc>
        <w:tc>
          <w:tcPr>
            <w:tcW w:w="120" w:type="dxa"/>
            <w:vAlign w:val="bottom"/>
            <w:shd w:val="clear" w:color="auto" w:fill="D5EAEA"/>
          </w:tcPr>
          <w:p>
            <w:pPr>
              <w:spacing w:after="0"/>
              <w:rPr>
                <w:sz w:val="15"/>
                <w:szCs w:val="15"/>
                <w:color w:val="auto"/>
              </w:rPr>
            </w:pPr>
          </w:p>
        </w:tc>
        <w:tc>
          <w:tcPr>
            <w:tcW w:w="134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(19,069)</w:t>
            </w: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(38,482)</w:t>
            </w: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jc w:val="right"/>
              <w:spacing w:after="0" w:line="183" w:lineRule="exact"/>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520" w:type="dxa"/>
            <w:vAlign w:val="bottom"/>
            <w:tcBorders>
              <w:top w:val="single" w:sz="8" w:color="D5EAEA"/>
              <w:bottom w:val="single" w:sz="8" w:color="D5EAEA"/>
            </w:tcBorders>
            <w:shd w:val="clear" w:color="auto" w:fill="D5EAEA"/>
          </w:tcPr>
          <w:p>
            <w:pPr>
              <w:spacing w:after="0"/>
              <w:rPr>
                <w:sz w:val="20"/>
                <w:szCs w:val="20"/>
                <w:color w:val="auto"/>
              </w:rPr>
            </w:pPr>
            <w:r>
              <w:rPr>
                <w:rFonts w:ascii="Arial" w:cs="Arial" w:eastAsia="Arial" w:hAnsi="Arial"/>
                <w:sz w:val="18"/>
                <w:szCs w:val="18"/>
                <w:b w:val="1"/>
                <w:bCs w:val="1"/>
                <w:color w:val="auto"/>
              </w:rPr>
              <w:t>Loss for the period</w:t>
            </w: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(19,643)</w:t>
            </w:r>
          </w:p>
        </w:tc>
        <w:tc>
          <w:tcPr>
            <w:tcW w:w="12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(38,489)</w:t>
            </w:r>
          </w:p>
        </w:tc>
        <w:tc>
          <w:tcPr>
            <w:tcW w:w="100" w:type="dxa"/>
            <w:vAlign w:val="bottom"/>
            <w:tcBorders>
              <w:top w:val="single" w:sz="8" w:color="D5EAEA"/>
              <w:bottom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180"/>
              <w:spacing w:after="0"/>
              <w:rPr>
                <w:sz w:val="20"/>
                <w:szCs w:val="20"/>
                <w:color w:val="auto"/>
              </w:rPr>
            </w:pPr>
            <w:r>
              <w:rPr>
                <w:rFonts w:ascii="Arial" w:cs="Arial" w:eastAsia="Arial" w:hAnsi="Arial"/>
                <w:sz w:val="18"/>
                <w:szCs w:val="18"/>
                <w:color w:val="auto"/>
              </w:rPr>
              <w:t>Loss per share:</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vMerge w:val="continue"/>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vMerge w:val="continue"/>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vMerge w:val="continue"/>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(0.46)</w:t>
            </w:r>
          </w:p>
        </w:tc>
        <w:tc>
          <w:tcPr>
            <w:tcW w:w="100" w:type="dxa"/>
            <w:vAlign w:val="bottom"/>
            <w:vMerge w:val="continue"/>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Income/(Loss)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240"/>
          </w:cols>
          <w:pgMar w:left="320" w:top="5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Loss for the period</w:t>
      </w:r>
    </w:p>
    <w:p>
      <w:pPr>
        <w:spacing w:after="0" w:line="14" w:lineRule="exact"/>
        <w:rPr>
          <w:sz w:val="20"/>
          <w:szCs w:val="20"/>
          <w:color w:val="auto"/>
        </w:rPr>
      </w:pPr>
    </w:p>
    <w:p>
      <w:pPr>
        <w:ind w:left="180" w:right="500" w:hanging="161"/>
        <w:spacing w:after="0" w:line="234" w:lineRule="auto"/>
        <w:rPr>
          <w:sz w:val="20"/>
          <w:szCs w:val="20"/>
          <w:color w:val="auto"/>
        </w:rPr>
      </w:pPr>
      <w:r>
        <w:rPr>
          <w:rFonts w:ascii="Arial" w:cs="Arial" w:eastAsia="Arial" w:hAnsi="Arial"/>
          <w:sz w:val="18"/>
          <w:szCs w:val="18"/>
          <w:color w:val="auto"/>
        </w:rPr>
        <w:t>Items that will be reclassified to income or loss in subsequent periods (net of tax):</w:t>
      </w:r>
    </w:p>
    <w:p>
      <w:pPr>
        <w:spacing w:after="0" w:line="236" w:lineRule="auto"/>
        <w:rPr>
          <w:sz w:val="20"/>
          <w:szCs w:val="20"/>
          <w:color w:val="auto"/>
        </w:rPr>
      </w:pPr>
      <w:r>
        <w:rPr>
          <w:rFonts w:ascii="Arial" w:cs="Arial" w:eastAsia="Arial" w:hAnsi="Arial"/>
          <w:sz w:val="18"/>
          <w:szCs w:val="18"/>
          <w:color w:val="auto"/>
        </w:rPr>
        <w:t>Currency translation differences:</w:t>
      </w:r>
    </w:p>
    <w:p>
      <w:pPr>
        <w:ind w:left="180" w:hanging="161"/>
        <w:spacing w:after="0" w:line="234" w:lineRule="auto"/>
        <w:rPr>
          <w:sz w:val="20"/>
          <w:szCs w:val="20"/>
          <w:color w:val="auto"/>
        </w:rPr>
      </w:pPr>
      <w:r>
        <w:rPr>
          <w:rFonts w:ascii="Arial" w:cs="Arial" w:eastAsia="Arial" w:hAnsi="Arial"/>
          <w:sz w:val="18"/>
          <w:szCs w:val="18"/>
          <w:color w:val="auto"/>
        </w:rPr>
        <w:t>Items that will not to be reclassified to income or loss in subsequent periods (net of tax):</w:t>
      </w:r>
    </w:p>
    <w:p>
      <w:pPr>
        <w:spacing w:after="0" w:line="1"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 xml:space="preserve">Remeasurement gains on defined-benefit plans (net of tax) </w:t>
      </w:r>
      <w:r>
        <w:rPr>
          <w:rFonts w:ascii="Arial" w:cs="Arial" w:eastAsia="Arial" w:hAnsi="Arial"/>
          <w:sz w:val="18"/>
          <w:szCs w:val="18"/>
          <w:b w:val="1"/>
          <w:bCs w:val="1"/>
          <w:color w:val="auto"/>
        </w:rPr>
        <w:t>Total comprehensive loss, net of tax</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9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7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For the Six Months</w:t>
            </w:r>
          </w:p>
        </w:tc>
      </w:tr>
      <w:tr>
        <w:trPr>
          <w:trHeight w:val="221"/>
        </w:trPr>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Ended June 30,</w:t>
            </w:r>
          </w:p>
        </w:tc>
        <w:tc>
          <w:tcPr>
            <w:tcW w:w="27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Ended June 30,</w:t>
            </w:r>
          </w:p>
        </w:tc>
      </w:tr>
      <w:tr>
        <w:trPr>
          <w:trHeight w:val="209"/>
        </w:trPr>
        <w:tc>
          <w:tcPr>
            <w:tcW w:w="13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32"/>
        </w:trPr>
        <w:tc>
          <w:tcPr>
            <w:tcW w:w="1380" w:type="dxa"/>
            <w:vAlign w:val="bottom"/>
          </w:tcPr>
          <w:p>
            <w:pPr>
              <w:jc w:val="right"/>
              <w:spacing w:after="0"/>
              <w:rPr>
                <w:sz w:val="20"/>
                <w:szCs w:val="20"/>
                <w:color w:val="auto"/>
              </w:rPr>
            </w:pPr>
            <w:r>
              <w:rPr>
                <w:rFonts w:ascii="Arial" w:cs="Arial" w:eastAsia="Arial" w:hAnsi="Arial"/>
                <w:sz w:val="18"/>
                <w:szCs w:val="18"/>
                <w:color w:val="auto"/>
              </w:rPr>
              <w:t>(19,643)</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(38,489)</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(35,803)</w:t>
            </w:r>
          </w:p>
        </w:tc>
      </w:tr>
      <w:tr>
        <w:trPr>
          <w:trHeight w:val="589"/>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04"/>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7,381</w:t>
            </w:r>
          </w:p>
        </w:tc>
        <w:tc>
          <w:tcPr>
            <w:tcW w:w="12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(12,223)</w:t>
            </w: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(31,059)</w:t>
            </w: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(35,803)</w:t>
            </w: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308"/>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 / 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-1296670</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-901700</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-516255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-10795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5380" w:space="140"/>
            <w:col w:w="5720"/>
          </w:cols>
          <w:pgMar w:left="320" w:top="534"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Reconciliation of loss to adjusted loss and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loss per share to adjusted loss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For the Three Months</w:t>
            </w:r>
          </w:p>
        </w:tc>
        <w:tc>
          <w:tcPr>
            <w:tcW w:w="278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For the Six Months</w:t>
            </w:r>
          </w:p>
        </w:tc>
        <w:tc>
          <w:tcPr>
            <w:tcW w:w="0" w:type="dxa"/>
            <w:vAlign w:val="bottom"/>
          </w:tcPr>
          <w:p>
            <w:pPr>
              <w:spacing w:after="0"/>
              <w:rPr>
                <w:sz w:val="1"/>
                <w:szCs w:val="1"/>
                <w:color w:val="auto"/>
              </w:rPr>
            </w:pPr>
          </w:p>
        </w:tc>
      </w:tr>
      <w:tr>
        <w:trPr>
          <w:trHeight w:val="221"/>
        </w:trPr>
        <w:tc>
          <w:tcPr>
            <w:tcW w:w="552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In CHF thousands, except for share and per share data</w:t>
            </w:r>
          </w:p>
        </w:tc>
        <w:tc>
          <w:tcPr>
            <w:tcW w:w="29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Ended June 30,</w:t>
            </w:r>
          </w:p>
        </w:tc>
        <w:tc>
          <w:tcPr>
            <w:tcW w:w="27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13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400" w:type="dxa"/>
            <w:vAlign w:val="bottom"/>
            <w:tcBorders>
              <w:top w:val="single" w:sz="8" w:color="auto"/>
            </w:tcBorders>
            <w:shd w:val="clear" w:color="auto" w:fill="D5EAEA"/>
          </w:tcPr>
          <w:p>
            <w:pPr>
              <w:spacing w:after="0"/>
              <w:rPr>
                <w:sz w:val="20"/>
                <w:szCs w:val="20"/>
                <w:color w:val="auto"/>
              </w:rPr>
            </w:pPr>
            <w:r>
              <w:rPr>
                <w:rFonts w:ascii="Arial" w:cs="Arial" w:eastAsia="Arial" w:hAnsi="Arial"/>
                <w:sz w:val="18"/>
                <w:szCs w:val="18"/>
                <w:b w:val="1"/>
                <w:bCs w:val="1"/>
                <w:color w:val="auto"/>
              </w:rPr>
              <w:t>Loss</w:t>
            </w:r>
          </w:p>
        </w:tc>
        <w:tc>
          <w:tcPr>
            <w:tcW w:w="120" w:type="dxa"/>
            <w:vAlign w:val="bottom"/>
            <w:tcBorders>
              <w:top w:val="single" w:sz="8" w:color="D5EAEA"/>
            </w:tcBorders>
            <w:shd w:val="clear" w:color="auto" w:fill="D5EAEA"/>
          </w:tcPr>
          <w:p>
            <w:pPr>
              <w:spacing w:after="0"/>
              <w:rPr>
                <w:sz w:val="18"/>
                <w:szCs w:val="18"/>
                <w:color w:val="auto"/>
              </w:rPr>
            </w:pPr>
          </w:p>
        </w:tc>
        <w:tc>
          <w:tcPr>
            <w:tcW w:w="138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(19,643)</w:t>
            </w:r>
          </w:p>
        </w:tc>
        <w:tc>
          <w:tcPr>
            <w:tcW w:w="12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(19,069)</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(38,489)</w:t>
            </w:r>
          </w:p>
        </w:tc>
        <w:tc>
          <w:tcPr>
            <w:tcW w:w="100" w:type="dxa"/>
            <w:vAlign w:val="bottom"/>
            <w:tcBorders>
              <w:top w:val="single" w:sz="8" w:color="D5EAEA"/>
            </w:tcBorders>
            <w:shd w:val="clear" w:color="auto" w:fill="D5EAEA"/>
          </w:tcPr>
          <w:p>
            <w:pPr>
              <w:spacing w:after="0"/>
              <w:rPr>
                <w:sz w:val="18"/>
                <w:szCs w:val="18"/>
                <w:color w:val="auto"/>
              </w:rPr>
            </w:pPr>
          </w:p>
        </w:tc>
        <w:tc>
          <w:tcPr>
            <w:tcW w:w="1340" w:type="dxa"/>
            <w:vAlign w:val="bottom"/>
            <w:tcBorders>
              <w:top w:val="single" w:sz="8" w:color="auto"/>
              <w:bottom w:val="single" w:sz="8" w:color="auto"/>
            </w:tcBorders>
            <w:shd w:val="clear" w:color="auto" w:fill="D5EAEA"/>
          </w:tcPr>
          <w:p>
            <w:pPr>
              <w:jc w:val="right"/>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196"/>
        </w:trPr>
        <w:tc>
          <w:tcPr>
            <w:tcW w:w="55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Adjustments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D5EAEA"/>
          </w:tcPr>
          <w:p>
            <w:pPr>
              <w:ind w:left="160"/>
              <w:spacing w:after="0" w:line="243" w:lineRule="exact"/>
              <w:rPr>
                <w:sz w:val="20"/>
                <w:szCs w:val="20"/>
                <w:color w:val="auto"/>
              </w:rPr>
            </w:pPr>
            <w:r>
              <w:rPr>
                <w:rFonts w:ascii="Arial" w:cs="Arial" w:eastAsia="Arial" w:hAnsi="Arial"/>
                <w:sz w:val="17"/>
                <w:szCs w:val="17"/>
                <w:color w:val="auto"/>
              </w:rPr>
              <w:t>Non-cash share-based payments</w:t>
            </w:r>
            <w:r>
              <w:rPr>
                <w:rFonts w:ascii="Arial" w:cs="Arial" w:eastAsia="Arial" w:hAnsi="Arial"/>
                <w:sz w:val="28"/>
                <w:szCs w:val="28"/>
                <w:color w:val="auto"/>
                <w:vertAlign w:val="superscript"/>
              </w:rPr>
              <w:t>1</w:t>
            </w:r>
          </w:p>
        </w:tc>
        <w:tc>
          <w:tcPr>
            <w:tcW w:w="138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D5EAEA"/>
          </w:tcPr>
          <w:p>
            <w:pPr>
              <w:spacing w:after="0"/>
              <w:rPr>
                <w:sz w:val="21"/>
                <w:szCs w:val="21"/>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D5EAEA"/>
          </w:tcPr>
          <w:p>
            <w:pPr>
              <w:spacing w:after="0"/>
              <w:rPr>
                <w:sz w:val="21"/>
                <w:szCs w:val="21"/>
                <w:color w:val="auto"/>
              </w:rPr>
            </w:pP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1,886</w:t>
            </w:r>
          </w:p>
        </w:tc>
        <w:tc>
          <w:tcPr>
            <w:tcW w:w="100" w:type="dxa"/>
            <w:vAlign w:val="bottom"/>
            <w:shd w:val="clear" w:color="auto" w:fill="D5EAEA"/>
          </w:tcPr>
          <w:p>
            <w:pPr>
              <w:spacing w:after="0"/>
              <w:rPr>
                <w:sz w:val="21"/>
                <w:szCs w:val="21"/>
                <w:color w:val="auto"/>
              </w:rPr>
            </w:pP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43"/>
        </w:trPr>
        <w:tc>
          <w:tcPr>
            <w:tcW w:w="552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Foreign currency (gains)/losses</w:t>
            </w:r>
            <w:r>
              <w:rPr>
                <w:rFonts w:ascii="Arial" w:cs="Arial" w:eastAsia="Arial" w:hAnsi="Arial"/>
                <w:sz w:val="28"/>
                <w:szCs w:val="28"/>
                <w:color w:val="auto"/>
                <w:vertAlign w:val="superscript"/>
              </w:rPr>
              <w:t>2</w:t>
            </w:r>
          </w:p>
        </w:tc>
        <w:tc>
          <w:tcPr>
            <w:tcW w:w="13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D5EAEA"/>
          </w:tcPr>
          <w:p>
            <w:pPr>
              <w:ind w:left="160"/>
              <w:spacing w:after="0" w:line="256" w:lineRule="exact"/>
              <w:rPr>
                <w:sz w:val="20"/>
                <w:szCs w:val="20"/>
                <w:color w:val="auto"/>
              </w:rPr>
            </w:pPr>
            <w:r>
              <w:rPr>
                <w:rFonts w:ascii="Arial" w:cs="Arial" w:eastAsia="Arial" w:hAnsi="Arial"/>
                <w:sz w:val="18"/>
                <w:szCs w:val="18"/>
                <w:color w:val="auto"/>
              </w:rPr>
              <w:t>Transaction costs</w:t>
            </w:r>
            <w:r>
              <w:rPr>
                <w:rFonts w:ascii="Arial" w:cs="Arial" w:eastAsia="Arial" w:hAnsi="Arial"/>
                <w:sz w:val="29"/>
                <w:szCs w:val="29"/>
                <w:color w:val="auto"/>
                <w:vertAlign w:val="superscript"/>
              </w:rPr>
              <w:t>3</w:t>
            </w:r>
          </w:p>
        </w:tc>
        <w:tc>
          <w:tcPr>
            <w:tcW w:w="1500" w:type="dxa"/>
            <w:vAlign w:val="bottom"/>
            <w:gridSpan w:val="2"/>
            <w:shd w:val="clear" w:color="auto" w:fill="D5EAEA"/>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3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D5EAEA"/>
          </w:tcPr>
          <w:p>
            <w:pPr>
              <w:spacing w:after="0"/>
              <w:rPr>
                <w:sz w:val="22"/>
                <w:szCs w:val="22"/>
                <w:color w:val="auto"/>
              </w:rPr>
            </w:pPr>
          </w:p>
        </w:tc>
        <w:tc>
          <w:tcPr>
            <w:tcW w:w="1440" w:type="dxa"/>
            <w:vAlign w:val="bottom"/>
            <w:gridSpan w:val="2"/>
            <w:shd w:val="clear" w:color="auto" w:fill="D5EAEA"/>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5EAEA"/>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Adjusted Loss</w:t>
            </w:r>
          </w:p>
        </w:tc>
        <w:tc>
          <w:tcPr>
            <w:tcW w:w="13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(19,175)</w:t>
            </w:r>
          </w:p>
        </w:tc>
        <w:tc>
          <w:tcPr>
            <w:tcW w:w="120" w:type="dxa"/>
            <w:vAlign w:val="bottom"/>
            <w:tcBorders>
              <w:bottom w:val="single" w:sz="8" w:color="D5EAEA"/>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(17,565)</w:t>
            </w:r>
          </w:p>
        </w:tc>
        <w:tc>
          <w:tcPr>
            <w:tcW w:w="100" w:type="dxa"/>
            <w:vAlign w:val="bottom"/>
            <w:tcBorders>
              <w:bottom w:val="single" w:sz="8" w:color="D5EAEA"/>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(37,286)</w:t>
            </w:r>
          </w:p>
        </w:tc>
        <w:tc>
          <w:tcPr>
            <w:tcW w:w="100" w:type="dxa"/>
            <w:vAlign w:val="bottom"/>
            <w:tcBorders>
              <w:bottom w:val="single" w:sz="8" w:color="D5EAEA"/>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(34,062)</w:t>
            </w:r>
          </w:p>
        </w:tc>
        <w:tc>
          <w:tcPr>
            <w:tcW w:w="0" w:type="dxa"/>
            <w:vAlign w:val="bottom"/>
          </w:tcPr>
          <w:p>
            <w:pPr>
              <w:spacing w:after="0"/>
              <w:rPr>
                <w:sz w:val="1"/>
                <w:szCs w:val="1"/>
                <w:color w:val="auto"/>
              </w:rPr>
            </w:pPr>
          </w:p>
        </w:tc>
      </w:tr>
      <w:tr>
        <w:trPr>
          <w:trHeight w:val="183"/>
        </w:trPr>
        <w:tc>
          <w:tcPr>
            <w:tcW w:w="540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380" w:type="dxa"/>
            <w:vAlign w:val="bottom"/>
            <w:shd w:val="clear" w:color="auto" w:fill="D5EAEA"/>
          </w:tcPr>
          <w:p>
            <w:pPr>
              <w:spacing w:after="0"/>
              <w:rPr>
                <w:sz w:val="15"/>
                <w:szCs w:val="15"/>
                <w:color w:val="auto"/>
              </w:rPr>
            </w:pPr>
          </w:p>
        </w:tc>
        <w:tc>
          <w:tcPr>
            <w:tcW w:w="12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100" w:type="dxa"/>
            <w:vAlign w:val="bottom"/>
            <w:shd w:val="clear" w:color="auto" w:fill="D5EAEA"/>
          </w:tcPr>
          <w:p>
            <w:pPr>
              <w:spacing w:after="0"/>
              <w:rPr>
                <w:sz w:val="15"/>
                <w:szCs w:val="15"/>
                <w:color w:val="auto"/>
              </w:rPr>
            </w:pPr>
          </w:p>
        </w:tc>
        <w:tc>
          <w:tcPr>
            <w:tcW w:w="1340" w:type="dxa"/>
            <w:vAlign w:val="bottom"/>
            <w:shd w:val="clear" w:color="auto" w:fill="D5EAEA"/>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D5EAEA"/>
            </w:tcBorders>
            <w:gridSpan w:val="2"/>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D5EAEA"/>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96"/>
        </w:trPr>
        <w:tc>
          <w:tcPr>
            <w:tcW w:w="5520" w:type="dxa"/>
            <w:vAlign w:val="bottom"/>
            <w:gridSpan w:val="2"/>
            <w:shd w:val="clear" w:color="auto" w:fill="D5EAEA"/>
          </w:tcPr>
          <w:p>
            <w:pPr>
              <w:spacing w:after="0" w:line="196" w:lineRule="exact"/>
              <w:rPr>
                <w:sz w:val="20"/>
                <w:szCs w:val="20"/>
                <w:color w:val="auto"/>
              </w:rPr>
            </w:pPr>
            <w:r>
              <w:rPr>
                <w:rFonts w:ascii="Arial" w:cs="Arial" w:eastAsia="Arial" w:hAnsi="Arial"/>
                <w:sz w:val="18"/>
                <w:szCs w:val="18"/>
                <w:b w:val="1"/>
                <w:bCs w:val="1"/>
                <w:color w:val="auto"/>
              </w:rPr>
              <w:t>Adjustment to loss per share – basic and diluted</w:t>
            </w:r>
          </w:p>
        </w:tc>
        <w:tc>
          <w:tcPr>
            <w:tcW w:w="138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0.02</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30"/>
              <w:spacing w:after="0" w:line="196" w:lineRule="exact"/>
              <w:rPr>
                <w:sz w:val="20"/>
                <w:szCs w:val="20"/>
                <w:color w:val="auto"/>
              </w:rPr>
            </w:pPr>
            <w:r>
              <w:rPr>
                <w:rFonts w:ascii="Arial" w:cs="Arial" w:eastAsia="Arial" w:hAnsi="Arial"/>
                <w:sz w:val="18"/>
                <w:szCs w:val="18"/>
                <w:color w:val="auto"/>
              </w:rPr>
              <w:t>0.01</w:t>
            </w:r>
          </w:p>
        </w:tc>
        <w:tc>
          <w:tcPr>
            <w:tcW w:w="100" w:type="dxa"/>
            <w:vAlign w:val="bottom"/>
            <w:shd w:val="clear" w:color="auto" w:fill="D5EAEA"/>
          </w:tcPr>
          <w:p>
            <w:pPr>
              <w:spacing w:after="0"/>
              <w:rPr>
                <w:sz w:val="17"/>
                <w:szCs w:val="17"/>
                <w:color w:val="auto"/>
              </w:rPr>
            </w:pPr>
          </w:p>
        </w:tc>
        <w:tc>
          <w:tcPr>
            <w:tcW w:w="1340" w:type="dxa"/>
            <w:vAlign w:val="bottom"/>
            <w:tcBorders>
              <w:bottom w:val="single" w:sz="8" w:color="auto"/>
            </w:tcBorders>
            <w:shd w:val="clear" w:color="auto" w:fill="D5EAEA"/>
          </w:tcPr>
          <w:p>
            <w:pPr>
              <w:jc w:val="right"/>
              <w:ind w:right="10"/>
              <w:spacing w:after="0" w:line="196"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5EAEA"/>
            </w:tcBorders>
            <w:gridSpan w:val="2"/>
          </w:tcPr>
          <w:p>
            <w:pPr>
              <w:spacing w:after="0" w:line="196" w:lineRule="exact"/>
              <w:rPr>
                <w:sz w:val="20"/>
                <w:szCs w:val="20"/>
                <w:color w:val="auto"/>
              </w:rPr>
            </w:pPr>
            <w:r>
              <w:rPr>
                <w:rFonts w:ascii="Arial" w:cs="Arial" w:eastAsia="Arial" w:hAnsi="Arial"/>
                <w:sz w:val="18"/>
                <w:szCs w:val="18"/>
                <w:b w:val="1"/>
                <w:bCs w:val="1"/>
                <w:color w:val="auto"/>
              </w:rPr>
              <w:t>Adjusted loss per share – basic and diluted</w:t>
            </w: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12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100" w:type="dxa"/>
            <w:vAlign w:val="bottom"/>
            <w:tcBorders>
              <w:bottom w:val="single" w:sz="8" w:color="D5EAEA"/>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64"/>
        </w:trPr>
        <w:tc>
          <w:tcPr>
            <w:tcW w:w="5520" w:type="dxa"/>
            <w:vAlign w:val="bottom"/>
            <w:gridSpan w:val="2"/>
            <w:shd w:val="clear" w:color="auto" w:fill="D5EAEA"/>
          </w:tcPr>
          <w:p>
            <w:pPr>
              <w:spacing w:after="0" w:line="164" w:lineRule="exact"/>
              <w:rPr>
                <w:sz w:val="20"/>
                <w:szCs w:val="20"/>
                <w:color w:val="auto"/>
              </w:rPr>
            </w:pPr>
            <w:r>
              <w:rPr>
                <w:rFonts w:ascii="Arial" w:cs="Arial" w:eastAsia="Arial" w:hAnsi="Arial"/>
                <w:sz w:val="18"/>
                <w:szCs w:val="18"/>
                <w:color w:val="auto"/>
              </w:rPr>
              <w:t>Weighted-average number of shares outstanding Adjusted loss –</w:t>
            </w:r>
          </w:p>
        </w:tc>
        <w:tc>
          <w:tcPr>
            <w:tcW w:w="1380" w:type="dxa"/>
            <w:vAlign w:val="bottom"/>
            <w:shd w:val="clear" w:color="auto" w:fill="D5EAEA"/>
          </w:tcPr>
          <w:p>
            <w:pPr>
              <w:spacing w:after="0"/>
              <w:rPr>
                <w:sz w:val="14"/>
                <w:szCs w:val="14"/>
                <w:color w:val="auto"/>
              </w:rPr>
            </w:pPr>
          </w:p>
        </w:tc>
        <w:tc>
          <w:tcPr>
            <w:tcW w:w="120" w:type="dxa"/>
            <w:vAlign w:val="bottom"/>
            <w:shd w:val="clear" w:color="auto" w:fill="D5EAEA"/>
          </w:tcPr>
          <w:p>
            <w:pPr>
              <w:spacing w:after="0"/>
              <w:rPr>
                <w:sz w:val="14"/>
                <w:szCs w:val="14"/>
                <w:color w:val="auto"/>
              </w:rPr>
            </w:pPr>
          </w:p>
        </w:tc>
        <w:tc>
          <w:tcPr>
            <w:tcW w:w="1340" w:type="dxa"/>
            <w:vAlign w:val="bottom"/>
            <w:shd w:val="clear" w:color="auto" w:fill="D5EAEA"/>
          </w:tcPr>
          <w:p>
            <w:pPr>
              <w:spacing w:after="0"/>
              <w:rPr>
                <w:sz w:val="14"/>
                <w:szCs w:val="14"/>
                <w:color w:val="auto"/>
              </w:rPr>
            </w:pPr>
          </w:p>
        </w:tc>
        <w:tc>
          <w:tcPr>
            <w:tcW w:w="100" w:type="dxa"/>
            <w:vAlign w:val="bottom"/>
            <w:shd w:val="clear" w:color="auto" w:fill="D5EAEA"/>
          </w:tcPr>
          <w:p>
            <w:pPr>
              <w:spacing w:after="0"/>
              <w:rPr>
                <w:sz w:val="14"/>
                <w:szCs w:val="14"/>
                <w:color w:val="auto"/>
              </w:rPr>
            </w:pPr>
          </w:p>
        </w:tc>
        <w:tc>
          <w:tcPr>
            <w:tcW w:w="1340" w:type="dxa"/>
            <w:vAlign w:val="bottom"/>
            <w:shd w:val="clear" w:color="auto" w:fill="D5EAEA"/>
          </w:tcPr>
          <w:p>
            <w:pPr>
              <w:spacing w:after="0"/>
              <w:rPr>
                <w:sz w:val="14"/>
                <w:szCs w:val="14"/>
                <w:color w:val="auto"/>
              </w:rPr>
            </w:pPr>
          </w:p>
        </w:tc>
        <w:tc>
          <w:tcPr>
            <w:tcW w:w="100" w:type="dxa"/>
            <w:vAlign w:val="bottom"/>
            <w:shd w:val="clear" w:color="auto" w:fill="D5EAEA"/>
          </w:tcPr>
          <w:p>
            <w:pPr>
              <w:spacing w:after="0"/>
              <w:rPr>
                <w:sz w:val="14"/>
                <w:szCs w:val="14"/>
                <w:color w:val="auto"/>
              </w:rPr>
            </w:pPr>
          </w:p>
        </w:tc>
        <w:tc>
          <w:tcPr>
            <w:tcW w:w="1340" w:type="dxa"/>
            <w:vAlign w:val="bottom"/>
            <w:shd w:val="clear" w:color="auto" w:fill="D5EAEA"/>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520" w:type="dxa"/>
            <w:vAlign w:val="bottom"/>
            <w:gridSpan w:val="2"/>
            <w:shd w:val="clear" w:color="auto" w:fill="D5EAEA"/>
          </w:tcPr>
          <w:p>
            <w:pPr>
              <w:ind w:left="180"/>
              <w:spacing w:after="0"/>
              <w:rPr>
                <w:sz w:val="20"/>
                <w:szCs w:val="20"/>
                <w:color w:val="auto"/>
              </w:rPr>
            </w:pPr>
            <w:r>
              <w:rPr>
                <w:rFonts w:ascii="Arial" w:cs="Arial" w:eastAsia="Arial" w:hAnsi="Arial"/>
                <w:sz w:val="18"/>
                <w:szCs w:val="18"/>
                <w:color w:val="auto"/>
              </w:rPr>
              <w:t>basic and diluted</w:t>
            </w:r>
          </w:p>
        </w:tc>
        <w:tc>
          <w:tcPr>
            <w:tcW w:w="138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84,462,675</w:t>
            </w:r>
          </w:p>
        </w:tc>
        <w:tc>
          <w:tcPr>
            <w:tcW w:w="120" w:type="dxa"/>
            <w:vAlign w:val="bottom"/>
            <w:shd w:val="clear" w:color="auto" w:fill="D5EAEA"/>
          </w:tcPr>
          <w:p>
            <w:pPr>
              <w:spacing w:after="0"/>
              <w:rPr>
                <w:sz w:val="20"/>
                <w:szCs w:val="20"/>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72,715,783</w:t>
            </w:r>
          </w:p>
        </w:tc>
        <w:tc>
          <w:tcPr>
            <w:tcW w:w="100" w:type="dxa"/>
            <w:vAlign w:val="bottom"/>
            <w:shd w:val="clear" w:color="auto" w:fill="D5EAEA"/>
          </w:tcPr>
          <w:p>
            <w:pPr>
              <w:spacing w:after="0"/>
              <w:rPr>
                <w:sz w:val="20"/>
                <w:szCs w:val="20"/>
                <w:color w:val="auto"/>
              </w:rPr>
            </w:pPr>
          </w:p>
        </w:tc>
        <w:tc>
          <w:tcPr>
            <w:tcW w:w="1340" w:type="dxa"/>
            <w:vAlign w:val="bottom"/>
            <w:tcBorders>
              <w:bottom w:val="single" w:sz="8" w:color="auto"/>
            </w:tcBorders>
            <w:shd w:val="clear" w:color="auto" w:fill="D5EAEA"/>
          </w:tcPr>
          <w:p>
            <w:pPr>
              <w:jc w:val="right"/>
              <w:ind w:right="30"/>
              <w:spacing w:after="0"/>
              <w:rPr>
                <w:sz w:val="20"/>
                <w:szCs w:val="20"/>
                <w:color w:val="auto"/>
              </w:rPr>
            </w:pPr>
            <w:r>
              <w:rPr>
                <w:rFonts w:ascii="Arial" w:cs="Arial" w:eastAsia="Arial" w:hAnsi="Arial"/>
                <w:sz w:val="18"/>
                <w:szCs w:val="18"/>
                <w:color w:val="auto"/>
              </w:rPr>
              <w:t>83,510,567</w:t>
            </w:r>
          </w:p>
        </w:tc>
        <w:tc>
          <w:tcPr>
            <w:tcW w:w="100" w:type="dxa"/>
            <w:vAlign w:val="bottom"/>
            <w:shd w:val="clear" w:color="auto" w:fill="D5EAEA"/>
          </w:tcPr>
          <w:p>
            <w:pPr>
              <w:spacing w:after="0"/>
              <w:rPr>
                <w:sz w:val="20"/>
                <w:szCs w:val="20"/>
                <w:color w:val="auto"/>
              </w:rPr>
            </w:pPr>
          </w:p>
        </w:tc>
        <w:tc>
          <w:tcPr>
            <w:tcW w:w="1340" w:type="dxa"/>
            <w:vAlign w:val="bottom"/>
            <w:tcBorders>
              <w:bottom w:val="single" w:sz="8" w:color="auto"/>
            </w:tcBorders>
            <w:shd w:val="clear" w:color="auto" w:fill="D5EAEA"/>
          </w:tcPr>
          <w:p>
            <w:pPr>
              <w:jc w:val="right"/>
              <w:ind w:right="10"/>
              <w:spacing w:after="0"/>
              <w:rPr>
                <w:sz w:val="20"/>
                <w:szCs w:val="20"/>
                <w:color w:val="auto"/>
              </w:rPr>
            </w:pPr>
            <w:r>
              <w:rPr>
                <w:rFonts w:ascii="Arial" w:cs="Arial" w:eastAsia="Arial" w:hAnsi="Arial"/>
                <w:sz w:val="18"/>
                <w:szCs w:val="18"/>
                <w:color w:val="auto"/>
              </w:rPr>
              <w:t>72,113,581</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left="340" w:hanging="332"/>
        <w:spacing w:after="0" w:line="241" w:lineRule="auto"/>
        <w:tabs>
          <w:tab w:leader="none" w:pos="340" w:val="left"/>
        </w:tabs>
        <w:numPr>
          <w:ilvl w:val="0"/>
          <w:numId w:val="54"/>
        </w:numPr>
        <w:rPr>
          <w:rFonts w:ascii="Arial" w:cs="Arial" w:eastAsia="Arial" w:hAnsi="Arial"/>
          <w:sz w:val="15"/>
          <w:szCs w:val="15"/>
          <w:color w:val="auto"/>
        </w:rPr>
      </w:pPr>
      <w:r>
        <w:rPr>
          <w:rFonts w:ascii="Arial" w:cs="Arial" w:eastAsia="Arial" w:hAnsi="Arial"/>
          <w:sz w:val="18"/>
          <w:szCs w:val="18"/>
          <w:color w:val="auto"/>
        </w:rPr>
        <w:t>Reflects non-cash expenses associated with share-based compensation for equity awards issued to Directors, Management and employees of the Company. This expense reflects the awards’ fair value recognized for the portion of the equity award which is vesting over the period.</w:t>
      </w:r>
    </w:p>
    <w:p>
      <w:pPr>
        <w:spacing w:after="0" w:line="2" w:lineRule="exact"/>
        <w:rPr>
          <w:sz w:val="20"/>
          <w:szCs w:val="20"/>
          <w:color w:val="auto"/>
        </w:rPr>
      </w:pPr>
    </w:p>
    <w:p>
      <w:pPr>
        <w:ind w:left="340" w:hanging="332"/>
        <w:spacing w:after="0" w:line="234" w:lineRule="auto"/>
        <w:tabs>
          <w:tab w:leader="none" w:pos="340" w:val="left"/>
        </w:tabs>
        <w:numPr>
          <w:ilvl w:val="0"/>
          <w:numId w:val="55"/>
        </w:numPr>
        <w:rPr>
          <w:rFonts w:ascii="Arial" w:cs="Arial" w:eastAsia="Arial" w:hAnsi="Arial"/>
          <w:sz w:val="15"/>
          <w:szCs w:val="15"/>
          <w:color w:val="auto"/>
        </w:rPr>
      </w:pPr>
      <w:r>
        <w:rPr>
          <w:rFonts w:ascii="Arial" w:cs="Arial" w:eastAsia="Arial" w:hAnsi="Arial"/>
          <w:sz w:val="18"/>
          <w:szCs w:val="18"/>
          <w:color w:val="auto"/>
        </w:rPr>
        <w:t>Reflects foreign currency re-measurement gains and losses for the period, predominantly impacted by the change in the exchange rate between the US Dollar and Euro with the Swiss Franc.</w:t>
      </w:r>
    </w:p>
    <w:p>
      <w:pPr>
        <w:spacing w:after="0" w:line="1"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5"/>
          <w:szCs w:val="15"/>
          <w:color w:val="auto"/>
        </w:rPr>
      </w:pPr>
      <w:r>
        <w:rPr>
          <w:rFonts w:ascii="Arial" w:cs="Arial" w:eastAsia="Arial" w:hAnsi="Arial"/>
          <w:sz w:val="18"/>
          <w:szCs w:val="18"/>
          <w:color w:val="auto"/>
        </w:rPr>
        <w:t>Reflects transaction costs for the asset acquisition for a portfolio of therapeutics targeting alpha-synuclein and cash.</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Adjustments for the three and six months ended June 30, 2022, decreased net loss by CHF 0.5 million and CHF 1.2 million, respectively compared with a decrease to net loss of CHF 1.5 million and CHF 1.7 million, respectively, for the comparable periods in 2021. The Company recorded CHF 0.9 million and CHF 1.9 million for share-based compensation expenses, respectively, in each of these periods, and there were foreign currency re-measurement gains of CHF 0.4 million and CHF 0.7 million, respectively, primarily related to movement in the USD-CHF exchange rate during the respective periods. Finally, the Company incurred CHF 0.4 million in transaction costs associated with its acquisition of a portfolio of therapeutics targeting alpha-synuclein in the three and six months ended June 30, 2021, which were not incurred in the current comparable periods.</w:t>
      </w:r>
    </w:p>
    <w:p>
      <w:pPr>
        <w:spacing w:after="0" w:line="279" w:lineRule="exact"/>
        <w:rPr>
          <w:sz w:val="20"/>
          <w:szCs w:val="20"/>
          <w:color w:val="auto"/>
        </w:rPr>
      </w:pPr>
    </w:p>
    <w:p>
      <w:pPr>
        <w:ind w:left="10840"/>
        <w:spacing w:after="0"/>
        <w:rPr>
          <w:sz w:val="20"/>
          <w:szCs w:val="20"/>
          <w:color w:val="auto"/>
        </w:rPr>
      </w:pPr>
      <w:r>
        <w:rPr>
          <w:rFonts w:ascii="Arial" w:cs="Arial" w:eastAsia="Arial" w:hAnsi="Arial"/>
          <w:sz w:val="18"/>
          <w:szCs w:val="18"/>
          <w:color w:val="auto"/>
        </w:rPr>
        <w:t>7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1."/>
      <w:numFmt w:val="decimal"/>
      <w:start w:val="2"/>
    </w:lvl>
  </w:abstractNum>
  <w:abstractNum w:abstractNumId="2">
    <w:nsid w:val="3A95F874"/>
    <w:multiLevelType w:val="hybridMultilevel"/>
    <w:lvl w:ilvl="0">
      <w:lvlJc w:val="left"/>
      <w:lvlText w:val="%1."/>
      <w:numFmt w:val="decimal"/>
      <w:start w:val="3"/>
    </w:lvl>
  </w:abstractNum>
  <w:abstractNum w:abstractNumId="3">
    <w:nsid w:val="8138641"/>
    <w:multiLevelType w:val="hybridMultilevel"/>
    <w:lvl w:ilvl="0">
      <w:lvlJc w:val="left"/>
      <w:lvlText w:val="%1."/>
      <w:numFmt w:val="decimal"/>
      <w:start w:val="4"/>
    </w:lvl>
  </w:abstractNum>
  <w:abstractNum w:abstractNumId="4">
    <w:nsid w:val="1E7FF521"/>
    <w:multiLevelType w:val="hybridMultilevel"/>
    <w:lvl w:ilvl="0">
      <w:lvlJc w:val="left"/>
      <w:lvlText w:val="%1."/>
      <w:numFmt w:val="decimal"/>
      <w:start w:val="5"/>
    </w:lvl>
  </w:abstractNum>
  <w:abstractNum w:abstractNumId="5">
    <w:nsid w:val="7C3DBD3D"/>
    <w:multiLevelType w:val="hybridMultilevel"/>
    <w:lvl w:ilvl="0">
      <w:lvlJc w:val="left"/>
      <w:lvlText w:val="%1."/>
      <w:numFmt w:val="decimal"/>
      <w:start w:val="6"/>
    </w:lvl>
  </w:abstractNum>
  <w:abstractNum w:abstractNumId="6">
    <w:nsid w:val="737B8DDC"/>
    <w:multiLevelType w:val="hybridMultilevel"/>
    <w:lvl w:ilvl="0">
      <w:lvlJc w:val="left"/>
      <w:lvlText w:val="%1."/>
      <w:numFmt w:val="decimal"/>
      <w:start w:val="7"/>
    </w:lvl>
  </w:abstractNum>
  <w:abstractNum w:abstractNumId="7">
    <w:nsid w:val="6CEAF087"/>
    <w:multiLevelType w:val="hybridMultilevel"/>
    <w:lvl w:ilvl="0">
      <w:lvlJc w:val="left"/>
      <w:lvlText w:val="%1."/>
      <w:numFmt w:val="decimal"/>
      <w:start w:val="9"/>
    </w:lvl>
  </w:abstractNum>
  <w:abstractNum w:abstractNumId="8">
    <w:nsid w:val="22221A70"/>
    <w:multiLevelType w:val="hybridMultilevel"/>
    <w:lvl w:ilvl="0">
      <w:lvlJc w:val="left"/>
      <w:lvlText w:val="%1."/>
      <w:numFmt w:val="decimal"/>
      <w:start w:val="10"/>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bullet"/>
      <w:start w:val="1"/>
    </w:lvl>
  </w:abstractNum>
  <w:abstractNum w:abstractNumId="15">
    <w:nsid w:val="5072367"/>
    <w:multiLevelType w:val="hybridMultilevel"/>
    <w:lvl w:ilvl="0">
      <w:lvlJc w:val="left"/>
      <w:lvlText w:val="2"/>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1"/>
      <w:numFmt w:val="bullet"/>
      <w:start w:val="1"/>
    </w:lvl>
  </w:abstractNum>
  <w:abstractNum w:abstractNumId="23">
    <w:nsid w:val="2D517796"/>
    <w:multiLevelType w:val="hybridMultilevel"/>
    <w:lvl w:ilvl="0">
      <w:lvlJc w:val="left"/>
      <w:lvlText w:val="2"/>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bullet"/>
      <w:start w:val="1"/>
    </w:lvl>
  </w:abstractNum>
  <w:abstractNum w:abstractNumId="31">
    <w:nsid w:val="725A06FB"/>
    <w:multiLevelType w:val="hybridMultilevel"/>
    <w:lvl w:ilvl="0">
      <w:lvlJc w:val="left"/>
      <w:lvlText w:val="2"/>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bullet"/>
      <w:start w:val="1"/>
    </w:lvl>
  </w:abstractNum>
  <w:abstractNum w:abstractNumId="35">
    <w:nsid w:val="4B588F54"/>
    <w:multiLevelType w:val="hybridMultilevel"/>
    <w:lvl w:ilvl="0">
      <w:lvlJc w:val="left"/>
      <w:lvlText w:val="2"/>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bullet"/>
      <w:start w:val="1"/>
    </w:lvl>
  </w:abstractNum>
  <w:abstractNum w:abstractNumId="45">
    <w:nsid w:val="1BA026FA"/>
    <w:multiLevelType w:val="hybridMultilevel"/>
    <w:lvl w:ilvl="0">
      <w:lvlJc w:val="left"/>
      <w:lvlText w:val="2"/>
      <w:numFmt w:val="bullet"/>
      <w:start w:val="1"/>
    </w:lvl>
  </w:abstractNum>
  <w:abstractNum w:abstractNumId="46">
    <w:nsid w:val="79A1DEAA"/>
    <w:multiLevelType w:val="hybridMultilevel"/>
    <w:lvl w:ilvl="0">
      <w:lvlJc w:val="left"/>
      <w:lvlText w:val="3"/>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lvl w:ilvl="1">
      <w:lvlJc w:val="left"/>
      <w:lvlText w:val="%2"/>
      <w:numFmt w:val="upperLetter"/>
      <w:start w:val="1"/>
    </w:lvl>
    <w:lvl w:ilvl="2">
      <w:lvlJc w:val="left"/>
      <w:lvlText w:val="o"/>
      <w:numFmt w:val="bullet"/>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bullet"/>
      <w:start w:val="1"/>
    </w:lvl>
  </w:abstractNum>
  <w:abstractNum w:abstractNumId="54">
    <w:nsid w:val="649BB77C"/>
    <w:multiLevelType w:val="hybridMultilevel"/>
    <w:lvl w:ilvl="0">
      <w:lvlJc w:val="left"/>
      <w:lvlText w:val="2"/>
      <w:numFmt w:val="bullet"/>
      <w:start w:val="1"/>
    </w:lvl>
  </w:abstractNum>
  <w:abstractNum w:abstractNumId="55">
    <w:nsid w:val="275AC794"/>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2022-07-28T06:39:14Z</dcterms:created>
  <dcterms:modified xsi:type="dcterms:W3CDTF">2022-07-28T06:39:14Z</dcterms:modified>
</cp:coreProperties>
</file>