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AC IMMUNE SA</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#H00263105</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#H00263105</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2640" w:type="dxa"/>
            <w:vAlign w:val="bottom"/>
          </w:tcPr>
          <w:p>
            <w:pPr>
              <w:ind w:left="160"/>
              <w:spacing w:after="0"/>
              <w:rPr>
                <w:sz w:val="20"/>
                <w:szCs w:val="20"/>
                <w:color w:val="auto"/>
              </w:rPr>
            </w:pPr>
            <w:r>
              <w:rPr>
                <w:rFonts w:ascii="Courier New" w:cs="Courier New" w:eastAsia="Courier New" w:hAnsi="Courier New"/>
                <w:sz w:val="18"/>
                <w:szCs w:val="18"/>
                <w:color w:val="auto"/>
              </w:rPr>
              <w:t>[ ]</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1,362,480</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5,466,882</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5,466,882</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9.604%</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#H00263105</w:t>
            </w:r>
          </w:p>
        </w:tc>
        <w:tc>
          <w:tcPr>
            <w:tcW w:w="7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5,466,882</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5,466,882</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9.604%</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40" w:type="dxa"/>
            <w:vAlign w:val="bottom"/>
          </w:tcPr>
          <w:p>
            <w:pPr>
              <w:ind w:left="160"/>
              <w:spacing w:after="0"/>
              <w:rPr>
                <w:sz w:val="20"/>
                <w:szCs w:val="20"/>
                <w:color w:val="auto"/>
              </w:rPr>
            </w:pPr>
            <w:r>
              <w:rPr>
                <w:rFonts w:ascii="Courier New" w:cs="Courier New" w:eastAsia="Courier New" w:hAnsi="Courier New"/>
                <w:sz w:val="18"/>
                <w:szCs w:val="18"/>
                <w:color w:val="auto"/>
              </w:rPr>
              <w:t>AC IMMUNE SA</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40" w:type="dxa"/>
            <w:vAlign w:val="bottom"/>
          </w:tcPr>
          <w:p>
            <w:pPr>
              <w:ind w:left="160"/>
              <w:spacing w:after="0"/>
              <w:rPr>
                <w:sz w:val="20"/>
                <w:szCs w:val="20"/>
                <w:color w:val="auto"/>
              </w:rPr>
            </w:pPr>
            <w:r>
              <w:rPr>
                <w:rFonts w:ascii="Courier New" w:cs="Courier New" w:eastAsia="Courier New" w:hAnsi="Courier New"/>
                <w:sz w:val="18"/>
                <w:szCs w:val="18"/>
                <w:color w:val="auto"/>
              </w:rPr>
              <w:t>EPFL INNOVATION PARK</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 B</w:t>
            </w:r>
          </w:p>
        </w:tc>
        <w:tc>
          <w:tcPr>
            <w:tcW w:w="7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1015 LAUSANNE, V8 00000</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SWITZERLAND</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3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40" w:type="dxa"/>
            <w:vAlign w:val="bottom"/>
          </w:tcPr>
          <w:p>
            <w:pPr>
              <w:ind w:left="260"/>
              <w:spacing w:after="0"/>
              <w:rPr>
                <w:sz w:val="20"/>
                <w:szCs w:val="20"/>
                <w:color w:val="auto"/>
              </w:rPr>
            </w:pPr>
            <w:r>
              <w:rPr>
                <w:rFonts w:ascii="Courier New" w:cs="Courier New" w:eastAsia="Courier New" w:hAnsi="Courier New"/>
                <w:sz w:val="18"/>
                <w:szCs w:val="18"/>
                <w:color w:val="auto"/>
              </w:rPr>
              <w:t>FMR LLC</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7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74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3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40" w:type="dxa"/>
            <w:vAlign w:val="bottom"/>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3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40" w:type="dxa"/>
            <w:vAlign w:val="bottom"/>
          </w:tcPr>
          <w:p>
            <w:pPr>
              <w:ind w:left="260"/>
              <w:spacing w:after="0"/>
              <w:rPr>
                <w:sz w:val="20"/>
                <w:szCs w:val="20"/>
                <w:color w:val="auto"/>
              </w:rPr>
            </w:pPr>
            <w:r>
              <w:rPr>
                <w:rFonts w:ascii="Courier New" w:cs="Courier New" w:eastAsia="Courier New" w:hAnsi="Courier New"/>
                <w:sz w:val="18"/>
                <w:szCs w:val="18"/>
                <w:color w:val="auto"/>
              </w:rPr>
              <w:t>COMMON STOCK</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3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40" w:type="dxa"/>
            <w:vAlign w:val="bottom"/>
          </w:tcPr>
          <w:p>
            <w:pPr>
              <w:ind w:left="260"/>
              <w:spacing w:after="0"/>
              <w:rPr>
                <w:sz w:val="20"/>
                <w:szCs w:val="20"/>
                <w:color w:val="auto"/>
              </w:rPr>
            </w:pPr>
            <w:r>
              <w:rPr>
                <w:rFonts w:ascii="Courier New" w:cs="Courier New" w:eastAsia="Courier New" w:hAnsi="Courier New"/>
                <w:sz w:val="18"/>
                <w:szCs w:val="18"/>
                <w:color w:val="auto"/>
              </w:rPr>
              <w:t>H00263105</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7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is a parent holding company in accordance with</w:t>
            </w:r>
          </w:p>
        </w:tc>
      </w:tr>
      <w:tr>
        <w:trPr>
          <w:trHeight w:val="203"/>
        </w:trPr>
        <w:tc>
          <w:tcPr>
            <w:tcW w:w="66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Section 240.13d-1(b)(1)(ii)(G).   (Note:  See Exhibit A).</w:t>
            </w: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Amount Beneficially Owned:</w:t>
            </w:r>
          </w:p>
        </w:tc>
        <w:tc>
          <w:tcPr>
            <w:tcW w:w="23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5,466,882</w:t>
            </w:r>
          </w:p>
        </w:tc>
      </w:tr>
      <w:tr>
        <w:trPr>
          <w:trHeight w:val="405"/>
        </w:trPr>
        <w:tc>
          <w:tcPr>
            <w:tcW w:w="248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640" w:type="dxa"/>
            <w:vAlign w:val="bottom"/>
          </w:tcPr>
          <w:p>
            <w:pPr>
              <w:ind w:left="60"/>
              <w:spacing w:after="0"/>
              <w:rPr>
                <w:sz w:val="20"/>
                <w:szCs w:val="20"/>
                <w:color w:val="auto"/>
              </w:rPr>
            </w:pPr>
            <w:r>
              <w:rPr>
                <w:rFonts w:ascii="Courier New" w:cs="Courier New" w:eastAsia="Courier New" w:hAnsi="Courier New"/>
                <w:sz w:val="18"/>
                <w:szCs w:val="18"/>
                <w:color w:val="auto"/>
              </w:rPr>
              <w:t>Percent of Class:</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9.604%</w:t>
            </w: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(c)</w:t>
            </w:r>
          </w:p>
        </w:tc>
        <w:tc>
          <w:tcPr>
            <w:tcW w:w="57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Number of shares as to which such person has:</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sole power to</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vote or to</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direct the vote:</w:t>
            </w:r>
          </w:p>
        </w:tc>
        <w:tc>
          <w:tcPr>
            <w:tcW w:w="42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1,362,480</w:t>
            </w: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50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5,466,882</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33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Not applicable.</w:t>
            </w:r>
          </w:p>
        </w:tc>
        <w:tc>
          <w:tcPr>
            <w:tcW w:w="1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3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w:t>
      </w:r>
    </w:p>
    <w:p>
      <w:pPr>
        <w:spacing w:after="0" w:line="6"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sale of, the COMMON STOCK of AC IMMUNE SA. No one other person's interest in the COMMON STOCK of AC IMMUNE SA is more than five percent of the total outstanding COMMON STOCK.</w:t>
      </w:r>
    </w:p>
    <w:p>
      <w:pPr>
        <w:spacing w:after="0" w:line="209"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2018</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36"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6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rPr>
              <w:t>Classification</w:t>
            </w:r>
          </w:p>
        </w:tc>
        <w:tc>
          <w:tcPr>
            <w:tcW w:w="25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FIAM LLC</w:t>
            </w:r>
          </w:p>
        </w:tc>
        <w:tc>
          <w:tcPr>
            <w:tcW w:w="680" w:type="dxa"/>
            <w:vAlign w:val="bottom"/>
          </w:tcPr>
          <w:p>
            <w:pPr>
              <w:spacing w:after="0"/>
              <w:rPr>
                <w:sz w:val="17"/>
                <w:szCs w:val="17"/>
                <w:color w:val="auto"/>
              </w:rPr>
            </w:pP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25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48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(Canada) Asset Management ULC  FI</w:t>
            </w:r>
          </w:p>
        </w:tc>
        <w:tc>
          <w:tcPr>
            <w:tcW w:w="3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48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Institutional Asset Management Trust Company</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BK</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FMR CO.,</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 *</w:t>
            </w: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25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3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STRATEGIC ADVISERS, INC.</w:t>
            </w:r>
          </w:p>
        </w:tc>
        <w:tc>
          <w:tcPr>
            <w:tcW w:w="2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3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251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3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13, 2018, agree and consent to the joint filing on their behalf of this Schedule 13G in connection with their beneficial ownership of the COMMON STOCK of AC IMMUNE SA at December 29, 2017.</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December 16, 2015, by and on behalf of Abigail P. Johnson*</w:t>
      </w:r>
    </w:p>
    <w:p>
      <w:pPr>
        <w:sectPr>
          <w:pgSz w:w="11900" w:h="16838" w:orient="portrait"/>
          <w:cols w:equalWidth="0" w:num="1">
            <w:col w:w="10219"/>
          </w:cols>
          <w:pgMar w:left="240" w:top="339" w:right="1440" w:bottom="0" w:gutter="0" w:footer="0" w:header="0"/>
        </w:sectPr>
      </w:pPr>
    </w:p>
    <w:bookmarkStart w:id="3" w:name="page4"/>
    <w:bookmarkEnd w:id="3"/>
    <w:p>
      <w:pPr>
        <w:ind w:left="-8" w:right="2419" w:firstLine="8"/>
        <w:spacing w:after="0" w:line="236" w:lineRule="auto"/>
        <w:tabs>
          <w:tab w:leader="none" w:pos="20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sectPr>
      <w:pgSz w:w="11900" w:h="16838" w:orient="portrait"/>
      <w:cols w:equalWidth="0" w:num="1">
        <w:col w:w="10211"/>
      </w:cols>
      <w:pgMar w:left="248"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2019-12-08T14:18:06Z</dcterms:created>
  <dcterms:modified xsi:type="dcterms:W3CDTF">2019-12-08T14:18:06Z</dcterms:modified>
</cp:coreProperties>
</file>