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FORM 20-F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380" w:hanging="318"/>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REGISTRATION STATEMENT PURSUANT TO SECTION 12(b) OR (g) OF THE SECURITIES EXCHANGE ACT OF 1934</w:t>
      </w:r>
    </w:p>
    <w:p>
      <w:pPr>
        <w:spacing w:after="0" w:line="237"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right="1000" w:hanging="318"/>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62"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480" w:right="640" w:hanging="5418"/>
        <w:spacing w:after="0" w:line="484" w:lineRule="auto"/>
        <w:tabs>
          <w:tab w:leader="none" w:pos="377"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ind w:left="380" w:right="200" w:hanging="318"/>
        <w:spacing w:after="0" w:line="282"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166" w:lineRule="exact"/>
        <w:rPr>
          <w:sz w:val="24"/>
          <w:szCs w:val="24"/>
          <w:color w:val="auto"/>
        </w:rPr>
      </w:pPr>
    </w:p>
    <w:p>
      <w:pPr>
        <w:jc w:val="center"/>
        <w:ind w:right="-1059"/>
        <w:spacing w:after="0"/>
        <w:rPr>
          <w:sz w:val="20"/>
          <w:szCs w:val="20"/>
          <w:color w:val="auto"/>
        </w:rPr>
      </w:pPr>
      <w:r>
        <w:rPr>
          <w:rFonts w:ascii="Arial" w:cs="Arial" w:eastAsia="Arial" w:hAnsi="Arial"/>
          <w:sz w:val="18"/>
          <w:szCs w:val="18"/>
          <w:color w:val="auto"/>
        </w:rPr>
        <w:t>Commission file number: 001-37891</w:t>
      </w:r>
    </w:p>
    <w:p>
      <w:pPr>
        <w:spacing w:after="0" w:line="221"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(Jurisdiction of incorporation)</w:t>
      </w:r>
    </w:p>
    <w:p>
      <w:pPr>
        <w:spacing w:after="0" w:line="20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Andrea Pfeifer</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Tel: +41 21 345 91 21</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ind w:left="2200"/>
        <w:spacing w:after="0"/>
        <w:rPr>
          <w:sz w:val="20"/>
          <w:szCs w:val="20"/>
          <w:color w:val="auto"/>
        </w:rPr>
      </w:pPr>
      <w:r>
        <w:rPr>
          <w:rFonts w:ascii="Arial" w:cs="Arial" w:eastAsia="Arial" w:hAnsi="Arial"/>
          <w:sz w:val="18"/>
          <w:szCs w:val="18"/>
          <w:i w:val="1"/>
          <w:iCs w:val="1"/>
          <w:color w:val="auto"/>
        </w:rPr>
        <w:t>(Name, Telephone, E-mail and/or Facsimile number and Address of Company Contact Person)</w:t>
      </w:r>
    </w:p>
    <w:p>
      <w:pPr>
        <w:spacing w:after="0" w:line="200" w:lineRule="exact"/>
        <w:rPr>
          <w:sz w:val="24"/>
          <w:szCs w:val="24"/>
          <w:color w:val="auto"/>
        </w:rPr>
      </w:pPr>
    </w:p>
    <w:p>
      <w:pPr>
        <w:spacing w:after="0" w:line="227"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Richard D. Truesdell, Jr.</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Derek J. Dostal</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(212) 450-4000</w:t>
      </w:r>
    </w:p>
    <w:p>
      <w:pPr>
        <w:spacing w:after="0" w:line="103" w:lineRule="exact"/>
        <w:rPr>
          <w:sz w:val="24"/>
          <w:szCs w:val="24"/>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80"/>
          </w:cols>
          <w:pgMar w:left="320" w:top="463" w:right="1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Title of each class</w:t>
            </w:r>
          </w:p>
        </w:tc>
        <w:tc>
          <w:tcPr>
            <w:tcW w:w="2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Trading Symbol</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89"/>
              </w:rPr>
              <w:t>Common Shares, nominal value CHF 0.02 per share</w:t>
            </w:r>
          </w:p>
        </w:tc>
        <w:tc>
          <w:tcPr>
            <w:tcW w:w="2220" w:type="dxa"/>
            <w:vAlign w:val="bottom"/>
          </w:tcPr>
          <w:p>
            <w:pPr>
              <w:jc w:val="center"/>
              <w:ind w:right="50"/>
              <w:spacing w:after="0"/>
              <w:rPr>
                <w:sz w:val="20"/>
                <w:szCs w:val="20"/>
                <w:color w:val="auto"/>
              </w:rPr>
            </w:pPr>
            <w:r>
              <w:rPr>
                <w:rFonts w:ascii="Arial" w:cs="Arial" w:eastAsia="Arial" w:hAnsi="Arial"/>
                <w:sz w:val="18"/>
                <w:szCs w:val="18"/>
                <w:color w:val="auto"/>
              </w:rPr>
              <w:t>ACIU</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stock or common stock as of the close of the period covered by the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71,936,738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2" w:lineRule="exact"/>
        <w:rPr>
          <w:sz w:val="20"/>
          <w:szCs w:val="20"/>
          <w:color w:val="auto"/>
        </w:rPr>
      </w:pPr>
    </w:p>
    <w:p>
      <w:pPr>
        <w:jc w:val="center"/>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jc w:val="center"/>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0"/>
          <w:szCs w:val="20"/>
          <w:color w:val="auto"/>
        </w:rPr>
      </w:pPr>
    </w:p>
    <w:p>
      <w:pPr>
        <w:jc w:val="center"/>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5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jc w:val="center"/>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5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14" w:lineRule="exact"/>
        <w:rPr>
          <w:sz w:val="20"/>
          <w:szCs w:val="20"/>
          <w:color w:val="auto"/>
        </w:rPr>
      </w:pPr>
    </w:p>
    <w:p>
      <w:pPr>
        <w:ind w:left="1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7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420" w:space="720"/>
            <w:col w:w="2500" w:space="720"/>
            <w:col w:w="2880"/>
          </w:cols>
          <w:pgMar w:left="320" w:top="580" w:right="339" w:bottom="1440" w:gutter="0" w:footer="0" w:header="0"/>
          <w:type w:val="continuous"/>
        </w:sectPr>
      </w:pPr>
    </w:p>
    <w:p>
      <w:pPr>
        <w:spacing w:after="0" w:line="3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checkmark if the registrant has elected not to use the extended transition period for complying with any new or revised financial accounting standards provided pursuant to Section 13(a) of the Exchange Act.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51" w:lineRule="exact"/>
        <w:rPr>
          <w:sz w:val="20"/>
          <w:szCs w:val="20"/>
          <w:color w:val="auto"/>
        </w:rPr>
      </w:pPr>
    </w:p>
    <w:p>
      <w:pPr>
        <w:jc w:val="center"/>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490" w:right="339" w:bottom="1440" w:gutter="0" w:footer="0" w:header="0"/>
        </w:sectPr>
      </w:pPr>
    </w:p>
    <w:p>
      <w:pPr>
        <w:spacing w:after="0" w:line="192" w:lineRule="exact"/>
        <w:rPr>
          <w:sz w:val="20"/>
          <w:szCs w:val="20"/>
          <w:color w:val="auto"/>
        </w:rPr>
      </w:pPr>
    </w:p>
    <w:p>
      <w:pPr>
        <w:jc w:val="center"/>
        <w:ind w:left="700"/>
        <w:spacing w:after="0" w:line="196" w:lineRule="exact"/>
        <w:rPr>
          <w:sz w:val="20"/>
          <w:szCs w:val="20"/>
          <w:color w:val="auto"/>
        </w:rPr>
      </w:pPr>
      <w:r>
        <w:rPr>
          <w:rFonts w:ascii="Arial" w:cs="Arial" w:eastAsia="Arial" w:hAnsi="Arial"/>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800"/>
        <w:spacing w:after="0" w:line="227"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480"/>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713" w:lineRule="exact"/>
        <w:rPr>
          <w:sz w:val="20"/>
          <w:szCs w:val="20"/>
          <w:color w:val="auto"/>
        </w:rPr>
      </w:pPr>
    </w:p>
    <w:p>
      <w:pPr>
        <w:sectPr>
          <w:pgSz w:w="11900" w:h="16838" w:orient="portrait"/>
          <w:cols w:equalWidth="0" w:num="3">
            <w:col w:w="3360" w:space="720"/>
            <w:col w:w="4340" w:space="720"/>
            <w:col w:w="2100"/>
          </w:cols>
          <w:pgMar w:left="320" w:top="490"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5" w:lineRule="exact"/>
        <w:rPr>
          <w:sz w:val="20"/>
          <w:szCs w:val="20"/>
          <w:color w:val="auto"/>
        </w:rPr>
      </w:pPr>
    </w:p>
    <w:p>
      <w:pPr>
        <w:jc w:val="center"/>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2" w:lineRule="exact"/>
        <w:rPr>
          <w:sz w:val="20"/>
          <w:szCs w:val="20"/>
          <w:color w:val="auto"/>
        </w:rPr>
      </w:pPr>
    </w:p>
    <w:p>
      <w:pPr>
        <w:jc w:val="center"/>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340" w:type="dxa"/>
            <w:vAlign w:val="bottom"/>
          </w:tcPr>
          <w:p>
            <w:pPr>
              <w:jc w:val="center"/>
              <w:ind w:left="1930"/>
              <w:spacing w:after="0"/>
              <w:rPr>
                <w:sz w:val="20"/>
                <w:szCs w:val="20"/>
                <w:color w:val="auto"/>
              </w:rPr>
            </w:pPr>
            <w:r>
              <w:rPr>
                <w:rFonts w:ascii="Arial" w:cs="Arial" w:eastAsia="Arial" w:hAnsi="Arial"/>
                <w:sz w:val="18"/>
                <w:szCs w:val="18"/>
                <w:b w:val="1"/>
                <w:bCs w:val="1"/>
                <w:color w:val="auto"/>
              </w:rPr>
              <w:t>AC IMMUNE SA</w:t>
            </w:r>
          </w:p>
        </w:tc>
        <w:tc>
          <w:tcPr>
            <w:tcW w:w="246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8340" w:type="dxa"/>
            <w:vAlign w:val="bottom"/>
          </w:tcPr>
          <w:p>
            <w:pPr>
              <w:jc w:val="center"/>
              <w:ind w:left="1930"/>
              <w:spacing w:after="0"/>
              <w:rPr>
                <w:sz w:val="20"/>
                <w:szCs w:val="20"/>
                <w:color w:val="auto"/>
              </w:rPr>
            </w:pPr>
            <w:r>
              <w:rPr>
                <w:rFonts w:ascii="Arial" w:cs="Arial" w:eastAsia="Arial" w:hAnsi="Arial"/>
                <w:sz w:val="18"/>
                <w:szCs w:val="18"/>
                <w:b w:val="1"/>
                <w:bCs w:val="1"/>
                <w:color w:val="auto"/>
                <w:w w:val="98"/>
              </w:rPr>
              <w:t>TABLE OF CONTENTS</w:t>
            </w:r>
          </w:p>
        </w:tc>
        <w:tc>
          <w:tcPr>
            <w:tcW w:w="2460" w:type="dxa"/>
            <w:vAlign w:val="bottom"/>
          </w:tcPr>
          <w:p>
            <w:pPr>
              <w:spacing w:after="0"/>
              <w:rPr>
                <w:sz w:val="24"/>
                <w:szCs w:val="24"/>
                <w:color w:val="auto"/>
              </w:rPr>
            </w:pPr>
          </w:p>
        </w:tc>
      </w:tr>
      <w:tr>
        <w:trPr>
          <w:trHeight w:val="418"/>
        </w:trPr>
        <w:tc>
          <w:tcPr>
            <w:tcW w:w="878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FORWARD-LOOKING STATEMENTS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PART I</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 IDENTITY OF DIRECTORS, SENIOR MANAGEMENT AND ADVISERS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  Directors and senior management</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w:t>
              </w:r>
            </w:hyperlink>
          </w:p>
        </w:tc>
        <w:tc>
          <w:tcPr>
            <w:tcW w:w="83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Advisers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w:t>
              </w:r>
            </w:hyperlink>
          </w:p>
        </w:tc>
        <w:tc>
          <w:tcPr>
            <w:tcW w:w="83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Auditors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2. OFFER STATISTICS AND EXPECTED TIMETABLE</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w:t>
              </w:r>
            </w:hyperlink>
          </w:p>
        </w:tc>
        <w:tc>
          <w:tcPr>
            <w:tcW w:w="834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Offer statistics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  Method and expected timetable</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3. KEY INFORMATION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w:t>
              </w:r>
            </w:hyperlink>
          </w:p>
        </w:tc>
        <w:tc>
          <w:tcPr>
            <w:tcW w:w="8340" w:type="dxa"/>
            <w:vAlign w:val="bottom"/>
          </w:tcPr>
          <w:p>
            <w:pPr>
              <w:ind w:lef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Selected Financial Data</w:t>
              </w:r>
            </w:hyperlink>
          </w:p>
        </w:tc>
        <w:tc>
          <w:tcPr>
            <w:tcW w:w="24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3</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w:t>
              </w:r>
            </w:hyperlink>
          </w:p>
        </w:tc>
        <w:tc>
          <w:tcPr>
            <w:tcW w:w="834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Capitalization and indebtedness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3</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  Reasons for the offer and use of proceeds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3</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w:t>
              </w:r>
            </w:hyperlink>
          </w:p>
        </w:tc>
        <w:tc>
          <w:tcPr>
            <w:tcW w:w="8340" w:type="dxa"/>
            <w:vAlign w:val="bottom"/>
          </w:tcPr>
          <w:p>
            <w:pPr>
              <w:ind w:lef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3</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4. INFORMATION ON THE COMPANY</w:t>
              </w:r>
            </w:hyperlink>
          </w:p>
        </w:tc>
        <w:tc>
          <w:tcPr>
            <w:tcW w:w="246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47</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  History and development of the company</w:t>
              </w:r>
            </w:hyperlink>
          </w:p>
        </w:tc>
        <w:tc>
          <w:tcPr>
            <w:tcW w:w="246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47</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w:t>
              </w:r>
            </w:hyperlink>
          </w:p>
        </w:tc>
        <w:tc>
          <w:tcPr>
            <w:tcW w:w="8340" w:type="dxa"/>
            <w:vAlign w:val="bottom"/>
          </w:tcPr>
          <w:p>
            <w:pPr>
              <w:ind w:left="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Business overview</w:t>
              </w:r>
            </w:hyperlink>
          </w:p>
        </w:tc>
        <w:tc>
          <w:tcPr>
            <w:tcW w:w="246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47</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w:t>
              </w:r>
            </w:hyperlink>
          </w:p>
        </w:tc>
        <w:tc>
          <w:tcPr>
            <w:tcW w:w="8340" w:type="dxa"/>
            <w:vAlign w:val="bottom"/>
          </w:tcPr>
          <w:p>
            <w:pPr>
              <w:ind w:left="8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Organizational structure</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106</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D.  Property, plant and equipment</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106</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ITEM 4A. UNRESOLVED STAFF COMMENTS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106</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ITEM 5. OPERATING AND FINANCIAL REVIEW AND PROSPECTS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106</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A.</w:t>
              </w:r>
            </w:hyperlink>
          </w:p>
        </w:tc>
        <w:tc>
          <w:tcPr>
            <w:tcW w:w="8340" w:type="dxa"/>
            <w:vAlign w:val="bottom"/>
          </w:tcPr>
          <w:p>
            <w:pPr>
              <w:ind w:left="10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Operating results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107</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B.  Liquidity and capital resources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121</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  Research and development, patents and licenses, etc.</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123</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D.</w:t>
              </w:r>
            </w:hyperlink>
          </w:p>
        </w:tc>
        <w:tc>
          <w:tcPr>
            <w:tcW w:w="8340" w:type="dxa"/>
            <w:vAlign w:val="bottom"/>
          </w:tcPr>
          <w:p>
            <w:pPr>
              <w:ind w:left="1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Trend information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123</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w:t>
              </w:r>
            </w:hyperlink>
          </w:p>
        </w:tc>
        <w:tc>
          <w:tcPr>
            <w:tcW w:w="8340" w:type="dxa"/>
            <w:vAlign w:val="bottom"/>
          </w:tcPr>
          <w:p>
            <w:pPr>
              <w:ind w:left="8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Safe harbor</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123</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F.</w:t>
              </w:r>
            </w:hyperlink>
          </w:p>
        </w:tc>
        <w:tc>
          <w:tcPr>
            <w:tcW w:w="8340" w:type="dxa"/>
            <w:vAlign w:val="bottom"/>
          </w:tcPr>
          <w:p>
            <w:pPr>
              <w:ind w:left="6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Non-IFRS financial measures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123</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ITEM 6. DIRECTORS, SENIOR MANAGEMENT AND EMPLOYEES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124</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A.  Directors and senior management</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124</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B.</w:t>
              </w:r>
            </w:hyperlink>
          </w:p>
        </w:tc>
        <w:tc>
          <w:tcPr>
            <w:tcW w:w="8340" w:type="dxa"/>
            <w:vAlign w:val="bottom"/>
          </w:tcPr>
          <w:p>
            <w:pPr>
              <w:ind w:left="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Compensation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128</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w:t>
              </w:r>
            </w:hyperlink>
          </w:p>
        </w:tc>
        <w:tc>
          <w:tcPr>
            <w:tcW w:w="8340" w:type="dxa"/>
            <w:vAlign w:val="bottom"/>
          </w:tcPr>
          <w:p>
            <w:pPr>
              <w:ind w:left="8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Board practices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130</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D.</w:t>
              </w:r>
            </w:hyperlink>
          </w:p>
        </w:tc>
        <w:tc>
          <w:tcPr>
            <w:tcW w:w="8340" w:type="dxa"/>
            <w:vAlign w:val="bottom"/>
          </w:tcPr>
          <w:p>
            <w:pPr>
              <w:ind w:left="10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Employees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133</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w:t>
              </w:r>
            </w:hyperlink>
          </w:p>
        </w:tc>
        <w:tc>
          <w:tcPr>
            <w:tcW w:w="8340" w:type="dxa"/>
            <w:vAlign w:val="bottom"/>
          </w:tcPr>
          <w:p>
            <w:pPr>
              <w:ind w:left="8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Share ownership</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133</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ITEM 7. MAJOR SHAREHOLDERS AND RELATED-PARTY TRANSACTIONS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133</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A.</w:t>
              </w:r>
            </w:hyperlink>
          </w:p>
        </w:tc>
        <w:tc>
          <w:tcPr>
            <w:tcW w:w="8340" w:type="dxa"/>
            <w:vAlign w:val="bottom"/>
          </w:tcPr>
          <w:p>
            <w:pPr>
              <w:ind w:left="10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Major shareholders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133</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B.</w:t>
              </w:r>
            </w:hyperlink>
          </w:p>
        </w:tc>
        <w:tc>
          <w:tcPr>
            <w:tcW w:w="8340" w:type="dxa"/>
            <w:vAlign w:val="bottom"/>
          </w:tcPr>
          <w:p>
            <w:pPr>
              <w:ind w:left="8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Related-party transactions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135</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  Interests of experts and counsel</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136</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8. FINANCIAL INFORMATION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136</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A.  Consolidated statements and other financial information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136</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B.</w:t>
              </w:r>
            </w:hyperlink>
          </w:p>
        </w:tc>
        <w:tc>
          <w:tcPr>
            <w:tcW w:w="8340" w:type="dxa"/>
            <w:vAlign w:val="bottom"/>
          </w:tcPr>
          <w:p>
            <w:pPr>
              <w:ind w:left="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Significant changes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ITEM 9. THE OFFER AND LISTING</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A.  Offering and listing details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B.</w:t>
              </w:r>
            </w:hyperlink>
          </w:p>
        </w:tc>
        <w:tc>
          <w:tcPr>
            <w:tcW w:w="8340" w:type="dxa"/>
            <w:vAlign w:val="bottom"/>
          </w:tcPr>
          <w:p>
            <w:pPr>
              <w:ind w:left="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Plan of distribution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w:t>
              </w:r>
            </w:hyperlink>
          </w:p>
        </w:tc>
        <w:tc>
          <w:tcPr>
            <w:tcW w:w="8340" w:type="dxa"/>
            <w:vAlign w:val="bottom"/>
          </w:tcPr>
          <w:p>
            <w:pPr>
              <w:ind w:left="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Markets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D.</w:t>
              </w:r>
            </w:hyperlink>
          </w:p>
        </w:tc>
        <w:tc>
          <w:tcPr>
            <w:tcW w:w="8340" w:type="dxa"/>
            <w:vAlign w:val="bottom"/>
          </w:tcPr>
          <w:p>
            <w:pPr>
              <w:ind w:left="14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Selling shareholders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w:t>
              </w:r>
            </w:hyperlink>
          </w:p>
        </w:tc>
        <w:tc>
          <w:tcPr>
            <w:tcW w:w="8340" w:type="dxa"/>
            <w:vAlign w:val="bottom"/>
          </w:tcPr>
          <w:p>
            <w:pPr>
              <w:ind w:left="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Dilution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F.  Expenses of the issue</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8780" w:type="dxa"/>
            <w:vAlign w:val="bottom"/>
            <w:gridSpan w:val="2"/>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ITEM 10. ADDITIONAL INFORMATION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A.</w:t>
              </w:r>
            </w:hyperlink>
          </w:p>
        </w:tc>
        <w:tc>
          <w:tcPr>
            <w:tcW w:w="8340" w:type="dxa"/>
            <w:vAlign w:val="bottom"/>
          </w:tcPr>
          <w:p>
            <w:pPr>
              <w:ind w:left="10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Share capital</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137</w:t>
              </w:r>
            </w:hyperlink>
          </w:p>
        </w:tc>
      </w:tr>
      <w:tr>
        <w:trPr>
          <w:trHeight w:val="216"/>
        </w:trPr>
        <w:tc>
          <w:tcPr>
            <w:tcW w:w="8780" w:type="dxa"/>
            <w:vAlign w:val="bottom"/>
            <w:gridSpan w:val="2"/>
          </w:tcPr>
          <w:p>
            <w:pPr>
              <w:ind w:left="22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B.  Memorandum and articles of association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138</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w:t>
              </w:r>
            </w:hyperlink>
          </w:p>
        </w:tc>
        <w:tc>
          <w:tcPr>
            <w:tcW w:w="8340" w:type="dxa"/>
            <w:vAlign w:val="bottom"/>
          </w:tcPr>
          <w:p>
            <w:pPr>
              <w:ind w:left="8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Material contracts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138</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w:t>
              </w:r>
            </w:hyperlink>
          </w:p>
        </w:tc>
        <w:tc>
          <w:tcPr>
            <w:tcW w:w="8340" w:type="dxa"/>
            <w:vAlign w:val="bottom"/>
          </w:tcPr>
          <w:p>
            <w:pPr>
              <w:ind w:left="10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Exchange controls</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138</w:t>
              </w:r>
            </w:hyperlink>
          </w:p>
        </w:tc>
      </w:tr>
      <w:tr>
        <w:trPr>
          <w:trHeight w:val="230"/>
        </w:trPr>
        <w:tc>
          <w:tcPr>
            <w:tcW w:w="440" w:type="dxa"/>
            <w:vAlign w:val="bottom"/>
          </w:tcPr>
          <w:p>
            <w:pPr>
              <w:ind w:left="22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w:t>
              </w:r>
            </w:hyperlink>
          </w:p>
        </w:tc>
        <w:tc>
          <w:tcPr>
            <w:tcW w:w="8340" w:type="dxa"/>
            <w:vAlign w:val="bottom"/>
          </w:tcPr>
          <w:p>
            <w:pPr>
              <w:ind w:left="8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Taxation</w:t>
              </w:r>
            </w:hyperlink>
          </w:p>
        </w:tc>
        <w:tc>
          <w:tcPr>
            <w:tcW w:w="2460" w:type="dxa"/>
            <w:vAlign w:val="bottom"/>
          </w:tcPr>
          <w:p>
            <w:pPr>
              <w:jc w:val="right"/>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138</w:t>
              </w:r>
            </w:hyperlink>
          </w:p>
        </w:tc>
      </w:tr>
      <w:tr>
        <w:trPr>
          <w:trHeight w:val="567"/>
        </w:trPr>
        <w:tc>
          <w:tcPr>
            <w:tcW w:w="44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jc w:val="center"/>
              <w:ind w:left="1890"/>
              <w:spacing w:after="0"/>
              <w:rPr>
                <w:sz w:val="20"/>
                <w:szCs w:val="20"/>
                <w:color w:val="auto"/>
              </w:rPr>
            </w:pPr>
            <w:r>
              <w:rPr>
                <w:rFonts w:ascii="Arial" w:cs="Arial" w:eastAsia="Arial" w:hAnsi="Arial"/>
                <w:sz w:val="18"/>
                <w:szCs w:val="18"/>
                <w:color w:val="auto"/>
                <w:w w:val="79"/>
              </w:rPr>
              <w:t>4</w:t>
            </w: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gridSpan w:val="2"/>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1440" w:type="dxa"/>
            <w:vAlign w:val="bottom"/>
          </w:tcPr>
          <w:p>
            <w:pPr>
              <w:spacing w:after="0"/>
              <w:rPr>
                <w:sz w:val="16"/>
                <w:szCs w:val="16"/>
                <w:color w:val="auto"/>
              </w:rPr>
            </w:pPr>
          </w:p>
        </w:tc>
      </w:tr>
      <w:tr>
        <w:trPr>
          <w:trHeight w:val="443"/>
        </w:trPr>
        <w:tc>
          <w:tcPr>
            <w:tcW w:w="9800" w:type="dxa"/>
            <w:vAlign w:val="bottom"/>
            <w:gridSpan w:val="2"/>
          </w:tcPr>
          <w:p>
            <w:pPr>
              <w:ind w:left="2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F.  Dividends and paying agents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144</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G.</w:t>
              </w:r>
            </w:hyperlink>
          </w:p>
        </w:tc>
        <w:tc>
          <w:tcPr>
            <w:tcW w:w="9360" w:type="dxa"/>
            <w:vAlign w:val="bottom"/>
          </w:tcPr>
          <w:p>
            <w:pPr>
              <w:ind w:left="10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Statement by experts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144</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H.</w:t>
              </w:r>
            </w:hyperlink>
          </w:p>
        </w:tc>
        <w:tc>
          <w:tcPr>
            <w:tcW w:w="9360" w:type="dxa"/>
            <w:vAlign w:val="bottom"/>
          </w:tcPr>
          <w:p>
            <w:pPr>
              <w:ind w:left="10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Documents on display</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144</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I.</w:t>
              </w:r>
            </w:hyperlink>
          </w:p>
        </w:tc>
        <w:tc>
          <w:tcPr>
            <w:tcW w:w="9360" w:type="dxa"/>
            <w:vAlign w:val="bottom"/>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Subsidiary information</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144</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ITEM 11. QUANTITATIVE AND QUALITATIVE DISCLOSURES ABOUT MARKET RISK</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144</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ITEM 12. DESCRIPTION OF SECURITIES OTHER THAN EQUITY SECURITIES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145</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A.</w:t>
              </w:r>
            </w:hyperlink>
          </w:p>
        </w:tc>
        <w:tc>
          <w:tcPr>
            <w:tcW w:w="9360" w:type="dxa"/>
            <w:vAlign w:val="bottom"/>
          </w:tcPr>
          <w:p>
            <w:pPr>
              <w:ind w:left="10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Debt securities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145</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B.</w:t>
              </w:r>
            </w:hyperlink>
          </w:p>
        </w:tc>
        <w:tc>
          <w:tcPr>
            <w:tcW w:w="9360" w:type="dxa"/>
            <w:vAlign w:val="bottom"/>
          </w:tcPr>
          <w:p>
            <w:pPr>
              <w:ind w:left="8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Warrants and rights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145</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w:t>
              </w:r>
            </w:hyperlink>
          </w:p>
        </w:tc>
        <w:tc>
          <w:tcPr>
            <w:tcW w:w="9360" w:type="dxa"/>
            <w:vAlign w:val="bottom"/>
          </w:tcPr>
          <w:p>
            <w:pPr>
              <w:ind w:left="8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Other securities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D.</w:t>
              </w:r>
            </w:hyperlink>
          </w:p>
        </w:tc>
        <w:tc>
          <w:tcPr>
            <w:tcW w:w="9360" w:type="dxa"/>
            <w:vAlign w:val="bottom"/>
          </w:tcPr>
          <w:p>
            <w:pPr>
              <w:ind w:left="8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American depositary shares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PART II</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ITEM 13. DEFAULTS, DIVIDEND ARREARAGES AND DELINQUENCIES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A.</w:t>
              </w:r>
            </w:hyperlink>
          </w:p>
        </w:tc>
        <w:tc>
          <w:tcPr>
            <w:tcW w:w="9360" w:type="dxa"/>
            <w:vAlign w:val="bottom"/>
          </w:tcPr>
          <w:p>
            <w:pPr>
              <w:ind w:left="10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Defaults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B.</w:t>
              </w:r>
            </w:hyperlink>
          </w:p>
        </w:tc>
        <w:tc>
          <w:tcPr>
            <w:tcW w:w="9360" w:type="dxa"/>
            <w:vAlign w:val="bottom"/>
          </w:tcPr>
          <w:p>
            <w:pPr>
              <w:ind w:left="8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Arrears and delinquencies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ITEM 14. MATERIAL MODIFICATIONS TO THE RIGHTS OF SECURITY HOLDERS AND USE OF PROCEEDS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440" w:type="dxa"/>
            <w:vAlign w:val="bottom"/>
          </w:tcPr>
          <w:p>
            <w:pPr>
              <w:ind w:left="2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w:t>
              </w:r>
            </w:hyperlink>
          </w:p>
        </w:tc>
        <w:tc>
          <w:tcPr>
            <w:tcW w:w="9360" w:type="dxa"/>
            <w:vAlign w:val="bottom"/>
          </w:tcPr>
          <w:p>
            <w:pPr>
              <w:ind w:left="8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Use of proceeds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ITEM 15. CONTROLS AND PROCEDURES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9800" w:type="dxa"/>
            <w:vAlign w:val="bottom"/>
            <w:gridSpan w:val="2"/>
          </w:tcPr>
          <w:p>
            <w:pPr>
              <w:ind w:left="2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A.  Disclosure controls and procedures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9800" w:type="dxa"/>
            <w:vAlign w:val="bottom"/>
            <w:gridSpan w:val="2"/>
          </w:tcPr>
          <w:p>
            <w:pPr>
              <w:ind w:left="2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B.  Management’s Annual Report on internal control over financial reporting</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9800" w:type="dxa"/>
            <w:vAlign w:val="bottom"/>
            <w:gridSpan w:val="2"/>
          </w:tcPr>
          <w:p>
            <w:pPr>
              <w:ind w:left="2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  Attestation report of the registered public accounting firm</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146</w:t>
              </w:r>
            </w:hyperlink>
          </w:p>
        </w:tc>
      </w:tr>
      <w:tr>
        <w:trPr>
          <w:trHeight w:val="216"/>
        </w:trPr>
        <w:tc>
          <w:tcPr>
            <w:tcW w:w="9800" w:type="dxa"/>
            <w:vAlign w:val="bottom"/>
            <w:gridSpan w:val="2"/>
          </w:tcPr>
          <w:p>
            <w:pPr>
              <w:ind w:left="220"/>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D.  Changes in internal control over financial reporting</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147</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ITEM 16. [RESERVED]</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147</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ITEM 16A. Audit committee financial experts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147</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ITEM 16B. Code of Ethics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147</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ITEM 16C. Principal accountant fees and services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147</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ITEM 16D. Exemptions from the listing standards for audit committees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147</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ITEM 16E. Purchases of equity securities by the issuer and affiliated purchasers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148</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ITEM 16F. Change in registrant’s certifying accountant</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148</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ITEM 16G. Corporate governance</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148</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ITEM 16H. Mine safety disclosure</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148</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PART III</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149</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ITEM 17. Financial statements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149</w:t>
              </w:r>
            </w:hyperlink>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ITEM 18. Financial statements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149</w:t>
              </w:r>
            </w:hyperlink>
          </w:p>
        </w:tc>
      </w:tr>
      <w:tr>
        <w:trPr>
          <w:trHeight w:val="230"/>
        </w:trPr>
        <w:tc>
          <w:tcPr>
            <w:tcW w:w="9800" w:type="dxa"/>
            <w:vAlign w:val="bottom"/>
            <w:gridSpan w:val="2"/>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ITEM 19. Exhibits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149</w:t>
              </w:r>
            </w:hyperlink>
          </w:p>
        </w:tc>
      </w:tr>
      <w:tr>
        <w:trPr>
          <w:trHeight w:val="540"/>
        </w:trPr>
        <w:tc>
          <w:tcPr>
            <w:tcW w:w="44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rPr>
              <w:t>5</w:t>
            </w: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Unless otherwise indicated or the context otherwise requires, all references in this annual report on Form 20-F (the “Annual Report”) to “AC Immune” or the “Company,” “we,” “our,” “ours,” “us” or similar terms refer to AC Immune SA. The Company owns various registered and unregistered trademarks, for some of which formal protection has been obtained or is being sought, including Morphomer™, SupraAntigen™ and its corporate name, logo and Nasdaq Global Market symbol. All other trademarks, trade names and service marks of other companies appearing in this Annual Report are the property of their respective owners. Solely for convenience, the trademarks and trade names in this Annual Report may be referred to without the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Our financial statements are presented in Swiss Francs and in accordance with International Financial Reporting Standards (IFRS), as issued by the International Accounting Standards Board (IASB). None of the financial statements was prepared in accordance with generally accepted accounting principles in the United States (US). The terms “dollar” and “USD” refer to US dollars, and the terms “Swiss Franc” and “CHF” refer to the legal currency of Switzerland, unless otherwise indicated. We have made rounding adjustments to some of the figures included in this Annual Report. Accordingly, any numerical discrepancies in any table between totals and sums of the amounts listed are due to rounding.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 – D. Risk factors” in this Annual Report. These risks and uncertainties include multiple factors:</w:t>
      </w:r>
    </w:p>
    <w:p>
      <w:pPr>
        <w:spacing w:after="0" w:line="188" w:lineRule="exact"/>
        <w:rPr>
          <w:sz w:val="20"/>
          <w:szCs w:val="20"/>
          <w:color w:val="auto"/>
        </w:rPr>
      </w:pPr>
    </w:p>
    <w:p>
      <w:pPr>
        <w:ind w:left="660" w:right="220" w:hanging="328"/>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success of our and our collaboration partners’ clinical studies, and our and their ability to obtain and maintain regulatory approval and to commercialize ACI-35, semorinemab, Morphomer Tau, ACI-24 for Alzheimer’s disease (AD) and for Down syndrome-related AD (ACI-24 for DS), crenezumab, and PI-2620, our Tau-positron emission tomography (PET) imaging tracer and to a lesser extent our preclinical candidates;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preclinical and clinical safety, efficacy and utility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and maintain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risk factors discussed under “Item 3. Key information – D. Risk factors.”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These forward-looking statements are applicable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25" w:lineRule="exact"/>
        <w:rPr>
          <w:sz w:val="20"/>
          <w:szCs w:val="20"/>
          <w:color w:val="auto"/>
        </w:rPr>
      </w:pPr>
    </w:p>
    <w:p>
      <w:pPr>
        <w:ind w:left="340" w:right="8260" w:hanging="332"/>
        <w:spacing w:after="0" w:line="500"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Advisers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5" w:lineRule="exact"/>
        <w:rPr>
          <w:sz w:val="20"/>
          <w:szCs w:val="20"/>
          <w:color w:val="auto"/>
        </w:rPr>
      </w:pPr>
    </w:p>
    <w:p>
      <w:pPr>
        <w:jc w:val="both"/>
        <w:ind w:left="340" w:right="9740" w:hanging="332"/>
        <w:spacing w:after="0" w:line="601" w:lineRule="auto"/>
        <w:tabs>
          <w:tab w:leader="none" w:pos="34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Offer statistics </w:t>
      </w:r>
      <w:r>
        <w:rPr>
          <w:rFonts w:ascii="Arial" w:cs="Arial" w:eastAsia="Arial" w:hAnsi="Arial"/>
          <w:sz w:val="15"/>
          <w:szCs w:val="15"/>
          <w:color w:val="auto"/>
        </w:rPr>
        <w:t>Not applicable.</w:t>
      </w:r>
    </w:p>
    <w:p>
      <w:pPr>
        <w:ind w:left="340" w:right="8460" w:hanging="332"/>
        <w:spacing w:after="0" w:line="500"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 and expected timetable </w:t>
      </w:r>
      <w:r>
        <w:rPr>
          <w:rFonts w:ascii="Arial" w:cs="Arial" w:eastAsia="Arial" w:hAnsi="Arial"/>
          <w:sz w:val="18"/>
          <w:szCs w:val="18"/>
          <w:color w:val="auto"/>
        </w:rPr>
        <w:t>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340" w:right="9100" w:hanging="332"/>
        <w:spacing w:after="0" w:line="500"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Selected Financial Data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8440" w:hanging="332"/>
        <w:spacing w:after="0" w:line="500"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7760" w:hanging="332"/>
        <w:spacing w:after="0" w:line="500"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Annual 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The below provides a summary of our principal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our business:</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We depend heavily on the success of our clinical and, to a lesser extent, preclinical products:</w:t>
      </w:r>
    </w:p>
    <w:p>
      <w:pPr>
        <w:spacing w:after="0" w:line="225" w:lineRule="exact"/>
        <w:rPr>
          <w:rFonts w:ascii="Arial" w:cs="Arial" w:eastAsia="Arial" w:hAnsi="Arial"/>
          <w:sz w:val="18"/>
          <w:szCs w:val="18"/>
          <w:color w:val="222222"/>
        </w:rPr>
      </w:pPr>
    </w:p>
    <w:p>
      <w:pPr>
        <w:ind w:left="1300" w:right="540" w:hanging="320"/>
        <w:spacing w:after="0" w:line="308" w:lineRule="auto"/>
        <w:tabs>
          <w:tab w:leader="none" w:pos="1300" w:val="left"/>
        </w:tabs>
        <w:numPr>
          <w:ilvl w:val="1"/>
          <w:numId w:val="9"/>
        </w:numPr>
        <w:rPr>
          <w:rFonts w:ascii="Arial" w:cs="Arial" w:eastAsia="Arial" w:hAnsi="Arial"/>
          <w:sz w:val="17"/>
          <w:szCs w:val="17"/>
          <w:color w:val="222222"/>
        </w:rPr>
      </w:pPr>
      <w:r>
        <w:rPr>
          <w:rFonts w:ascii="Arial" w:cs="Arial" w:eastAsia="Arial" w:hAnsi="Arial"/>
          <w:sz w:val="17"/>
          <w:szCs w:val="17"/>
          <w:color w:val="222222"/>
        </w:rPr>
        <w:t>Our ability to generate product revenues, which we do not expect to occur for several years, will depend on clinical and regulatory success which have low probabilities of success in the central nervous system (CNS) space in which we operate.</w:t>
      </w:r>
    </w:p>
    <w:p>
      <w:pPr>
        <w:spacing w:after="0" w:line="146" w:lineRule="exact"/>
        <w:rPr>
          <w:rFonts w:ascii="Arial" w:cs="Arial" w:eastAsia="Arial" w:hAnsi="Arial"/>
          <w:sz w:val="17"/>
          <w:szCs w:val="17"/>
          <w:color w:val="222222"/>
        </w:rPr>
      </w:pPr>
    </w:p>
    <w:p>
      <w:pPr>
        <w:ind w:left="660" w:hanging="328"/>
        <w:spacing w:after="0"/>
        <w:tabs>
          <w:tab w:leader="none" w:pos="6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Results of early preclinical and clinical studies may not be predictive of future results:</w:t>
      </w:r>
    </w:p>
    <w:p>
      <w:pPr>
        <w:spacing w:after="0" w:line="225" w:lineRule="exact"/>
        <w:rPr>
          <w:rFonts w:ascii="Arial" w:cs="Arial" w:eastAsia="Arial" w:hAnsi="Arial"/>
          <w:sz w:val="18"/>
          <w:szCs w:val="18"/>
          <w:color w:val="222222"/>
        </w:rPr>
      </w:pPr>
    </w:p>
    <w:p>
      <w:pPr>
        <w:ind w:left="1300" w:right="140" w:hanging="320"/>
        <w:spacing w:after="0" w:line="277" w:lineRule="auto"/>
        <w:tabs>
          <w:tab w:leader="none" w:pos="1300" w:val="left"/>
        </w:tabs>
        <w:numPr>
          <w:ilvl w:val="1"/>
          <w:numId w:val="9"/>
        </w:numPr>
        <w:rPr>
          <w:rFonts w:ascii="Arial" w:cs="Arial" w:eastAsia="Arial" w:hAnsi="Arial"/>
          <w:sz w:val="18"/>
          <w:szCs w:val="18"/>
          <w:color w:val="222222"/>
        </w:rPr>
      </w:pPr>
      <w:r>
        <w:rPr>
          <w:rFonts w:ascii="Arial" w:cs="Arial" w:eastAsia="Arial" w:hAnsi="Arial"/>
          <w:sz w:val="18"/>
          <w:szCs w:val="18"/>
          <w:color w:val="auto"/>
        </w:rPr>
        <w:t>Products that show positive or timely preclinical or early clinical results may not show sufficient safety or efficacy in later-stage clinical studies and therefore may fail to obtain regulatory approvals.</w:t>
      </w:r>
    </w:p>
    <w:p>
      <w:pPr>
        <w:spacing w:after="0" w:line="170" w:lineRule="exact"/>
        <w:rPr>
          <w:rFonts w:ascii="Arial" w:cs="Arial" w:eastAsia="Arial" w:hAnsi="Arial"/>
          <w:sz w:val="18"/>
          <w:szCs w:val="18"/>
          <w:color w:val="222222"/>
        </w:rPr>
      </w:pPr>
    </w:p>
    <w:p>
      <w:pPr>
        <w:ind w:left="660" w:hanging="328"/>
        <w:spacing w:after="0"/>
        <w:tabs>
          <w:tab w:leader="none" w:pos="660" w:val="left"/>
        </w:tabs>
        <w:numPr>
          <w:ilvl w:val="0"/>
          <w:numId w:val="9"/>
        </w:numPr>
        <w:rPr>
          <w:rFonts w:ascii="Arial" w:cs="Arial" w:eastAsia="Arial" w:hAnsi="Arial"/>
          <w:sz w:val="18"/>
          <w:szCs w:val="18"/>
          <w:color w:val="222222"/>
        </w:rPr>
      </w:pPr>
      <w:r>
        <w:rPr>
          <w:rFonts w:ascii="Arial" w:cs="Arial" w:eastAsia="Arial" w:hAnsi="Arial"/>
          <w:sz w:val="18"/>
          <w:szCs w:val="18"/>
          <w:color w:val="auto"/>
        </w:rPr>
        <w:t>Our products may not gain market acceptance or may be preempted by competitors:</w:t>
      </w:r>
    </w:p>
    <w:p>
      <w:pPr>
        <w:spacing w:after="0" w:line="225" w:lineRule="exact"/>
        <w:rPr>
          <w:rFonts w:ascii="Arial" w:cs="Arial" w:eastAsia="Arial" w:hAnsi="Arial"/>
          <w:sz w:val="18"/>
          <w:szCs w:val="18"/>
          <w:color w:val="222222"/>
        </w:rPr>
      </w:pPr>
    </w:p>
    <w:p>
      <w:pPr>
        <w:ind w:left="1300" w:hanging="320"/>
        <w:spacing w:after="0"/>
        <w:tabs>
          <w:tab w:leader="none" w:pos="1300" w:val="left"/>
        </w:tabs>
        <w:numPr>
          <w:ilvl w:val="1"/>
          <w:numId w:val="9"/>
        </w:numPr>
        <w:rPr>
          <w:rFonts w:ascii="Arial" w:cs="Arial" w:eastAsia="Arial" w:hAnsi="Arial"/>
          <w:sz w:val="16"/>
          <w:szCs w:val="16"/>
          <w:color w:val="222222"/>
        </w:rPr>
      </w:pPr>
      <w:r>
        <w:rPr>
          <w:rFonts w:ascii="Arial" w:cs="Arial" w:eastAsia="Arial" w:hAnsi="Arial"/>
          <w:sz w:val="16"/>
          <w:szCs w:val="16"/>
          <w:color w:val="auto"/>
        </w:rPr>
        <w:t>Even if our products obtain regulatory approval, they may not be accepted by healthcare providers, patients or the medical community.</w:t>
      </w:r>
    </w:p>
    <w:p>
      <w:pPr>
        <w:spacing w:after="0" w:line="248" w:lineRule="exact"/>
        <w:rPr>
          <w:rFonts w:ascii="Arial" w:cs="Arial" w:eastAsia="Arial" w:hAnsi="Arial"/>
          <w:sz w:val="16"/>
          <w:szCs w:val="16"/>
          <w:color w:val="222222"/>
        </w:rPr>
      </w:pPr>
    </w:p>
    <w:p>
      <w:pPr>
        <w:ind w:left="1300" w:right="40" w:hanging="320"/>
        <w:spacing w:after="0" w:line="263" w:lineRule="auto"/>
        <w:tabs>
          <w:tab w:leader="none" w:pos="1300" w:val="left"/>
        </w:tabs>
        <w:numPr>
          <w:ilvl w:val="1"/>
          <w:numId w:val="9"/>
        </w:numPr>
        <w:rPr>
          <w:rFonts w:ascii="Arial" w:cs="Arial" w:eastAsia="Arial" w:hAnsi="Arial"/>
          <w:sz w:val="18"/>
          <w:szCs w:val="18"/>
          <w:color w:val="222222"/>
        </w:rPr>
      </w:pPr>
      <w:r>
        <w:rPr>
          <w:rFonts w:ascii="Arial" w:cs="Arial" w:eastAsia="Arial" w:hAnsi="Arial"/>
          <w:sz w:val="18"/>
          <w:szCs w:val="18"/>
          <w:color w:val="222222"/>
        </w:rPr>
        <w:t>Our success is dependent on the ability to discover, develop and obtain marketing approval for our products. We face and will continue to face intense competition from a variety of businesses, including large fully integrated biopharmaceutical and pharmaceutical companies and others that may have greater financial, technical and human resources.</w:t>
      </w:r>
    </w:p>
    <w:p>
      <w:pPr>
        <w:spacing w:after="0" w:line="183" w:lineRule="exact"/>
        <w:rPr>
          <w:rFonts w:ascii="Arial" w:cs="Arial" w:eastAsia="Arial" w:hAnsi="Arial"/>
          <w:sz w:val="18"/>
          <w:szCs w:val="18"/>
          <w:color w:val="222222"/>
        </w:rPr>
      </w:pPr>
    </w:p>
    <w:p>
      <w:pPr>
        <w:ind w:left="1300" w:hanging="320"/>
        <w:spacing w:after="0"/>
        <w:tabs>
          <w:tab w:leader="none" w:pos="1300" w:val="left"/>
        </w:tabs>
        <w:numPr>
          <w:ilvl w:val="1"/>
          <w:numId w:val="9"/>
        </w:numPr>
        <w:rPr>
          <w:rFonts w:ascii="Arial" w:cs="Arial" w:eastAsia="Arial" w:hAnsi="Arial"/>
          <w:sz w:val="18"/>
          <w:szCs w:val="18"/>
          <w:color w:val="222222"/>
        </w:rPr>
      </w:pPr>
      <w:r>
        <w:rPr>
          <w:rFonts w:ascii="Arial" w:cs="Arial" w:eastAsia="Arial" w:hAnsi="Arial"/>
          <w:sz w:val="18"/>
          <w:szCs w:val="18"/>
          <w:color w:val="auto"/>
        </w:rPr>
        <w:t>A competitor may enter with a generic of an approved innovator product.</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We may not be successful in using and expanding our Morphomer and SupraAntigen proprietary technology platforms.</w:t>
      </w:r>
    </w:p>
    <w:p>
      <w:pPr>
        <w:spacing w:after="0" w:line="225" w:lineRule="exact"/>
        <w:rPr>
          <w:rFonts w:ascii="Arial" w:cs="Arial" w:eastAsia="Arial" w:hAnsi="Arial"/>
          <w:sz w:val="18"/>
          <w:szCs w:val="18"/>
          <w:color w:val="222222"/>
        </w:rPr>
      </w:pPr>
    </w:p>
    <w:p>
      <w:pPr>
        <w:ind w:left="660" w:right="660" w:hanging="328"/>
        <w:spacing w:after="0" w:line="277" w:lineRule="auto"/>
        <w:tabs>
          <w:tab w:leader="none" w:pos="6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We operate in highly competitive and rapidly changing industries, which may result in others discovering, developing or commercializing competing products before or more successfully than we do.</w:t>
      </w:r>
    </w:p>
    <w:p>
      <w:pPr>
        <w:spacing w:after="0" w:line="170" w:lineRule="exact"/>
        <w:rPr>
          <w:rFonts w:ascii="Arial" w:cs="Arial" w:eastAsia="Arial" w:hAnsi="Arial"/>
          <w:sz w:val="18"/>
          <w:szCs w:val="18"/>
          <w:color w:val="222222"/>
        </w:rPr>
      </w:pPr>
    </w:p>
    <w:p>
      <w:pPr>
        <w:ind w:left="660" w:right="80" w:hanging="328"/>
        <w:spacing w:after="0" w:line="277" w:lineRule="auto"/>
        <w:tabs>
          <w:tab w:leader="none" w:pos="6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Our future growth and ability to compete depends on retaining our key personnel and recruiting additional qualified personnel including members of our Executive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our relationships with third parties:</w:t>
      </w:r>
    </w:p>
    <w:p>
      <w:pPr>
        <w:spacing w:after="0" w:line="229" w:lineRule="exact"/>
        <w:rPr>
          <w:sz w:val="20"/>
          <w:szCs w:val="20"/>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If we fail to maintain, or realize the benefits from, our current strategic relationships with our current and potential future license and collaboration partners our financial condition may be materially adversely affected.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222222"/>
        </w:rPr>
      </w:pPr>
      <w:r>
        <w:rPr>
          <w:rFonts w:ascii="Arial" w:cs="Arial" w:eastAsia="Arial" w:hAnsi="Arial"/>
          <w:sz w:val="16"/>
          <w:szCs w:val="16"/>
          <w:color w:val="222222"/>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23" w:lineRule="exact"/>
        <w:rPr>
          <w:rFonts w:ascii="Arial" w:cs="Arial" w:eastAsia="Arial" w:hAnsi="Arial"/>
          <w:sz w:val="16"/>
          <w:szCs w:val="16"/>
          <w:color w:val="222222"/>
        </w:rPr>
      </w:pPr>
    </w:p>
    <w:p>
      <w:pPr>
        <w:ind w:left="660" w:hanging="328"/>
        <w:spacing w:after="0"/>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Our collaboration agreements may make us an attractive acquisition target under certain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intellectual property:</w:t>
      </w:r>
    </w:p>
    <w:p>
      <w:pPr>
        <w:spacing w:after="0" w:line="229" w:lineRule="exact"/>
        <w:rPr>
          <w:sz w:val="20"/>
          <w:szCs w:val="20"/>
          <w:color w:val="auto"/>
        </w:rPr>
      </w:pPr>
    </w:p>
    <w:p>
      <w:pPr>
        <w:ind w:left="660" w:right="380" w:hanging="328"/>
        <w:spacing w:after="0" w:line="277" w:lineRule="auto"/>
        <w:tabs>
          <w:tab w:leader="none" w:pos="660" w:val="left"/>
        </w:tabs>
        <w:numPr>
          <w:ilvl w:val="0"/>
          <w:numId w:val="12"/>
        </w:numPr>
        <w:rPr>
          <w:rFonts w:ascii="Arial" w:cs="Arial" w:eastAsia="Arial" w:hAnsi="Arial"/>
          <w:sz w:val="18"/>
          <w:szCs w:val="18"/>
          <w:color w:val="222222"/>
        </w:rPr>
      </w:pPr>
      <w:r>
        <w:rPr>
          <w:rFonts w:ascii="Arial" w:cs="Arial" w:eastAsia="Arial" w:hAnsi="Arial"/>
          <w:sz w:val="18"/>
          <w:szCs w:val="18"/>
          <w:color w:val="222222"/>
        </w:rPr>
        <w:t>We or our licensing or collaboration partners may not have sufficient patent terms to protect our products and business effectively which may adversely affect our product sales and technology development.</w:t>
      </w:r>
    </w:p>
    <w:p>
      <w:pPr>
        <w:spacing w:after="0" w:line="170" w:lineRule="exact"/>
        <w:rPr>
          <w:rFonts w:ascii="Arial" w:cs="Arial" w:eastAsia="Arial" w:hAnsi="Arial"/>
          <w:sz w:val="18"/>
          <w:szCs w:val="18"/>
          <w:color w:val="222222"/>
        </w:rPr>
      </w:pPr>
    </w:p>
    <w:p>
      <w:pPr>
        <w:ind w:left="660" w:right="180" w:hanging="328"/>
        <w:spacing w:after="0" w:line="311" w:lineRule="auto"/>
        <w:tabs>
          <w:tab w:leader="none" w:pos="660" w:val="left"/>
        </w:tabs>
        <w:numPr>
          <w:ilvl w:val="0"/>
          <w:numId w:val="12"/>
        </w:numPr>
        <w:rPr>
          <w:rFonts w:ascii="Arial" w:cs="Arial" w:eastAsia="Arial" w:hAnsi="Arial"/>
          <w:sz w:val="16"/>
          <w:szCs w:val="16"/>
          <w:color w:val="222222"/>
        </w:rPr>
      </w:pPr>
      <w:r>
        <w:rPr>
          <w:rFonts w:ascii="Arial" w:cs="Arial" w:eastAsia="Arial" w:hAnsi="Arial"/>
          <w:sz w:val="16"/>
          <w:szCs w:val="16"/>
          <w:color w:val="222222"/>
        </w:rPr>
        <w:t>If we fail to comply with the obligations to obtain and maintain patent protection such as compliance with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148" w:lineRule="exact"/>
        <w:rPr>
          <w:rFonts w:ascii="Arial" w:cs="Arial" w:eastAsia="Arial" w:hAnsi="Arial"/>
          <w:sz w:val="16"/>
          <w:szCs w:val="16"/>
          <w:color w:val="222222"/>
        </w:rPr>
      </w:pPr>
    </w:p>
    <w:p>
      <w:pPr>
        <w:ind w:left="660" w:hanging="328"/>
        <w:spacing w:after="0"/>
        <w:tabs>
          <w:tab w:leader="none" w:pos="660" w:val="left"/>
        </w:tabs>
        <w:numPr>
          <w:ilvl w:val="0"/>
          <w:numId w:val="12"/>
        </w:numPr>
        <w:rPr>
          <w:rFonts w:ascii="Arial" w:cs="Arial" w:eastAsia="Arial" w:hAnsi="Arial"/>
          <w:sz w:val="18"/>
          <w:szCs w:val="18"/>
          <w:color w:val="222222"/>
        </w:rPr>
      </w:pPr>
      <w:r>
        <w:rPr>
          <w:rFonts w:ascii="Arial" w:cs="Arial" w:eastAsia="Arial" w:hAnsi="Arial"/>
          <w:sz w:val="18"/>
          <w:szCs w:val="18"/>
          <w:color w:val="222222"/>
        </w:rPr>
        <w:t>We may be subject to claims challenging the inventorship of our patents and other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our financial condition and capital requirements:</w:t>
      </w:r>
    </w:p>
    <w:p>
      <w:pPr>
        <w:spacing w:after="0" w:line="229" w:lineRule="exact"/>
        <w:rPr>
          <w:sz w:val="20"/>
          <w:szCs w:val="20"/>
          <w:color w:val="auto"/>
        </w:rPr>
      </w:pPr>
    </w:p>
    <w:p>
      <w:pPr>
        <w:ind w:left="660" w:right="200" w:hanging="328"/>
        <w:spacing w:after="0" w:line="263" w:lineRule="auto"/>
        <w:tabs>
          <w:tab w:leader="none" w:pos="6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We are a clinical stage biopharmaceutical company with a history of losses. We anticipate incurring losses for the foreseeable future. As such, if we fail to obtain additional funding via product revenues, license and collaboration agreement, equity offerings or other forms of financing, we may need to delay, reduce or eliminate certain of our product development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the regulatory environment:</w:t>
      </w:r>
    </w:p>
    <w:p>
      <w:pPr>
        <w:spacing w:after="0" w:line="229" w:lineRule="exact"/>
        <w:rPr>
          <w:sz w:val="20"/>
          <w:szCs w:val="20"/>
          <w:color w:val="auto"/>
        </w:rPr>
      </w:pPr>
    </w:p>
    <w:p>
      <w:pPr>
        <w:ind w:left="660" w:right="740" w:hanging="328"/>
        <w:spacing w:after="0" w:line="277" w:lineRule="auto"/>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We cannot give any assurance that any of our product candidates will receive regulatory approval, which is necessary before they can be commercialized.</w:t>
      </w:r>
    </w:p>
    <w:p>
      <w:pPr>
        <w:spacing w:after="0" w:line="170" w:lineRule="exact"/>
        <w:rPr>
          <w:rFonts w:ascii="Arial" w:cs="Arial" w:eastAsia="Arial" w:hAnsi="Arial"/>
          <w:sz w:val="18"/>
          <w:szCs w:val="18"/>
          <w:color w:val="222222"/>
        </w:rPr>
      </w:pPr>
    </w:p>
    <w:p>
      <w:pPr>
        <w:ind w:left="660" w:right="200" w:hanging="328"/>
        <w:spacing w:after="0" w:line="277" w:lineRule="auto"/>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Even if we obtain regulatory approvals in one jurisdiction, we may not be able to obtain approval in other jurisdictions. Additionally, we will be subject to ongoing obligations and review which may result in significant additional expense.</w:t>
      </w:r>
    </w:p>
    <w:p>
      <w:pPr>
        <w:spacing w:after="0" w:line="170" w:lineRule="exact"/>
        <w:rPr>
          <w:rFonts w:ascii="Arial" w:cs="Arial" w:eastAsia="Arial" w:hAnsi="Arial"/>
          <w:sz w:val="18"/>
          <w:szCs w:val="18"/>
          <w:color w:val="222222"/>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We have conducted and may in the future conduct clinical studies for our drug candidates outside the US, and the FDA and applicable foreign regulatory authorities may not accept data from such studies.</w:t>
      </w:r>
    </w:p>
    <w:p>
      <w:pPr>
        <w:spacing w:after="0" w:line="170" w:lineRule="exact"/>
        <w:rPr>
          <w:rFonts w:ascii="Arial" w:cs="Arial" w:eastAsia="Arial" w:hAnsi="Arial"/>
          <w:sz w:val="18"/>
          <w:szCs w:val="18"/>
          <w:color w:val="222222"/>
        </w:rPr>
      </w:pPr>
    </w:p>
    <w:p>
      <w:pPr>
        <w:ind w:left="660" w:right="740" w:hanging="328"/>
        <w:spacing w:after="0" w:line="277" w:lineRule="auto"/>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Enacted and future legislation may increase the difficulty and cost for us to obtain marketing approval of and commercialize our product candidates and may affect the prices we may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our common shares:</w:t>
      </w:r>
    </w:p>
    <w:p>
      <w:pPr>
        <w:spacing w:after="0" w:line="22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222222"/>
        </w:rPr>
      </w:pPr>
      <w:r>
        <w:rPr>
          <w:rFonts w:ascii="Arial" w:cs="Arial" w:eastAsia="Arial" w:hAnsi="Arial"/>
          <w:sz w:val="17"/>
          <w:szCs w:val="17"/>
          <w:color w:val="222222"/>
        </w:rPr>
        <w:t>We have limited free float in our common shares which may have a negative impact on the liquidity and market price of our common shares.</w:t>
      </w:r>
    </w:p>
    <w:p>
      <w:pPr>
        <w:spacing w:after="0" w:line="236" w:lineRule="exact"/>
        <w:rPr>
          <w:rFonts w:ascii="Arial" w:cs="Arial" w:eastAsia="Arial" w:hAnsi="Arial"/>
          <w:sz w:val="17"/>
          <w:szCs w:val="17"/>
          <w:color w:val="222222"/>
        </w:rPr>
      </w:pPr>
    </w:p>
    <w:p>
      <w:pPr>
        <w:ind w:left="660" w:right="20" w:hanging="328"/>
        <w:spacing w:after="0" w:line="277" w:lineRule="auto"/>
        <w:tabs>
          <w:tab w:leader="none" w:pos="660" w:val="left"/>
        </w:tabs>
        <w:numPr>
          <w:ilvl w:val="0"/>
          <w:numId w:val="15"/>
        </w:numPr>
        <w:rPr>
          <w:rFonts w:ascii="Arial" w:cs="Arial" w:eastAsia="Arial" w:hAnsi="Arial"/>
          <w:sz w:val="18"/>
          <w:szCs w:val="18"/>
          <w:color w:val="222222"/>
        </w:rPr>
      </w:pPr>
      <w:r>
        <w:rPr>
          <w:rFonts w:ascii="Arial" w:cs="Arial" w:eastAsia="Arial" w:hAnsi="Arial"/>
          <w:sz w:val="18"/>
          <w:szCs w:val="18"/>
          <w:color w:val="222222"/>
        </w:rPr>
        <w:t>Certain of our existing shareholders exercise significant control over us, and your or other shareholders’ interests may conflict with the interests of our existing shareholders.</w:t>
      </w:r>
    </w:p>
    <w:p>
      <w:pPr>
        <w:spacing w:after="0" w:line="170" w:lineRule="exact"/>
        <w:rPr>
          <w:rFonts w:ascii="Arial" w:cs="Arial" w:eastAsia="Arial" w:hAnsi="Arial"/>
          <w:sz w:val="18"/>
          <w:szCs w:val="18"/>
          <w:color w:val="222222"/>
        </w:rPr>
      </w:pPr>
    </w:p>
    <w:p>
      <w:pPr>
        <w:ind w:left="660" w:right="80" w:hanging="328"/>
        <w:spacing w:after="0" w:line="277" w:lineRule="auto"/>
        <w:tabs>
          <w:tab w:leader="none" w:pos="660" w:val="left"/>
        </w:tabs>
        <w:numPr>
          <w:ilvl w:val="0"/>
          <w:numId w:val="15"/>
        </w:numPr>
        <w:rPr>
          <w:rFonts w:ascii="Arial" w:cs="Arial" w:eastAsia="Arial" w:hAnsi="Arial"/>
          <w:sz w:val="18"/>
          <w:szCs w:val="18"/>
          <w:color w:val="222222"/>
        </w:rPr>
      </w:pPr>
      <w:r>
        <w:rPr>
          <w:rFonts w:ascii="Arial" w:cs="Arial" w:eastAsia="Arial" w:hAnsi="Arial"/>
          <w:sz w:val="18"/>
          <w:szCs w:val="18"/>
          <w:color w:val="222222"/>
        </w:rPr>
        <w:t>We are a Swiss corporation. The rights of our shareholders may be different from the rights of shareholders in companies governed by the laws of US jurisdictions.</w:t>
      </w:r>
    </w:p>
    <w:p>
      <w:pPr>
        <w:spacing w:after="0" w:line="170" w:lineRule="exact"/>
        <w:rPr>
          <w:rFonts w:ascii="Arial" w:cs="Arial" w:eastAsia="Arial" w:hAnsi="Arial"/>
          <w:sz w:val="18"/>
          <w:szCs w:val="18"/>
          <w:color w:val="222222"/>
        </w:rPr>
      </w:pPr>
    </w:p>
    <w:p>
      <w:pPr>
        <w:ind w:left="660" w:right="200" w:hanging="328"/>
        <w:spacing w:after="0" w:line="277" w:lineRule="auto"/>
        <w:tabs>
          <w:tab w:leader="none" w:pos="660" w:val="left"/>
        </w:tabs>
        <w:numPr>
          <w:ilvl w:val="0"/>
          <w:numId w:val="15"/>
        </w:numPr>
        <w:rPr>
          <w:rFonts w:ascii="Arial" w:cs="Arial" w:eastAsia="Arial" w:hAnsi="Arial"/>
          <w:sz w:val="18"/>
          <w:szCs w:val="18"/>
          <w:color w:val="222222"/>
        </w:rPr>
      </w:pPr>
      <w:r>
        <w:rPr>
          <w:rFonts w:ascii="Arial" w:cs="Arial" w:eastAsia="Arial" w:hAnsi="Arial"/>
          <w:sz w:val="18"/>
          <w:szCs w:val="18"/>
          <w:color w:val="222222"/>
        </w:rPr>
        <w:t>We are a foreign private issuer (FPI) and, as a result, we are not subject to US proxy rules and are subject to Exchange Act reporting obligations that, to some extent, are more lenient and less frequent than those of a US domestic public company.</w:t>
      </w:r>
    </w:p>
    <w:p>
      <w:pPr>
        <w:spacing w:after="0" w:line="170" w:lineRule="exact"/>
        <w:rPr>
          <w:rFonts w:ascii="Arial" w:cs="Arial" w:eastAsia="Arial" w:hAnsi="Arial"/>
          <w:sz w:val="18"/>
          <w:szCs w:val="18"/>
          <w:color w:val="222222"/>
        </w:rPr>
      </w:pPr>
    </w:p>
    <w:p>
      <w:pPr>
        <w:jc w:val="both"/>
        <w:ind w:left="660" w:right="80" w:hanging="328"/>
        <w:spacing w:after="0" w:line="263" w:lineRule="auto"/>
        <w:tabs>
          <w:tab w:leader="none" w:pos="660" w:val="left"/>
        </w:tabs>
        <w:numPr>
          <w:ilvl w:val="0"/>
          <w:numId w:val="15"/>
        </w:numPr>
        <w:rPr>
          <w:rFonts w:ascii="Arial" w:cs="Arial" w:eastAsia="Arial" w:hAnsi="Arial"/>
          <w:sz w:val="18"/>
          <w:szCs w:val="18"/>
          <w:color w:val="222222"/>
        </w:rPr>
      </w:pPr>
      <w:r>
        <w:rPr>
          <w:rFonts w:ascii="Arial" w:cs="Arial" w:eastAsia="Arial" w:hAnsi="Arial"/>
          <w:sz w:val="18"/>
          <w:szCs w:val="18"/>
          <w:color w:val="222222"/>
        </w:rPr>
        <w:t>As an FPI and as permitted by the listing requirements of Nasdaq, we rely on certain home country governance practices rather than the corporate governance requirements of Nasdaq. Should we lose our FPI status, we would be required to comply with the Exchange Act’s domestic reporting regime, which would cause us to incur significant legal, accounting and other expenses.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30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222222"/>
        </w:rPr>
        <w:t>We believe that it is likely that we were a “passive foreign investment company,” (PFIC) for US federal income tax purposes in 2020, and may also be a PFIC in 2021 or later years. If we were a PFIC in 2020 or are a PFIC in 2021 or any later year, US shareholders could be subject to adverse US federal income tax consequences.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80" w:right="200"/>
        <w:spacing w:after="0" w:line="275" w:lineRule="auto"/>
        <w:rPr>
          <w:sz w:val="20"/>
          <w:szCs w:val="20"/>
          <w:color w:val="auto"/>
        </w:rPr>
      </w:pPr>
      <w:r>
        <w:rPr>
          <w:rFonts w:ascii="Arial" w:cs="Arial" w:eastAsia="Arial" w:hAnsi="Arial"/>
          <w:sz w:val="17"/>
          <w:szCs w:val="17"/>
          <w:b w:val="1"/>
          <w:bCs w:val="1"/>
          <w:i w:val="1"/>
          <w:iCs w:val="1"/>
          <w:color w:val="auto"/>
        </w:rPr>
        <w:t>We depend heavily on the success of our clinical and, to a lesser extent, preclinical products. Our clinical product candidates include ACI-35, semorinemab, Morphomer Tau, ACI-24 for AD and for DS, crenezumab and PI-2620. If our clinical studies are unsuccessful, if we or our collaboration partners do not obtain regulatory approval or if we or our collaboration partners are unable to commercialize ACI-35, semorinemab, Morphomer Tau, ACI-24 for AD and for DS, crenezumab and PI-2620, or if we experience significant delays in doing so, our business, financial condition and results of operations will be materially adversely affected.</w:t>
      </w:r>
    </w:p>
    <w:p>
      <w:pPr>
        <w:spacing w:after="0" w:line="17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currently have no products approved for sale and have invested a significant portion of our efforts and financial resources in the development of ACI-35, semorinemab, Morphomer Tau, ACI-24 for AD and for DS, crenezumab and PI-2620, all of which are in clinical development as well as other preclinical candidates. Our ability to generate product revenues, which we do not expect will occur for at least the next several years, if ever, will depend heavily on successful clinical development, obtaining regulatory approval and eventual commercialization of these product candidates. In this regard, we rely heavily on our collaboration partners for clinical development of certain of our product candidates, and they may choose to discontinue the clinical development process in certain cases. For example, in January 2019, Roche, the parent of our collaboration partner, discontinued the CREAD and CREAD 2 Phase 3 studies of crenezumab in patients with prodromal-to-mild sporadic AD. The decision came after an interim analysis was conducted by the Independent Data Monitoring Committee (IDMC). The IDMC analysis indicated that crenezumab was unlikely to meet its primary endpoint of change from baseline in Clinical Dementia Rating-Sum of Boxes (CDR-SB) Score. However, the Phase 2 development of crenezumab continues in a preventive trial in Colombia of cognitively healthy individuals with a risk of developing AD. In addition, we currently generate no revenues from sales of any drugs or diagnostics, and we may never be able to develop or commercialize a marketable drug or diagnostic. The success of our current and future product candidates will depend on several factors, including the following:</w:t>
      </w:r>
    </w:p>
    <w:p>
      <w:pPr>
        <w:spacing w:after="0" w:line="1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completing preclinical and clinical studies that demonstrate the efficacy, safety and clinical utility of our preclinical and product candidates;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or diagnostic approaches;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Positive or timely results from preclinical or early-stage clinical studies do not ensure positive or timely results in late-stage clinical studies or product approval by the US FDA, the European Medicines Agency (EMA), or comparable foreign regulatory authorities. Products that show positive preclinical or early clinical results may not show sufficient safety or efficacy in later-stage clinical studies and therefore may fail to obtain regulatory approvals.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that the data collected from clinical studies of our product candidates are promising, such data may not be sufficient to support approval by the FDA, the EMA or any other regulatory authority.</w:t>
      </w:r>
    </w:p>
    <w:p>
      <w:pPr>
        <w:spacing w:after="0" w:line="16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later-stage clinical product candidates, results may differ in general on the basis of the larger number of clinical study sites and the additional countries and languages involved in these clinical studies.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Clinical studies may include subject-reported outcomes, some of which may be captured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5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conditional approval or otherwise to additional post-marketing studies or other requirements;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receiving marketing approvals and we may be required to obtain additional funds to complete clinical studies. We cannot assure you that our clinical studies will begin as planned or be completed on schedule, if at all, or that we will not need to amend our studies after they have begun. Significant clinical study delays could also shorten any periods during which we or our collaboration partners may have the exclusive right to commercialize our product candidates, or allow our competitors to bring products to market before we do, which may harm our business and results of operations. In addition, some of the factors that cause, or lead to, clinical study delays may ultimately lead to the denial of regulatory approval of our product candidates.</w:t>
      </w:r>
    </w:p>
    <w:p>
      <w:pPr>
        <w:spacing w:after="0" w:line="178" w:lineRule="exact"/>
        <w:rPr>
          <w:sz w:val="20"/>
          <w:szCs w:val="20"/>
          <w:color w:val="auto"/>
        </w:rPr>
      </w:pPr>
    </w:p>
    <w:p>
      <w:pPr>
        <w:ind w:left="180" w:right="44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(ANDA), seeking approval of a</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(NDA) under Section 505(b)(2) that references the FDA’s prior approval of the innovator product. A 505(b)(2) NDA product may be submitted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also be given to the innovator, and if within 45 days of receiving notice the innovator, in order to protect its patents, sues the company that manufactures the generic, approval of the ANDA is stayed for 30 months, or as lengthened or shortened by the court.</w:t>
      </w:r>
    </w:p>
    <w:p>
      <w:pPr>
        <w:spacing w:after="0" w:line="18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Accordingly, if ACI-35, semorinemab, Morphomer Tau, ACI-24 for AD and for DS, crenezumab and PI-2620 are approved, competitors could file ANDAs for generic versions of ACI-35, semorinemab, Morphomer Tau, ACI-24 for AD and for DS, crenezumab and PI-2620 or 505(b) (2) NDAs that reference ACI-35, semorinemab, Morphomer Tau, ACI-24 for AD and for DS, crenezumab and PI-2620, respectively. If there are patents listed in the Orange Book for ACI-35, semorinemab, Morphomer Tau, ACI-24 for AD and for DS, crenezumab and PI-2620, respectively, those ANDAs and 505(b) (2) NDAs would be required to include a certification for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88"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the requirement for increasing levels of evidence of the benefits and clinical outcomes of new technologies, we cannot be sure that coverage will be available for any of our current or future product candidates that we or our collaboration partners will commercialize or, if available, that the reimbursement rates will be adequate in each respective region. If we are unable to obtain adequate levels of coverage and reimbursement for our product candidates, their marketability will be negatively and materially impacted.</w:t>
      </w:r>
    </w:p>
    <w:p>
      <w:pPr>
        <w:spacing w:after="0" w:line="19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Third-party payors may deny coverage and reimbursement status altogether for a given drug product, or may cover the product but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in the future depending on policy changes enacted by the US Congress.</w:t>
      </w:r>
    </w:p>
    <w:p>
      <w:pPr>
        <w:spacing w:after="0" w:line="176"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The unavailability or inadequacy and variability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or our collaboration partners may not be able to generate product revenues, which will materially adversely affect our business, financial condition and results of operations.</w:t>
      </w:r>
    </w:p>
    <w:p>
      <w:pPr>
        <w:spacing w:after="0" w:line="17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Even if the FDA, the EMA or any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or our collaboration partners may not generate significant product or royalty revenues or any profits from operations. The degree of market acceptance of our product candidates that are approved for commercial sale will depend on a variety of factors, including:</w:t>
      </w:r>
    </w:p>
    <w:p>
      <w:pPr>
        <w:spacing w:after="0" w:line="16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 or clinical utility;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to not be large enough to allow us to generate significant revenues.</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the potential market opportunity of our product candidates is difficult to estimate precisely. Our estimates of the potential market opportunity are predicated on several key assumptions such as industry knowledge and publications, third-party research reports and other surveys. These assumptions involve the exercise of significant judgment on the part of our management and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healthcare payors and patients, our product or royalty revenue may be limited and it may be more difficult for us to achieve or maintain profitability.</w:t>
      </w:r>
    </w:p>
    <w:p>
      <w:pPr>
        <w:spacing w:after="0" w:line="166"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by patient withdrawal. Patient enrollment depends on many factors, including the size and nature of the patient population, the eligibility criteria for the study, the proximity of patients to clinical sites, the design of the clinical protocol, the existence of competing clinical studies, the availability of new drugs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approved for the indication the clinical study is investigating, and clinicians’ and patients’ perceptions as to the potential advantages of the drug being studied in relation to other available therapies.</w:t>
      </w:r>
    </w:p>
    <w:p>
      <w:pPr>
        <w:spacing w:after="0" w:line="170"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Generally, the specific target population of patients and therapeutic time windows may make it difficult for us to enroll enough patients to complete clinical studies for our products in a timely and cost-effective manner. Delays in the completion of any clinical study of our product candidates will increase our costs, slow down our product candidate development and approval process, and delay or potentially jeopardize our or our collaboration partners’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76" w:lineRule="exact"/>
        <w:rPr>
          <w:sz w:val="20"/>
          <w:szCs w:val="20"/>
          <w:color w:val="auto"/>
        </w:rPr>
      </w:pPr>
    </w:p>
    <w:p>
      <w:pPr>
        <w:jc w:val="both"/>
        <w:ind w:left="18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early-stage testing were later found to cause side effects that restricted their use and prevented further development of the compound for larger indications.</w:t>
      </w:r>
    </w:p>
    <w:p>
      <w:pPr>
        <w:spacing w:after="0" w:line="18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Occurrence of serious procedure- or treatment-related side effects could impede clinical study enrollment and receipt of marketing approval from the FDA, the EMA and comparable foreign regulatory authorities. Adverse events (AEs) could also adversely affect physician or patient acceptance of our product candidates.</w:t>
      </w:r>
    </w:p>
    <w:p>
      <w:pPr>
        <w:spacing w:after="0" w:line="1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the following:</w:t>
      </w:r>
    </w:p>
    <w:p>
      <w:pPr>
        <w:spacing w:after="0" w:line="170" w:lineRule="exact"/>
        <w:rPr>
          <w:sz w:val="20"/>
          <w:szCs w:val="20"/>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or our collaboration partners to take any approved products off the market;</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to conduct additional studies or to change the labeling of the product;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collaboration partners may be subject to limitations in how we promote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companies, academic institutions, government agencies and other private and public research institutions in Europe, the US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pharmaceutical and biopharmaceutical industries may result in even more resources being concentrated among a smaller number of our competitors.</w:t>
      </w:r>
    </w:p>
    <w:p>
      <w:pPr>
        <w:spacing w:after="0" w:line="176"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highly competitive nature of and rapid technological changes in the pharmaceutical and biopharmaceutical industries could render our product candidates or our technology obsolete or noncompetitive. The commercial opportunity for our products could be reduced or eliminated if our competitors:</w:t>
      </w:r>
    </w:p>
    <w:p>
      <w:pPr>
        <w:spacing w:after="0" w:line="12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FDA or other regulatory approval for their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marketing and distribution;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believe that our key competitor product candidates are (i) gosuranemab (Biogen), tilavonemab (AbbVie), zagotenemab (Eli Lilly and Company) and bepranemab (UCB/Roche) for semorinemab; (ii) AADvac1 (Axon Neuroscience) for ACI-35; (iii) UB-311 (Vaxxinity) and ABvac40 (Araclon Biotech) for ACI-24; (iv) aducanumab (Biogen), gantenerumab (Roche), lecanemab (BioArctic/Eisai) and solanezumab (Eli Lilly and Company) for crenezumab; and (v) Tauvid (Eli Lilly and Company), APN-1607 (Aprinoia Therapeutics), MK-6240 (Cerveau/Merck), GTP1 (Genentech) and THK-5351 (GE Healthcare) for PI-2620, as described under “Item 4. Information on the Company – B. Business overview – Competition.”</w:t>
      </w:r>
    </w:p>
    <w:p>
      <w:pPr>
        <w:spacing w:after="0" w:line="161"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therapies and diagnostics for conformational diseases, such as AD, and progress these product candidates through clinical development. Although our research and development efforts to date have resulted in a pipeline of product candidates, we may not be able in the future to develop product candidates that are safe and effective. Even if we are successful in continuing to build our pipelines, the potential product candidates that we identify may not be suitable for clinical development, potentially as a result of having harmful side effects or other characteristics indicating they may be unlikely to receive marketing approval and achieve market acceptance.</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US. Accordingly, our future results could be harmed by a variety of factors, including:</w:t>
      </w:r>
    </w:p>
    <w:p>
      <w:pPr>
        <w:spacing w:after="0" w:line="14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trade protection measures, import or export licensing requirements or other restrictive actions such as sanctions by US or non-US governments;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impact, our business, including preclinical and clinical trials and regulatory approvals.</w:t>
      </w:r>
    </w:p>
    <w:p>
      <w:pPr>
        <w:spacing w:after="0" w:line="170" w:lineRule="exact"/>
        <w:rPr>
          <w:sz w:val="20"/>
          <w:szCs w:val="20"/>
          <w:color w:val="auto"/>
        </w:rPr>
      </w:pPr>
    </w:p>
    <w:p>
      <w:pPr>
        <w:ind w:right="40" w:firstLine="321"/>
        <w:spacing w:after="0" w:line="254" w:lineRule="auto"/>
        <w:rPr>
          <w:sz w:val="20"/>
          <w:szCs w:val="20"/>
          <w:color w:val="auto"/>
        </w:rPr>
      </w:pPr>
      <w:r>
        <w:rPr>
          <w:rFonts w:ascii="Arial" w:cs="Arial" w:eastAsia="Arial" w:hAnsi="Arial"/>
          <w:sz w:val="18"/>
          <w:szCs w:val="18"/>
          <w:color w:val="auto"/>
        </w:rPr>
        <w:t>In December 2019, a novel strain of coronavirus, Covid-19, surfaced in Wuhan, Hubei Province, China. By March 2020, Covid-19 had spread to other countries, including Switzerland and the United States, and was declared a pandemic by the World Health Organization on March 11, 2020. Since the beginning of the pandemic, governments, public institutions, and other organizations in countries and localities where Covid-19 cases have been identified are taking certain preventative or protective measures to combat the transmission of the virus, including implementation of travel restrictions or bans, closures of non-essential businesses, limitations of public gatherings, other social distancing and shelter-in-place measures, and delays or cancellations of elective surgeries. The Covid-19 pandemic poses the risk that the Company, our employees, contractors, suppliers, and other partners may be prevented from conducting business activities for an indefinite period of time due to shutdowns that may be requested or mandated by state and federal governmental authorities.</w:t>
      </w:r>
    </w:p>
    <w:p>
      <w:pPr>
        <w:spacing w:after="0" w:line="192" w:lineRule="exact"/>
        <w:rPr>
          <w:sz w:val="20"/>
          <w:szCs w:val="20"/>
          <w:color w:val="auto"/>
        </w:rPr>
      </w:pPr>
    </w:p>
    <w:p>
      <w:pPr>
        <w:ind w:right="80" w:firstLine="321"/>
        <w:spacing w:after="0" w:line="277" w:lineRule="auto"/>
        <w:rPr>
          <w:sz w:val="20"/>
          <w:szCs w:val="20"/>
          <w:color w:val="auto"/>
        </w:rPr>
      </w:pPr>
      <w:r>
        <w:rPr>
          <w:rFonts w:ascii="Arial" w:cs="Arial" w:eastAsia="Arial" w:hAnsi="Arial"/>
          <w:sz w:val="18"/>
          <w:szCs w:val="18"/>
          <w:color w:val="auto"/>
        </w:rPr>
        <w:t>As Covid-19 continues to spread around the globe, we have experienced disruptions impacting our business and clinical trials and we may continue to experience disruptions that could materially impact our business and planned clinical trials, including: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conducting preclinical research and clinical trials;</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in global manufacturing and shipping that may affect the manufacturing and/or transport of clinical trial materials and other materials, including testing equipment and personal protective equipment, used at our or our contract research organizations’ (CROs’) and contract manufacturing organizations’ (CMOs’) facilities;</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which may require us to change the way in which clinical trials are conducted and may result in unexpected costs;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our ability to secure additional financing.</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addition, the outbreak of Covid-19 could disrupt our operations due to absenteeism by infected or ill members of Executive Management or other employees, or absenteeism by members of Executive Management and other employees who elect not to come to work due to the illness affecting others in our office or laboratory facilities, or due to quarantines. Covid-19 illness could also impact members of our Board and its ability to hold meetings. Further information concerning details of the impact of Covid-19 on our programs can be found under “Item 5: Operating and financial review and prospects.”</w:t>
      </w:r>
    </w:p>
    <w:p>
      <w:pPr>
        <w:spacing w:after="0" w:line="157" w:lineRule="exact"/>
        <w:rPr>
          <w:sz w:val="20"/>
          <w:szCs w:val="20"/>
          <w:color w:val="auto"/>
        </w:rPr>
      </w:pPr>
    </w:p>
    <w:p>
      <w:pPr>
        <w:ind w:left="180" w:right="340"/>
        <w:spacing w:after="0" w:line="277" w:lineRule="auto"/>
        <w:rPr>
          <w:sz w:val="20"/>
          <w:szCs w:val="20"/>
          <w:color w:val="auto"/>
        </w:rPr>
      </w:pPr>
      <w:r>
        <w:rPr>
          <w:rFonts w:ascii="Arial" w:cs="Arial" w:eastAsia="Arial" w:hAnsi="Arial"/>
          <w:sz w:val="18"/>
          <w:szCs w:val="18"/>
          <w:b w:val="1"/>
          <w:bCs w:val="1"/>
          <w:i w:val="1"/>
          <w:iCs w:val="1"/>
          <w:color w:val="auto"/>
        </w:rPr>
        <w:t>We have no history of commercializing biologics or pharmaceutical products, which may make it difficult to evaluate the prospects for our future viability.</w:t>
      </w:r>
    </w:p>
    <w:p>
      <w:pPr>
        <w:spacing w:after="0" w:line="170"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began our operations in 2003. Our operations to date have been limited to financing and staffing our company, developing our technology and developing our product candidates as well as early-stage clinical trials. We have not yet demonstrated an ability to successfully complete a large-scale, pivotal clinical study, obtain marketing approval, manufacture a commercial-scale product, or conduct sales and marketing activities necessary for successful product commercialization. Consequently, predictions about our future success or viability may not be as accurate as they could be if we had a history of successfully developing and commercializing biologics or pharmaceutical products.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Marie Kosco-Vilbois, our Chief Scientific Officer; Dr. Johannes Rolf Streffer, our Chief Medical Officer; Piergiorgio Donati, our Chief Technical Operations Officer; Joerg Hornstein, our Chief Financial Officer; Jean-Fabien Monin, our Chief Administrative Officer; Dr. Julien Rongère, our Vice President (VP) for Regulatory Affairs and Quality Assurance; Dr. Olivier Sol, our Associate Vice President Medical Sciences and Clinical Operations; Dr. Bojana Portmann, our Associate Vice President for Intellectual Property and Business Development (AVP IP); Alexandre Caratsch, our General Counsel; and Mark Danton, our VP Information Systems, Security and Digital Technologies.</w:t>
      </w:r>
    </w:p>
    <w:p>
      <w:pPr>
        <w:spacing w:after="0" w:line="17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legislation affecting public companies has been passed that, among other things, imposes an annual binding shareholder’s “say on pay” vote with respect to the compensation of executive management, including executive officers and the board of directors, and prohibits severance or similar payment, bonuses for company purchases and sales, and additional contracts as consultants to or employees of other companies in the group. In addition, the competition for qualified personnel in the pharmaceutical and biopharmaceutical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166" w:lineRule="exact"/>
        <w:rPr>
          <w:sz w:val="20"/>
          <w:szCs w:val="20"/>
          <w:color w:val="auto"/>
        </w:rPr>
      </w:pPr>
    </w:p>
    <w:p>
      <w:pPr>
        <w:ind w:left="140"/>
        <w:spacing w:after="0" w:line="342"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at the commercial stage or as a result of claims against our directors and officers; and our liability insurance may not cover all damages from such claims.</w:t>
      </w:r>
    </w:p>
    <w:p>
      <w:pPr>
        <w:spacing w:after="0" w:line="12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or biopharmaceutical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by healthcare providers, or by pharmaceutical or biopharmaceutical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7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be exposed to substantial liabilities. Physicians and patients may not comply with any warnings that identify known potential adverse effects and patients who should not use our product candidates.</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purchase liability insurance in connection with the clinical studies that we undertake and for purposes of indemnifying our directors and officers for claims against them in amounts that we consider to be consistent with industry norms. It is possible that our liabilities could exceed our insurance coverage. For example,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liability claim or series of claims is brought against us for uninsured liabilities or in excess of insured liabilities, our assets may not be sufficient to cover such claims and our business operations could be impaired.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248"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b w:val="1"/>
          <w:bCs w:val="1"/>
          <w:i w:val="1"/>
          <w:iCs w:val="1"/>
          <w:color w:val="auto"/>
        </w:rPr>
        <w:t>We may seek to obtain orphan-drug designation for certain of our product candidates. Orphan-drug designation may not ensure that we will enjoy market exclusivity in a particular market, and if we fail to obtain or maintain orphan-drug exclusivity for such product candidates, we may be subject to earlier competition and our potential revenue will be reduced.</w:t>
      </w:r>
    </w:p>
    <w:p>
      <w:pPr>
        <w:spacing w:after="0" w:line="18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(EU), the EMA’s Committee for Orphan Medicinal Products grants orphan-drug designation to promote the development of products that meet the following criteria: a) they are intended for the diagnosis, prevention, or treatment of a life-threatening or chronically debilitating condition affecting not more than 5 in 10,000 persons in the EU or for products that are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9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the US, orphan-drug designation entitles a party to financial incentives such as opportunities for grant funding toward clinical study costs, tax advantages and user-fee waivers. In addition, if a product receives the first FDA approval for the indication for which it has orphan designation, the product is entitled to orphan-drug exclusivity, which means that the FDA cannot approve any other application to market the same drug for the same indication for a period of 7 years, except in limited circumstances, such as a showing of clinical superiority over the product with orphan exclusivity or if the manufacturer is unable to assure sufficient product quantity. In the EU, orphan-drug designation entitles a party to financial incentives such as reduction of fees or fee waivers and 10 years of market exclusivity for the orphan indication following drug or biological product approval, provided that the criteria for orphan designation are still applicable at the time of the granting of the marketing authorization. This period may be reduced to 6 years if at the end of the fifth year, the orphan-drug designation criteria are no longer met, including where it is shown that the product is sufficiently profitable not to justify maintenance of market exclusivity.</w:t>
      </w:r>
    </w:p>
    <w:p>
      <w:pPr>
        <w:spacing w:after="0" w:line="19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may not be able to obtain orphan-drug designation for any of our product candidates, and even if we do, we may not be the first to obtain marketing approval for any particular orphan indication due to the uncertainties associated with developing pharmaceutical or biopharmaceutical products. Further, even if we obtain orphan-drug designation for a product, that exclusivity may not effectively protect the product from competition because different drugs with different active moieties can be approved for the same condition. Orphan-drug designation neither shortens the development time or regulatory review time of a drug nor gives the drug any advantage in the regulatory review or approval process.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with third parties in respect of certain product development programs may also prove not to be optimal and could cause us to miss valuable opportunities. If we make incorrect determinations regarding the market potential of our product candidates or misread trends in the pharmaceutical or biopharmaceutical industry, in particular for neurological disorders, our business, financial condition and results of operations could be materially adversely affected.</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2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that the activities of these groups are successful, our research and development activities may be interrupted, delayed or become more expensive.</w:t>
      </w:r>
    </w:p>
    <w:p>
      <w:pPr>
        <w:spacing w:after="0" w:line="157" w:lineRule="exact"/>
        <w:rPr>
          <w:sz w:val="20"/>
          <w:szCs w:val="20"/>
          <w:color w:val="auto"/>
        </w:rPr>
      </w:pPr>
    </w:p>
    <w:p>
      <w:pPr>
        <w:ind w:right="380" w:firstLine="243"/>
        <w:spacing w:after="0" w:line="308" w:lineRule="auto"/>
        <w:rPr>
          <w:sz w:val="20"/>
          <w:szCs w:val="20"/>
          <w:color w:val="auto"/>
        </w:rPr>
      </w:pPr>
      <w:r>
        <w:rPr>
          <w:rFonts w:ascii="Arial" w:cs="Arial" w:eastAsia="Arial" w:hAnsi="Arial"/>
          <w:sz w:val="17"/>
          <w:szCs w:val="17"/>
          <w:b w:val="1"/>
          <w:bCs w:val="1"/>
          <w:i w:val="1"/>
          <w:iCs w:val="1"/>
          <w:color w:val="auto"/>
        </w:rPr>
        <w:t>A breakdown or breach of our information technology systems and cybersecurity efforts, or those of our key business partners, CROs or service providers, could subject us to liability or reputational damage or interrupt the operation of our business.</w:t>
      </w:r>
    </w:p>
    <w:p>
      <w:pPr>
        <w:spacing w:after="0" w:line="14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may be vulnerable to damage from computer viruses and unauthorized access. If such an event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on other third parties for the manufacture of our product candidates and to conduct clinical trials, and similar events relating to their computer systems could also have a material adverse effect on our business. Our ability to monitor our CROs’, contractors’ and consultants’ data security practices are limited, and due to applicable laws and regulations or contractual obligations, we may be held responsible for any security breaches or cybersecurity attack attributed to them as they relate to the information we share with them. To the extent that any disruption or security breach were to result in a loss of, or damage to, our data or systems, or inappropriate disclosure of confidential or proprietary information or personal data of our employees, partners or study subjects, we could incur liability and the further development and commercialization of our product candidates could be delayed.</w:t>
      </w:r>
    </w:p>
    <w:p>
      <w:pPr>
        <w:spacing w:after="0" w:line="17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are increasingly dependent upon technology systems and data. Our computer systems continue to increase in multitude and complexity due to the growth in our business, making them potentially vulnerable to breakdown, malicious intrusion and random attack. Data privacy or security breaches, including those by individuals authorized to access our technology systems or others may pose a risk that sensitive data, including intellectual property, trade secrets or personal information belonging to us, our patients, study subjects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phishing attacks, computer viruses, social engineering and other means to affect the confidentiality, integrity and availability of our technology systems and data. Our key business partners, CROs and service providers face similar risks and any security breach of their systems could adversely affect our security posture. Although we continue to build and improve our systems and infrastructure, and believe we have taken appropriate security measures to reduce these risks to our data and information technology systems, there can be no assurance that our efforts will prevent, detect or appropriately respond to breakdowns or breaches in our systems that could adversely affect our business and operations and/or result in the loss of critical or sensitive information, including personal information, which could result in financial, legal, business or reputational harm to us. We continue to invest in industry standard IS/IT solutions and managed services that often include the relevant, layered protection and monitoring practices surrounding our data and IT systems and related infrastructure. These investments reduce further these risks in that they enable organizations such as ours to leverage the resources necessary to monitor IT systems and infrastructure for any current or potential threats. These investments are costly, and as cyber threats continue to evolve, we may be required to expend significant, additional resources to continue to modify and/or enhance our protective, detective and responsive measures required to remediate any identified information security vulnerabilities. In addition, our liability insurance may</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not be sufficient in type or amount to cover us against claims related to security breaches, cyber-attacks and other related breaches. We may be required to expend significant capital and other resources to protect against and respond to any attempted or existing cybersecurity incidents. In addition, our remediation efforts may not be successful.</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b w:val="1"/>
          <w:bCs w:val="1"/>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have a material adverse effect on our reputation, results of operations, financial condition and cash flows.</w:t>
      </w:r>
    </w:p>
    <w:p>
      <w:pPr>
        <w:spacing w:after="0" w:line="18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are, and may increasingly become, subject to various laws, rules, regulations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and standards may be interpreted and applied differently over time and from jurisdiction to jurisdiction in a manner that could have a material adverse effect on our results of operations, financial condition and cash flows. New laws, amendments to or reinterpretations of existing laws, rules, regulations,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 There are numerous US federal and state laws and regulations related to the privacy and security of personal information. Regulations promulgated pursuant to the US Health Insurance Portability and Accountability Act of 1996 (HIPAA) establish privacy and security standards that limit the use and disclosure of protected health information, and require the implementation of administrative, physical and technological safeguards to protect the privacy of protected health information and to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Numerous states have enacted or are in the process of enacting state level data privacy laws and regulations governing the collection, use, and other processing of state residents’ personal information, such as the California Consumer Privacy Act (CCPA), which took effect on January 1, 2020 and provides new and enhanced data privacy rights to California residents, such as affording California residents the right to access and delete their information and to opt out of certain sharing and sales of personal information, and the California Privacy Rights Act of 2020 (CPRA), which is effective in most material respects starting on January 1, 2023 and imposes additional obligations on covered companies and will significantly modify the CCPA. In addition, laws in all 50 states require businesses to provide notice to individuals whose personal information has been disclosed as a result of a data breach.</w:t>
      </w:r>
    </w:p>
    <w:p>
      <w:pPr>
        <w:spacing w:after="0" w:line="18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All of these evolving compliance and operational requirements impose significant costs, which are likely to increase over time. In addition, such requirements may require us to modify our data-processing practices and policies, distract management or divert resources from other initiatives and projects. For instance, the European Union Court of Justice and the Swiss Data Protection Authority have declared the US Privacy Shield to be inadequate for transfers of personal data out of the EU and Switzerland, which could increase our compliance burden. If we are unable to properly protect the privacy and security of personal information, including protected health information, we could be found to have breached our contracts. In addition,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customers, partners, collaborators and/or study subjects, including class action privacy litigation in certain jurisdictions, which would subject us to significant fines, sanctions, awards, penalties or judgments, all of which could have a material adverse effect on our business, results of operations, financial condition and prospects.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candidates. Our ability to obtain clinical supplies of our product candidates could be disrupted if the operations of these suppliers are affected by a man-made or natural disaster or by other business interruption.</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Ecublens, near Lausanne, Canton of Vaud,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8" w:lineRule="exact"/>
        <w:rPr>
          <w:sz w:val="20"/>
          <w:szCs w:val="20"/>
          <w:color w:val="auto"/>
        </w:rPr>
      </w:pPr>
    </w:p>
    <w:p>
      <w:pPr>
        <w:ind w:left="180" w:right="94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third parties.</w:t>
      </w:r>
    </w:p>
    <w:p>
      <w:pPr>
        <w:spacing w:after="0" w:line="18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addition, successful commercialization also requires an enhanced regulatory organization which we currently do not have. If we are unable to build our own distribution and marketing capabilities, are unable to find suitable partners for the commercialization of our product candidates or do not successfully obtain the necessary regulatory capabilities, we may not generate revenues from them or be able to reach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180" w:right="380"/>
        <w:spacing w:after="0" w:line="311" w:lineRule="auto"/>
        <w:rPr>
          <w:sz w:val="20"/>
          <w:szCs w:val="20"/>
          <w:color w:val="auto"/>
        </w:rPr>
      </w:pPr>
      <w:r>
        <w:rPr>
          <w:rFonts w:ascii="Arial" w:cs="Arial" w:eastAsia="Arial" w:hAnsi="Arial"/>
          <w:sz w:val="16"/>
          <w:szCs w:val="16"/>
          <w:b w:val="1"/>
          <w:bCs w:val="1"/>
          <w:i w:val="1"/>
          <w:iCs w:val="1"/>
          <w:color w:val="auto"/>
        </w:rPr>
        <w:t>If we fail to maintain our current strategic relationships with Genentech, a member of the Roche Group, Eli Lilly and Company (Lilly), Janssen Pharmaceuticals Inc. (Janssen), Life Molecular Imaging SA (LMI) (formerly Piramal Imaging SA) and other of our current or future strategic partners, our business, commercialization prospects and financial condition may be materially adversely affected.</w:t>
      </w:r>
    </w:p>
    <w:p>
      <w:pPr>
        <w:spacing w:after="0" w:line="14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two partnerships with Genentech. In 2006, we granted Genentech an exclusive, worldwide license for crenezumab. In 2012, we entered into a second partnership to commercialize anti-Tau antibodies for use as immunotherapies. In December 2018, we signed a license agreement with Lilly to research and develop Morphomer Tau small molecules for the treatment of AD and other neurodegenerative diseases. This collaboration commenced in Q1 2019. We are in a partnership with Janssen to develop and commercialize therapeutic anti-Tau vaccines for the treatment of AD and potentially other Tauopathies. We also have a diagnostic partnership with LMI for one of our compounds from our Morphomer chemical library, which bind pathological Tau for use as a PET tracer. Our collaboration partners each have the right to terminate their agreements with us for any reason upon providing us with a certain notice period. If Genentech, Lilly, Janssen, LMI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Good relationships with Genentech, Lilly, Janssen, LMI and other of our current or future strategic partners are important for our business prospects. If our relationships with Genentech, Lilly, Janssen, LMI or other of our current or future strategic partners were to deteriorate substantially or if Genentech, Lilly, Janssen, LMI or other of our current or future strategic partners were to challenge our use of their intellectual property or our calculations of the payments we are owed under our agreements, our business, financial condition, commercialization prospects and results of operations could be materially adversely affected.</w:t>
      </w:r>
    </w:p>
    <w:p>
      <w:pPr>
        <w:spacing w:after="0" w:line="18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Lastly, our collaboration agreements with Genentech, Lilly, Janssen and LMI provide each partner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and do separately pursue competing products, therapeutic approaches or technologies to develop treatments for the diseases targeted by us or our collaborative efforts.</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prospects or results of operations.</w:t>
      </w:r>
    </w:p>
    <w:p>
      <w:pPr>
        <w:spacing w:after="0" w:line="187" w:lineRule="exact"/>
        <w:rPr>
          <w:sz w:val="20"/>
          <w:szCs w:val="20"/>
          <w:color w:val="auto"/>
        </w:rPr>
      </w:pPr>
    </w:p>
    <w:p>
      <w:pPr>
        <w:ind w:left="180" w:right="20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2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liquidity to fund expenses and may require expertise, such as sales and marketing expertise, which we do not currently possess. Therefore, in addition to our relationships with Genentech, Lilly, Janssen and LMI, we may decide to enter into strategic alliances or to create joint ventures or collaborations with pharmaceutical or biopharmaceutical companies for the further development and potential commercialization of those and other of our product candidates.</w:t>
      </w:r>
    </w:p>
    <w:p>
      <w:pPr>
        <w:spacing w:after="0" w:line="15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document and manage.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1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continue any arrangement.</w:t>
      </w:r>
    </w:p>
    <w:p>
      <w:pPr>
        <w:spacing w:after="0" w:line="170" w:lineRule="exact"/>
        <w:rPr>
          <w:sz w:val="20"/>
          <w:szCs w:val="20"/>
          <w:color w:val="auto"/>
        </w:rPr>
      </w:pPr>
    </w:p>
    <w:p>
      <w:pPr>
        <w:jc w:val="both"/>
        <w:ind w:left="180" w:right="20"/>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clinical CROs does not relieve us of our regulatory responsibilities. We and our clinical CROs and other vendors are required to comply with current Good Manufacturing Practice (cGMP), current Good Clinical Practice (cGCP), and current Good Laboratory Practice (cGLP), which are regulations and guidelines enforced by the FDA, the Competent Authorities of the Member States of the EU and comparable foreign regulatory authorities for our product candidates in nonclinical and clinical development (where applicable). Regulatory authorities enforce these regulations through periodic inspections of study sponsors, principal investigators, study sites and other contractors. If we or any of our clinical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If any of our relationships with these third-party clinical CROs terminates, we may not be able to enter into arrangements with alternative clinical CROs or do so on commercially reasonable terms. In addition, our clinical CROs are not our employees, and except for remedies available to us under our agreements with such clinical CROs, we cannot control whether or not they devote sufficient time and resources to our ongoing nonclinical and clinical programs. If clinical CROs do not successfully carry out their contractual duties or obligations or meet expected deadlines, if they need to be replaced or if the quality or accuracy of the data they obtain is compromised due to their failure to adhere to our protocols, regulatory requirements, or for other reasons, our clinical studies may be extended, delayed, or terminated and we may not be able to obtain regulatory approval for or successfully commercialize our product candidates. Clinical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Switching or adding additional clinical CROs involves additional cost and requires management time and focus. In addition, there is a natural transition period when a new clinical CROs commences work. As a result, delays occur, which could materially impact our ability to meet our desired clinical development timelines. Though we carefully manage our relationships with our clinical CROs, there can be no assurance that we will not encounter similar challenges or delays in the future or that these delays or challenges will not have a material adverse impact on our business, financial condition and prospects.</w:t>
      </w:r>
    </w:p>
    <w:p>
      <w:pPr>
        <w:spacing w:after="0" w:line="188" w:lineRule="exact"/>
        <w:rPr>
          <w:sz w:val="20"/>
          <w:szCs w:val="20"/>
          <w:color w:val="auto"/>
        </w:rPr>
      </w:pPr>
    </w:p>
    <w:p>
      <w:pPr>
        <w:ind w:left="180" w:right="4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4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currently rely on and expect to continue to rely, on third parties for the manufacturing and supply of chemical and biological compounds and formulations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(QC), quality assurance (QA) and qualified personnel. If we are compelled or we wish to find alternative manufacturing facilities, this could significantly impact our ability to develop, obtain regulatory approval for or market our product candidates.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QC and QA, as well as shortages of qualified personnel. They may also terminate or refuse to renew their agreements because of their own financial difficulties or business priorities, potentially at a time that is costly or otherwise inconvenient for us. If we are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or our collaboration partners’, ability to commercialize any products that receive marketing approval on a timely and competitive basis.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collaboration arrangements with our strategic partners may make us an attractive target for potential acquisitions under certain circumstances.</w:t>
      </w:r>
    </w:p>
    <w:p>
      <w:pPr>
        <w:spacing w:after="0" w:line="260" w:lineRule="exact"/>
        <w:rPr>
          <w:sz w:val="20"/>
          <w:szCs w:val="20"/>
          <w:color w:val="auto"/>
        </w:rPr>
      </w:pPr>
    </w:p>
    <w:p>
      <w:pPr>
        <w:jc w:val="both"/>
        <w:ind w:right="280" w:firstLine="324"/>
        <w:spacing w:after="0" w:line="275" w:lineRule="auto"/>
        <w:rPr>
          <w:sz w:val="20"/>
          <w:szCs w:val="20"/>
          <w:color w:val="auto"/>
        </w:rPr>
      </w:pPr>
      <w:r>
        <w:rPr>
          <w:rFonts w:ascii="Arial" w:cs="Arial" w:eastAsia="Arial" w:hAnsi="Arial"/>
          <w:sz w:val="17"/>
          <w:szCs w:val="17"/>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Lilly and Janssen, we may become entitled to substantial milestone payments and royalties. As a result, rather than paying the milestone payments or royalties, Genentech, Lilly or Janssen, or one of their affiliates including Roche or Johnson &amp; Johnson, may choose to acquire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have sufficient patent terms to protect our products and business effectively.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Patents have a limited lifespan. In the US, the natural expiration of a patent is generally 20 years after it is filed. Although various extensions or adjustments may be available, such as adjustments based on certain delays caused by the US Patent and Trademark Office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Although patent term extensions under the Hatch-Waxman Act, in the US and under supplementary protection certificates (SPCs) in Europe may be available to extend the patent exclusivity term for our products, we cannot provide any assurances that any such patent term extension will be obtained and, if so, for how long. The Hatch-Waxman Act permits a patent extension term of up to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It is not possible to base an SPC in Europe on a patent in a European Member State if that patent expires before the MA of the clinical product, protected by the patent, is obtained. As the “product” (active ingredient(s)) must be “protected by a basic patent in force,” only a granted patent that is in force, and remains in force until it reaches the end of its full term, can serve as a “basic patent” upon which an SPC can be based. Therefore, expired patents and pending patent applications cannot serve as the basis for an SPC. Given the relatively long clinical</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development timelines of biologicals and new chemical entities for therapeutic purpose, we may not be granted any patent extensions as we might fail to apply for the extensions prior to expiration of relevant patents. Moreover, the applicable time period or the scope of patent protection afforded could be less than we request. If we are unable to obtain patent term extension or if the term of any such extension is less than we request, such result could have a material adverse effect on our business.</w:t>
      </w:r>
    </w:p>
    <w:p>
      <w:pPr>
        <w:spacing w:after="0" w:line="187"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licensees and collaborators, any of which could be expensive, time-consuming, and unsuccessful, and may ultimately result in our loss of ownership of intellectual property.</w:t>
      </w:r>
    </w:p>
    <w:p>
      <w:pPr>
        <w:spacing w:after="0" w:line="184"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Competitors may infringe our patents or the patents of our licensors or collaborators. To counter such infringement, we may be required to file infringement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the defendant’s products do not infringe our or our licensing collaborators’ patents or that we or our licensing collaborators infringe the defendant’s patents. In patent litigation in the US, defendant counterclaims alleging invalidity, unenforceability and non-infringement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US or abroad, even outside the context of litigation. Such mechanisms include re-examination, post-grant review</w:t>
      </w:r>
      <w:r>
        <w:rPr>
          <w:rFonts w:ascii="Arial" w:cs="Arial" w:eastAsia="Arial" w:hAnsi="Arial"/>
          <w:sz w:val="16"/>
          <w:szCs w:val="16"/>
          <w:i w:val="1"/>
          <w:iCs w:val="1"/>
          <w:color w:val="auto"/>
        </w:rPr>
        <w:t>, inter partes</w:t>
      </w:r>
      <w:r>
        <w:rPr>
          <w:rFonts w:ascii="Arial" w:cs="Arial" w:eastAsia="Arial" w:hAnsi="Arial"/>
          <w:sz w:val="16"/>
          <w:szCs w:val="16"/>
          <w:color w:val="auto"/>
        </w:rPr>
        <w:t xml:space="preserve"> review, interference and derivation proceedings as well as equivalent proceedings in foreign jurisdictions, such as opposition proceedings in Europe.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7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patents or patent applications or those of our licensors, licensees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and research programs or force us to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80" w:right="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or our collaboration partners’ ability to successfully commercialize our products and technology may be adversely affected.</w:t>
      </w:r>
    </w:p>
    <w:p>
      <w:pPr>
        <w:spacing w:after="0" w:line="18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US, the EU and other countries with respect to our proprietary technologies and product candidates. In particular, Genentech, Lilly, Janssen or our other licensing or collaboration partners may be dependent on a license with a third party for the development and future commercialization of our product candidates. If such license is not granted or terminated, Genentech, Lilly, Janssen or other licensing or collaboration partners may be required to cease development and commercialization of our product candidates, any of which could have a material adverse effect on our business, financial condition, results of operations or prospects.</w:t>
      </w:r>
    </w:p>
    <w:p>
      <w:pPr>
        <w:spacing w:after="0" w:line="177"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6"/>
          <w:szCs w:val="16"/>
          <w:color w:val="auto"/>
        </w:rPr>
        <w:t>We have sought to protect our proprietary position by filing patent applications in the US and abroad related to any of our novel technologies and products that are important to our business. This process is expensive, time-consuming,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9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patent position of pharmaceutical and biopharmaceutical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US or in other foreign countries, or fail to effectively prevent others from 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7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6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or our collaboration partners’ inability to manufacture or commercialize products without infringing third-party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We may be subject to claims that former employees, collaborators or other third parties have an interest or title in our patents or other intellectual property as an inventor or co-inventor. For example, we may have inventorship disputes arise from conflicting obligations of consultants, CROs, CMOs, academic institutions or others who are involved in developing our product candidates. Litigation may be necessary to defend against</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1" w:lineRule="exact"/>
        <w:rPr>
          <w:sz w:val="20"/>
          <w:szCs w:val="20"/>
          <w:color w:val="auto"/>
        </w:rPr>
      </w:pPr>
    </w:p>
    <w:p>
      <w:pPr>
        <w:ind w:left="180" w:right="920"/>
        <w:spacing w:after="0" w:line="342" w:lineRule="auto"/>
        <w:rPr>
          <w:sz w:val="20"/>
          <w:szCs w:val="20"/>
          <w:color w:val="auto"/>
        </w:rPr>
      </w:pPr>
      <w:r>
        <w:rPr>
          <w:rFonts w:ascii="Arial" w:cs="Arial" w:eastAsia="Arial" w:hAnsi="Arial"/>
          <w:sz w:val="16"/>
          <w:szCs w:val="16"/>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US, EU or elsewhere could increase the uncertainties and costs surrounding the prosecution of patent applications and the enforcement or defense of issued patents. Assuming the other requirements for patentability are met, in the US prior to March 15, 2013, the first to make the claimed invention is entitled to the patent, whereas outside the US, the first to file a patent application was entitled to the patent. After March 15, 2013, under the Leahy-Smith America Invents Act (the Leahy-Smith Act), enacted on September 16, 2011, the US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the USPTO administered during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Therefore, the Leahy-Smith Act and its implementation increases the uncertainties and costs surrounding the prosecution of our patent applications and the enforcement or defense of our issued patents, all of which could have a material adverse effect on our business, financial condition, results of operations and prospects.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74"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the US.</w:t>
      </w:r>
    </w:p>
    <w:p>
      <w:pPr>
        <w:spacing w:after="0" w:line="192"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For instance, the EU has introduced a new Directive on trade secrets increasing the standards for protection.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master service agreements, if applicable, material transfer agreements, consulting agreements or other similar agreements with our advisors, employees, contractors, consultants, licensing and collaboration partners, and other third parties with confidentiality provisions.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also conduct joint research and development programs that may require us to share intellectual</w:t>
      </w:r>
    </w:p>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 Additionally, our grant agreements typically provide for dissemination of results to academic institutions and to the general public. As a result, our information may be disseminated with the loss of protection status.</w:t>
      </w:r>
    </w:p>
    <w:p>
      <w:pPr>
        <w:spacing w:after="0" w:line="19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also seek to preserve the integrity and confidentiality of our data and trade secrets by maintaining the physical security of our premises and the physical and electronic security of our information technology systems. Despite our efforts to protect our intellectual property, our competitors may discover our trade secrets through breach of our agreements by third parties, for which we may not have adequate remedies for any breach, or publication of information by any of our CROs, academic partners, funding organizations or our licensing or collaboration partners. Additionally, if the steps taken to maintain our trade secrets are deemed inadequate by law,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Despite confidentiality clauses within our employment agreements, we cannot ensure that departing employees will not breach any post-termination commitments in such agreements by allowing others to access our trade secrets.</w:t>
      </w:r>
    </w:p>
    <w:p>
      <w:pPr>
        <w:spacing w:after="0" w:line="170" w:lineRule="exact"/>
        <w:rPr>
          <w:sz w:val="20"/>
          <w:szCs w:val="20"/>
          <w:color w:val="auto"/>
        </w:rPr>
      </w:pPr>
    </w:p>
    <w:p>
      <w:pPr>
        <w:jc w:val="both"/>
        <w:ind w:left="180" w:right="3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document-submission, fee-payment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225"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Although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patent applications in a manner consistent with the best interests of our business, including by payment of all applicable fees for patents covering our product candidates, we could lose our rights to the intellectual property or our exclusivity with respect to those rights, our or our collaboration partners’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we may be adversely affected or prejudiced by actions or inactions of our external and internal patent counsels working solely on our projects or our joint patent counsels representing us and our collaboration partners.</w:t>
      </w:r>
    </w:p>
    <w:p>
      <w:pPr>
        <w:spacing w:after="0" w:line="170"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18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and research and development collaborations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any restrictions in licensed fields and other interpretation-related issues;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the intellectual property of the licensor, the licensee or partner that is not subject to the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or mutual creation or use of intellectual property by our licensors or collaboration partners and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in patented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non-compete commitments;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consequences for changes in control.</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disputes over intellectual property and other rights that we own, have licensed or co-own prevent or impair our ability to maintain our current licensing or exclusivity arrangements on acceptable terms, we or our collaboration partners may be unable to successfully develop and commercialize the affected product candidates.</w:t>
      </w:r>
    </w:p>
    <w:p>
      <w:pPr>
        <w:spacing w:after="0" w:line="18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 relevant agreement, or decrease the third party’s financial or other obligations under the relevant agreement, any of which could have a material adverse effect on our business, financial condition, results of operations and prospects.</w:t>
      </w:r>
    </w:p>
    <w:p>
      <w:pPr>
        <w:spacing w:after="0" w:line="170"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We or our licensors or licensees and collaborators may not be successful in obtaining or maintaining necessary rights to our product candidates through acquisitions and in-licenses.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or our licensors or licensees and collaborators programs may require the use of proprietary rights held by third parties in the future, and the growth of our business will likely depend in part on our ability to acquire, in-license, maintain or use these proprietary rights. In addition, our product candidates may require specific processes and/or formulations to work effectively and efficiently and the rights to these processes and/or formulations may be held by others. We or our licensors or licensees may be unable to acquire or in-license from third parties any compositions, methods of use, processes, or other third-party intellectual property rights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or our licensors or licensees also may be unable to license or acquire third-party intellectual property rights on terms that would allow us to make an appropriate return on our investment.</w:t>
      </w:r>
    </w:p>
    <w:p>
      <w:pPr>
        <w:spacing w:after="0" w:line="18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24"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may prevent or delay our or our collaboration partners’ development and commercialization efforts.</w:t>
      </w:r>
    </w:p>
    <w:p>
      <w:pPr>
        <w:spacing w:after="0" w:line="1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Numerous US- and foreign-issued patents and pending patent applications, which are owned by third parties, exist in the fields in which we are developing product candidates. For example, we are aware of third-party patents or patent applications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or be compelled to enter into onerous licenses with such third parties. There may also be other third-party patents or patent applications with claims to materials, formulations, methods of manufacture or methods of treatment related to the use or manufacture of our product candidates and technology. Although we generally conduct a freedom-to-operate search and review with respect to our product candidates, we cannot guarantee that our search and review is complete and thorough, nor can we be sure that we have identified each and every patent and pending application in the US and abroad that is relevant or necessary to the manufacturing or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file and obtain additional patents in the future and claim that use of our technologies infringes upon these patents.</w:t>
      </w:r>
    </w:p>
    <w:p>
      <w:pPr>
        <w:spacing w:after="0" w:line="18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Third parties may assert infringement claims against us based on existing patents or on patents that may be granted in the future, regardless of merit. Even if we believe such claims are without merit, a court of competent jurisdiction could hold that these third-party patents are valid, enforceable and infringed, which could materially and adversely affect our or our collaboration partners’ ability to commercialize our product candidates or technologies covered by the asserted third-party patents.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Parties making claims against us may also obtain injunctive or other equitable relief, which could effectively block our or our collaboration partners’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9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w:t>
      </w:r>
    </w:p>
    <w:p>
      <w:pPr>
        <w:spacing w:after="0" w:line="17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patent-holding companies that focus solely on extracting royalties and settlements by enforcing patent rights may target us. As the pharmaceutical and biopharmaceutical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92" w:lineRule="exact"/>
        <w:rPr>
          <w:sz w:val="20"/>
          <w:szCs w:val="20"/>
          <w:color w:val="auto"/>
        </w:rPr>
      </w:pPr>
    </w:p>
    <w:p>
      <w:pPr>
        <w:ind w:left="180" w:right="80"/>
        <w:spacing w:after="0" w:line="34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4"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We employ and utilize the services of individuals who were previously employed or provided services to universities or other pharmaceutical or biopharmaceutical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employers or of other third parties. Litigation may be necessary to defend against these claims. If we fail in defending any such claims, in addition to paying monetary damages, we may lose valuable intellectual property rights or personnel, which could have a material adverse effect on our business.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ind w:right="400" w:firstLine="324"/>
        <w:spacing w:after="0" w:line="296" w:lineRule="auto"/>
        <w:rPr>
          <w:sz w:val="20"/>
          <w:szCs w:val="20"/>
          <w:color w:val="auto"/>
        </w:rPr>
      </w:pPr>
      <w:r>
        <w:rPr>
          <w:rFonts w:ascii="Arial" w:cs="Arial" w:eastAsia="Arial" w:hAnsi="Arial"/>
          <w:sz w:val="16"/>
          <w:szCs w:val="16"/>
          <w:color w:val="auto"/>
        </w:rPr>
        <w:t>In addition, although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US may be less extensive than those in the US. In addition, the laws of some foreign countries do not protect intellectual property rights to the same extent as the laws in the US. Consequently, we may not be able to prevent third parties from practicing our inventions in all countries outside the US, or from selling or importing products made using our inventions in and into the US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number of countries for patents covering our product candidates. Competitors may use our technologies and products in jurisdictions where we have not obtained or are unable to adequately enforce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8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our names and brands may be misappropriated by third parties, and our business may be adversely affected</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filed trademark applications seeking protection for our corporate name, logo, Nasdaq Global Market symbol and selected names of our technology platforms in selected geographies. While we have been granted registrations in certain geographies for certain trademarks, there is no guarantee that our trademark applications will be approved by the respective authorities at all or that we will not be required to narrow the scope of protection in certain or all geographies. Our applications may face opposition from third parties, potentially resulting in the lack of protection or narrower protection. Our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domain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and domain names may be ineffective and could result in substantial costs and diversion of resources, and could adversely affect our business, financial condition, results of operations and growth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left="140" w:right="3880"/>
        <w:spacing w:after="0" w:line="500" w:lineRule="auto"/>
        <w:rPr>
          <w:sz w:val="20"/>
          <w:szCs w:val="20"/>
          <w:color w:val="auto"/>
        </w:rPr>
      </w:pPr>
      <w:r>
        <w:rPr>
          <w:rFonts w:ascii="Arial" w:cs="Arial" w:eastAsia="Arial" w:hAnsi="Arial"/>
          <w:sz w:val="18"/>
          <w:szCs w:val="18"/>
          <w:b w:val="1"/>
          <w:bCs w:val="1"/>
          <w:i w:val="1"/>
          <w:iCs w:val="1"/>
          <w:color w:val="auto"/>
        </w:rPr>
        <w:t>We are a clinical-stage company and have a history of operating losses. We anticipate that we will continue to incur losses for the foreseeable future</w:t>
      </w:r>
      <w:r>
        <w:rPr>
          <w:rFonts w:ascii="Arial" w:cs="Arial" w:eastAsia="Arial" w:hAnsi="Arial"/>
          <w:sz w:val="18"/>
          <w:szCs w:val="18"/>
          <w:color w:val="auto"/>
        </w:rPr>
        <w:t>.</w:t>
      </w:r>
    </w:p>
    <w:p>
      <w:pPr>
        <w:spacing w:after="0" w:line="2"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We are a clinical-stage biopharmaceutical company. Since 2003, although we have received upfront and milestone payments from our collaboration partners and certain other contract revenue, we have also incurred significant operating losses. We incurred net losses (defined as net loss attributable to owners of the Company) of CHF 61.9 million for the year ended December 31, 2020. In addition, we had accumulated losses of CHF 132.9 million as of December 31, 2020.</w:t>
      </w:r>
    </w:p>
    <w:p>
      <w:pPr>
        <w:spacing w:after="0" w:line="187"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4"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To date, the Company has financed its liquidity requirements primarily from its public offerings, share issuances, contract revenues from license and collaboration agreements and grants. We have no products approved for commercialization and have never generated any revenues from product sales. Biopharmaceutical and pharmaceutical product development is a highly speculative undertaking and involves a substantial degree</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risk. It may be several years, if ever, before we or our collaboration partners complete pivotal clinical studies and have a product candidate approved for commercialization and we begin to generate revenue or royalties from product sales.</w:t>
      </w:r>
    </w:p>
    <w:p>
      <w:pPr>
        <w:spacing w:after="0" w:line="170"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Although we have generated revenues from upfront and milestone payments related to our collaboration agreements, we have never generated any revenue from product sales and may never be profitable.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Although we have generated contract revenue from upfront and milestone payments related to our collaboration agreements, we have no products approved for commercialization and have never generated any revenue from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and our collaboration partners’ success in many areas, including but not limited to:</w:t>
      </w:r>
    </w:p>
    <w:p>
      <w:pPr>
        <w:spacing w:after="0" w:line="19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successfully completing research and clinical development of our product candidates, by we or our collaboration partners, as the case may be;</w:t>
      </w:r>
    </w:p>
    <w:p>
      <w:pPr>
        <w:spacing w:after="0" w:line="248" w:lineRule="exact"/>
        <w:rPr>
          <w:rFonts w:ascii="Arial" w:cs="Arial" w:eastAsia="Arial" w:hAnsi="Arial"/>
          <w:sz w:val="16"/>
          <w:szCs w:val="16"/>
          <w:color w:val="auto"/>
        </w:rPr>
      </w:pPr>
    </w:p>
    <w:p>
      <w:pPr>
        <w:ind w:left="660" w:righ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ACI-35, semorinemab, Morphomer Tau, ACI-24 for AD and for DS, crenezumab and PI-2620, for which we complete clinical studies;</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quality and time) products to support clinical development and the market demand for our product candidates, if approved;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or diagnostic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maintaining, protecting, acquiring and expanding our portfolio of intellectual property rights, including patents, trade secrets and know-how;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Because of the numerous risks and uncertainties with biopharmaceutical and pharmaceutical product development, we are unable to accurately predict the timing or amount of increased expenses and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or our collaboration partners may be unable to develop and commercialize any of our current or future product candidates and, even if we do, may not achieve profitability in the future. Even if we do achieve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fail to obtain additional funding, we may delay, reduce or eliminate our product development programs or commercialization efforts.</w:t>
      </w:r>
    </w:p>
    <w:p>
      <w:pPr>
        <w:spacing w:after="0" w:line="24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currently advancing our product candidates through clinical development, either together with a collaboration partner (ACI-35, semorinemab, Morphomer Tau, crenezumab and PI-2620) or independently (ACI-24 for AD and for DS). We expect our research and development expenses to continue to increase in connection with our ongoing activities, particularly as we and/or our collaboration partners continue our ongoing studies and initiate new studies of ACI-35, semorinemab, Morphomer Tau, ACI-24 for AD and for DS, crenezumab and PI-2620 and initiate preclinical and clinical development of our other product candidates.</w:t>
      </w:r>
    </w:p>
    <w:p>
      <w:pPr>
        <w:spacing w:after="0" w:line="18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As of December 31, 2020, we had cash and cash equivalents of CHF 160.9 million and short-term financial assets of CHF 65 million resulting in a total liquidity position of CHF 225.9 million. We currently believe that our existing capital resources, not including potential milestone payments, will be sufficient to meet our projected operating requirements through at least Q1 2024. We have based this estimate on assumptions that may prove to be wrong, and we could exhaust our capital resources sooner than we currently expect. In addition, changing circumstances may cause us to adjust our projected spending to amounts more than currently expected. We may also need to raise additional funds sooner than we anticipate due to various factors such as the scope and rate of progress of our development activities, regulatory approval outcomes and emergence of competing technologies, among others.</w:t>
      </w:r>
    </w:p>
    <w:p>
      <w:pPr>
        <w:spacing w:after="0" w:line="16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expect that we will require additional capital to develop and commercialize certain of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distribution and establishing a regulatory structure, depending on where we choose to commercialize. Additional funds may not be available on a timely basis, on favorable terms, or at all, and such funds, if raised, may not be sufficient to enable us to continue to implement our long-term business strategy. Additionally, we may be dependent on the status of the capital markets at the time such capital is sought. If we are not able to raise capital when needed, we could be forced to delay, reduce or eliminate our product development programs or commercialization efforts.</w:t>
      </w:r>
    </w:p>
    <w:p>
      <w:pPr>
        <w:spacing w:after="0" w:line="166" w:lineRule="exact"/>
        <w:rPr>
          <w:sz w:val="20"/>
          <w:szCs w:val="20"/>
          <w:color w:val="auto"/>
        </w:rPr>
      </w:pPr>
    </w:p>
    <w:p>
      <w:pPr>
        <w:ind w:left="180" w:right="6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Until such time, if ever, as we can generate substantial product royalty revenue, we expect to finance our liquidity needs through a combination of equity offerings, debt financings, grants, and license and development agreements in connection with collaborations. In September 2020, the Company established an “at the market offering” (ATM) for the sale of up to USD 80 (CHF 71.3) million worth of our common shares from time to time by entering into an Open Market Sale Agreement (Sales Agreement) with Jefferies LLC (Jefferies). We do not have any material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65"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225"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As of December 31, 2020, we reported tax loss carry-forwards from financial years 2014 until 2020 for purposes of Swiss corporate income tax in the aggregate amount of CHF 121.9 million, which could be available to offset future taxable income. If not used, these tax losses will expire 7 years after the year in which they were incurred. Due to our limited income, there is a high risk that the tax loss carry-forwards will expire</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partly or entirely and we will not be able to use them to offset future taxable income thereafter for Swiss corporate income tax purposes.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our existing agreements, we receive and make a significant amount of payments in Swiss Franc, USD and EUR. As a result, changes and fluctuations in currency exchange rates between the Swiss Franc and other currencies, especially the USD and EUR, could have a materially adverse effect on our operating results. As our reporting currency is the Swiss Franc, financial line items are converted into Swiss Francs at the applicable exchange rates. We also expect that in the future, a significant portion of our revenues and expenses will be denominated in Swiss Franc, USD and EUR. Therefore, unfavorable developments in the value of the Swiss Franc as compared to the USD and EUR or any other currency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229" w:lineRule="exact"/>
        <w:rPr>
          <w:sz w:val="20"/>
          <w:szCs w:val="20"/>
          <w:color w:val="auto"/>
        </w:rPr>
      </w:pPr>
    </w:p>
    <w:p>
      <w:pPr>
        <w:ind w:left="180" w:right="9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170"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Our future success is dependent on our and our collaboration partners’ ability to successfully develop, obtain regulatory approval for, and then successfully commercialize one or more product candidates. We currently have one product candidate that has completed Phase 2 clinical studies and five that are in a Phase 2 clinical study.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57"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4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US or elsewhere;</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benefit-risk ratio for its proposed indication is acceptable;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change significantly in a manner rendering our clinical data insufficient for approval.</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generally plan to seek regulatory approval to commercialize our product candidates in the US, the EU and in additional foreign countries where we have commercial and typically IP rights. To obtain regulatory approval in other countries, we must comply with numerous and varying regulatory requirements of such other countries regarding safety, efficacy, chemistry, manufacturing and controls, clinical studies, commercial sales, pricing, marketing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 and results of operations. If we fail to obtain approval in any jurisdiction, the geographic market for our product candidates could be limited.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Similarly, regulatory agencies may not approve the labeling claims that are necessary or desirable for the successful commercialization of our product candidates.</w:t>
      </w:r>
    </w:p>
    <w:p>
      <w:pPr>
        <w:spacing w:after="0" w:line="170" w:lineRule="exact"/>
        <w:rPr>
          <w:sz w:val="20"/>
          <w:szCs w:val="20"/>
          <w:color w:val="auto"/>
        </w:rPr>
      </w:pPr>
    </w:p>
    <w:p>
      <w:pPr>
        <w:ind w:left="180" w:right="18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8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To obtain the necessary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pharmaceutical or biopharmaceutical industry, including us, have suffered significant setbacks in advanced clinical studies due to lack of efficacy or adverse safety profiles, notwithstanding promising results in earlier studies. Our future clinical study results may not be successful.</w:t>
      </w:r>
    </w:p>
    <w:p>
      <w:pPr>
        <w:spacing w:after="0" w:line="16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Clinical studies must be conducted in accordance with the legal requirements, regulations or guidelines of the FDA, EMA and comparable foreign regulatory authorities, and are subject to oversight by these governmental agencies and Institutional Review Boards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date, neither we nor our collaboration partners have completed all clinical studies required for the approval of any of our product candidates.</w:t>
      </w:r>
    </w:p>
    <w:p>
      <w:pPr>
        <w:spacing w:after="0" w:line="23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170" w:lineRule="exact"/>
        <w:rPr>
          <w:sz w:val="20"/>
          <w:szCs w:val="20"/>
          <w:color w:val="auto"/>
        </w:rPr>
      </w:pPr>
    </w:p>
    <w:p>
      <w:pPr>
        <w:ind w:left="660" w:right="7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or amend a clinical study at a prospective study site or changes in regulatory requirements, policies and guidelines;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17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sales revenues. Any of these occurrences may significantly harm our business, financial condition and prospects. In addition, many of the factors that cause, or lead to, a delay in the commencement or completion of clinical studies may also ultimately lead to the denial of regulatory approval of our product candidates.</w:t>
      </w:r>
    </w:p>
    <w:p>
      <w:pPr>
        <w:spacing w:after="0" w:line="187"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170"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Sales by us of our approved drugs will be subject to US and non-US regulatory requirements governing clinical studies and regulatory approval, and we plan to seek regulatory approval to commercialize our drug candidates in the US,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US, a drug candidate must be approved for reimbursement before it can be approved for sale in that country. In some cases, the price that would be charged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19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or our collaboration partners’ ability to commercialize such products. These requirements include submissions of safety and other post-marketing information and reports, registration, as well as continued compliance with cGMP and cGCP requirements for any clinical studies that we conduct post-approval. Later discovery of previously unknown problems with a product, including AEs of unanticipated severity or frequency, or with our third-party manufacturers or manufacturing processes, or failure to comply with regulatory requirements, may result in, among other things:</w:t>
      </w:r>
    </w:p>
    <w:p>
      <w:pPr>
        <w:spacing w:after="0" w:line="166" w:lineRule="exact"/>
        <w:rPr>
          <w:sz w:val="20"/>
          <w:szCs w:val="20"/>
          <w:color w:val="auto"/>
        </w:rPr>
      </w:pPr>
    </w:p>
    <w:p>
      <w:pPr>
        <w:ind w:left="660" w:right="4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constraints in promotion and distribution of drug products in various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2"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US, and the FDA and applicable foreign regulatory authorities may not accept data from such studies.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US, including in Germany, Austria, Denmark, Sweden, Finland, the UK, Poland and the Netherlands. The acceptance of study data from clinical studies conducted outside the US or another jurisdiction by the FDA or applicable foreign regulatory authority may be subject to certain conditions. In cases where data from foreign clinical studies are intended to serve as the basis for marketing approval in the US, the FDA will not approve the application on the basis of foreign data alone unless the following are true: the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in which the studies are conducted. There can be no assurance that the FDA or any applicable foreign regulatory authority will accept data from studies conducted outside of the US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186"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In the US and the EU, there have been a number of legislative and regulatory changes and proposed changes regarding the healthcare system. These changes could prevent or delay marketing approval of our product candidates and restrict or regulate post-approval activities and affect our ability to profitably sell any products for which we obtain marketing approval.</w:t>
      </w:r>
    </w:p>
    <w:p>
      <w:pPr>
        <w:spacing w:after="0" w:line="18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In the US, the Medicare Prescription Drug, Improvement, and Modernization Act of 2003 (Medicare Modernization Act), changed the way Medicare covers and pays for pharmaceutical and biopharmaceutical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Although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9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March 2010, former President Obama signed into law the Patient Protection and Affordable Care Act, as amended by the Health Care and Education Reconciliation Act (HCERA)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the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healthcare practitioners. On July 24, 2020 and September 13, 2020, the Trump administration announced several executive orders related to prescription drug pricing that attempt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20, 2020, CMS issued an interim final rule implementing former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9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2020, we continued to face uncertainties because of continued US federal legislative and administrative efforts to repeal, substantially modify or invalidate some or all of the provisions of the Health Care Reform Law. In January 2017, Congress voted to adopt a budget resolution for the fiscal year 2017 that authorized the implementation of legislation that would repeal portions of the Health Care Reform Law. On December 14, 2018, a federal judge in Texas ruled that the Health Care Reform Law is unconstitutional in its entirety because the “individual mandate” was repealed by Congress as part of the 2017 Tax Act. While the judge, as well as the Trump administration and CMS, have stated that the ruling will have no immediate effect pending appeal of the decision, it is unclear how this decision, subsequent appeals, and other efforts to repeal and replace the ACA, will impact our business. On December 18, 2019, the Fifth Circuit Court of Appeals upheld the lower court’s decision that the Health Care Reform Law was unconstitutional. On March 2, 2020, the US Supreme Court granted certiorari to review the case and oral arguments were held on November 10, 2020. Although the US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Supreme Court has yet ruled on the constitutionality of the ACA, on January 28, 2021, President Biden issued an executive order to initiate a special enrollment period from February 15, 2021 through May 15, 2021 for purposes of obtaining health insurance coverage through the Health Care Reform Law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Pending review, the Health Care Reform Law remains in effect, but it is unclear what effect this litigation, other efforts to repeal and replace the Health Care Reform Law and the healthcare reform measures of the Biden administration will have on the status of the ACA. Litigation and legislation over the Health Care Reform Law are likely to continue, with unpredictable and uncertain results. Congress also could consider subsequent legislation to replace elements of the Health Care Reform Law that are repealed. There is no assurance that the Health Care Reform Law, as currently enacted or as amended in the future, will not adversely affect our business and financial results, and we cannot predict how future federal or state legislative or administrative changes relating to healthcare reform will affect our business</w:t>
      </w:r>
      <w:r>
        <w:rPr>
          <w:rFonts w:ascii="Arial" w:cs="Arial" w:eastAsia="Arial" w:hAnsi="Arial"/>
          <w:sz w:val="17"/>
          <w:szCs w:val="17"/>
          <w:color w:val="0000FF"/>
        </w:rPr>
        <w:t>.</w:t>
      </w:r>
    </w:p>
    <w:p>
      <w:pPr>
        <w:spacing w:after="0" w:line="182"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Moreover, other legislative changes have also been proposed and adopted in the US since the Health Care Reform Law was enacted. On August 2, 2011, the Budget Control Act of 2011, among other things, created measures for spending reductions by Congress. A Joint Select Committee on Deficit Reduction, tasked with recommending a targeted deficit reduction of at least USD 1.2 trillion for the years 2013 through 2021, was unable to reach the required goals, thereby triggering the legislation’s automatic reduction to several government programs. This includes aggregate reductions in Medicare payments to providers of 2% per fiscal year, which went into effect on April 1, 2013 and, due to subsequent legislative amendments, will remain in effect through 2030 unless additional Congressional action is taken. The Coronavirus Aid, Relief, and Economic Security Act suspended the 2% Medicare sequester from May 1, 2020 through December 31, 2020, and extended the sequester reductions by one year, through 2030. On January 2, 2013, former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3 to 5 years. These new laws may result in additional reductions in Medicare and other healthcare funding, which could have a material adverse effect on our customers and accordingly, our financial operations.</w:t>
      </w:r>
    </w:p>
    <w:p>
      <w:pPr>
        <w:spacing w:after="0" w:line="172" w:lineRule="exact"/>
        <w:rPr>
          <w:sz w:val="20"/>
          <w:szCs w:val="20"/>
          <w:color w:val="auto"/>
        </w:rPr>
      </w:pPr>
    </w:p>
    <w:p>
      <w:pPr>
        <w:ind w:right="120" w:firstLine="324"/>
        <w:spacing w:after="0" w:line="340" w:lineRule="auto"/>
        <w:rPr>
          <w:sz w:val="20"/>
          <w:szCs w:val="20"/>
          <w:color w:val="auto"/>
        </w:rPr>
      </w:pPr>
      <w:r>
        <w:rPr>
          <w:rFonts w:ascii="Arial" w:cs="Arial" w:eastAsia="Arial" w:hAnsi="Arial"/>
          <w:sz w:val="15"/>
          <w:szCs w:val="15"/>
          <w:b w:val="1"/>
          <w:bCs w:val="1"/>
          <w:i w:val="1"/>
          <w:iCs w:val="1"/>
          <w:color w:val="auto"/>
        </w:rPr>
        <w:t>Our business is subject to complex and evolving US and international laws and regulations regarding clinical trials reimbursement and privacy and data protection. Many of these laws and regulations are subject to change and uncertain interpretation and could result in claims, changes to our business practices, penalties, increased cost of operations, or declines in user growth or engagement, or otherwise harm our business.</w:t>
      </w:r>
    </w:p>
    <w:p>
      <w:pPr>
        <w:spacing w:after="0" w:line="131"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Regulatory authorities around the world have adopted laws and regulations, and are continuing to consider a number of legislative and regulatory proposals, concerning privacy and data protection, including measures to ensure that encryption of users’ data does not hinder access of law enforcement agencies to that data. In addition, the interpretation and application of consumer and data protection laws in the US, Europe and elsewhere are often uncertain and in flux. It is possible that these laws may be interpreted and applied in a manner that is inconsistent with our data practices. These laws and regulations, and legislative and regulatory proposals, if adopted, and such interpretations could, in addition to the possibility of fines, result in an order requiring that we change our data practices, which could have an adverse effect on our business and results of operations. Complying with these various laws could cause us to incur substantial costs or require us to change our business practices in a manner adverse to our business.</w:t>
      </w:r>
    </w:p>
    <w:p>
      <w:pPr>
        <w:spacing w:after="0" w:line="166" w:lineRule="exact"/>
        <w:rPr>
          <w:sz w:val="20"/>
          <w:szCs w:val="20"/>
          <w:color w:val="auto"/>
        </w:rPr>
      </w:pPr>
    </w:p>
    <w:p>
      <w:pPr>
        <w:ind w:right="20" w:firstLine="321"/>
        <w:spacing w:after="0" w:line="269" w:lineRule="auto"/>
        <w:rPr>
          <w:sz w:val="20"/>
          <w:szCs w:val="20"/>
          <w:color w:val="auto"/>
        </w:rPr>
      </w:pPr>
      <w:r>
        <w:rPr>
          <w:rFonts w:ascii="Arial" w:cs="Arial" w:eastAsia="Arial" w:hAnsi="Arial"/>
          <w:sz w:val="17"/>
          <w:szCs w:val="17"/>
          <w:color w:val="auto"/>
        </w:rPr>
        <w:t>In the EU, new clinical trial regulations are scheduled to come into force in 2021. This new legislation will enforce the centralization of clinical trial applications and approvals, which will eliminate redundancy, but in some cases, this may extend timelines for clinical study approvals, due to potentially longer wait times. The GDPR, which became effective in May 2018 in all EU Member States, created a range of new compliance obligations for companies that process the personal data of EU residents. Although it is expected that the GDPR will provide consistency across the territory of the EU, it imposes more onerous requirements concerning consent and the obligations of sponsors of clinical trials (acting as Data Controllers), among other measures, which may increase the costs and extend the timelines of our product development efforts. Austerity measures in certain European nations may also affect the prices we are able to seek if our products are approved, as discussed below. Furthermore, the Brexit vote and the impact of the withdrawal of the UK may adversely affect business activity, political stability and economic conditions in the UK, the Eurozone, the EU and elsewhere. Specifically, Brexit and ongoing developments in the UK have created uncertainty with regard to data protection regulation in the UK. We may be required to comply with both the GDPR and the UK GDPR to the extent of our operations in the UK, exposing us to two parallel regimes with potentially divergent interpretations and</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enforcement actions for certain violations. The relationship between the UK and the EU in relation to certain aspects of data protection law remains unclear, for example, how data transfers between EU member states and the UK will be treated and the role of the UK’s Information Commissioner’s Office with respect to the EU following the end of the transitional period. Although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we cannot predict future implications.</w:t>
      </w:r>
    </w:p>
    <w:p>
      <w:pPr>
        <w:spacing w:after="0" w:line="1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Both in the US and in the EU, legislative and regulatory proposals have been made to expand post-approval requirements and restrict sales and promotional activities for pharmaceutical and biopharmaceutical products. We do not know whether additional legislative changes will be enacted, whether the regulations, guidance or interpretations will be changed, or what the impact of such changes on the marketing approvals of our product candidates, if any, may be.</w:t>
      </w:r>
    </w:p>
    <w:p>
      <w:pPr>
        <w:spacing w:after="0" w:line="187" w:lineRule="exact"/>
        <w:rPr>
          <w:sz w:val="20"/>
          <w:szCs w:val="20"/>
          <w:color w:val="auto"/>
        </w:rPr>
      </w:pPr>
    </w:p>
    <w:p>
      <w:pPr>
        <w:ind w:left="180" w:right="540"/>
        <w:spacing w:after="0" w:line="381" w:lineRule="auto"/>
        <w:rPr>
          <w:sz w:val="20"/>
          <w:szCs w:val="20"/>
          <w:color w:val="auto"/>
        </w:rPr>
      </w:pPr>
      <w:r>
        <w:rPr>
          <w:rFonts w:ascii="Arial" w:cs="Arial" w:eastAsia="Arial" w:hAnsi="Arial"/>
          <w:sz w:val="15"/>
          <w:szCs w:val="15"/>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0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human substances and wastes. Our operations involve the use of hazardous and flammable materials, including chemicals and biological materials that produce hazardous waste products. We generally contract with third parties for the disposal of these materials and wastes. We cannot eliminate the risk of contamination or injury from these materials or wastes either at our sites or at third-party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human substances or other work-related injuries, this insurance may not provide adequate coverage against potential liabilities.</w:t>
      </w:r>
    </w:p>
    <w:p>
      <w:pPr>
        <w:spacing w:after="0" w:line="18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149" w:lineRule="exact"/>
        <w:rPr>
          <w:sz w:val="20"/>
          <w:szCs w:val="20"/>
          <w:color w:val="auto"/>
        </w:rPr>
      </w:pPr>
    </w:p>
    <w:p>
      <w:pPr>
        <w:ind w:left="180" w:right="120"/>
        <w:spacing w:after="0" w:line="263" w:lineRule="auto"/>
        <w:rPr>
          <w:sz w:val="20"/>
          <w:szCs w:val="20"/>
          <w:color w:val="auto"/>
        </w:rPr>
      </w:pPr>
      <w:r>
        <w:rPr>
          <w:rFonts w:ascii="Arial" w:cs="Arial" w:eastAsia="Arial" w:hAnsi="Arial"/>
          <w:sz w:val="18"/>
          <w:szCs w:val="18"/>
          <w:b w:val="1"/>
          <w:bCs w:val="1"/>
          <w:i w:val="1"/>
          <w:iCs w:val="1"/>
          <w:color w:val="auto"/>
        </w:rPr>
        <w:t>Our relationships with clinical centers,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US, which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57" w:lineRule="exact"/>
        <w:rPr>
          <w:sz w:val="20"/>
          <w:szCs w:val="20"/>
          <w:color w:val="auto"/>
        </w:rPr>
      </w:pPr>
    </w:p>
    <w:p>
      <w:pPr>
        <w:ind w:left="660" w:right="10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186"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US False Claims Act imposes criminal and civil penalties, including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2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23" w:lineRule="exact"/>
        <w:rPr>
          <w:rFonts w:ascii="Arial" w:cs="Arial" w:eastAsia="Arial" w:hAnsi="Arial"/>
          <w:sz w:val="16"/>
          <w:szCs w:val="16"/>
          <w:color w:val="auto"/>
        </w:rPr>
      </w:pPr>
    </w:p>
    <w:p>
      <w:pPr>
        <w:ind w:left="660" w:right="44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86"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various other jurisdictions, analogous laws and regulations, such as state anti-kickback and false claims laws, will apply to sales or marketing arrangements, consultancy and service agreements, and claims involving healthcare items or services reimbursed by nongovernmental third-party payors, including private insurers, and some state laws require pharmaceutical and biopharmaceutical companies to comply with the pharmaceutical and biopharmaceutical industries’ voluntary compliance guidelines and the relevant compliance guidance promulgated by the federal government, in addition to requiring manufacturers to report information related to payments to physicians and other healthcare providers or marketing expenditures.</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healthcare-reform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government-funded healthcare programs, such as Medicare and Medicaid, other foreign healthcare reimbursement and procurement programs,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government-funded healthcare programs.</w:t>
      </w:r>
    </w:p>
    <w:p>
      <w:pPr>
        <w:spacing w:after="0" w:line="192" w:lineRule="exact"/>
        <w:rPr>
          <w:sz w:val="20"/>
          <w:szCs w:val="20"/>
          <w:color w:val="auto"/>
        </w:rPr>
      </w:pPr>
    </w:p>
    <w:p>
      <w:pPr>
        <w:ind w:left="180" w:right="74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which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operating results, our ability to conduct business and our reputation.</w:t>
      </w:r>
    </w:p>
    <w:p>
      <w:pPr>
        <w:spacing w:after="0" w:line="18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June 2016, we adopted a code of conduct, but it is not always possible to identify and deter employee misconduct, and the precautions we take to detect and prevent this activity may not be effective in controlling unknown or</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(FCPA), and similar anti-bribery and anti-corruption laws.</w:t>
      </w:r>
    </w:p>
    <w:p>
      <w:pPr>
        <w:spacing w:after="0" w:line="23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or biopharmaceuticals and the investigators who perform our studies are employed by their government, and the purchasers of pharmaceuticals are government entities; therefore, our dealings with these prescribers and purchasers are subject to regulation under the FCPA. The Securities and Exchange Commission (SEC) and the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share prices of publicly traded emerging pharmaceutical,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8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in the pharmaceutical or biopharmaceutical industry or in the economy as a whole;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long-term, decline in the market price of our common stock.</w:t>
      </w:r>
    </w:p>
    <w:p>
      <w:pPr>
        <w:spacing w:after="0" w:line="178"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There is only a limited free float of our common shares; this may have a negative impact on the liquidity of and the market price for our common shares.</w:t>
      </w:r>
    </w:p>
    <w:p>
      <w:pPr>
        <w:spacing w:after="0" w:line="170"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As of the date hereof, certain principal shareholders controlling 5% or more of our common shares as well as our executive officers and directors together beneficially own approximately 69.2% of our common shares. The limited free float may have a negative impact on the liquidity of our common shares and result in a low trading volume of our common shares, which could adversely affect the price of our common shares.</w:t>
      </w:r>
    </w:p>
    <w:p>
      <w:pPr>
        <w:spacing w:after="0" w:line="165" w:lineRule="exact"/>
        <w:rPr>
          <w:sz w:val="20"/>
          <w:szCs w:val="20"/>
          <w:color w:val="auto"/>
        </w:rPr>
      </w:pPr>
    </w:p>
    <w:p>
      <w:pPr>
        <w:ind w:left="180" w:right="9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exercise significant control over us, and your interests may conflict with the interests of our existing shareholders.</w:t>
      </w:r>
    </w:p>
    <w:p>
      <w:pPr>
        <w:spacing w:after="0" w:line="170"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Certain principal shareholders as well as our executive officers and directors together beneficially own approximately 69.2%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6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October 2020 and August 2018, we filed registration statements on Form F-3 to register the resale of two of our shareholder’s common shares pursuant to the requirements of their registration rights agreements. In addition, in 2019, we adopted a new omnibus equity incentive plan under which we have the discretion to grant a broad range of equity-based awards to eligible participants. These shares were registered pursuant to the registration statement on Form S-8 that we filed with the SEC and, therefore, can be freely sold in the public market upon issuance, subject to volume limitations applicable to affiliates. If a large number of our common shares are sold in the public market after they become eligible for sale, the sales could reduce the trading price of our common shares and impede our ability to raise future capital.</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have broad discretion in the use of our cash and cash equivalents and short-term financial assets (liquidity) and may not use them effectively.</w:t>
      </w:r>
    </w:p>
    <w:p>
      <w:pPr>
        <w:spacing w:after="0" w:line="26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management will have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pharmaceutical or biopharmaceutical industry, in particular for neurodegenerative diseases, our business, financial condition and results of operations could be materially adversely affected. As a result, we may fail to capitalize on viable commercial products or</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Under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considering various factors including our business prospects, liquidity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178" w:lineRule="exact"/>
        <w:rPr>
          <w:sz w:val="20"/>
          <w:szCs w:val="20"/>
          <w:color w:val="auto"/>
        </w:rPr>
      </w:pPr>
    </w:p>
    <w:p>
      <w:pPr>
        <w:ind w:left="180" w:right="260"/>
        <w:spacing w:after="0" w:line="277" w:lineRule="auto"/>
        <w:rPr>
          <w:sz w:val="20"/>
          <w:szCs w:val="20"/>
          <w:color w:val="auto"/>
        </w:rPr>
      </w:pPr>
      <w:r>
        <w:rPr>
          <w:rFonts w:ascii="Arial" w:cs="Arial" w:eastAsia="Arial" w:hAnsi="Arial"/>
          <w:sz w:val="18"/>
          <w:szCs w:val="18"/>
          <w:b w:val="1"/>
          <w:bCs w:val="1"/>
          <w:i w:val="1"/>
          <w:iCs w:val="1"/>
          <w:color w:val="auto"/>
        </w:rPr>
        <w:t>We are a Swiss corporation. The rights of our shareholders may be different from the rights of shareholders in companies governed by the laws of US jurisdictions.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the country in which the relevant member of our board of directors is domiciled. In addition, under Swiss law, any claims by our shareholders against us must be brought exclusively in Lausanne, Switzerland (except for certain US securities and other claims that may be brought in US federal court).</w:t>
      </w:r>
    </w:p>
    <w:p>
      <w:pPr>
        <w:spacing w:after="0" w:line="172"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common shares are issued under the laws of Switzerland, which may not protect investors in a similar fashion afforded by incorporation in a US state.</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are organized under the laws of Switzerland. There can be no assurance that Swiss law will not change in the future in a way detrimental to shareholders or that it will serve to protect investors in a similar fashion afforded under corporate law principles in the US, which could adversely affect the rights of investors.</w:t>
      </w:r>
    </w:p>
    <w:p>
      <w:pPr>
        <w:spacing w:after="0" w:line="184" w:lineRule="exact"/>
        <w:rPr>
          <w:sz w:val="20"/>
          <w:szCs w:val="20"/>
          <w:color w:val="auto"/>
        </w:rPr>
      </w:pPr>
    </w:p>
    <w:p>
      <w:pPr>
        <w:ind w:left="180" w:right="30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2 years. Additionally, as a principle, Swiss law grants pre-emptive subscription rights to existing shareholders to subscribe to any new issuance of shares. Any ordinary share capital increase resolution preserving pre-emptive subscription rights expires after 3 months and requires a simple majority of the votes cast at the shareholder’s meeting regardless of abstentions and empty or invalid votes. Swiss law also does not provide as much flexibility in the various terms that can attach to different classes of shares as do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management may limit our flexibility, and situations may arise in which greater flexibility would have provided substantial benefits to our shareholders.</w:t>
      </w:r>
    </w:p>
    <w:p>
      <w:pPr>
        <w:spacing w:after="0" w:line="24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As of December 31, 2020, the Company has CHF 341.5 million of reserves from capital contributions and CHF 1,537,748 of issued share capital (consisting of 76,887,449 common shares each with a nominal value of CHF 0.02 and no preferred shares) on its audited statutory balance sheet. Of the total issued shares and issued share capital, the Company holds 5,000,000 fully paid-in treasury shares representing CHF 100,000 of issued share capital.</w:t>
      </w:r>
    </w:p>
    <w:p>
      <w:pPr>
        <w:spacing w:after="0" w:line="16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expect the aggregate of these amounts (less the lowest legally possible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A US Holder who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In addition, over the long term, the amount of par value available to us for nominal value reductions or reserves from capital contributions available to us to pay out as distributions is limited. If we are unable to make a distribution through a reduction in nominal value or out of reserves from capital contributions, we may not be able to make distributions without subjecting our shareholders to Swiss withholding taxes.</w:t>
      </w:r>
    </w:p>
    <w:p>
      <w:pPr>
        <w:spacing w:after="0" w:line="18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of December 31, 2020, the Company held 5,000,000 fully paid-in treasury shares issued initially as part of an ATM offering established in September 2020. These shares were not sold before December 31, 2020 and are held by the Company for future subscription (or, possibly, as part of a future share-dividend program, should the Company become profitable and have enough earnings carried forward to cover such distribution). Under present Swiss tax laws, repurchases of shares for the purposes of cancellation are treated as a partial liquidation and are subject to 35% Swiss withholding tax on the difference between the repurchase price and the nominal value of the shares except, since January 1, 2011, to the extent attributable to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provided the limitations imposed by corporate law are respected (the nominal value of such shares does not exceed 10% of the outstanding share capital and the purchase price is covered by freely disposable equity). Regarding the above-mentioned 5,000,000 treasury shares and given the specificities of the ATM offering, the Company has obtained a tax ruling from the Swiss Federal Tax Administration confirming that their acquisition by the Company did not constitute a direct partial liquidation and therefore does not trigger withholding tax. A second tax ruling request is pending with the concerned Cantonal Tax Authority at our place of incorporation, to obtain confirmation that the future placement of these treasury shares for a subscription price superior to their nominal value will not trigger any corporate income tax for the Company.</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near Lausanne, Canton of Vaud, Switzerland. Moreover, a number of our directors and executive officers are not residents of the US, and all or a substantial portion of the assets of such persons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 We have been advised by our Swiss counsel that there is doubt as to the enforceability in Switzerland of original actions, or of actions for enforcement of judgments of US courts, for civil liabilities to the extent solely predicated upon the federal and state securities laws of the US.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Additionally, certain mandatory provisions of Swiss law may be applicable regardless of any other law that would otherwise apply.</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Switzerland and the US do not have a treaty providing for reciprocal recognition and enforcement of judgments in civil and commercial matters. The recognition and enforcement of a judgment of the courts of the US in Switzerland is governed by the principles set forth in the Swiss Federal Act on Private International Law. This statute provides in principle that a judgment rendered by a non-Swiss court may be enforced in Switzerland only if:</w:t>
      </w:r>
    </w:p>
    <w:p>
      <w:pPr>
        <w:spacing w:after="0" w:line="16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for which the decision is recognizable in Switzerland.</w:t>
      </w:r>
    </w:p>
    <w:p>
      <w:pPr>
        <w:spacing w:after="0" w:line="170"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or authorize our board of directors, to increase our share capital. Although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2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proposal to pay future dividends to shareholders will effectively be at the discretion of our board of directors and subject to approval by, at their discretion, our shareholders after considering various factors including our business prospects, liquidity requirements, financial performance and new product development.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payment of future dividends is subject to certain limitations pursuant to Swiss law or our articles of association.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See “Item 10. Additional information- E. Taxation—Swiss tax considerations” for a summary of certain Swiss tax consequences regarding dividends distributed to holders of our common shares.</w:t>
      </w:r>
    </w:p>
    <w:p>
      <w:pPr>
        <w:spacing w:after="0" w:line="170"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184"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1" w:lineRule="exact"/>
        <w:rPr>
          <w:sz w:val="20"/>
          <w:szCs w:val="20"/>
          <w:color w:val="auto"/>
        </w:rPr>
      </w:pPr>
    </w:p>
    <w:p>
      <w:pPr>
        <w:ind w:firstLine="8"/>
        <w:spacing w:after="0" w:line="288" w:lineRule="auto"/>
        <w:tabs>
          <w:tab w:leader="none" w:pos="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their liability for insiders who profit from trades made in a short period of time; and (iii) the rules under the Exchange Act requiring the filing with the SEC of quarterly reports on Form 10-Q containing unaudited financial and other specified information, or of current reports on Form 8-K, upon the occurrence of specified significant events. In addition, foreign private issuers are not required to file their annual report on Form 20-F until 4 months after the end of each financial year, whereas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6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a foreign private issuer. As a result, in accordance with Nasdaq Listing Rule 5615(a)(3), we comply with home country (in this case, Swiss)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6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Although Swiss law also requires that we adopt a compensation committee, we follow home country requirements with respect to such committee and our compensation, nomination and corporate governance committee is tasked with certain director nomination and governance responsibilities as described under “Item 6. Directors, senior management and employees.”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shareholders with an agenda and other relevant documents for the general meeting of shareholders.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9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70"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2021 (or the end of our second fiscal quarter in any subsequent fiscal year), which would require us to comply with all of the periodic disclosure and current reporting requirements of the Exchange Act applicable to US domestic issuers as of January 1, 2022 (or the first day of the fiscal year immediately succeeding the end of such second quarter). In order to maintain our current status as a foreign private issuer, either (a) a majority of our common shares must be either directly or indirectly owned of record by non-residents of the US or (b) (i) a majority of our executive officers or directors may not be US citizens or residents, (ii) more than 50 percent of our assets cannot be located in the US and (iii)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67"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and exemptions from the requirements of holding a nonbinding advisory vote on executive compensation and shareholder approval of any golden parachute payments not previously approved. We could be an “emerging growth company” until the end of our fiscal year 2021, although circumstances could cause us to lose that status earlier, including if the market value of our common shares held by non-affiliates exceeds USD 700 million as of any June 30 (the end of our second fiscal quarter) before the end of our fiscal year 2021,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85" w:lineRule="exact"/>
        <w:rPr>
          <w:sz w:val="20"/>
          <w:szCs w:val="20"/>
          <w:color w:val="auto"/>
        </w:rPr>
      </w:pPr>
    </w:p>
    <w:p>
      <w:pPr>
        <w:ind w:left="180" w:right="1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which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required to disclose changes made in our internal controls and procedures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the end of our fiscal year 2021.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Furthermore, in March 2020, the SEC approved amendments to exempt from the requirements of Section 404(b) any companies with less than USD</w:t>
      </w:r>
    </w:p>
    <w:p>
      <w:pPr>
        <w:spacing w:after="0" w:line="4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100 million of revenue and less than USD 700 million of public float. These amendments provide that such companies are no longer required to obtain an attestation of their internal controls over financial reporting from an independent outside auditor, even if such companies are no longer “emerging growth companies.”</w:t>
      </w:r>
    </w:p>
    <w:p>
      <w:pPr>
        <w:spacing w:after="0" w:line="19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For as long as we remain an “emerging growth company” or are exempt from the requirement of Section 404(b) per the aforementioned SEC amendments adopted in March 2020, we may not be able to detect problems that an independent assessment of the effectiveness of our internal controls could. Undetected material weaknesses in our internal controls could lead to financial statement restatements and require us to incur the expense of remediation.</w:t>
      </w:r>
    </w:p>
    <w:p>
      <w:pPr>
        <w:spacing w:after="0" w:line="187" w:lineRule="exact"/>
        <w:rPr>
          <w:sz w:val="20"/>
          <w:szCs w:val="20"/>
          <w:color w:val="auto"/>
        </w:rPr>
      </w:pPr>
    </w:p>
    <w:p>
      <w:pPr>
        <w:ind w:left="180" w:right="6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61"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b w:val="1"/>
          <w:bCs w:val="1"/>
          <w:i w:val="1"/>
          <w:iCs w:val="1"/>
          <w:color w:val="auto"/>
        </w:rPr>
        <w:t>We believe that it is likely that we were a “passive foreign investment company,” (PFIC) for US federal income tax purposes in 2020, and may also be a PFIC in 2021 or later years. If we were a PFIC in 2020 or are a PFIC in 2021 or any later year, US shareholders could be subject to adverse US federal income tax consequences.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the Internal Revenue Code of 1986, as amended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Although we have not obtained independent valuations of our assets during 2020 and thus are not in a position to make a definitive determination as to whether we were a PFIC in 2020, based on the composition of our income and assets during 2020 and certain estimates and assumptions, including as to both the total value and the relative value of our assets as implied by our market capitalization during 2019, we believe that it is likely that we were a PFIC in 2020. In addition, it is possible that we may also be a PFIC in 2021 or one or more future years because, among other things, (i) we may not generate a substantial amount of non-passive gross income, for US federal income tax purposes, in any year, (ii) we currently own, and expect to continue to own, a substantial amount of passive assets, including cash, and (iii) the estimated valuation, for PFIC purposes, of our assets that generate non-passive income for PFIC purposes, including our intangible assets, is likely to be dependent in large part on our market capitalization and is therefore uncertain and may vary substantially over time. Accordingly, there can be no assurance that we will not be a PFIC in 2021 or any future taxable year.</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we were a PFIC in 2020 or in any future year during which a US investor held 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“Item 10. Additional information—Section E. Taxation.”</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company</w:t>
      </w:r>
    </w:p>
    <w:p>
      <w:pPr>
        <w:spacing w:after="0" w:line="229"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We are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Switzerland. We were formed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with our registered office and domicile in Basel, Switzerland. We converted 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ordinary shares were admitted to trading on Nasdaq Global Market on September 23, 2016, and trade under the symbol ACIU.</w:t>
      </w:r>
    </w:p>
    <w:p>
      <w:pPr>
        <w:spacing w:after="0" w:line="16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document.</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Business overview</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and the urgent need for more tailored therapeutic regimens.</w:t>
      </w:r>
    </w:p>
    <w:p>
      <w:pPr>
        <w:spacing w:after="0" w:line="14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Leveraging our dual proprietary technology platforms, we have built a comprehensive pipeline of first-in-class or best-in-class candidates spanning multiple treatment modalities and targeting both established and emerging neurodegenerative pathologies. We are currently advancing nine therapeutic and three diagnostic product candidates, with six currently in clinical trials, targeting five different types of misfolded pathological proteins related to AD and other neurodegenerative disorders.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Figure 1: AC Immune investment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5151755" cy="2768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5175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and Dr. Fred van Leuven, are regarded as pioneers in their respective scientific domains, including in the study of AD. Our co-founder and Chief Executive Officer, Dr. Andrea Pfeifer, a Pharmacologist with a Ph.D. in cancer research and a former National Institute of Health researcher, has a 30-year track record in product innovation and implementation, and was formerly Head of Nestlé Global Research and the co-founder of Nestlé Venture Fund. Dr. Marie Kosco-Vilbois, our Chief Scientific Officer, brings more than 20 years of experience in various aspects of discovery research and drug development, including work on multiple drug development programs. In January 2021, Prof. Johannes Rolf Streffer joined AC Immune as our Chief Medical Officer. Prof. Streffer is a Neurologist and Psychiatrist with extensive expertise in AD including biomolecular modalities such as PET, volumetric and functional MRI, genetics, cognition and cerebrospinal fluid (CSF) marker.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Unmet need in neurodegenerative diseases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 The World Health Organization recognizes dementia as a global public health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425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606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Neurodegenerative diseases, including dementias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45" w:lineRule="exact"/>
        <w:rPr>
          <w:sz w:val="20"/>
          <w:szCs w:val="20"/>
          <w:color w:val="auto"/>
        </w:rPr>
      </w:pPr>
    </w:p>
    <w:p>
      <w:pPr>
        <w:ind w:left="660" w:right="340" w:hanging="328"/>
        <w:spacing w:after="0" w:line="26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World Health Organization recognizes dementia as a global public health priority</w:t>
      </w:r>
      <w:r>
        <w:rPr>
          <w:rFonts w:ascii="Arial" w:cs="Arial" w:eastAsia="Arial" w:hAnsi="Arial"/>
          <w:sz w:val="18"/>
          <w:szCs w:val="18"/>
          <w:b w:val="1"/>
          <w:bCs w:val="1"/>
          <w:color w:val="auto"/>
        </w:rPr>
        <w:t>.</w:t>
      </w:r>
      <w:r>
        <w:rPr>
          <w:rFonts w:ascii="Arial" w:cs="Arial" w:eastAsia="Arial" w:hAnsi="Arial"/>
          <w:sz w:val="18"/>
          <w:szCs w:val="18"/>
          <w:color w:val="auto"/>
        </w:rPr>
        <w:t xml:space="preserve"> Worldwide, there is a new case of dementia every 3 seconds, with an estimated global patient population of approximately 50 million in 2020. This is predicted to increase to 152 million by 2050 (Alzheimer’s Disease International).</w:t>
      </w:r>
    </w:p>
    <w:p>
      <w:pPr>
        <w:spacing w:after="0" w:line="179"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estimated total healthcare costs for the treatment of Alzheimer disease in the United States in 2020 is estimated to be USD 305 billion per the Alzheimer’s Association, with the cost expected to increase to more than USD 1 trillion by 2050 as the population ages. In fact, if the estimated global costs of dementia were a country, it would be the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largest economy.</w:t>
      </w:r>
    </w:p>
    <w:p>
      <w:pPr>
        <w:spacing w:after="0" w:line="5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five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USD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Neurodegenerative disease overview</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Folding and unfolding of proteins are important ways of regulating the biological activity and cellular location of those proteins. Misfolding of proteins occurs due to a breakdown of cellular quality control systems and is a common feature of many neurodegenerative diseases. Misfolded proteins are unable to carry out their normal functions and aggregate to form insoluble deposits in the brain, which eventually lead to neuronal damage and cell death. The progression of neurodegenerative diseases, such as AD and PD, is linked to the spread of misfolded, pathological protein aggregates throughout the brain. Figure 3 shows how misfolded proteins play a key role in the pathology of neurodegenerative diseases.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Figure 3: Misfolded proteins key impact on the pathology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154305</wp:posOffset>
            </wp:positionV>
            <wp:extent cx="4705985" cy="1800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0598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Typically, protein misfolding occurs in response to cellular stress, which can be triggered by many different, largely unknown, causes. A cascade of molecular events begins with the misfolding of single proteins within a cell, which then aggregate and ultimately form larger aggregates including plaques and tangles. These misfolded proteins are then exported or shed from dying neurons where they can spread to healthy cells nearby. Once inside, misfolded proteins can interact with normal proteins and cause them to misfold in a process known as “seeding,” leading to spreading of the disease pathology throughout the brain, increased neuronal death and a progressive decline in cognitive function.</w:t>
      </w:r>
    </w:p>
    <w:p>
      <w:pPr>
        <w:spacing w:after="0" w:line="17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Figure 3 also shows how our therapies are designed to intervene and prevent key pathological steps in the progression of neurodegenerative diseases. They are designed to (i) prevent initial misfolding; (ii) promote disaggregation of misfolded proteins; (iii) inhibit spreading of pathological protein to healthy cells; (iv) prevent seeding of new misfolded protein aggregates inside healthy cells; and (v) inhibit downstream neurodegeneration. This robust approach to targeting neurodegenerative diseases is enabled by our two validated technology platforms, SupraAntigen and Morphomer, which generate highly specific biologics and small molecule inhibitors that can distinguish normal from misfolded proteins and inhibit key disease pathways both inside and outside of cells.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vision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goal is to continue leveraging our proprietary discovery platforms, SupraAntigen and Morphomer, to become a global leader in precision medicine for the diagnosis and treatment of neurodegenerative diseases. We are executing a clear business strategy built on three pillars: (i) accelerate development of novel therapeutics in AD with our partners; (ii) expand our strategic focus in non-AD neurodegenerative diseases, including NeuroOrphan indications, Parkinson’s disease (PD) and limbic-predominant age-related TDP-43 encephalopathy (LATE); and (iii) a continued focus on diagnostics enabling precision medicine to be an ultimate differentiator for the Company.</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Figure 4: AC Immune’s three-pillar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154305</wp:posOffset>
            </wp:positionV>
            <wp:extent cx="4800600" cy="2202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0060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concert in order to slow or stop the disease course. Ultimately, it is our belief that precision medicine will increase the chance of treatment success by enabling clinical trial participants to be better defined by their various proteinopathies, affording treatment with the right therapies at the right time.</w:t>
      </w:r>
    </w:p>
    <w:p>
      <w:pPr>
        <w:spacing w:after="0" w:line="176"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AC Immune has established itself as a leader in developing precision medicines for neurodegenerative diseases by utilizing our diagnostic capabilities to enable improved diagnosis of co-pathologies, patient selection and assessment of clinical trial outcomes. Our dual technology platforms allow for a multi-modal approach encompassing a portfolio of vaccines, antibodies and small molecules tailored to the underlying pathology driving patients’ disease. In addition to generating targeted monotherapies, this approach creates the potential for combination regimens, which may treat a broader spectrum of disease and offer greater efficacy.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 Immune’s </w:t>
      </w:r>
      <w:r>
        <w:rPr>
          <w:rFonts w:ascii="Arial" w:cs="Arial" w:eastAsia="Arial" w:hAnsi="Arial"/>
          <w:sz w:val="18"/>
          <w:szCs w:val="18"/>
          <w:b w:val="1"/>
          <w:bCs w:val="1"/>
          <w:i w:val="1"/>
          <w:iCs w:val="1"/>
          <w:color w:val="auto"/>
        </w:rPr>
        <w:t>Roadmap to Successful Therapies for Neurodegenerative Diseases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Precision medicine is a key element of our five-point framework for developing successful therapies in neurodegenerative diseases, building on one of the broadest pipelines in the field.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5: AC Immune’s roadmap to successful therapies for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154305</wp:posOffset>
            </wp:positionV>
            <wp:extent cx="4654550" cy="2194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5455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 earlier</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Identifying patients at risk or in early stages of disease when pathological burden is low and neuronal health is preserved offers the best chance of intercepting pathological spread in neurodegenerative diseases. For example, it is now believed that treatments targeting beta-amyloid (Abeta) may be most effective before</w:t>
      </w:r>
    </w:p>
    <w:p>
      <w:pPr>
        <w:sectPr>
          <w:pgSz w:w="11900" w:h="16838" w:orient="portrait"/>
          <w:cols w:equalWidth="0" w:num="1">
            <w:col w:w="11220"/>
          </w:cols>
          <w:pgMar w:left="320" w:top="225" w:right="35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symptoms become apparent. The Alzheimer’s Prevention Initiative (API) trial of crenezumab aims to answer this fundamental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Tau</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Tau plays a very important role in neurodegeneration. Understanding whether the aggregation and spreading of pathological Tau throughout the brain can be stopped by therapies targeting Tau is a critical question that we are examining. This is being addressed through AC Immune’s multiple Tau research programs in early and late-stage diseases.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homogeneous populations</w:t>
      </w:r>
    </w:p>
    <w:p>
      <w:pPr>
        <w:spacing w:after="0" w:line="225"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Multiple pathologies are thought to contribute to the development of AD, including genetic, lifestyle and environmental factors. To understand if a candidate drug has therapeutic potential, it is important to first engage more genetically homogeneous patient populations to minimize variability with respect to pathophysiology. We are developing these efforts with our prevention studies in genetically defined populations such as familial AD and DS-related AD.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medicine</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Building on the understanding that multiple pathologies contribute to AD, there is a need to accurately diagnose and target the underlying pathology. We are developing an integrated diagnostic and therapeutic strategy to deliver, for the first time, precision medicine for patients with neurodegenerative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neuroinflammation</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It is well established that microglia maintain a healthy brain environment by clearing debris, including misfolded and aggregated Abeta, Tau and alpha-synuclein (a-syn). Chronic hyper-stimulation of microglial cells by these protein aggregates is now emerging as a hallmark of AD – and potentially all neurodegenerative diseases – that leads to unwanted inflammation and further damage to brain cells. We focus on the NOD-like receptor pyrin domain-containing protein 3 (NLRP3) inflammasome pathway, based on emerging evidence showing its particular relevance for neurodegenerative diseases.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elements of our approach include:</w:t>
      </w:r>
    </w:p>
    <w:p>
      <w:pPr>
        <w:spacing w:after="0" w:line="229" w:lineRule="exact"/>
        <w:rPr>
          <w:sz w:val="20"/>
          <w:szCs w:val="20"/>
          <w:color w:val="auto"/>
        </w:rPr>
      </w:pPr>
    </w:p>
    <w:p>
      <w:pPr>
        <w:ind w:right="360" w:firstLine="332"/>
        <w:spacing w:after="0" w:line="277" w:lineRule="auto"/>
        <w:tabs>
          <w:tab w:leader="none" w:pos="77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Execution on advancing our product candidates, in partnership or alone, from clinical development to regulatory approval and potential commercialization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6: Our broad and robust established targets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154305</wp:posOffset>
            </wp:positionV>
            <wp:extent cx="4183380" cy="18688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8338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 stage product candidates include:</w:t>
      </w:r>
    </w:p>
    <w:p>
      <w:pPr>
        <w:spacing w:after="0" w:line="221" w:lineRule="exact"/>
        <w:rPr>
          <w:sz w:val="20"/>
          <w:szCs w:val="20"/>
          <w:color w:val="auto"/>
        </w:rPr>
      </w:pPr>
    </w:p>
    <w:p>
      <w:pPr>
        <w:ind w:left="660" w:right="120" w:hanging="328"/>
        <w:spacing w:after="0" w:line="28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ACI-35.030</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Janssen and AC Immune are evaluating the anti-phosphorylated-Tau (anti-pTau) vaccine candidate ACI-35.030 in a Phase 1b/2a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study in early AD. Interim results show that ACI-35.030 vaccination generated a potent antigen-specific antibody response against pTau in 100% of older patients, achieving antibody levels several orders of magnitude higher than pre-vaccination levels. No</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vaccine relevant adverse events were observed. These results support plans to further develop the Alzheimer Vaccine into Phase 2/3. ACI-35.030 specifically targets pathological pTau and is intended as a disease-modifying treatment for AD and other Tauopathies.</w:t>
      </w:r>
    </w:p>
    <w:p>
      <w:pPr>
        <w:spacing w:after="0" w:line="142" w:lineRule="exact"/>
        <w:rPr>
          <w:sz w:val="20"/>
          <w:szCs w:val="20"/>
          <w:color w:val="auto"/>
        </w:rPr>
      </w:pPr>
    </w:p>
    <w:p>
      <w:pPr>
        <w:ind w:left="660" w:right="26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Semorinemab</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a member of the Roche Group, is currently completing a Phase 2 clinical program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anti-Tau monoclonal antibody semorinemab. A Phase 2 study (Tauriel) conducted in patients with prodromal-to-mild AD was completed in Q3 2020 and did not meet its primary efficacy endpoint of reducing decline on Clinical Dementia Rating-Sum of Boxes (CDR-SB) compared to placebo. A second Phase 2 study (Lauriet) conducted in patients with moderate AD remains ongoing with primary completion estimated in Q2 2021. Semorinemab is designed to slow the prion-like propagation of Tau pathology, which coincides with both clinical symptoms and disease progression in AD.</w:t>
      </w:r>
    </w:p>
    <w:p>
      <w:pPr>
        <w:spacing w:after="0" w:line="191"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Morphomer Tau. </w:t>
      </w:r>
      <w:r>
        <w:rPr>
          <w:rFonts w:ascii="Arial" w:cs="Arial" w:eastAsia="Arial" w:hAnsi="Arial"/>
          <w:sz w:val="18"/>
          <w:szCs w:val="18"/>
          <w:color w:val="auto"/>
        </w:rPr>
        <w:t>In collaboration with our partner, Lilly, we are researching and developing small molecule Tau aggregation inhibitors with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evaluate candidates in AD and NeuroOrphan indications. We completed a Phase 1 clinical study in healthy volunteers with ACI-3024, in Q2 2020, which showed a dose-dependent exposure and brain penetration, achieving the desired levels of ACI-3024 in the cerebrospinal fluid. In addition to AD, the program was expanded to NeuroOrphan indications and ACI-3024 will be further evaluated for efficacy in models of rare Tauopathies. Continued candidate characterization across the research program has also identified new and highly differentiated candidates with excellent cerebrospinal fluid exposure and selectivity for pathological aggregated Tau. These will be broadly developed in Tau-dependent neurodegenerative diseases.</w:t>
      </w:r>
    </w:p>
    <w:p>
      <w:pPr>
        <w:spacing w:after="0" w:line="19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w:t>
      </w:r>
      <w:r>
        <w:rPr>
          <w:rFonts w:ascii="Arial" w:cs="Arial" w:eastAsia="Arial" w:hAnsi="Arial"/>
          <w:sz w:val="18"/>
          <w:szCs w:val="18"/>
          <w:color w:val="auto"/>
        </w:rPr>
        <w:t>We currently own the global rights to our anti-Abeta vaccine candidate ACI-24, and we continue to develop this asset in-house for 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DS.</w:t>
      </w:r>
    </w:p>
    <w:p>
      <w:pPr>
        <w:spacing w:after="0" w:line="170"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for AD. </w:t>
      </w:r>
      <w:r>
        <w:rPr>
          <w:rFonts w:ascii="Arial" w:cs="Arial" w:eastAsia="Arial" w:hAnsi="Arial"/>
          <w:sz w:val="17"/>
          <w:szCs w:val="17"/>
          <w:color w:val="auto"/>
        </w:rPr>
        <w:t>A Phase 2 study commenced in October 2018 and is currently ongoing to assess the safety, tolerability, immunogenicity and target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engagement of ACI-24 formulations using intramuscular injections, and to analyze the effects of ACI-24 on brain amyloid as assessed by PET imaging. Encouraging 12-month interim results were reported and results from the 18-month interim analysis are expected in Q2 2021. The previous Phase 1/2 study was completed and the clinical study report finalized in 2019.</w:t>
      </w:r>
    </w:p>
    <w:p>
      <w:pPr>
        <w:spacing w:after="0" w:line="171" w:lineRule="exact"/>
        <w:rPr>
          <w:rFonts w:ascii="Arial" w:cs="Arial" w:eastAsia="Arial" w:hAnsi="Arial"/>
          <w:sz w:val="17"/>
          <w:szCs w:val="17"/>
          <w:color w:val="auto"/>
        </w:rPr>
      </w:pPr>
    </w:p>
    <w:p>
      <w:pPr>
        <w:ind w:left="660" w:right="1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for DS. </w:t>
      </w:r>
      <w:r>
        <w:rPr>
          <w:rFonts w:ascii="Arial" w:cs="Arial" w:eastAsia="Arial" w:hAnsi="Arial"/>
          <w:sz w:val="18"/>
          <w:szCs w:val="18"/>
          <w:color w:val="auto"/>
        </w:rPr>
        <w:t>Our Phase 1b clinical study of ACI-24 for individuals with DS, intended to assess safety, tolerability and immunogenicity at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doses, was completed and results reported in Q1 2021. The results support a favorable safety and tolerability profile of ACI-24 in this vulnerable patient population and the advancement of this program into Phase 2 studies, the initiation of which will be determined by appropriate public safety measures related to Covid-19.</w:t>
      </w:r>
    </w:p>
    <w:p>
      <w:pPr>
        <w:spacing w:after="0" w:line="186" w:lineRule="exact"/>
        <w:rPr>
          <w:rFonts w:ascii="Arial" w:cs="Arial" w:eastAsia="Arial" w:hAnsi="Arial"/>
          <w:sz w:val="18"/>
          <w:szCs w:val="18"/>
          <w:color w:val="auto"/>
        </w:rPr>
      </w:pPr>
    </w:p>
    <w:p>
      <w:pPr>
        <w:ind w:left="660" w:right="80" w:hanging="328"/>
        <w:spacing w:after="0" w:line="31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Crenezumab. </w:t>
      </w:r>
      <w:r>
        <w:rPr>
          <w:rFonts w:ascii="Arial" w:cs="Arial" w:eastAsia="Arial" w:hAnsi="Arial"/>
          <w:sz w:val="16"/>
          <w:szCs w:val="16"/>
          <w:color w:val="auto"/>
        </w:rPr>
        <w:t>The parent of our collaboration partner discontinued, as of January 2019, the Phase 3 clinical trials in AD but is continuing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landmark prevention trial in Columbia, in a population of genetically predisposed people at risk of developing familial AD. The overall beneficial safety profile was confirmed in the CREAD studies, supporting use of crenezumab in healthy individuals with risk of developing AD.</w:t>
      </w:r>
    </w:p>
    <w:p>
      <w:pPr>
        <w:spacing w:after="0" w:line="144" w:lineRule="exact"/>
        <w:rPr>
          <w:rFonts w:ascii="Arial" w:cs="Arial" w:eastAsia="Arial" w:hAnsi="Arial"/>
          <w:sz w:val="16"/>
          <w:szCs w:val="16"/>
          <w:color w:val="auto"/>
        </w:rPr>
      </w:pPr>
    </w:p>
    <w:p>
      <w:pPr>
        <w:ind w:left="660" w:right="40" w:hanging="328"/>
        <w:spacing w:after="0" w:line="34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Diagnostic candidates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the above product candidates, we will continue to develop our complementary diagnostic product candidates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Tau (with LMI), a-syn and TDP-43 to advance these through clinical development, either independently or with collaboration partners.</w:t>
      </w:r>
    </w:p>
    <w:p>
      <w:pPr>
        <w:spacing w:after="0" w:line="120" w:lineRule="exact"/>
        <w:rPr>
          <w:sz w:val="20"/>
          <w:szCs w:val="20"/>
          <w:color w:val="auto"/>
        </w:rPr>
      </w:pPr>
    </w:p>
    <w:p>
      <w:pPr>
        <w:ind w:left="780" w:hanging="448"/>
        <w:spacing w:after="0"/>
        <w:tabs>
          <w:tab w:leader="none" w:pos="78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product development into NeuroOrphan and additional neurodegenerative diseases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Beyond AD, we aim to pursue NeuroOrphan indications, specifically Tau- and TDP-43-driven diseases, such as FTLD-Tau (e.g., PSP, CBD, FTLD-MAPT), and ALS and FTLD-TDP, respectively. Pursuing NeuroOrphan indications may enable us to obtain a streamlined regulatory approval pathway and favorable reimbursement for any approved products. In addition, we are accelerating our novel therapeutic and diagnostic candidates targeting a-syn as a primary pathology in Parkinson’s disease and other a-synucleinopathies. A summary of our diversified novel targets pipeline including non-AD neurodegenerative diseases, with an in-house focus on NeuroOrphan indications, is shown below:</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Figure 7: Robust novel targets pipeline: diversification into non-AD and non-CNS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297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606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Accelerating the advancement of our diagnostic portfolio</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To realize our vision for precision medicine in neurodegenerative disease, we are developing a suite of companion diagnostics designed to be first-in-class or best-in-class, which will enable improved diagnosis of co-pathologies, patient selection and assessment of clinical trial outcomes. We currently have three families of diagnostic candidates in our pipeline, developed using our Morphomer platform; each addresses a key therapeutic target: Tau, a-syn and TDP-43.</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most advanced clinical candidate is PI-2620, our Tau-PET imaging agent. We are working with our partner, LMI, to advance PI-2620 as a highly differentiated, best-in-class Tau diagnostic for AD as well as non-AD Tauopathies such as PSP. A study published in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showed that PI-2620 could facilitate earlier and more reliable diagnosis of PSP, where previous Tau tracers and other biomarkers failed. Further, results demonstrated PI-2620’s excellent characteristics as a diagnostic tool for studying Tau-related diseases following recent publications about its capabilities in early and more advanced AD.</w:t>
      </w:r>
    </w:p>
    <w:p>
      <w:pPr>
        <w:spacing w:after="0" w:line="18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are also developing proprietary PET imaging diagnostics for diseases resulting from the misfolding of a-syn and TDP-43 proteins. No such diagnostics are currently available for these important pathologies and AC Immune has identified promising compounds with high affinity and target specificity, as well as favorable central nervous system (CNS) pharmacokinetic properties. In 2020, the a-syn-PET tracer won the Ken Griffin Alpha-synuclein Imaging Competition from The Michael J. Fox Foundation for Parkinson’s Research. Our novel TDP-43-PET tracer and our antibody-based immuno-assay for biofluid detection of TDP-43 also were awarded highly competitive grants from the EU Joint Programme – Neurodegenerative Disease Research’ (JPND) and The Target ALS Foundation, respectively, in 2020. Our diagnostics for a-syn and TDP-43, if validated clinically, will be the first in the world to effectively diagnose these proteinopathies, which are highly relevant for multiple neurodegenerative diseases.</w:t>
      </w:r>
    </w:p>
    <w:p>
      <w:pPr>
        <w:spacing w:after="0" w:line="16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Continuing to optimize our long-term growth by selectively partnering product candidates for global development and commercialization</w:t>
      </w:r>
    </w:p>
    <w:p>
      <w:pPr>
        <w:spacing w:after="0" w:line="24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a strong track record of establishing value-driving collaboration agreements with leading pharmaceutical companies, including two collaborations with Genentech, one with Janssen and one with Lilly. This strategy allows us to leverage our partners’ scientific, development, manufacturing and commercialization expertise and other resources while partially monetizing our investments, de-risking and accelerating the development of our product candidates. This strategy also enables us to use non-dilutive partnership revenue to bolster our investment into our early-stage proprietary programs and fuel our continued growth. We have five current collaboration agreements with leading global pharmaceutical companies, summarized in the table below:</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Figure 8: External validation and cash generation through external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220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6064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any additional product candidates targeting large markets, we may selectively partner with leading companies that we believe can contribute development, manufacturing and marketing expertise, geographic reach and/or other resources that can enhance the value of our wholly-owned products. We will continue to seek to retain certain indications (e.g., NeuroOrphan) and/or geographies, such that we can begin to grow our own marketing capabilities as we develop AC Immune into a fully integrated pharmaceutical company.</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Additionally, in this respect, we established a strategic partnership with WuXi Biologics for its expertise in manufacturing biologicals as well as the application of our vaccine portfolio in China and potential collaborations regarding AC Immune’s SupraAntigen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our clinically validated, proprietary technology platforms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engines that drive our growth are our two unique proprietary and versatile technology platforms: our SupraAntigen platform, which is our biological and immunological platform, and our Morphomer platform, which is our chemical platform. These platforms generate biologics (vaccines and antibodies) and small molecules, respectively, which are designed to selectively interact with the misfolded proteins that are common in a broad range of neurodegenerative diseases. These clinically validated platforms form the basis of our ongoing pipeline development and the value-driving strategic partnerships we have established to date.</w:t>
      </w:r>
    </w:p>
    <w:p>
      <w:pPr>
        <w:spacing w:after="0" w:line="188" w:lineRule="exact"/>
        <w:rPr>
          <w:sz w:val="20"/>
          <w:szCs w:val="20"/>
          <w:color w:val="auto"/>
        </w:rPr>
      </w:pPr>
    </w:p>
    <w:p>
      <w:pPr>
        <w:ind w:firstLine="321"/>
        <w:spacing w:after="0" w:line="291"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and safe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prevents the formation of new misfolded proteins in healthy neighboring cells through a seeding mechanism. Small molecules derived from our Morphomer platform, which we refer to as Morphomers, not only reduce aggregation of pathological proteins, but also promote disaggregation of already formed aggregates, thereby potentially enhancing their therapeutic potential even in established disease states.</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Figure 9: Morphomer and SupraAntigen platforms: an integrated approach to CNS-specific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154305</wp:posOffset>
            </wp:positionV>
            <wp:extent cx="4705985" cy="2040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0598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SupraAntigen platform was first developed by AC Immune’s scientific co-founders to overcome a challenge common to neurodegenerative diseases: the lack of immunogenicity of disease-causing self-proteins. The SupraAntigen platform uses liposomes (small spherical vesicles formed by a lipid bilayer) to present specific antigens designed to evoke an immune response. SupraAntigen is used to generate conformation-specific antibodies for immunotherapy in neurodegenerative diseases. The overarching idea behind the platform is that antibodies, which are large in size, are well-suited to target extracellular proteins, interrupt spreading of pathological proteins, and break up and clear aggregates of misfolded proteins through phagocytosis.</w:t>
      </w:r>
    </w:p>
    <w:p>
      <w:pPr>
        <w:spacing w:after="0" w:line="16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AC Immune has acquired advanced mastery of the design and manipulation of liposomes to develop either passive or active immunization techniques to generate antibodies targeting neurodegenerative diseases. When pursuing active immunization approaches, we use liposomes carrying a specific antigen as a vaccine. After vaccination with a liposome, antigen and confirmation specific antibodies are produced naturally by the host with very high affinity without further optimization. This immune response can be long-lasting and may be ideal to prevent the onset of a disease, as the immune system is now primed to rapidly identify disease-causing misfolded proteins.</w:t>
      </w:r>
    </w:p>
    <w:p>
      <w:pPr>
        <w:spacing w:after="0" w:line="188"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Product candidates generated utilizing the SupraAntigen platform include vaccines ACI-35 in Phase 1b/2a for AD and ACI-24 in Phase 2 for AD and Phase 1b for DS, as well as antibodies semorinemab in Phase 2 for AD, crenezumab in Phase 2 for AD and the preclinical candidates targeting a-syn and TDP-43 for PD and NeuroOrphan indications.</w:t>
      </w:r>
    </w:p>
    <w:p>
      <w:pPr>
        <w:spacing w:after="0" w:line="184"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Morphomer platform is designed to enable the development of small molecules (Morphomers) able to bind/interact with beta-sheets containing fibrillary aggregates from candidate selection through preclinical proof-of-concept. Morphomers can target pathological protein aggregates in any brain compartment and are equally well suited for therapeutic and diagnostic applications.</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first key component of the Morphomer platform is its library of rationally designed, CNS-optimized non-dye compounds. AC Immune’s extensive know-how has enabled the identification of CNS compounds that penetrate the brain and demonstrate high selectivity for the target. This knowledge has been used to focus the Morphomer library to approximately 12,000 compounds that display these favorable characteristics, making this library an ideal starting point when developing molecules to target human proteinopathies of the CNS. Thus, rather than using the non-directed trial and error strategy of the typical drug development process, the Morphomer platform utilizes its bias for successful CNS candidates to improve efficiency and accelerate the early stages of the drug development process. Extensive expertise in medicinal chemistry and a suite of proprietary assays developed to screen and validate candidate compounds enables AC Immune to rapidly optimize multiple, highly diversified lead compounds for further preclinical and clinical development.</w:t>
      </w:r>
    </w:p>
    <w:p>
      <w:pPr>
        <w:spacing w:after="0" w:line="16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Therapeutic product candidates generated by the Morphomer platform include our lead Morphomer Tau candidates, Morphomer a-syn in PD (preclinical stage) and the diagnostic programs PI-2620 in Phase 2 and Phase 1 in AD and PSP, respectively, and a-syn-PET and TDP-43-PET imaging agents in the preclinical stage.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Shifting the current treatment paradigm for neurodegenerative diseases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Modifying the progression of the disease requires targeting the specific underlying biological processes that drive disease progression. Unfortunately, these processes evolve over the course of many years prior to</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manifestation of symptoms and a high percentage of neurons may be lost prior to clinical manifestation. Earlier intervention could have a major impact, but it requires accurate disease detection prior to developing symptoms. Thus, in addition to highly targeted therapeutics, new precision diagnostics are critical to the clinical development and effective deployment of potentially disease-modifying therapies. This early, and potentially preventative, precision medicine approach may ultimately lead to better disease management for patients with neurodegenerative diseases.</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Figure 10: Treatment and diagnosis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154305</wp:posOffset>
            </wp:positionV>
            <wp:extent cx="4774565" cy="2091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7456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80" w:firstLine="324"/>
        <w:spacing w:after="0" w:line="296" w:lineRule="auto"/>
        <w:rPr>
          <w:sz w:val="20"/>
          <w:szCs w:val="20"/>
          <w:color w:val="auto"/>
        </w:rPr>
      </w:pPr>
      <w:r>
        <w:rPr>
          <w:rFonts w:ascii="Arial" w:cs="Arial" w:eastAsia="Arial" w:hAnsi="Arial"/>
          <w:sz w:val="16"/>
          <w:szCs w:val="16"/>
          <w:color w:val="auto"/>
        </w:rPr>
        <w:t>Due to the high level of co-pathologies involved in neurodegenerative diseases, future treatment paradigms for may involve different combinations of disease modifiers at various stages of a disease. Therefore, combination therapies may include combinations of immunotherapies or combinations of small and large molecules targeting proteinopathies and neuroinflammation. Our therapeutic product candidates seek to modify the course of AD by intervening at an earlier stage of the disease progression, prior to irreversible neuronal damage. Beyond AD, we believe that we can leverage our proprietary platforms to generate additional molecules that address the pathologies of other neurodegenerative diseases (Figure 11).</w:t>
      </w:r>
    </w:p>
    <w:p>
      <w:pPr>
        <w:spacing w:after="0" w:line="15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Figure 11: Market opportunities targeting key primary and co-pathologies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154305</wp:posOffset>
            </wp:positionV>
            <wp:extent cx="4852035" cy="1962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5203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Furthermore, we believe that we are a leader in discovering new PET imaging agents to improve the timing and accuracy of diagnoses in neurodegenerative diseases. In our pipeline, we have three families of diagnostic candidates that were developed through our Morphomer platform, which target Tau, a-syn and TDP-43. We believe our Tau-PET imaging program has received external validation through our partnership with LMI, a leader in imaging agents. We are also developing a-syn and TDP-43 PET imaging agents for PD and other neurodegenerative diseases.</w:t>
      </w:r>
    </w:p>
    <w:p>
      <w:pPr>
        <w:spacing w:after="0" w:line="17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With our unique integrated approach focused on precision medicine, we believe that our diagnostic product candidate pipeline will complement our disease-modifying treatment product candidate pipeline and potentially reshape the clinical course and treatment of neurodegenerative diseases.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169545</wp:posOffset>
            </wp:positionV>
            <wp:extent cx="5151755" cy="2237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5175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Anti-pTau vaccine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collaboration with Janssen, we are advancing an anti-pTau vaccine program directed against a key component of the pathology of AD: phosphorylated Tau proteins, found in Tau tangles. Developed using our SupraAntigen technology, our vaccine is designed to stimulate a patient’s immune system to produce antibodies against misfolded and phosphorylated, pathological Tau protein, which aggregate to create the neurofibrillary tangles that characterize 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Tau vaccination over other therapeutic approaches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 xml:space="preserve">Tau vaccines which are able to induce a long-lasting and boost-able antibody response have the potential to be even more advantageous than other anti-Tau therapeutic modalities such as small molecules or monoclonal antibodies, which typically show much shorter half-lives </w:t>
      </w:r>
      <w:r>
        <w:rPr>
          <w:rFonts w:ascii="Arial" w:cs="Arial" w:eastAsia="Arial" w:hAnsi="Arial"/>
          <w:sz w:val="16"/>
          <w:szCs w:val="16"/>
          <w:i w:val="1"/>
          <w:iCs w:val="1"/>
          <w:color w:val="auto"/>
        </w:rPr>
        <w:t>in vivo</w:t>
      </w:r>
      <w:r>
        <w:rPr>
          <w:rFonts w:ascii="Arial" w:cs="Arial" w:eastAsia="Arial" w:hAnsi="Arial"/>
          <w:sz w:val="16"/>
          <w:szCs w:val="16"/>
          <w:color w:val="auto"/>
        </w:rPr>
        <w:t>, requiring more frequent administration. Tau vaccines such as ACI-35.030 may thus offer a more cost effective, and less invasive approach for the treatment or prevention of Tau pathology, which may be particularly relevant for addressing slow-progressing chronic neurodegenerative Tauopathies such as AD.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ACI-35</w:t>
      </w:r>
    </w:p>
    <w:p>
      <w:pPr>
        <w:spacing w:after="0" w:line="229" w:lineRule="exact"/>
        <w:rPr>
          <w:sz w:val="20"/>
          <w:szCs w:val="20"/>
          <w:color w:val="auto"/>
        </w:rPr>
      </w:pPr>
    </w:p>
    <w:p>
      <w:pPr>
        <w:ind w:right="120" w:firstLine="321"/>
        <w:spacing w:after="0" w:line="257" w:lineRule="auto"/>
        <w:rPr>
          <w:sz w:val="20"/>
          <w:szCs w:val="20"/>
          <w:color w:val="auto"/>
        </w:rPr>
      </w:pPr>
      <w:r>
        <w:rPr>
          <w:rFonts w:ascii="Arial" w:cs="Arial" w:eastAsia="Arial" w:hAnsi="Arial"/>
          <w:sz w:val="18"/>
          <w:szCs w:val="18"/>
          <w:color w:val="auto"/>
        </w:rPr>
        <w:t>ACI-35 is a liposomal anti-pTau active investigational vaccine designed to elicit antibodies against extracellular pTau protein in order to prevent and reduce the spread and development of Tau pathology within the brain. In preclinical testing, the vaccine candidate induced an antibody response that was highly specific to phosphorylated Tau. This antibody response resulted in a significant reduction of pTau and an improvement in clinical parameters. ACI-35 was the first vaccine candidate against pathological pTau to be tested in a clinical study involving patients with mild-to-moderate AD. The Phase 1b study was completed in June 2017.</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right="1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ACI-35 is composed of a human pTau synthetic peptide T3 as the antigen, derived from Tau sequence 393-408 and phosphorylated at serine residues S396 and S404. Lipidation of the peptide enables it to embed itself into the lipid bi-layer of the liposome and confers a specific conformation to the peptide (Theunis </w:t>
      </w:r>
      <w:r>
        <w:rPr>
          <w:rFonts w:ascii="Arial" w:cs="Arial" w:eastAsia="Arial" w:hAnsi="Arial"/>
          <w:sz w:val="18"/>
          <w:szCs w:val="18"/>
          <w:i w:val="1"/>
          <w:iCs w:val="1"/>
          <w:color w:val="auto"/>
        </w:rPr>
        <w:t>et al.</w:t>
      </w:r>
      <w:r>
        <w:rPr>
          <w:rFonts w:ascii="Arial" w:cs="Arial" w:eastAsia="Arial" w:hAnsi="Arial"/>
          <w:sz w:val="18"/>
          <w:szCs w:val="18"/>
          <w:color w:val="auto"/>
        </w:rPr>
        <w:t>, PLoS ONE 2013).</w:t>
      </w:r>
    </w:p>
    <w:p>
      <w:pPr>
        <w:spacing w:after="0" w:line="183" w:lineRule="exact"/>
        <w:rPr>
          <w:rFonts w:ascii="Arial" w:cs="Arial" w:eastAsia="Arial" w:hAnsi="Arial"/>
          <w:sz w:val="18"/>
          <w:szCs w:val="18"/>
          <w:color w:val="auto"/>
        </w:rPr>
      </w:pPr>
    </w:p>
    <w:p>
      <w:pPr>
        <w:ind w:left="980" w:right="106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wild-type and transgenic mice, immunization with ACI-35 generated a specific antibody response to phosphorylated vs. non-phosphorylated Tau protein (Vukicevic </w:t>
      </w:r>
      <w:r>
        <w:rPr>
          <w:rFonts w:ascii="Arial" w:cs="Arial" w:eastAsia="Arial" w:hAnsi="Arial"/>
          <w:sz w:val="18"/>
          <w:szCs w:val="18"/>
          <w:i w:val="1"/>
          <w:iCs w:val="1"/>
          <w:color w:val="auto"/>
        </w:rPr>
        <w:t>et. al.</w:t>
      </w:r>
      <w:r>
        <w:rPr>
          <w:rFonts w:ascii="Arial" w:cs="Arial" w:eastAsia="Arial" w:hAnsi="Arial"/>
          <w:sz w:val="18"/>
          <w:szCs w:val="18"/>
          <w:color w:val="auto"/>
        </w:rPr>
        <w:t xml:space="preserve"> AAT-AD/PD 2020).</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transgenic mice, immunization with ACI-35 led to a significant decrease of soluble and insoluble total Tau protein and insoluble pTau species in brain (Figure 12).</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left="700" w:right="260"/>
        <w:spacing w:after="0" w:line="282" w:lineRule="auto"/>
        <w:rPr>
          <w:sz w:val="20"/>
          <w:szCs w:val="20"/>
          <w:color w:val="auto"/>
        </w:rPr>
      </w:pPr>
      <w:r>
        <w:rPr>
          <w:rFonts w:ascii="Arial" w:cs="Arial" w:eastAsia="Arial" w:hAnsi="Arial"/>
          <w:sz w:val="18"/>
          <w:szCs w:val="18"/>
          <w:b w:val="1"/>
          <w:bCs w:val="1"/>
          <w:color w:val="auto"/>
        </w:rPr>
        <w:t>Figure 12: Immunization of hTauP301L mice leads to a reduction of the levels of pS396 and HT7 in the Sarkosyl insoluble forebrain of Tau.P301L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114300</wp:posOffset>
            </wp:positionV>
            <wp:extent cx="3711575" cy="213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1157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Theunis </w:t>
      </w:r>
      <w:r>
        <w:rPr>
          <w:rFonts w:ascii="Arial" w:cs="Arial" w:eastAsia="Arial" w:hAnsi="Arial"/>
          <w:sz w:val="18"/>
          <w:szCs w:val="18"/>
          <w:i w:val="1"/>
          <w:iCs w:val="1"/>
          <w:color w:val="auto"/>
        </w:rPr>
        <w:t>et al.</w:t>
      </w:r>
      <w:r>
        <w:rPr>
          <w:rFonts w:ascii="Arial" w:cs="Arial" w:eastAsia="Arial" w:hAnsi="Arial"/>
          <w:sz w:val="18"/>
          <w:szCs w:val="18"/>
          <w:color w:val="auto"/>
        </w:rPr>
        <w:t>, PLoS ONE 2013</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design</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safety, tolerability and immunogenicity of ACI-35 were tested in a Phase 1b study in patients with mild-to-moderate AD. It was a randomized, placebo-controlled, double-blind study. Different doses and dosing schedules were investigated in an ascending dose design. Multiple injections of ACI-35 were administered per cohort for active or placebo treatment in a three-to-one ratio.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ACI-35 vaccine is considered to be safe and well tolerated with no events related to CNS inflammation. As previously reported, five SAEs were observed in three patients.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ACI-35 elicited a rapid induction of anti-pTau antibodies after the first immunization in all study cohorts, indicating a T-cell-independent antibody response. However, this response lacked the boosting effect desired for optimal long-term and potentially preventive application. Therefore, in a collaborative effort, AC Immune and Janssen successfully developed an optimized anti-Tau vaccine, ACI-35.030.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ACI-35.030</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ACI-35.030 is an optimized liposomal anti-pTau vaccine formulation designed to elicit an enhanced antibody response. In preclinical studies, ACI-35.030 showed that it retains the excellent non-clinical safety profile and the highly specific antibody response against pTau observed with ACI-35, while demonstrating an enhanced and more homogeneous antibody response with a significant, long-lasting boosting effect. We are developing ACI-35.030 with Janssen in accordance with our collaboration agreement.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right="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ACI-35.030 comprises a pTau peptide and a T-cell epitope capable of binding to human leukocyte antigen-major histocompatibility complex, class II (HLA-DR) molecules.</w:t>
      </w:r>
    </w:p>
    <w:p>
      <w:pPr>
        <w:spacing w:after="0" w:line="170"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 rhesus monkeys, ACI-35.030 induced a specific response to pTau over non-phosphorylated Tau, similar to that observed with ACI-35 (Vukicevic </w:t>
      </w:r>
      <w:r>
        <w:rPr>
          <w:rFonts w:ascii="Arial" w:cs="Arial" w:eastAsia="Arial" w:hAnsi="Arial"/>
          <w:sz w:val="18"/>
          <w:szCs w:val="18"/>
          <w:i w:val="1"/>
          <w:iCs w:val="1"/>
          <w:color w:val="auto"/>
        </w:rPr>
        <w:t>et. al.</w:t>
      </w:r>
      <w:r>
        <w:rPr>
          <w:rFonts w:ascii="Arial" w:cs="Arial" w:eastAsia="Arial" w:hAnsi="Arial"/>
          <w:sz w:val="18"/>
          <w:szCs w:val="18"/>
          <w:color w:val="auto"/>
        </w:rPr>
        <w:t xml:space="preserve"> AAT-AD/PD 2020). This is significant as Tau hyper-phosphorylation is considered an early event in the development of Tau pathology, occurring even several decades before the onset of Tau deposits.</w:t>
      </w:r>
    </w:p>
    <w:p>
      <w:pPr>
        <w:spacing w:after="0" w:line="183"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Sera from rhesus monkeys immunized with ACI-35.030 binds specifically to pathological Tau in brain sections with AD as compared to healthy human brain tissue (Kosco-Vilbois, KOL event</w:t>
      </w:r>
    </w:p>
    <w:p>
      <w:pPr>
        <w:sectPr>
          <w:pgSz w:w="11900" w:h="16838" w:orient="portrait"/>
          <w:cols w:equalWidth="0" w:num="1">
            <w:col w:w="11200"/>
          </w:cols>
          <w:pgMar w:left="320" w:top="225" w:right="37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63" w:name="page64"/>
    <w:bookmarkEnd w:id="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‘Untangling’ Tau Pathology to Treat Alzheimer’s and Neurodegenerative Diseases NYC, Nov 2019)</w:t>
      </w:r>
    </w:p>
    <w:p>
      <w:pPr>
        <w:spacing w:after="0" w:line="225" w:lineRule="exact"/>
        <w:rPr>
          <w:sz w:val="20"/>
          <w:szCs w:val="20"/>
          <w:color w:val="auto"/>
        </w:rPr>
      </w:pPr>
    </w:p>
    <w:p>
      <w:pPr>
        <w:ind w:left="980" w:right="14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nonclinical studies, immunization with ACI-35.030 elicits an enhanced and homogeneous antibody response with boosting effect. In non-human primates (NHPs), immunization with ACI-35.030 lead to an increased level of specific anti-pTau IgG titers compared to ACI-35 (Figure 13).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13: pTau-specific IgG titers in NHP induced by ACI-35.030 and ACI-35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154305</wp:posOffset>
            </wp:positionV>
            <wp:extent cx="4200525" cy="1705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0052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Dr. Marie Kosco-Vilbois, KOL event ‘Untangling’ Tau Pathology to Treat Alzheimer’s and Neurodegenerative Diseases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JACI-35.054</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JACI-35.054 is an investigational exploratory alternative pTau vaccine, which is developed with Janssen in accordance with our collaboration agreement.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JACI-35.054 is an alternative anti-pTau vaccine.</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Immunization of rhesus macaques with JACI-35.054 generates an immune response that specifically binds to pathological tau structures in human AD brain sections.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1b/2a study</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Phase 1b/2a study is a randomized, multicenter, double-blind, placebo-controlled clinical study with a primary objective to assess the safety, tolerability and immunogenicity of different doses of ACI-35.030 and JACI-35.054 in patients with early AD. Secondary objectives will assess additional immunogenicity parameters, while exploratory endpoints will include notable biomarkers of progression of AD as well as clinical assessments. This Phase 1b/2a study evaluating ACI-35.030 and JACI-35.054 was initiated in Q3 2019 and is currently ongoing.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date, a total of 16 patients (six on active vaccination and two on placebo per sub-cohort) have been randomized in the first two dose-level cohorts with ACI-35.030 and vaccination has commenced in the 3rd dose-level sub-cohort. In addition, a further eight subjects (six subjects on active vaccination and two on placebo) have been randomized to the first dose-level sub-cohort with JACI-35.054 in the Phase 1b/2a study, and the recruitment will be pursued in the subsequent sub-cohorts. Two SAEs have been reported to date, an episode of acute diverticulitis and one sick sinus syndrome, both of them are considered unlikely related to the study treatment.</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Antibody response (interim)</w:t>
      </w:r>
    </w:p>
    <w:p>
      <w:pPr>
        <w:spacing w:after="0" w:line="225" w:lineRule="exact"/>
        <w:rPr>
          <w:sz w:val="20"/>
          <w:szCs w:val="20"/>
          <w:color w:val="auto"/>
        </w:rPr>
      </w:pPr>
    </w:p>
    <w:p>
      <w:pPr>
        <w:jc w:val="both"/>
        <w:ind w:right="360" w:firstLine="321"/>
        <w:spacing w:after="0" w:line="259" w:lineRule="auto"/>
        <w:rPr>
          <w:sz w:val="20"/>
          <w:szCs w:val="20"/>
          <w:color w:val="auto"/>
        </w:rPr>
      </w:pPr>
      <w:r>
        <w:rPr>
          <w:rFonts w:ascii="Arial" w:cs="Arial" w:eastAsia="Arial" w:hAnsi="Arial"/>
          <w:sz w:val="18"/>
          <w:szCs w:val="18"/>
          <w:color w:val="auto"/>
        </w:rPr>
        <w:t>Based on interim results from the first two dose-level sub-cohorts, ACI-35.030 vaccination resulted in an anti-Tau IgG response that preferentially targets phosphorylated Tau in all patients. 100% of patients demonstrated an anti-pTau IgG response after the 1st injection for both lowest and second highest dosages. Very high anti-pTau IgG titers were observed following injection. An anti-pTau IgM response was also elicited in all patients for both doses.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Semorinemab</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Semorinemab is a humanized high-affinity IgG4 isotype antibody candidate discovered using our SupraAntigen technology that binds all forms of Tau.</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Semorinemab is designed to intercept extracellular Tau, stopping or slowing cell-to-cell spread and propagation of pathological Tau in the brain.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Semorinemab is in Phase 2 clinical development for AD as part of an ongoing collaboration, which was established in 2012, with Genentech.</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anti-Tau monoclonal antibody program successfully generated multiple humanized antibodies for potential use as passive immunotherapies, which are highly specific for pathological forms of Tau found in AD and other Tauopathies. Results from preclinical studies demonstrated a reduction in pathological Tau and improvement of long-term spatial memory. Efficacy studies run in mouse models of AD and other Tauopathies exhibited dose– response alleviation of Tau pathology with behavioral improvements.</w:t>
      </w:r>
    </w:p>
    <w:p>
      <w:pPr>
        <w:spacing w:after="0" w:line="18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Figure 14: Alleviation of Tau pathology in models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154305</wp:posOffset>
            </wp:positionV>
            <wp:extent cx="4671695" cy="12001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7169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Ayalon </w:t>
      </w:r>
      <w:r>
        <w:rPr>
          <w:rFonts w:ascii="Arial" w:cs="Arial" w:eastAsia="Arial" w:hAnsi="Arial"/>
          <w:sz w:val="18"/>
          <w:szCs w:val="18"/>
          <w:i w:val="1"/>
          <w:iCs w:val="1"/>
          <w:color w:val="auto"/>
        </w:rPr>
        <w:t>et al.,</w:t>
      </w:r>
      <w:r>
        <w:rPr>
          <w:rFonts w:ascii="Arial" w:cs="Arial" w:eastAsia="Arial" w:hAnsi="Arial"/>
          <w:sz w:val="18"/>
          <w:szCs w:val="18"/>
          <w:color w:val="auto"/>
        </w:rPr>
        <w:t xml:space="preserve"> AD/PD 2017</w:t>
      </w:r>
    </w:p>
    <w:p>
      <w:pPr>
        <w:spacing w:after="0" w:line="221" w:lineRule="exact"/>
        <w:rPr>
          <w:sz w:val="20"/>
          <w:szCs w:val="20"/>
          <w:color w:val="auto"/>
        </w:rPr>
      </w:pPr>
    </w:p>
    <w:p>
      <w:pPr>
        <w:ind w:left="340" w:right="1020"/>
        <w:spacing w:after="0" w:line="282" w:lineRule="auto"/>
        <w:rPr>
          <w:sz w:val="20"/>
          <w:szCs w:val="20"/>
          <w:color w:val="auto"/>
        </w:rPr>
      </w:pPr>
      <w:r>
        <w:rPr>
          <w:rFonts w:ascii="Arial" w:cs="Arial" w:eastAsia="Arial" w:hAnsi="Arial"/>
          <w:sz w:val="18"/>
          <w:szCs w:val="18"/>
          <w:color w:val="auto"/>
        </w:rPr>
        <w:t>Representative images of hippocampal coronal sections from human Tau-P301L transgenic mice treated with (</w:t>
      </w:r>
      <w:r>
        <w:rPr>
          <w:rFonts w:ascii="Arial" w:cs="Arial" w:eastAsia="Arial" w:hAnsi="Arial"/>
          <w:sz w:val="18"/>
          <w:szCs w:val="18"/>
          <w:b w:val="1"/>
          <w:bCs w:val="1"/>
          <w:color w:val="auto"/>
        </w:rPr>
        <w:t>A</w:t>
      </w:r>
      <w:r>
        <w:rPr>
          <w:rFonts w:ascii="Arial" w:cs="Arial" w:eastAsia="Arial" w:hAnsi="Arial"/>
          <w:sz w:val="18"/>
          <w:szCs w:val="18"/>
          <w:color w:val="auto"/>
        </w:rPr>
        <w:t>) control antibody or (</w:t>
      </w:r>
      <w:r>
        <w:rPr>
          <w:rFonts w:ascii="Arial" w:cs="Arial" w:eastAsia="Arial" w:hAnsi="Arial"/>
          <w:sz w:val="18"/>
          <w:szCs w:val="18"/>
          <w:b w:val="1"/>
          <w:bCs w:val="1"/>
          <w:color w:val="auto"/>
        </w:rPr>
        <w:t>B</w:t>
      </w:r>
      <w:r>
        <w:rPr>
          <w:rFonts w:ascii="Arial" w:cs="Arial" w:eastAsia="Arial" w:hAnsi="Arial"/>
          <w:sz w:val="18"/>
          <w:szCs w:val="18"/>
          <w:color w:val="auto"/>
        </w:rPr>
        <w:t>) semorinemab, and immunostained for pathological Tau deposits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A Phase 1 clinical trial involving 75 subjects evaluated the safety, tolerability, pharmacokinetics and preliminary data on therapeutic activity of semorinemab in people with AD and in healthy volunteers. This trial was completed in the second quarter of 2017. Semorinemab was administered at single doses of up to 16,800 mg to healthy volunteers, and at multiple doses of 8,400 mg to healthy volunteers and patients with mild-to-moderate AD. No dose-limiting toxicities and no SAEs were observed. No participant withdrawals, modifications or interruptions due to an adverse event were reported.</w:t>
      </w:r>
    </w:p>
    <w:p>
      <w:pPr>
        <w:spacing w:after="0" w:line="1" w:lineRule="exact"/>
        <w:rPr>
          <w:sz w:val="20"/>
          <w:szCs w:val="20"/>
          <w:color w:val="auto"/>
        </w:rPr>
      </w:pPr>
    </w:p>
    <w:p>
      <w:pPr>
        <w:ind w:right="860"/>
        <w:spacing w:after="0" w:line="237" w:lineRule="auto"/>
        <w:rPr>
          <w:sz w:val="20"/>
          <w:szCs w:val="20"/>
          <w:color w:val="auto"/>
        </w:rPr>
      </w:pPr>
      <w:r>
        <w:rPr>
          <w:rFonts w:ascii="Arial" w:cs="Arial" w:eastAsia="Arial" w:hAnsi="Arial"/>
          <w:sz w:val="17"/>
          <w:szCs w:val="17"/>
          <w:color w:val="auto"/>
        </w:rPr>
        <w:t>Results were presented at multiple conferences, including the 13</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International Conference on Alzheimer's &amp; Parkinson's Diseases and Related Neurological Disorders (AD/PD) in 2017, the AAIC in 2017, and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international CTAD conference in 2017.</w:t>
      </w:r>
    </w:p>
    <w:p>
      <w:pPr>
        <w:spacing w:after="0" w:line="79"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Semorinemab exhibited a dose-proportional pharmacokinetic profile and CNS exposure, with a median half-life of 32.3 days. Plasma total Tau concentration increased with increasing drug doses and was doubled in participants with AD compared with healthy volunteers, suggesting a pharmacodynamic signal as shown in the figure below.</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15: Phase 1 pharmacokinetic and plasma Tau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217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 Kerchner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CTAD 2017.</w:t>
      </w:r>
    </w:p>
    <w:p>
      <w:pPr>
        <w:spacing w:after="0" w:line="225"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A Phase 2 clinical trial (Tauriel) commenced in Q4 2017 with the dosing of the first patient. This multicenter trial, which enrolled 457 participants, assessed the safety, tolerability and efficacy of semorinemab in people with prodromal-to-mild AD. Participants received one of three active doses or a placebo for 72 weeks, followed by a 96-week optional open-label extension (OLE) (Figure 16). Primary endpoints included safety assessment and the composite functional and cognitive endpoint CDR (Clinical Dementia Rating scale) CDR-SB score.</w:t>
      </w:r>
    </w:p>
    <w:p>
      <w:pPr>
        <w:spacing w:after="0" w:line="16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16: Phase 2 (Tauriel)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154305</wp:posOffset>
            </wp:positionV>
            <wp:extent cx="4920615" cy="23660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2061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Kerchner </w:t>
      </w:r>
      <w:r>
        <w:rPr>
          <w:rFonts w:ascii="Arial" w:cs="Arial" w:eastAsia="Arial" w:hAnsi="Arial"/>
          <w:sz w:val="18"/>
          <w:szCs w:val="18"/>
          <w:i w:val="1"/>
          <w:iCs w:val="1"/>
          <w:color w:val="auto"/>
        </w:rPr>
        <w:t>et al.</w:t>
      </w:r>
      <w:r>
        <w:rPr>
          <w:rFonts w:ascii="Arial" w:cs="Arial" w:eastAsia="Arial" w:hAnsi="Arial"/>
          <w:sz w:val="18"/>
          <w:szCs w:val="18"/>
          <w:color w:val="auto"/>
        </w:rPr>
        <w:t>, CTAD 2017</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On September 23, 2020, the Company reported that Genentech informed us of top line results which showed that semorinemab did not meet its primary efficacy endpoint of reducing decline on Clinical Dementia Rating-Sum of Boxes (CDR-SB) compared to placebo. Two secondary endpoints, Alzheimer’s Disease Assessment Scale-Cognitive Subscale 13 (ADAS-Cog13) and Alzheimer’s Disease Cooperative Study Group – Activities of Daily Living Inventory (ADCS-ADL), were also not met. The primary safety endpoint was however met.</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Further analyses revealed a dose-dependent increase in serum pharmacokinetics and evidence of target engagement, measured by an increase in plasma Tau levels, which is consistent with previous Phase 1 study results (Figure 17). Semorinemab did not show a dose-dependent effect on Tau PET signal in the brain. Additional biomarker data are being analyzed.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Figure 17: Phase 2 (Tauriel) study pharmacokinetic and pharmacodynamic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154305</wp:posOffset>
            </wp:positionV>
            <wp:extent cx="4732020" cy="1929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320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Teng </w:t>
      </w:r>
      <w:r>
        <w:rPr>
          <w:rFonts w:ascii="Arial" w:cs="Arial" w:eastAsia="Arial" w:hAnsi="Arial"/>
          <w:sz w:val="18"/>
          <w:szCs w:val="18"/>
          <w:i w:val="1"/>
          <w:iCs w:val="1"/>
          <w:color w:val="auto"/>
        </w:rPr>
        <w:t>et al.</w:t>
      </w:r>
      <w:r>
        <w:rPr>
          <w:rFonts w:ascii="Arial" w:cs="Arial" w:eastAsia="Arial" w:hAnsi="Arial"/>
          <w:sz w:val="18"/>
          <w:szCs w:val="18"/>
          <w:color w:val="auto"/>
        </w:rPr>
        <w:t>, CTAD 2020</w:t>
      </w:r>
    </w:p>
    <w:p>
      <w:pPr>
        <w:spacing w:after="0" w:line="225" w:lineRule="exact"/>
        <w:rPr>
          <w:sz w:val="20"/>
          <w:szCs w:val="20"/>
          <w:color w:val="auto"/>
        </w:rPr>
      </w:pPr>
    </w:p>
    <w:p>
      <w:pPr>
        <w:ind w:right="20" w:firstLine="321"/>
        <w:spacing w:after="0" w:line="255" w:lineRule="auto"/>
        <w:rPr>
          <w:sz w:val="20"/>
          <w:szCs w:val="20"/>
          <w:color w:val="auto"/>
        </w:rPr>
      </w:pPr>
      <w:r>
        <w:rPr>
          <w:rFonts w:ascii="Arial" w:cs="Arial" w:eastAsia="Arial" w:hAnsi="Arial"/>
          <w:sz w:val="18"/>
          <w:szCs w:val="18"/>
          <w:color w:val="auto"/>
        </w:rPr>
        <w:t>A second Phase 2 trial (Lauriet) was initiated in Q1 2019. This is a multicenter study enrolling 260 participants, and is designed to evaluate the clinical efficacy, safety, pharmacokinetics and pharmacodynamics of semorinemab in patients with moderate AD [Mini Mental State Examination (MMSE) 16–21, CDR-GS 1 or 2]. The study consists of a screening period, a double-blind treatment period of 49 weeks, an optional OLE period, and a follow-up period, with the 11-item Alzheimer's Disease Assessment Scale-cognitive subscale (ADAS-Cog11) and Alzheimer's Disease Cooperative Study-Activities of Daily Living tools as the primary endpoints, and CDR-SB, MMSE and safety as secondary endpoints. Primary completion (last patient, last visit) is estimated in Q2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Anti-Morphomer Tau</w:t>
      </w:r>
    </w:p>
    <w:p>
      <w:pPr>
        <w:spacing w:after="0" w:line="22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 xml:space="preserve">Approximately 1,600 compounds were screened so far for the Morphomer Tau program. This allowed the identification of several chemical series of orally bioavailable small molecules with suitable CNS properties. The lead compounds displayed selectivity for binding to pathological Tau aggregates in preference to other protein aggregates. In addition, the lead compounds were able to prevent Tau aggregation and promote its disaggregation. Further characterization using multiple orthogonal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tests addressing pharmacology, absorption, distribution, metabolism, and excretion (ADME), and safety properties led to the identification of the first clinical candidate ACI-3024.</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ACI-3024</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ACI-3024 is a potent inhibitor of Tau aggregation that acts not only on the Tau native form, but also on synthetic fibers derived from the six human Tau isoforms as well as from the four mutants containing common point mutations associated with human Tauopathies, such as FTLD-Tau (e.g. PSP, Pick’s disease, corticobasal degeneration). ACI-3024 selectively binds to aggregated Tau and does not bind to the monomeric forms of Tau. Moreover, the binding to Tau aggregates is selective, with no cross-reactivity to aggregates of Abeta and a-syn.</w:t>
      </w:r>
    </w:p>
    <w:p>
      <w:pPr>
        <w:spacing w:after="0" w:line="18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 xml:space="preserve">ACI-3024 showed a potent and dose-dependent reduction in spontaneous intracellular Tau aggregation and misfolding as measured by immunocytochemistry in human neuronal-like cells over-expressing Tau. Furthermore, ACI-3024 promoted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disaggregation of Tau neurofibrillary tangles on human AD brain sections.</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ACI-3024 was evaluated in the Tg4510 mouse model (Ramsden </w:t>
      </w:r>
      <w:r>
        <w:rPr>
          <w:rFonts w:ascii="Arial" w:cs="Arial" w:eastAsia="Arial" w:hAnsi="Arial"/>
          <w:sz w:val="18"/>
          <w:szCs w:val="18"/>
          <w:i w:val="1"/>
          <w:iCs w:val="1"/>
          <w:color w:val="auto"/>
        </w:rPr>
        <w:t>et al.</w:t>
      </w:r>
      <w:r>
        <w:rPr>
          <w:rFonts w:ascii="Arial" w:cs="Arial" w:eastAsia="Arial" w:hAnsi="Arial"/>
          <w:sz w:val="18"/>
          <w:szCs w:val="18"/>
          <w:color w:val="auto"/>
        </w:rPr>
        <w:t xml:space="preserve">, 2005).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treatment of Tg4510 transgenic mice with ACI-3024 reduced aggregated and insoluble hyper-phosphorylated Tau. Immunohistochemistry analysis of misfolded Tau using an MC1 antibody in Tg4510 brain sections of the same mice treated with ACI-3024 showed reduction of misfolded Tau. These effects were proportional to the plasma concentration of ACI-3024 (Figure 18).</w:t>
      </w:r>
    </w:p>
    <w:p>
      <w:pPr>
        <w:spacing w:after="0" w:line="18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Total Tau concentration in cerebrospinal fluid (CSF) was inversely correlated with ACI-3024 exposure in plasma, suggesting the possibility of exploring CSF Tau concentrations as a biomarker of target engagement.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ACI-3024 further assessment is ongoing in rare NeuroOrphan indications.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 xml:space="preserve">Figure 18: Dose-dependent reduction in Tau misfolding </w:t>
      </w:r>
      <w:r>
        <w:rPr>
          <w:rFonts w:ascii="Arial" w:cs="Arial" w:eastAsia="Arial" w:hAnsi="Arial"/>
          <w:sz w:val="18"/>
          <w:szCs w:val="18"/>
          <w:b w:val="1"/>
          <w:bCs w:val="1"/>
          <w:i w:val="1"/>
          <w:iCs w:val="1"/>
          <w:color w:val="auto"/>
        </w:rPr>
        <w:t>in vivo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 AC Immune unpublished data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Preclinical safety</w:t>
      </w:r>
    </w:p>
    <w:p>
      <w:pPr>
        <w:spacing w:after="0" w:line="22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 xml:space="preserve">ACI-3024 has a good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ADME profile, including low clearance, long half-life and good CNS disposition as assessed by brain and CSF concentrations. ACI-3024 was negative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genotoxicity assays [Ames, micronucleus test (MNT) and mouse lymphoma cell mutagenesis (MLY)] and has undergone an extensive toxicology and safety pharmacology assessment. The no observed adverse effect level has been established at 300 mg/kg in rodent and at 450 mg/kg in non-rodent animals after 4 weeks of treatment (Poli, CTAD 2018).</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on neuroinflammation</w:t>
      </w:r>
    </w:p>
    <w:p>
      <w:pPr>
        <w:spacing w:after="0" w:line="22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 xml:space="preserve">ACI-3024 efficacy on pathological Tau-induced neuroinflammation was assessed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ACI-3024 induced a potent reduction of Tau-induced neuroinflammation markers (Figure 19, below).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Tg4510 mice, treatment with ACI-3024 overall reduced microgliosis, most likely as a downstream consequence of reducing Tau pathology, by reducing the derived pathological Tau-induced microglial activation (Figure 19).</w:t>
      </w:r>
    </w:p>
    <w:p>
      <w:pPr>
        <w:spacing w:after="0" w:line="14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Figure 19: ACI-3024 significantly reduces Tau-induced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154305</wp:posOffset>
            </wp:positionV>
            <wp:extent cx="3994785" cy="19030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9478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 AC Immune unpublished data</w:t>
      </w:r>
    </w:p>
    <w:p>
      <w:pPr>
        <w:spacing w:after="0" w:line="221" w:lineRule="exact"/>
        <w:rPr>
          <w:sz w:val="20"/>
          <w:szCs w:val="20"/>
          <w:color w:val="auto"/>
        </w:rPr>
      </w:pPr>
    </w:p>
    <w:p>
      <w:pPr>
        <w:jc w:val="center"/>
        <w:ind w:right="89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 study</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This Phase 1 study was a first-in-human (FiH), randomized, placebo-controlled, double-blind, sequential single and multiple ascending dose study. The study assessed the safety, tolerability, pharmacokinetics, and pharmacodynamics of ACI-3024. Part I included five single ascending doses in healthy volunteers, with a food effect assessment in the fourth dose cohort. In Part II, three escalating multiple dose regimens were evaluated; regimen two was assessed in different populations of healthy volunteers. CSF samples were collected from the highest multiple dose group.</w:t>
      </w:r>
    </w:p>
    <w:p>
      <w:pPr>
        <w:sectPr>
          <w:pgSz w:w="11900" w:h="16838" w:orient="portrait"/>
          <w:cols w:equalWidth="0" w:num="1">
            <w:col w:w="11220"/>
          </w:cols>
          <w:pgMar w:left="320" w:top="225" w:right="359"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321"/>
        <w:spacing w:after="0" w:line="259" w:lineRule="auto"/>
        <w:rPr>
          <w:sz w:val="20"/>
          <w:szCs w:val="20"/>
          <w:color w:val="auto"/>
        </w:rPr>
      </w:pPr>
      <w:r>
        <w:rPr>
          <w:rFonts w:ascii="Arial" w:cs="Arial" w:eastAsia="Arial" w:hAnsi="Arial"/>
          <w:sz w:val="18"/>
          <w:szCs w:val="18"/>
          <w:color w:val="auto"/>
        </w:rPr>
        <w:t>The study was executed as planned and all single and multiple dosing regimens were completed in healthy young, elderly, and Japanese subjects. ACI-3024 was administered following single or multiple oral doses and dose-dependent plasma exposure was observed. ACI-3024 showed a long half-life (47.5 to 101 h), with steady state reached after 12-13 days. Low renal clearance was shown. After multiple doses, ACI-3024 concentrations in CSF exceeded target concentrations based on animal studies.</w:t>
      </w:r>
    </w:p>
    <w:p>
      <w:pPr>
        <w:spacing w:after="0" w:line="187" w:lineRule="exact"/>
        <w:rPr>
          <w:sz w:val="20"/>
          <w:szCs w:val="20"/>
          <w:color w:val="auto"/>
        </w:rPr>
      </w:pPr>
    </w:p>
    <w:p>
      <w:pPr>
        <w:ind w:right="120" w:firstLine="321"/>
        <w:spacing w:after="0" w:line="263" w:lineRule="auto"/>
        <w:rPr>
          <w:sz w:val="20"/>
          <w:szCs w:val="20"/>
          <w:color w:val="auto"/>
        </w:rPr>
      </w:pPr>
      <w:r>
        <w:rPr>
          <w:rFonts w:ascii="Arial" w:cs="Arial" w:eastAsia="Arial" w:hAnsi="Arial"/>
          <w:sz w:val="18"/>
          <w:szCs w:val="18"/>
          <w:color w:val="auto"/>
        </w:rPr>
        <w:t>Plans to conduct additional clinical trials with ACI-3024 in AD have been suspended. The Companies have decided to pursue other promising Tau Morphomer candidates from AC Immune’s research platform for potential clinical development in AD. ACI-3024 will be further evaluated for efficacy in models of rare Tauopathies.</w:t>
      </w:r>
    </w:p>
    <w:p>
      <w:pPr>
        <w:spacing w:after="0" w:line="18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Figure 20: Morphomer Tau therapeutic program: summary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486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6064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ACI-24 is an anti-amyloid-beta vaccine candidate that is currently in parallel clinical development for AD and Down syndrome-related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and CNS inflammation and a mechanism of action independent of inflammatory T cells. ACI-24 is fully owned by AC Immune and has been developed in-house.</w:t>
      </w:r>
    </w:p>
    <w:p>
      <w:pPr>
        <w:spacing w:after="0" w:line="157" w:lineRule="exact"/>
        <w:rPr>
          <w:sz w:val="20"/>
          <w:szCs w:val="20"/>
          <w:color w:val="auto"/>
        </w:rPr>
      </w:pPr>
    </w:p>
    <w:p>
      <w:pPr>
        <w:jc w:val="center"/>
        <w:ind w:right="8760"/>
        <w:spacing w:after="0"/>
        <w:rPr>
          <w:sz w:val="20"/>
          <w:szCs w:val="20"/>
          <w:color w:val="auto"/>
        </w:rPr>
      </w:pPr>
      <w:r>
        <w:rPr>
          <w:rFonts w:ascii="Arial" w:cs="Arial" w:eastAsia="Arial" w:hAnsi="Arial"/>
          <w:sz w:val="18"/>
          <w:szCs w:val="18"/>
          <w:b w:val="1"/>
          <w:bCs w:val="1"/>
          <w:color w:val="auto"/>
        </w:rPr>
        <w:t>Clinical development in AD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1/2 study</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To be considered a Phase 1/2 study, a study, or part of it, must include as a primary goal the assessment of efficacy in a patient population, assessed using either clinical endpoints or biomarkers. This is in contrast to a Phase 1 study, for which the primary goal typically includes only safety and pharmacokinetic or pharmacodynamic measures.</w:t>
      </w:r>
    </w:p>
    <w:p>
      <w:pPr>
        <w:spacing w:after="0" w:line="1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Phase 1 part of the combined Phase 1/2 study is completed, and the clinical study report was finalized in 2019. The efficacy, tolerability and immunogenicity of ACI-24 were tested in patients with mild-to-moderate AD with four different doses in a randomized, placebo-controlled, double-blind study. The different doses were tested via an ascending dose design in four consecutive cohorts with 12 patients each (nine on active, three on placebo treatment). ACI-24 was administered with multiple injections per cohort. The initial safety follow-up period for two years was shortened to one year mainly for the patients of the last cohort.</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1 study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and tolerability</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Due to the observed favorable safety profile, the treatment-free safety follow-up period of the Phase 1 part of the study was shortened to one year using a protocol amendment. Fifteen non-drug related SAEs were observed in the Phase 1/2 study. In the current Phase 2 study in patients with mild AD, seven SAEs have been reported. Six of them were assessed as not related to study treatment and one SAE (transient ischemic attack) was considered unlikely to be related to the study treatment. Currently, the ACI-24 vaccine is considered safe and well tolerated.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Antibody responses were observed only in the two higher-dose groups of cohorts 3 and 4, indicating a dose-dependent effect of the vaccine. No IgG antibody response was observed in placebo-treated patients of those cohorts.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PET Imaging and cognitive measures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Although the study was not powered to examine efficacy, a tendency for reduction in accumulation in brain amyloid measured by PET imaging was observed in cohorts 3 and 4.</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Due to the safety profile and potential dose-dependent reduction of amyloid plaques as measured by PET imaging, we have moved this program forward into a Phase 2 clinical trial, which is currently ongoing. In order to optimize the immune response, the route of administration has been switched to intramuscular, as this route was associated with a better antibody response in a non-clinical study.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2 study design</w:t>
      </w:r>
    </w:p>
    <w:p>
      <w:pPr>
        <w:spacing w:after="0" w:line="225" w:lineRule="exact"/>
        <w:rPr>
          <w:sz w:val="20"/>
          <w:szCs w:val="20"/>
          <w:color w:val="auto"/>
        </w:rPr>
      </w:pPr>
    </w:p>
    <w:p>
      <w:pPr>
        <w:ind w:right="60" w:firstLine="321"/>
        <w:spacing w:after="0" w:line="275" w:lineRule="auto"/>
        <w:rPr>
          <w:sz w:val="20"/>
          <w:szCs w:val="20"/>
          <w:color w:val="auto"/>
        </w:rPr>
      </w:pPr>
      <w:r>
        <w:rPr>
          <w:rFonts w:ascii="Arial" w:cs="Arial" w:eastAsia="Arial" w:hAnsi="Arial"/>
          <w:sz w:val="17"/>
          <w:szCs w:val="17"/>
          <w:color w:val="auto"/>
        </w:rPr>
        <w:t>The aim of the Phase 2 double-blind, randomized, placebo-controlled adaptive design study is to assess the safety, tolerability, immunogenicity and target engagement of ACI-24 formulations in patients with mild AD. The trial will seek to confirm the positive trends on Abeta PET imaging observed in the previous Phase 1/2 study. The currently ongoing Phase 2 trial is being conducted in several European countries and the first dosing occurred in October 2018 via the intramuscular route of administration. A 12-month interim analysis was completed, and a further 18-month interim analysis is planned for Q2 2021. AC Immune will complete the Phase 2 study with the 24-month analysis on the basis of currently enrolled patients.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2 results (interim)</w:t>
      </w:r>
    </w:p>
    <w:p>
      <w:pPr>
        <w:spacing w:after="0" w:line="225" w:lineRule="exact"/>
        <w:rPr>
          <w:sz w:val="20"/>
          <w:szCs w:val="20"/>
          <w:color w:val="auto"/>
        </w:rPr>
      </w:pPr>
    </w:p>
    <w:p>
      <w:pPr>
        <w:ind w:firstLine="321"/>
        <w:spacing w:after="0" w:line="277" w:lineRule="auto"/>
        <w:rPr>
          <w:sz w:val="20"/>
          <w:szCs w:val="20"/>
          <w:color w:val="auto"/>
        </w:rPr>
      </w:pPr>
      <w:r>
        <w:rPr>
          <w:rFonts w:ascii="Arial" w:cs="Arial" w:eastAsia="Arial" w:hAnsi="Arial"/>
          <w:sz w:val="18"/>
          <w:szCs w:val="18"/>
          <w:color w:val="auto"/>
        </w:rPr>
        <w:t>Treatment has been safe and well tolerated to date. There have been no safety concerns nor evidence for central nervous system (CNS) inflammation or amyloid-related imaging abnormalities (ARIA) related to ACI-24 in any subject in the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 for Down syndrome-related AD</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AD dementia that commonly develops in people with DS bears remarkable clinical and pathological similarity to familial and sporadic forms of AD and is characterized by progressive changes in Abeta and a number of other relevant biomarkers, making this genetically defined population an excellent model for the disease. AC immune is pioneering this approach with ACI-24.</w:t>
      </w:r>
    </w:p>
    <w:p>
      <w:pPr>
        <w:spacing w:after="0" w:line="18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Individuals with DS have an extra copy of chromosome 21, which is where the gene for amyloid precursor protein (APP) resides. These individuals develop AD at a rate that is three to five times that of the general population and develop the disease at a much younger age. At autopsy, AD pathology has been reported in 80% of people with DS over the age of 40 and 100% over the age of 60 years. The prevalence of AD in people with DS is more than 50% over the age of 50 and 75–100% over the age of 60 years (Strydom, 2018). It is estimated that there are six million people with DS worldwide, with 250,000 in the US Preclinical results published by AC Immune in collaboration with Dr. Mobley of the University of California, San Diego in March 2016, showed, in a DS mouse model (Ts65Dn), a significant 20% memory improvement and a 27% reduction of Abeta in the brain following vaccination with ACI-DS-01, the mouse equivalent of ACI-24.</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Clinical development in 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design</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Phase 1b clinical trial was completed in 2020 and evaluated the safety and tolerability of ACI-24, its effect on induction of antibodies against Abeta and changes in biomarkers such as Abeta levels in blood and CSF, in adult participants with DS. The study was primarily funded by the Company with additional partial funding provided by a grant from the US National Institute on Aging, a part of the US National Institutes of Health (NIH) and an additional grant from the LuMind Research Down Syndrome Foundation. This dose-escalation study included 16 participants across all cohorts, aged 25−45 years and treated for 12 months, with a 12-month safety follow-up.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results (top line)</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ACI-24 was safe and well tolerated in adults with DS, with no serious adverse events (SAEs) or evidence for CNS inflammation, meningoencephalitis, or ARIA. There have been no early subject withdrawals at any dose. ACI-24 vaccination in adults with DS resulted in encouraging immunogenicity (generation of anti-Abeta antibodies) and a positive pharmacodynamic response as measured by an increase in plasma Abeta.</w:t>
      </w:r>
    </w:p>
    <w:p>
      <w:pPr>
        <w:spacing w:after="0" w:line="1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Due to the high vulnerability of people with DS to severe COVID-19 sequelae, initiation of the next clinical trial will be delayed to ensure the safety of study participants. In the interim, AC Immune is taking advantage of this time to accelerate development of its optimized anti-Abeta vaccine formulation, which demonstrated encouraging safety and superior immunogenicity results in mouse and non-human primate (NHP) studies. The optimized vaccine formulation primes, boosts and maintains a strong antibody response against key pathological Abeta species (including oligomeric and pyroglutamate Abeta). The antibodies elicited by the vaccine in NHPs showed clear target engagement by binding to human Abeta plaques on AD patient-derived brain tissue.</w:t>
      </w:r>
    </w:p>
    <w:p>
      <w:pPr>
        <w:spacing w:after="0" w:line="19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AC immune is in discussion with the Food and Drug Administration on a potentially accelerated development pathway for the optimized Abeta vaccine and expects to file an Investigational New Drug (IND) application in Q4 2021. The Company then plans to initiate a follow-on clinical trial in DS with the optimized vaccine formulation as soon as possible, depending on Covid-19.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Crenezumab</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Crenezumab is a humanized, conformation-specific monoclonal antibody that targets misfolded Abeta and has a broad binding profile. Crenezumab was developed using our proprietary SupraAntigen platform. In 2006, we licensed crenezumab to Genentech, a company with a long history of developing and commercializing innovative biologics.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660" w:right="22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Crenezumab binds to multiple forms of Abeta, particularly oligomeric forms, which it binds to with ten times higher affinity than to monomers. This is a desirable property since oligomeric forms of Abeta are believed to be principally responsible for neurotoxicity in AD.</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Crenezumab localizes to brain regions rich in oligomers, including the halo around plaques and hippocampal mossy fibers, but not to vascular Abeta (Maloney </w:t>
      </w:r>
      <w:r>
        <w:rPr>
          <w:rFonts w:ascii="Arial" w:cs="Arial" w:eastAsia="Arial" w:hAnsi="Arial"/>
          <w:sz w:val="18"/>
          <w:szCs w:val="18"/>
          <w:i w:val="1"/>
          <w:iCs w:val="1"/>
          <w:color w:val="auto"/>
        </w:rPr>
        <w:t>et al.</w:t>
      </w:r>
      <w:r>
        <w:rPr>
          <w:rFonts w:ascii="Arial" w:cs="Arial" w:eastAsia="Arial" w:hAnsi="Arial"/>
          <w:sz w:val="18"/>
          <w:szCs w:val="18"/>
          <w:color w:val="auto"/>
        </w:rPr>
        <w:t>, 2019).</w:t>
      </w:r>
    </w:p>
    <w:p>
      <w:pPr>
        <w:spacing w:after="0" w:line="170"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Crenezumab has been designed with an IgG4 backbone to reduce effector function on microglia compared with an IgG1 backbone, and to clear Abeta from the brain while limiting inflammation by minimizing FcγR-mediated inflammatory activation of microglia (Adolfsson </w:t>
      </w:r>
      <w:r>
        <w:rPr>
          <w:rFonts w:ascii="Arial" w:cs="Arial" w:eastAsia="Arial" w:hAnsi="Arial"/>
          <w:sz w:val="18"/>
          <w:szCs w:val="18"/>
          <w:i w:val="1"/>
          <w:iCs w:val="1"/>
          <w:color w:val="auto"/>
        </w:rPr>
        <w:t>et al</w:t>
      </w:r>
      <w:r>
        <w:rPr>
          <w:rFonts w:ascii="Arial" w:cs="Arial" w:eastAsia="Arial" w:hAnsi="Arial"/>
          <w:sz w:val="18"/>
          <w:szCs w:val="18"/>
          <w:color w:val="auto"/>
        </w:rPr>
        <w:t>., J. Neurosci 2012).</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Figure 21: Crenezumab’s IgG4 backbone balances efficacy with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160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606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Data reported in Adolfsson </w:t>
      </w:r>
      <w:r>
        <w:rPr>
          <w:rFonts w:ascii="Arial" w:cs="Arial" w:eastAsia="Arial" w:hAnsi="Arial"/>
          <w:sz w:val="18"/>
          <w:szCs w:val="18"/>
          <w:i w:val="1"/>
          <w:iCs w:val="1"/>
          <w:color w:val="auto"/>
        </w:rPr>
        <w:t>et al</w:t>
      </w:r>
      <w:r>
        <w:rPr>
          <w:rFonts w:ascii="Arial" w:cs="Arial" w:eastAsia="Arial" w:hAnsi="Arial"/>
          <w:sz w:val="18"/>
          <w:szCs w:val="18"/>
          <w:color w:val="auto"/>
        </w:rPr>
        <w:t>., J. Neurosci 2012</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 xml:space="preserve">The potential for a better safety profile derived from a human IgG4 rather than a IgG1 backbone has been born out in practice by the safety findings from the Phase 1, 2 and 3 clinical studies of crenezumab, in which, following either single or multiple doses, no increase in ARIA-E was reported (Cummings </w:t>
      </w:r>
      <w:r>
        <w:rPr>
          <w:rFonts w:ascii="Arial" w:cs="Arial" w:eastAsia="Arial" w:hAnsi="Arial"/>
          <w:sz w:val="18"/>
          <w:szCs w:val="18"/>
          <w:i w:val="1"/>
          <w:iCs w:val="1"/>
          <w:color w:val="auto"/>
        </w:rPr>
        <w:t>et al.</w:t>
      </w:r>
      <w:r>
        <w:rPr>
          <w:rFonts w:ascii="Arial" w:cs="Arial" w:eastAsia="Arial" w:hAnsi="Arial"/>
          <w:sz w:val="18"/>
          <w:szCs w:val="18"/>
          <w:color w:val="auto"/>
        </w:rPr>
        <w:t xml:space="preserve">, 2014 and Cummings </w:t>
      </w:r>
      <w:r>
        <w:rPr>
          <w:rFonts w:ascii="Arial" w:cs="Arial" w:eastAsia="Arial" w:hAnsi="Arial"/>
          <w:sz w:val="18"/>
          <w:szCs w:val="18"/>
          <w:i w:val="1"/>
          <w:iCs w:val="1"/>
          <w:color w:val="auto"/>
        </w:rPr>
        <w:t>et al.</w:t>
      </w:r>
      <w:r>
        <w:rPr>
          <w:rFonts w:ascii="Arial" w:cs="Arial" w:eastAsia="Arial" w:hAnsi="Arial"/>
          <w:sz w:val="18"/>
          <w:szCs w:val="18"/>
          <w:color w:val="auto"/>
        </w:rPr>
        <w:t>, 2018).</w:t>
      </w:r>
    </w:p>
    <w:p>
      <w:pPr>
        <w:spacing w:after="0" w:line="184"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Due to its capacity to bind to multiple forms of Abeta, with 10-fold higher specificity to oligomers, which are thought to be the most toxic species, crenezumab also protects against oligomer-induced neurotoxicity.</w:t>
      </w:r>
    </w:p>
    <w:p>
      <w:pPr>
        <w:spacing w:after="0" w:line="170" w:lineRule="exact"/>
        <w:rPr>
          <w:rFonts w:ascii="Arial" w:cs="Arial" w:eastAsia="Arial" w:hAnsi="Arial"/>
          <w:sz w:val="18"/>
          <w:szCs w:val="18"/>
          <w:color w:val="auto"/>
        </w:rPr>
      </w:pPr>
    </w:p>
    <w:p>
      <w:pPr>
        <w:jc w:val="both"/>
        <w:ind w:left="660" w:right="200" w:hanging="328"/>
        <w:spacing w:after="0" w:line="28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Linked to its unique epitope, crenezumab has been shown to promote disaggregation of existing Abeta aggregates and to disrupt their assembly, preventing amyloid plaque formation. The crystal structure reveals binding interactions that are consistent with this flexible binding profile and provides further explanation for crenezumab’s ability to block aggregation and to promote disaggregation.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Signal of activity in patients with milder AD (MMSE 22–26) in Phase 2 clinical trials</w:t>
      </w:r>
    </w:p>
    <w:p>
      <w:pPr>
        <w:spacing w:after="0" w:line="229" w:lineRule="exact"/>
        <w:rPr>
          <w:sz w:val="20"/>
          <w:szCs w:val="20"/>
          <w:color w:val="auto"/>
        </w:rPr>
      </w:pPr>
    </w:p>
    <w:p>
      <w:pPr>
        <w:ind w:left="660" w:right="2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170" w:lineRule="exact"/>
        <w:rPr>
          <w:rFonts w:ascii="Arial" w:cs="Arial" w:eastAsia="Arial" w:hAnsi="Arial"/>
          <w:sz w:val="18"/>
          <w:szCs w:val="18"/>
          <w:color w:val="auto"/>
        </w:rPr>
      </w:pPr>
    </w:p>
    <w:p>
      <w:pPr>
        <w:ind w:left="660" w:right="180" w:hanging="328"/>
        <w:spacing w:after="0" w:line="31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BLAZE biomarker study, the high-dose arm showed a consistent trend of reduced Abeta accumulation in the brain over time, as shown in two independent exploratory analyses of florbetapir-PET data. In addition, results have shown that crenezumab has the ability to enhance the removal of these proteins from the brain as evidenced by a significant increase in CSF Abeta, confirming target engagement by crenezumab.</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Favorable safety profile allowing for higher dosing</w:t>
      </w:r>
    </w:p>
    <w:p>
      <w:pPr>
        <w:spacing w:after="0" w:line="229" w:lineRule="exact"/>
        <w:rPr>
          <w:sz w:val="20"/>
          <w:szCs w:val="20"/>
          <w:color w:val="auto"/>
        </w:rPr>
      </w:pPr>
    </w:p>
    <w:p>
      <w:pPr>
        <w:ind w:left="660" w:right="280" w:hanging="328"/>
        <w:spacing w:after="0" w:line="279"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Phase 2 data from ABBY and BLAZE studies suggested that there were no imbalances in overall rate of AEs, and these were not dose-related, with only one case of asymptomatic ARIA-E (0.4% in ABBY, 0.3% on active pooled) in patients treated with crenezumab. AEs also included inflammation of the throat and nasal passages, urinary tract infections and upper respiratory infections. However, no patients in the studies experienced SAEs that were believed related to the administration of crenezumab.</w:t>
      </w:r>
    </w:p>
    <w:p>
      <w:pPr>
        <w:spacing w:after="0" w:line="171"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Phase 1 study with higher doses of crenezumab up to 120 mg/kg showed good tolerability with no investigator assessed drug-related SAEs and no events of ARIA-E, supporting the dose of 60 mg/kg in the Phase 3 CREAD clinical trials.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3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good safety profile and lack of induction of ARIA-E was confirmed in the Phase 3 CREAD and CREAD 2 studies, in which there was no increase in incidence of SAEs compared with placebo.</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Crenezumab is currently being evaluated in a Phase 2 clinical prevention trial in Colombia, which has enrolled 300 cognitively healthy individuals of whom 200 are genetically predisposed to develop early AD. As of January 2019, two Phase 3 clinical trials, CREAD and CREAD 2, in patients with prodromal-to-mild AD were discontinued after an interim analysis of the CREAD study conducted by our collaboration partner Genentech.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2 studies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2 study design overview</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mild-to-moderate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dependencies were considered indicators of a response in this learning phase of development, with confirmation to then be sought in Phase 3. Both studies had two active arms: a low-dose arm receiving 300 mg subcutaneous injection, every 2 weeks and a higher-dose arm receiving 15 mg/kg intravenously every 4 weeks. The primary analysis was conducted at 73 weeks, after 68 weeks of treatment. Safety and tolerability measures included repeated MRI scans to assess for the development of ARIA, both vasogenic edema (E) and hemorrhages (H).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ABBY study results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patients with mild-to-moderate AD (MMSE 18–26).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figure below. The milder group was not pre-specified, meaning the group of patients with milder AD was not identified before commencing the Phase 2 clinical studies.</w:t>
      </w:r>
    </w:p>
    <w:p>
      <w:pPr>
        <w:spacing w:after="0" w:line="1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22: ABBY high-dose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1594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6064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 Cummings </w:t>
      </w:r>
      <w:r>
        <w:rPr>
          <w:rFonts w:ascii="Arial" w:cs="Arial" w:eastAsia="Arial" w:hAnsi="Arial"/>
          <w:sz w:val="18"/>
          <w:szCs w:val="18"/>
          <w:i w:val="1"/>
          <w:iCs w:val="1"/>
          <w:color w:val="auto"/>
        </w:rPr>
        <w:t>et al.</w:t>
      </w:r>
      <w:r>
        <w:rPr>
          <w:rFonts w:ascii="Arial" w:cs="Arial" w:eastAsia="Arial" w:hAnsi="Arial"/>
          <w:sz w:val="18"/>
          <w:szCs w:val="18"/>
          <w:color w:val="auto"/>
        </w:rPr>
        <w:t>, AAIC, 2014</w:t>
      </w:r>
    </w:p>
    <w:p>
      <w:pPr>
        <w:spacing w:after="0" w:line="22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design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BLAZE study was a randomized, double-blind, parallel-group, placebo-controlled study to evaluate the effects of crenezumab on brain amyloid burden as assessed by amyloid PET imaging and other biomarker endpoints in patients with mild-to-moderate AD. The primary endpoint was the change in brain amyloid load using florbetapir-PET. The terms “brain amyloid burden” and “brain amyloid load” refer to the total amount of amyloid deposited in the brain. In total, 91 patients were included in the study.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results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primary endpoint of change in brain amyloid load by florbetapir-PET was not met, but the study was not powered to detect statistically significant results. However, positive trends were observed as shown below in exploratory analyses of the BLAZE amyloid PET results using a white matter reference region, which is considered a more sensitive approach for longitudinal studies. These analyses, conducted independently by two laboratories, the Banner Alzheimer’s Institute and MNI Laboratories, produced analogous results, with a trend in the reduction of Abeta accumulation observed in the high-dose arm (Figure 23). As described below, a similar result was obtained in the Phase 3 studies.</w:t>
      </w:r>
    </w:p>
    <w:p>
      <w:pPr>
        <w:spacing w:after="0" w:line="17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Figure 23: Blaze high-dose arm: amyloid PET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154305</wp:posOffset>
            </wp:positionV>
            <wp:extent cx="5572125" cy="27603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212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Honigberg </w:t>
      </w:r>
      <w:r>
        <w:rPr>
          <w:rFonts w:ascii="Arial" w:cs="Arial" w:eastAsia="Arial" w:hAnsi="Arial"/>
          <w:sz w:val="18"/>
          <w:szCs w:val="18"/>
          <w:i w:val="1"/>
          <w:iCs w:val="1"/>
          <w:color w:val="auto"/>
        </w:rPr>
        <w:t>et al.</w:t>
      </w:r>
      <w:r>
        <w:rPr>
          <w:rFonts w:ascii="Arial" w:cs="Arial" w:eastAsia="Arial" w:hAnsi="Arial"/>
          <w:sz w:val="18"/>
          <w:szCs w:val="18"/>
          <w:color w:val="auto"/>
        </w:rPr>
        <w:t>, CTAD 2014</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as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54" w:lineRule="exact"/>
        <w:rPr>
          <w:sz w:val="20"/>
          <w:szCs w:val="20"/>
          <w:color w:val="auto"/>
        </w:rPr>
      </w:pPr>
    </w:p>
    <w:p>
      <w:pPr>
        <w:jc w:val="both"/>
        <w:ind w:right="420" w:firstLine="324"/>
        <w:spacing w:after="0" w:line="22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29"/>
          <w:szCs w:val="29"/>
          <w:color w:val="auto"/>
          <w:vertAlign w:val="subscript"/>
        </w:rPr>
        <w:t>1–42</w:t>
      </w:r>
      <w:r>
        <w:rPr>
          <w:rFonts w:ascii="Arial" w:cs="Arial" w:eastAsia="Arial" w:hAnsi="Arial"/>
          <w:sz w:val="18"/>
          <w:szCs w:val="18"/>
          <w:color w:val="auto"/>
        </w:rPr>
        <w:t>, which we believe confirms target engagement by crenezumab. Similar results were observed in the ABBY study, which assessed CSF Abeta</w:t>
      </w:r>
      <w:r>
        <w:rPr>
          <w:rFonts w:ascii="Arial" w:cs="Arial" w:eastAsia="Arial" w:hAnsi="Arial"/>
          <w:sz w:val="29"/>
          <w:szCs w:val="29"/>
          <w:color w:val="auto"/>
          <w:vertAlign w:val="subscript"/>
        </w:rPr>
        <w:t>1-42</w:t>
      </w:r>
      <w:r>
        <w:rPr>
          <w:rFonts w:ascii="Arial" w:cs="Arial" w:eastAsia="Arial" w:hAnsi="Arial"/>
          <w:sz w:val="18"/>
          <w:szCs w:val="18"/>
          <w:color w:val="auto"/>
        </w:rPr>
        <w:t xml:space="preserve"> level in 49 patients. These results suggest that Abeta is being eliminated from the brain when treated with crenezumab.</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Figure 24: BLAZE high-dose arm: crenezumab increases CSF total Abeta levels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17145</wp:posOffset>
            </wp:positionV>
            <wp:extent cx="2897505" cy="2520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750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Honigberg </w:t>
      </w:r>
      <w:r>
        <w:rPr>
          <w:rFonts w:ascii="Arial" w:cs="Arial" w:eastAsia="Arial" w:hAnsi="Arial"/>
          <w:sz w:val="18"/>
          <w:szCs w:val="18"/>
          <w:i w:val="1"/>
          <w:iCs w:val="1"/>
          <w:color w:val="auto"/>
        </w:rPr>
        <w:t>et al.</w:t>
      </w:r>
      <w:r>
        <w:rPr>
          <w:rFonts w:ascii="Arial" w:cs="Arial" w:eastAsia="Arial" w:hAnsi="Arial"/>
          <w:sz w:val="18"/>
          <w:szCs w:val="18"/>
          <w:color w:val="auto"/>
        </w:rPr>
        <w:t>, CTAD 2014</w:t>
      </w:r>
    </w:p>
    <w:p>
      <w:pPr>
        <w:spacing w:after="0" w:line="96" w:lineRule="exact"/>
        <w:rPr>
          <w:sz w:val="20"/>
          <w:szCs w:val="20"/>
          <w:color w:val="auto"/>
        </w:rPr>
      </w:pPr>
    </w:p>
    <w:p>
      <w:pPr>
        <w:ind w:right="160" w:firstLine="324"/>
        <w:spacing w:after="0" w:line="296" w:lineRule="auto"/>
        <w:rPr>
          <w:sz w:val="20"/>
          <w:szCs w:val="20"/>
          <w:color w:val="auto"/>
        </w:rPr>
      </w:pPr>
      <w:r>
        <w:rPr>
          <w:rFonts w:ascii="Arial" w:cs="Arial" w:eastAsia="Arial" w:hAnsi="Arial"/>
          <w:sz w:val="18"/>
          <w:szCs w:val="18"/>
          <w:color w:val="auto"/>
        </w:rPr>
        <w:t>The BLAZE study results suggest that Abeta is being eliminated from the brain as patients showed a statistically significant increase in CSF Abeta</w:t>
      </w:r>
      <w:r>
        <w:rPr>
          <w:rFonts w:ascii="Arial" w:cs="Arial" w:eastAsia="Arial" w:hAnsi="Arial"/>
          <w:sz w:val="29"/>
          <w:szCs w:val="29"/>
          <w:color w:val="auto"/>
          <w:vertAlign w:val="subscript"/>
        </w:rPr>
        <w:t>1–</w:t>
      </w:r>
      <w:r>
        <w:rPr>
          <w:rFonts w:ascii="Arial" w:cs="Arial" w:eastAsia="Arial" w:hAnsi="Arial"/>
          <w:sz w:val="18"/>
          <w:szCs w:val="18"/>
          <w:color w:val="auto"/>
        </w:rPr>
        <w:t xml:space="preserve"> </w:t>
      </w:r>
      <w:r>
        <w:rPr>
          <w:rFonts w:ascii="Arial" w:cs="Arial" w:eastAsia="Arial" w:hAnsi="Arial"/>
          <w:sz w:val="29"/>
          <w:szCs w:val="29"/>
          <w:color w:val="auto"/>
          <w:vertAlign w:val="subscript"/>
        </w:rPr>
        <w:t>42</w:t>
      </w:r>
      <w:r>
        <w:rPr>
          <w:rFonts w:ascii="Arial" w:cs="Arial" w:eastAsia="Arial" w:hAnsi="Arial"/>
          <w:sz w:val="18"/>
          <w:szCs w:val="18"/>
          <w:color w:val="auto"/>
        </w:rPr>
        <w:t>, which confirms target engagement by crenezumab.</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As dose-limiting toxicities are a potential reason for the failure of other antibodies to demonstrate efficacy, crenezumab’s potential safety at high doses is a distinguishing product feature.</w:t>
      </w:r>
    </w:p>
    <w:p>
      <w:pPr>
        <w:spacing w:after="0" w:line="1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At AAIC in 2014, it was reported that in the combined Phase 2 study populations, SAEs occurred at similar rates in patients treated with crenezumab (16.5%) and in patients given a placebo (11.9%).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1b study to explore higher doses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 explore safety at higher doses, crenezumab was tested in a Phase 1b dose-escalation clinical study (NCT02353598) conducted in the US. This randomized, placebo-controlled, double-blind, four parallel-arm study evaluated the safety and tolerability of at least four doses of intravenous crenezumab in 77 patients with mild-to-moderate AD (MMSE 18–28) between the ages of 50 and 90 years. An optional OLE stage was offered to patients after completion of the double-blind stage of the study. At the 2017 AAIC meeting, Genentech presented the results of the four cohorts with mild-to-moderate AD. No dose-limiting toxicities were observed at crenezumab doses of 30, 45, 60 and 120 mg/kg. No events of ARIA-E were observed and only few patients (6 of 75) showed asymptomatic ARIA-H. The pharmacokinetic profile of crenezumab was dose-proportional up to the 120 mg/kg dose, with the 60mg/kg dose being selected for the Phase 3 CREAD and CREAD 2 studies.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AD prevention study</w:t>
      </w:r>
    </w:p>
    <w:p>
      <w:pPr>
        <w:spacing w:after="0" w:line="22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 xml:space="preserve">There is increasing understanding from studies in patients at risk of AD due to genetic mutations that the build-up of Abeta in the brain is a very early event in the condition, starting around 25 years before symptoms develop (McDade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2018). To treat the underlying amyloid pathology effectively it may therefore be necessary to use anti-amyloid therapies in a preventive mode, starting in patients in whom symptoms have not yet emerged.</w:t>
      </w:r>
    </w:p>
    <w:p>
      <w:pPr>
        <w:spacing w:after="0" w:line="14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2012, crenezumab was independently selected from among 25 product candidates for use in the first-ever such AD prevention study. The study, a collaboration worth USD 100 million between the NIH, Banner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years. The 5-year study has cognitive endpoints. An interim analysis is possible according to the protocol, but the data and results of that analysis may not be made public due to patient sensitivity. The study commenced Q4 2013 and the data for the primary outcome measures are expected in Q1 2022.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Figure 25: Crenezumab AD prevention trial (Alzheimer's Prevention Initiative AD/AD): unique population to study prevention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869180" cy="2177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6918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Mild cognitive impairment; (2) Alzheimer’s disease; (3) Presenilin-1</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Ref: McDade </w:t>
      </w:r>
      <w:r>
        <w:rPr>
          <w:rFonts w:ascii="Arial" w:cs="Arial" w:eastAsia="Arial" w:hAnsi="Arial"/>
          <w:sz w:val="18"/>
          <w:szCs w:val="18"/>
          <w:i w:val="1"/>
          <w:iCs w:val="1"/>
          <w:color w:val="auto"/>
        </w:rPr>
        <w:t>et al.</w:t>
      </w:r>
      <w:r>
        <w:rPr>
          <w:rFonts w:ascii="Arial" w:cs="Arial" w:eastAsia="Arial" w:hAnsi="Arial"/>
          <w:sz w:val="18"/>
          <w:szCs w:val="18"/>
          <w:color w:val="auto"/>
        </w:rPr>
        <w:t>, Neurology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studies (CREAD and CREAD 2)</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randomized, double-blind, placebo-controlled, parallel-group Phase 3 CREAD study enrolled about 750 participants with prodromal or mild AD at the age of 50−85 years. A high dose of crenezumab (60 mg/kg) was administered intravenously once every 4 weeks for 100 weeks. The primary outcome measure was the change from baseline to week 105 in CDR-SB score. An exposure–response model to evaluate the best dose of crenezumab for the treatment of AD was established, which predicted an improved outcome of the Phase 3 CREAD study by using the higher dose of 60 mg/kg relative to the Phase 2 trials (Polhamus </w:t>
      </w:r>
      <w:r>
        <w:rPr>
          <w:rFonts w:ascii="Arial" w:cs="Arial" w:eastAsia="Arial" w:hAnsi="Arial"/>
          <w:sz w:val="18"/>
          <w:szCs w:val="18"/>
          <w:i w:val="1"/>
          <w:iCs w:val="1"/>
          <w:color w:val="auto"/>
        </w:rPr>
        <w:t>et al.</w:t>
      </w:r>
      <w:r>
        <w:rPr>
          <w:rFonts w:ascii="Arial" w:cs="Arial" w:eastAsia="Arial" w:hAnsi="Arial"/>
          <w:sz w:val="18"/>
          <w:szCs w:val="18"/>
          <w:color w:val="auto"/>
        </w:rPr>
        <w:t>, CTAD 2016).</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30, 2019, we announced that Roche, the parent company of our collaboration partner, is discontinuing the CREAD and CREAD 2 (BN29552 and BN29553) Phase 3 studies of crenezumab in people with prodromal-to-mild sporadic AD. The decision came after an interim analysis of the first CREAD study conducted by the IDMC, which indicated that crenezumab was unlikely to meet its primary endpoint of change from baseline in CDR-SB score.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presented at CTAD 2019, target engagement was observed with increases in levels of Abeta</w:t>
      </w:r>
      <w:r>
        <w:rPr>
          <w:rFonts w:ascii="Arial" w:cs="Arial" w:eastAsia="Arial" w:hAnsi="Arial"/>
          <w:sz w:val="29"/>
          <w:szCs w:val="29"/>
          <w:color w:val="auto"/>
          <w:vertAlign w:val="subscript"/>
        </w:rPr>
        <w:t>1–42</w:t>
      </w:r>
      <w:r>
        <w:rPr>
          <w:rFonts w:ascii="Arial" w:cs="Arial" w:eastAsia="Arial" w:hAnsi="Arial"/>
          <w:sz w:val="18"/>
          <w:szCs w:val="18"/>
          <w:color w:val="auto"/>
        </w:rPr>
        <w:t xml:space="preserve"> in blood and CSF.</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Figure 26: CSF total Abeta42 and total Abeta change from baseline, pooled CREAD/CREAD2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154305</wp:posOffset>
            </wp:positionV>
            <wp:extent cx="4989195" cy="2048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919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Reduced accumulation of Abeta in the brain on florebetapir amyloid PET scans was observed, with a pattern very similar to that observed in the Phase 2 BLAZE studies.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Figure 27: [18F] Florbetapir amyloid PET SUVR change from baseline, pooled CREAD/CREAD2 (SUVR standard uptake value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161925</wp:posOffset>
            </wp:positionV>
            <wp:extent cx="5160645" cy="22459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6064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 numerical trend to reduction in level of total Tau and phospho-Tau 181 (pTau181) in the CSF in patients on crenezumab compared with placebo was observed although the small numbers in the analysis due to early termination of the studies preclude firm conclusions from being drawn.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Figure 28: CFS total Tau and pTau181 change from baseline, polled CREAD/CREAD2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160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606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Positive trends on a range of biomarkers associated with AD in CSF including neurogranin, neurofilament light chain (NFL), Glial fibrillary acidic protein (GFAP), soluble Triggering receptor expressed on myeloid cells 2 (sTREM2), Chitinase-3-like protein 1(YKL-40) and a-syn were reported by Roche at the CTAD 2019 conference, although again the small numbers due to early termination of the studies limit interpretability of the results.</w:t>
      </w:r>
    </w:p>
    <w:p>
      <w:pPr>
        <w:spacing w:after="0" w:line="1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29: Exploratory biomarkers: Roche NeuroToolkit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3660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606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Safety in the CREAD and CREAD 2 studies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decision to terminate the CREAD and CREAD 2 was not related to safety. No safety signals for crenezumab were observed in this analysis and the overall safety profile was similar to that seen in previous trials. There was no difference in the rate of newly developing ARIA-E (0.3%) between the active and placebo arms and the rates of ARIA-H were also similar (8.8% on crenezumab vs 6.8% on placebo).</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Prevention trial in familial AD</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described above crenezumab continues to be studied under the Alzheimer's Prevention Initiative in a preventive trial in Colombia, which began in 2013, of cognitively healthy individuals with an autosomal-dominant mutation who are at risk of developing familial AD.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therapeutic programs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key pathologies that drive a range of neurodegenerative diseases, including TDP-43, a-syn, and NLRP3. We are accelerating the development of several therapeutic product candidates currently in preclinical development, including several programs focused on indications outside of AD as a critical part of our expansion strategy.</w:t>
      </w:r>
    </w:p>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30: Key pathologies for further pipeline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51755" cy="25114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5175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Based on the data to date, our technology platforms can be applied to misfolded proteins across a broad range of indications. Five of our preclinical programs are outlined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Product candidate</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Lead application</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Partner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Platform</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a-syn antibody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a-syn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PD, NeuroOrphan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Proprietary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Morphomer a-syn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a-syn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PD, NeuroOrphan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Proprietary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Anti-TDP-43 antibody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TDP-43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NeuroOrphan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Proprietary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Morphomer inflammasome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NLRP3-ASC</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CNS, non-CNS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Proprietary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Anti-inflammasome antibody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NLRP3-ASC</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CNS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Proprietary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AC Immune’s proprietary SupraAntigen platform is used to generate antibodies that can be used as therapeutic and diagnostic products. Such antibodies are generated by injecting the full-length protein and/or corresponding peptide constructs in mice and by selecting the antibodies for their ability to bind to and break up aggregated forms of misfolded proteins. The a-syn and TDP-43 antibodies were discovered using the SupraAntigen technology platform. Both antibodies have unique binding properties allowing them to bind to unique epitopes of the pathological forms of a-syn and TDP-43,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A-syn antibody</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The a-syn antibodies generated in our SupraAntigen program have unique binding properties allowing them to bind preferentially to the pathological forms of a-syn. A-syn aggregation and spreading are established targets for PD, MSA and other synucleinopathy diseases. Antibodies that interfere with the aggregation and spreading mechanisms of a-syn provide a therapeutic option for the treatment of PD. The a-syn antibodies were able to significantly delay the seeded aggregation of pathological a-syn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aggregation assay, and were able to significantly decrease pathological a-syn spreading in an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animal model of PD. Characterization using</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multiple orthogonal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tests addressing binding, specificity, functionality and pharmacological properties has led to the identification of the lead candidate ACI-5755.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 xml:space="preserve">ACI-5755 selectively binds to pathological forms of a-syn with low-nanomolar affinity and shows a significant preference over monomeric a-syn. Additionally, ACI-5755 shows strong recognition for pathological a-syn in patient-derived tissues in both PD and MSA. ACI-5755 showed a potent and dose-dependent reduction in the seeding capacity of pathological a-syn in a proprietary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aggregation assay. Moreover, ACI-5755 substantially reduced the propagation of a-syn aggregates in a cell-based model.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of ACI-5755 was evaluated in the M83 propagation mouse model (Luk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2012). Treatment of mice with ACI-5755 significantly decreased pathological a-syn spreading </w:t>
      </w:r>
      <w:r>
        <w:rPr>
          <w:rFonts w:ascii="Arial" w:cs="Arial" w:eastAsia="Arial" w:hAnsi="Arial"/>
          <w:sz w:val="16"/>
          <w:szCs w:val="16"/>
          <w:i w:val="1"/>
          <w:iCs w:val="1"/>
          <w:color w:val="auto"/>
        </w:rPr>
        <w:t>in vivo</w:t>
      </w:r>
      <w:r>
        <w:rPr>
          <w:rFonts w:ascii="Arial" w:cs="Arial" w:eastAsia="Arial" w:hAnsi="Arial"/>
          <w:sz w:val="16"/>
          <w:szCs w:val="16"/>
          <w:color w:val="auto"/>
        </w:rPr>
        <w:t>. Furthermore, a significant reduction in the rate of body weight loss compared with the vehicle-treated control group was observed for mice treated with ACI-5755.</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31: Key results for the anti-a-syn antibody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383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6064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 AC Immune data presented at AD/PD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Morphomer a-Syn</w:t>
      </w:r>
    </w:p>
    <w:p>
      <w:pPr>
        <w:spacing w:after="0" w:line="229" w:lineRule="exact"/>
        <w:rPr>
          <w:sz w:val="20"/>
          <w:szCs w:val="20"/>
          <w:color w:val="auto"/>
        </w:rPr>
      </w:pPr>
    </w:p>
    <w:p>
      <w:pPr>
        <w:ind w:right="40" w:firstLine="321"/>
        <w:spacing w:after="0" w:line="257" w:lineRule="auto"/>
        <w:rPr>
          <w:sz w:val="20"/>
          <w:szCs w:val="20"/>
          <w:color w:val="auto"/>
        </w:rPr>
      </w:pPr>
      <w:r>
        <w:rPr>
          <w:rFonts w:ascii="Arial" w:cs="Arial" w:eastAsia="Arial" w:hAnsi="Arial"/>
          <w:sz w:val="18"/>
          <w:szCs w:val="18"/>
          <w:color w:val="auto"/>
        </w:rPr>
        <w:t xml:space="preserve">Leveraging our Morphomer platform, we identified and characterized the first biologically active small molecule inhibitors targeting intracellular alpha-synuclein aggregates. Initial compounds, from several distinct chemical series, significantly decrease alpha-synuclein aggregate formation in cellular assays by interfering with the fibrillation process. Iterative medicinal chemistry optimization led to the identification of compounds with favorable CNS-penetrant pharmacokinetic properties, which will be progressed into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models of alpha-synucleinopathies, expected to begin in Q3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TDP-43 antibody</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TDP-43 is a recently identified target of growing interest for NeuroOrphan indications such as frontotemporal dementia (FTD) and ALS. Interestingly, TDP-43 also plays an important role in other significant neurodegenerative indications such as AD or LATE.</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 xml:space="preserve">Anti-TDP-43 antibodies binding to various regions of TDP-43 were generated by our SupraAntigen platform. A subset displayed conformational selectivity to misfolded TDP-43, while others recognized all TDP-43 isoforms. Multiple antibodies were generated and characterized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from which two pan-TDP-43 antibodies (ACI-5891 and ACI-5886) were selected for the evaluation of their efficacy in mitigating TDP-43 aggregation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vivo</w:t>
      </w:r>
      <w:r>
        <w:rPr>
          <w:rFonts w:ascii="Arial" w:cs="Arial" w:eastAsia="Arial" w:hAnsi="Arial"/>
          <w:sz w:val="17"/>
          <w:szCs w:val="17"/>
          <w:color w:val="auto"/>
        </w:rPr>
        <w:t>. ACI-5891 showed a high binding affinity for TDP-43 and ability to inhibit TDP-43 aggregation</w:t>
      </w:r>
      <w:r>
        <w:rPr>
          <w:rFonts w:ascii="Arial" w:cs="Arial" w:eastAsia="Arial" w:hAnsi="Arial"/>
          <w:sz w:val="17"/>
          <w:szCs w:val="17"/>
          <w:i w:val="1"/>
          <w:iCs w:val="1"/>
          <w:color w:val="auto"/>
        </w:rPr>
        <w:t xml:space="preserve"> in vitro</w:t>
      </w:r>
      <w:r>
        <w:rPr>
          <w:rFonts w:ascii="Arial" w:cs="Arial" w:eastAsia="Arial" w:hAnsi="Arial"/>
          <w:sz w:val="17"/>
          <w:szCs w:val="17"/>
          <w:color w:val="auto"/>
        </w:rPr>
        <w:t>.</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To evaluate the functional efficacy of TDP-43 antibodies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ability of ACI-5891 to inhibit TDP-43 aggregation was tested.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 with recombinant TDP-43, ACI-5891 significantly inhibited TDP-43 aggregation by 98% compared with the isotype control and significantly promoted their phagocytosis by mouse primary microglia. Moreover, ACI-5891 significantly reduced templated aggregation of TDP-43 induced by FTLD-TDP brain extracts in a cell model of TDP-43 proteinopathy.</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To further characterize functional efficacy of ACI-5891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its ability to mitigate TDP-43 neuropathology in a transgenic Tg(rNLS8) mouse model of TDP-43 proteinopathies was evaluated (Walker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Acta Neuropath, 2015). In the Tg(rNLS8) mice, systemic administration of ACI-5891 led to a significant reduction in the density of phosphorylated TDP-43 and insoluble TDP-43 in the brain compared with the vehicle-treated control mice (Figure 32). </w:t>
      </w:r>
      <w:r>
        <w:rPr>
          <w:rFonts w:ascii="Arial" w:cs="Arial" w:eastAsia="Arial" w:hAnsi="Arial"/>
          <w:sz w:val="18"/>
          <w:szCs w:val="18"/>
          <w:i w:val="1"/>
          <w:iCs w:val="1"/>
          <w:color w:val="auto"/>
        </w:rPr>
        <w:t>In vitro and in vivo</w:t>
      </w:r>
      <w:r>
        <w:rPr>
          <w:rFonts w:ascii="Arial" w:cs="Arial" w:eastAsia="Arial" w:hAnsi="Arial"/>
          <w:sz w:val="18"/>
          <w:szCs w:val="18"/>
          <w:color w:val="auto"/>
        </w:rPr>
        <w:t xml:space="preserve"> data demonstrates that microglia promote the phagocytic clearance of TDP-43 neuropathology. These characteristics demonstrated for the first time that an antibody targeting TDP-43 ameliorates TDP-43-mediated pathology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providing validation for further development to target TDP-43-mediated neuropathology.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ACI-5891 humanization and manufacturability assessment</w:t>
      </w:r>
    </w:p>
    <w:p>
      <w:pPr>
        <w:spacing w:after="0" w:line="229"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ACI-5891 was successfully humanized on a VH2-VK1 human framework. Several variants had a similar binding capacity for TDP-43 as well as potency for inhibition of TDP-43 aggregation as compared to the chimeric monoclonal antibody. The target values were achieved for the clinical lead (ACI-5891.1) in terms of target affinity, functional efficacy and percentage humanness. Developability of clinical lead (ACI-5891.1) was further confirmed in manufacturability assessment studies and cell line development for the lead initiated.</w:t>
      </w:r>
    </w:p>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32: Key results for TDP-43 antibodies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51755" cy="2040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517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Pfeifer </w:t>
      </w:r>
      <w:r>
        <w:rPr>
          <w:rFonts w:ascii="Arial" w:cs="Arial" w:eastAsia="Arial" w:hAnsi="Arial"/>
          <w:sz w:val="18"/>
          <w:szCs w:val="18"/>
          <w:i w:val="1"/>
          <w:iCs w:val="1"/>
          <w:color w:val="auto"/>
        </w:rPr>
        <w:t>et al</w:t>
      </w:r>
      <w:r>
        <w:rPr>
          <w:rFonts w:ascii="Arial" w:cs="Arial" w:eastAsia="Arial" w:hAnsi="Arial"/>
          <w:sz w:val="18"/>
          <w:szCs w:val="18"/>
          <w:color w:val="auto"/>
        </w:rPr>
        <w:t>., AC Immune Key Opinion Leader event,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Neuroinflammation and the NLRP3 inflammasome pathway</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Microglial cells (microglia) are the main resident immune cells in the brain, which maintain a healthy environment by removing damaged cells and misfolded protein aggregates. When overstimulated, microglia can drive neuroinflammation, leading to increased neuronal death and disease progression. A key molecular pathway that is activated by misfolded proteins related to neurodegenerative and other diseases, is the NLRP3 (NOD-like receptor pyrin domain-containing protein 3) inflammasome, a multi-protein complex that forms within microglia leading to production of pro-inflammatory factors that exacerbate neuronal atrophy. NLRP3 inflammasome activation also leads to increased production, truncation and/or aggregation of the pathological misfolded proteins, setting up a vicious, chronic cycle of neuroinflammation, pathology and cell death. A critical component of the NLRP3 pathway is ASC (apoptosis-associated speck-like protein containing a C-terminal caspase recruitment domain), which is formed and released by activated microglia. Intracellularly, ASC specks participate in the production of pro-inflammatory cytokines, whereas extracellular ASC specks cause acute inflammatory reactions. ASC specks have been identified in microglia within the CNS of patients with NDD (Venegas, 2017) as well in the body fluids of patients. As illustrated in Figure 33, pathological species of Abeta, Tau, a-syn and TDP-43 have been found to induce NLRP3 inflammasome activation and ASC speck formation.</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Figure 33: Activation of the NLRP3-ASC inflammasome pathway exacerbates neuronal damage and promotes further 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161925</wp:posOffset>
            </wp:positionV>
            <wp:extent cx="5160645" cy="31115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6064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Adapted from Ransohoff et al. Nature 2017</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Aberrant activation of the NLRP3 pathway contributes to numerous neurodegenerative diseases, as well as atherosclerosis, asthma, cryopyrin-associated periodic syndromes, gout, inflammatory bowel disease, nonalcoholic fatty liver disease and nonalcoholic steatohepatitis, and multiple sclerosis. Because of the broad role of this pathway across a number of diseases, NLRP3 and ASC have emerged as attractive and highly valued molecular targets to modulate certain pathological inflammatory responses.</w:t>
      </w:r>
    </w:p>
    <w:p>
      <w:pPr>
        <w:spacing w:after="0" w:line="187" w:lineRule="exact"/>
        <w:rPr>
          <w:sz w:val="20"/>
          <w:szCs w:val="20"/>
          <w:color w:val="auto"/>
        </w:rPr>
      </w:pPr>
    </w:p>
    <w:p>
      <w:pPr>
        <w:ind w:right="300" w:firstLine="321"/>
        <w:spacing w:after="0" w:line="277" w:lineRule="auto"/>
        <w:rPr>
          <w:sz w:val="20"/>
          <w:szCs w:val="20"/>
          <w:color w:val="auto"/>
        </w:rPr>
      </w:pPr>
      <w:r>
        <w:rPr>
          <w:rFonts w:ascii="Arial" w:cs="Arial" w:eastAsia="Arial" w:hAnsi="Arial"/>
          <w:sz w:val="18"/>
          <w:szCs w:val="18"/>
          <w:color w:val="auto"/>
        </w:rPr>
        <w:t xml:space="preserve">AC Immune is developing multiple small molecule and antibody-based candidates with the potential to inhibit the NLRP3 pathway. Recent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in animal models of AD, PD and ALS have validated this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Targeting NLRP3-ASC in neurodegenerative diseases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Alzheimer’s disease</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Abeta peptides, which accumulate to form the characteristic plaques in AD, activate the NLRP3 inflammasome (Halle, 2008). Expression of NLRP3 and downstream pro-inflammatory factors IL-1b and IL-18 are increased in cells from AD patients and patients with mild cognitive impairment (Saresella, 2016). NLRP3-deficiency or pharmaceutical inhibition in a mouse model decreases neuroinflammation and Abeta accumulation and improves neuronal function (Heneka, 2013; Demspey, 2017). ASC specks purified from mouse macrophages accelerate Abeta aggregation, and crossing AD and ASC knockout mouse strains lowers the load of Abeta significantly and rescues memory loss (Venegas, 2017). Recently, ASC speck and IL-18 levels were shown to be higher in human MCI and AD brain samples, with data comparable to that of established biomarkers soluble amyloid precursor protein (sAPP) and neurofilament light chain (Nfl), indicating that ASC is a promising biomarker of MCI and AD (Scott,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Tauopathies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Extracellular Tau activates NLRP3 and ASC formation in microglia. Intracerebral injection of fibrillar Abeta-containing brain homogenates induces Tau pathology in an NLRP3-dependent manner (Ising, 2019). Elevated cleavage of caspase-1, increased ASC levels and mature IL-1b are indicative of NLRP3 activation in patients with frontotemporal dementia (Ising, 2019). ASC deficiency decreases exogenously- and non-exogenously-seeded Tau in a mouse model of Tauopathy. Inhibition of NLRP3 also inhibits exogenously-seeded Tau pathology in primary microglia (Stancu, 2019). Finally, NLRP3 inhibition improved inflammation and ER stress signaling, both peripherally and centrally, in a mouse Tauopathy model, alongside a partial normalization of phospho-tau levels (Hull, 2020).</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Parkinson’s disease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NLRP3 is activated and ASC formation is upregulated in postmortem brains of PD patients (Gordon, 2018 and Anderson, 2021). In addition, NLRP3 inhibition mitigated pathological hyper-phosphorylated a-syn accumulation in the substantia nigra and rescued dopaminergic neurons in the mouse model of a-syn propagation using preformed fibrils (Gordon, 2018). Furthermore, exome sequencing analysis of NLRP3 identified multiple single-nucleotide polymorphisms (SNPs), including rs7525979, which was associated with a significantly reduced risk of developing PD (von Herrmann, 2018). NLRP3 inhibition decreases fibrillar α-synuclein-mediated inflammasome activation in mouse microglial cells and extracellular ASC release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in multiple rodent PD models effectively mitigates motor deficits, nigrostriatal dopaminergic degeneration and accumulation of α-synuclein aggregates (Gordon 2018). Taken together, NLRP3 is responsible for driving neuroinflammation that results in progressive dopaminergic neuropathology, highlighting NLRP3 as a potential target for disease-modifying treatments for PD.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TDP-43 proteinopathies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TDP-43-mediated activation of microglia causes motor neuron cell death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(Zhao, 2015). Recently, studies demonstrated that TDP-43 activates microglia via CD14, with downstream activation of NF-kB and NLRP3 (Clark, 2020). This finding is clinically relevant as increased microglial CD14 expression is observed in postmortem spinal cord tissue from patients with ALS, a TDP-43-driven disease (Clark, 2020). Furthermore, wildtype and mutant forms of TDP-43 activate microglia to generate IL-1b, which is abolished by NLRP3 inhibition (Deora,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Amyotrophic Lateral Sclerosis</w:t>
      </w:r>
    </w:p>
    <w:p>
      <w:pPr>
        <w:spacing w:after="0" w:line="2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Microglia isolated from the ALS mouse model, SOD1G93A, express elevated levels of NLRP3 when in the pathological stage of disease (Deora, 2019). When microglia are incubated with soluble or aggregated SOD1G93A, NLRP3 is activated, ASC specks are formed, and IL-1b is secreted. This effect is abolished by pre-treatment with an NLRP3 inhibitor.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for targeting the NLRP3-ASC inflammasome</w:t>
      </w:r>
    </w:p>
    <w:p>
      <w:pPr>
        <w:spacing w:after="0" w:line="22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AC Immune is aggressively pursuing this key pathway in order to reduce the unwanted progression of inflammation in diseases and syndromes caused by the hyper-activation of the NLRP3 inflammasome. Our aim is to develop therapeutics that decrease production of pro-inflammatory factors yet maintain normal phagocytosis of debris and misfolded proteins as well as allow the function of other pathogen-sensing pathways. Currently, AC Immune is targeting the NLRP3-ASC pathway using two complementary approaches, derived from our two technology platforms (Figure 34):</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34: Strategy to use dual proprietary technology platforms to target NLRP3-ASC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Adapted from Ransohoff </w:t>
      </w:r>
      <w:r>
        <w:rPr>
          <w:rFonts w:ascii="Arial" w:cs="Arial" w:eastAsia="Arial" w:hAnsi="Arial"/>
          <w:sz w:val="18"/>
          <w:szCs w:val="18"/>
          <w:i w:val="1"/>
          <w:iCs w:val="1"/>
          <w:color w:val="auto"/>
        </w:rPr>
        <w:t>et al.</w:t>
      </w:r>
      <w:r>
        <w:rPr>
          <w:rFonts w:ascii="Arial" w:cs="Arial" w:eastAsia="Arial" w:hAnsi="Arial"/>
          <w:sz w:val="18"/>
          <w:szCs w:val="18"/>
          <w:color w:val="auto"/>
        </w:rPr>
        <w:t xml:space="preserve"> Nature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Small molecule inhibitors of NLRP3</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Leveraging the know-how of our proprietary Morphomer™ platform, which generated AC Immune’s small molecule Tau aggregation inhibitors, the Company has successfully identified and filed patent applications for various chemical series of potent small molecule NLRP3 inhibitors. The Company has established biological activity for these compounds in multiple functional assays (Figures 35 and 36), and initial animal studies show highly potent target inhibition in a model of peripheral inflammation (Figure 37), providing the first evidence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AC immune is currently evaluating potential lead compounds for further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and optimization for CNS delivery. The Company expects to initiate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animal models of AD and other key neurodegenerative diseases by year end, as well as evaluate the potential of a second lead molecule in a clinically relevant non-CNS disease model.</w:t>
      </w:r>
    </w:p>
    <w:p>
      <w:pPr>
        <w:spacing w:after="0" w:line="191"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Figure 35: Screening assay to quantify the compound-mediated inhibition of IL-1β production </w:t>
      </w:r>
      <w:r>
        <w:rPr>
          <w:rFonts w:ascii="Arial" w:cs="Arial" w:eastAsia="Arial" w:hAnsi="Arial"/>
          <w:sz w:val="17"/>
          <w:szCs w:val="17"/>
          <w:b w:val="1"/>
          <w:bCs w:val="1"/>
          <w:i w:val="1"/>
          <w:iCs w:val="1"/>
          <w:color w:val="auto"/>
        </w:rPr>
        <w:t>in vitro</w:t>
      </w:r>
      <w:r>
        <w:rPr>
          <w:rFonts w:ascii="Arial" w:cs="Arial" w:eastAsia="Arial" w:hAnsi="Arial"/>
          <w:sz w:val="17"/>
          <w:szCs w:val="17"/>
          <w:b w:val="1"/>
          <w:bCs w:val="1"/>
          <w:color w:val="auto"/>
        </w:rPr>
        <w:t xml:space="preserve"> using human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161925</wp:posOffset>
            </wp:positionV>
            <wp:extent cx="5160645" cy="1979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6064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Adapted from Choi </w:t>
      </w:r>
      <w:r>
        <w:rPr>
          <w:rFonts w:ascii="Arial" w:cs="Arial" w:eastAsia="Arial" w:hAnsi="Arial"/>
          <w:sz w:val="18"/>
          <w:szCs w:val="18"/>
          <w:i w:val="1"/>
          <w:iCs w:val="1"/>
          <w:color w:val="auto"/>
        </w:rPr>
        <w:t>et al.,</w:t>
      </w:r>
      <w:r>
        <w:rPr>
          <w:rFonts w:ascii="Arial" w:cs="Arial" w:eastAsia="Arial" w:hAnsi="Arial"/>
          <w:sz w:val="18"/>
          <w:szCs w:val="18"/>
          <w:color w:val="auto"/>
        </w:rPr>
        <w:t xml:space="preserve"> Mol Cell 2014; AC Immune unpublished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Figure 36: Secondary assays involving human whole blood demonstrate potent hit compounds active </w:t>
      </w:r>
      <w:r>
        <w:rPr>
          <w:rFonts w:ascii="Arial" w:cs="Arial" w:eastAsia="Arial" w:hAnsi="Arial"/>
          <w:sz w:val="16"/>
          <w:szCs w:val="16"/>
          <w:b w:val="1"/>
          <w:bCs w:val="1"/>
          <w:i w:val="1"/>
          <w:iCs w:val="1"/>
          <w:color w:val="auto"/>
        </w:rPr>
        <w:t>in vitro</w:t>
      </w:r>
      <w:r>
        <w:rPr>
          <w:rFonts w:ascii="Arial" w:cs="Arial" w:eastAsia="Arial" w:hAnsi="Arial"/>
          <w:sz w:val="16"/>
          <w:szCs w:val="16"/>
          <w:b w:val="1"/>
          <w:bCs w:val="1"/>
          <w:color w:val="auto"/>
        </w:rPr>
        <w:t xml:space="preserve"> using multiple donors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168910</wp:posOffset>
            </wp:positionV>
            <wp:extent cx="4808855" cy="2922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0885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 unpublished data</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Figure 37: In a mouse model of peritonitis, several of the initial hits targeting NLRP3 show significant inhibition of IL-1β production </w:t>
      </w:r>
      <w:r>
        <w:rPr>
          <w:rFonts w:ascii="Arial" w:cs="Arial" w:eastAsia="Arial" w:hAnsi="Arial"/>
          <w:sz w:val="16"/>
          <w:szCs w:val="16"/>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168910</wp:posOffset>
            </wp:positionV>
            <wp:extent cx="2768600" cy="2785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6860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Ref: AC Immune unpublished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Therapeutic antibodies for neuroinflammation (mAb-ASC)</w:t>
      </w:r>
    </w:p>
    <w:p>
      <w:pPr>
        <w:spacing w:after="0" w:line="225" w:lineRule="exact"/>
        <w:rPr>
          <w:sz w:val="20"/>
          <w:szCs w:val="20"/>
          <w:color w:val="auto"/>
        </w:rPr>
      </w:pPr>
    </w:p>
    <w:p>
      <w:pPr>
        <w:ind w:right="360" w:firstLine="321"/>
        <w:spacing w:after="0" w:line="277" w:lineRule="auto"/>
        <w:rPr>
          <w:sz w:val="20"/>
          <w:szCs w:val="20"/>
          <w:color w:val="auto"/>
        </w:rPr>
      </w:pPr>
      <w:r>
        <w:rPr>
          <w:rFonts w:ascii="Arial" w:cs="Arial" w:eastAsia="Arial" w:hAnsi="Arial"/>
          <w:sz w:val="18"/>
          <w:szCs w:val="18"/>
          <w:color w:val="auto"/>
        </w:rPr>
        <w:t>It has been shown in the APP/PSI mouse model of AD, intracellular and extracellular ASC specks are present and treatment using an anti-ASC antibody decreases the Abeta load in these mice (Figure 38).</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225" w:right="59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38: ASC specks in AD patients and mouse model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154305</wp:posOffset>
            </wp:positionV>
            <wp:extent cx="5160645" cy="26403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6064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Vanegas </w:t>
      </w:r>
      <w:r>
        <w:rPr>
          <w:rFonts w:ascii="Arial" w:cs="Arial" w:eastAsia="Arial" w:hAnsi="Arial"/>
          <w:sz w:val="18"/>
          <w:szCs w:val="18"/>
          <w:i w:val="1"/>
          <w:iCs w:val="1"/>
          <w:color w:val="auto"/>
        </w:rPr>
        <w:t>et al.</w:t>
      </w:r>
      <w:r>
        <w:rPr>
          <w:rFonts w:ascii="Arial" w:cs="Arial" w:eastAsia="Arial" w:hAnsi="Arial"/>
          <w:sz w:val="18"/>
          <w:szCs w:val="18"/>
          <w:color w:val="auto"/>
        </w:rPr>
        <w:t xml:space="preserve"> Nature 2017</w:t>
      </w:r>
    </w:p>
    <w:p>
      <w:pPr>
        <w:spacing w:after="0" w:line="225" w:lineRule="exact"/>
        <w:rPr>
          <w:sz w:val="20"/>
          <w:szCs w:val="20"/>
          <w:color w:val="auto"/>
        </w:rPr>
      </w:pPr>
    </w:p>
    <w:p>
      <w:pPr>
        <w:jc w:val="both"/>
        <w:ind w:right="200" w:firstLine="321"/>
        <w:spacing w:after="0" w:line="301" w:lineRule="auto"/>
        <w:rPr>
          <w:sz w:val="20"/>
          <w:szCs w:val="20"/>
          <w:color w:val="auto"/>
        </w:rPr>
      </w:pPr>
      <w:r>
        <w:rPr>
          <w:rFonts w:ascii="Arial" w:cs="Arial" w:eastAsia="Arial" w:hAnsi="Arial"/>
          <w:sz w:val="16"/>
          <w:szCs w:val="16"/>
          <w:color w:val="auto"/>
        </w:rPr>
        <w:t xml:space="preserve">Using our proprietary and validated SupraAntigen platform, AC Immune generated neutralizing anti-ASC antibodies that bind extracellular human ASC and potently inhibit inflammation-mediated formation of ASC specks (Figure 39). Selected antibodies will be further evaluated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studies using animal models of human disease, which AC Immune expects to start by year end. These innovative, potentially disease-modifying antibodies are designed to have the highest potential to prevent inflammation and modify the downstream exacerbation of various proteinopathies.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Figure 39: Inhibition of ASC speck formation </w:t>
      </w:r>
      <w:r>
        <w:rPr>
          <w:rFonts w:ascii="Arial" w:cs="Arial" w:eastAsia="Arial" w:hAnsi="Arial"/>
          <w:sz w:val="18"/>
          <w:szCs w:val="18"/>
          <w:b w:val="1"/>
          <w:bCs w:val="1"/>
          <w:i w:val="1"/>
          <w:iCs w:val="1"/>
          <w:color w:val="auto"/>
        </w:rPr>
        <w:t>in vitro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(human ASC transfected cells or microglia activated by monosodium urate (MSU) crystals)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0142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6064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 unpublished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Early detection of neurodegenerative diseases may be critical to enhancing the effectiveness of both symptomatic and disease-modifying therapies. As a result, therapeutic development for AD increasingly focuses on treating early-stage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who are receiving treatment, and ultimately diagnosing disease at its earliest stage for immediate treatment.</w:t>
      </w:r>
    </w:p>
    <w:p>
      <w:pPr>
        <w:sectPr>
          <w:pgSz w:w="11900" w:h="16838" w:orient="portrait"/>
          <w:cols w:equalWidth="0" w:num="1">
            <w:col w:w="11180"/>
          </w:cols>
          <w:pgMar w:left="320" w:top="225" w:right="399" w:bottom="1440" w:gutter="0" w:footer="0" w:header="0"/>
        </w:sect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40: The need for precision medicine in AD: high level of other proteinopathies and co-pathologies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17145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6064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Adapted from Robinson </w:t>
      </w:r>
      <w:r>
        <w:rPr>
          <w:rFonts w:ascii="Arial" w:cs="Arial" w:eastAsia="Arial" w:hAnsi="Arial"/>
          <w:sz w:val="18"/>
          <w:szCs w:val="18"/>
          <w:i w:val="1"/>
          <w:iCs w:val="1"/>
          <w:color w:val="auto"/>
        </w:rPr>
        <w:t>et al</w:t>
      </w:r>
      <w:r>
        <w:rPr>
          <w:rFonts w:ascii="Arial" w:cs="Arial" w:eastAsia="Arial" w:hAnsi="Arial"/>
          <w:sz w:val="18"/>
          <w:szCs w:val="18"/>
          <w:color w:val="auto"/>
        </w:rPr>
        <w:t>., Brain, 2018</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are developing three diagnostic product candidates derived from our Morphomer technology platform. These product candidates are PET ligands, which are highly specific chemical tracers that can be used to image the extent and location of Tau, a-syn and TDP-43 pathology in the brains of living patients.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Tau diagnostics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severity of cognitive impairment in patients with AD is correlated with the presence of Tau protein tangles, leading us to believe that an imaging agent for Tau is equally, if not more important than Abeta-PET to assess spreading of pathology in the brain. In May 2020, Eli Lilly received FDA approval for the first Tau PET tracer TAUVID (flortaucipir F18 injection). However, TAUVID received approval only for a pathology indication (i.e., correlation with histopathology findings in Braak 5 and 6 patients), but has not received a prognostic label (i.e., prediction of cognitive deterioration based on a positive Tau PET scan.)</w:t>
      </w:r>
    </w:p>
    <w:p>
      <w:pPr>
        <w:spacing w:after="0" w:line="18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Our Tau-PET tracers are designed to bind specifically to the pathological forms of human Tau in AD and other Tauopathies. They have demonstrated an excellent PET tracer profile with their ability to cross the blood brain barrier and a high selectivity to pathological Tau even in the early-stage disease.</w:t>
      </w:r>
    </w:p>
    <w:p>
      <w:pPr>
        <w:spacing w:after="0" w:line="124"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In May 2014, we established a license and collaboration agreement for our Tau-PET imaging program with LMI. The Phase 1 clinical study of our clinical candidate PI-2620 in AD was completed in Q1 2018. LMI commenced a Phase 2 longitudinal study in AD of the program in Q3 2019. A second Phase 2 longitudinal study in AD was launched in South Korea (Asan Medical Center) in Q2 2019 (NCT03903211).</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PI-2620 is selective for Tau over Abeta and other “off-target” binding compared with current published Tau-PET agents in development, as no binding to Abeta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no “off-target” retention in basal ganglia or choroid plexus was observed. In addition, PI-2620 can be readily radiolabeled with fluorine 18. A major differentiator for PI-2620 is its ability to bind 4-repeat (4R) Tau isoforms, which are present in varying amounts in different neurodegenerative diseases. Most Tau PET tracers in development are not able to bind 4R Tau and are of limited use for certain diseases driven by these Tau species.</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Figure 41: PI-2620 – a surrogate marker of neuronal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154305</wp:posOffset>
            </wp:positionV>
            <wp:extent cx="4989195" cy="3771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8919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Beyer </w:t>
      </w:r>
      <w:r>
        <w:rPr>
          <w:rFonts w:ascii="Arial" w:cs="Arial" w:eastAsia="Arial" w:hAnsi="Arial"/>
          <w:sz w:val="18"/>
          <w:szCs w:val="18"/>
          <w:i w:val="1"/>
          <w:iCs w:val="1"/>
          <w:color w:val="auto"/>
        </w:rPr>
        <w:t>et al</w:t>
      </w:r>
      <w:r>
        <w:rPr>
          <w:rFonts w:ascii="Arial" w:cs="Arial" w:eastAsia="Arial" w:hAnsi="Arial"/>
          <w:sz w:val="18"/>
          <w:szCs w:val="18"/>
          <w:color w:val="auto"/>
        </w:rPr>
        <w:t>., EJNMMI 2020</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Figure 41 shows that PI-2620 early-phase imaging can serve as a surrogate biomarker for neuronal injury, as it shows excellent semi-quantitative and visual agreement with metabolic imaging using FDG PET. Dynamic imaging or a dual time-point protocol for Tau PET could supersede additional FDG PET imaging by indexing both the distribution of Tau and the extent of neuronal injury. The shorter time required for recording the images for PI-2620 (0.5 to 2.5 min) is an advantage for patient comfort, examination time, radiation safety and cost-effectiveness compared to FDG (30 to 50 min).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42: PI-2620 – a tool to assess early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154305</wp:posOffset>
            </wp:positionV>
            <wp:extent cx="4791710" cy="1825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9171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Mormino </w:t>
      </w:r>
      <w:r>
        <w:rPr>
          <w:rFonts w:ascii="Arial" w:cs="Arial" w:eastAsia="Arial" w:hAnsi="Arial"/>
          <w:sz w:val="18"/>
          <w:szCs w:val="18"/>
          <w:i w:val="1"/>
          <w:iCs w:val="1"/>
          <w:color w:val="auto"/>
        </w:rPr>
        <w:t>et al.</w:t>
      </w:r>
      <w:r>
        <w:rPr>
          <w:rFonts w:ascii="Arial" w:cs="Arial" w:eastAsia="Arial" w:hAnsi="Arial"/>
          <w:sz w:val="18"/>
          <w:szCs w:val="18"/>
          <w:color w:val="auto"/>
        </w:rPr>
        <w:t>, EJNMMI. 2020</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PI-2620 Tau-PET data displayed in Figure 42 showed the mean regional PI-2620 Standardized Uptake Value Ratio (SUVR) values corresponding to 60 to 90 min post-injection for the medial temporal lobe (MTL, a), posterior cingulate (b), and lateral parietal (c). The data revealed strong differences in the MTL and cortical regions known to be impacted in AD using PI-2620 Tau PET in patients along the AD trajectory. The data highlights the promise of PI-2620 to measure Tau aggregates throughout the course of AD.</w:t>
      </w:r>
    </w:p>
    <w:p>
      <w:pPr>
        <w:sectPr>
          <w:pgSz w:w="11900" w:h="16838" w:orient="portrait"/>
          <w:cols w:equalWidth="0" w:num="1">
            <w:col w:w="11200"/>
          </w:cols>
          <w:pgMar w:left="320" w:top="225" w:right="37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88" w:name="page89"/>
    <w:bookmarkEnd w:id="8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43: PI-2620 – a potential game-changer for PSP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154305</wp:posOffset>
            </wp:positionV>
            <wp:extent cx="4465955" cy="2785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6595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Brendel </w:t>
      </w:r>
      <w:r>
        <w:rPr>
          <w:rFonts w:ascii="Arial" w:cs="Arial" w:eastAsia="Arial" w:hAnsi="Arial"/>
          <w:sz w:val="18"/>
          <w:szCs w:val="18"/>
          <w:i w:val="1"/>
          <w:iCs w:val="1"/>
          <w:color w:val="auto"/>
        </w:rPr>
        <w:t>et al.</w:t>
      </w:r>
      <w:r>
        <w:rPr>
          <w:rFonts w:ascii="Arial" w:cs="Arial" w:eastAsia="Arial" w:hAnsi="Arial"/>
          <w:sz w:val="18"/>
          <w:szCs w:val="18"/>
          <w:color w:val="auto"/>
        </w:rPr>
        <w:t>, JAMA Neurology 2020</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PI-2620 Tau-PET data displayed in Figure 43 showed that PI-2620 PET imaging can detect and assess PSP (4R Tau) pathology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establish an earlier and more reliable diagnosis. Differentiation at the single patient level by semiquantitative and visual classification (sensitivity/specificity. for PSP-RS &gt;80%). Statistically significant signal in PSP target regions was observed by PI-2620 Tau PET compared to healthy controls (HC) and disease controls (α-synucleinopathies, AD (3R/4R Tau)).</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Data from the Tau-PET imaging program was presented at multiple conferences in 2020, including the Human Amyloid Imaging (HAI) conference 2020, AD/PD 2020, AAIC 2020, European Association of Nuclear Medicine Meeting (EANM) 2020.</w:t>
      </w:r>
    </w:p>
    <w:p>
      <w:pPr>
        <w:spacing w:after="0" w:line="1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Tau diagnostics are a major market opportunity that will be driven by the growth in the aging population and the testing and availability of disease-modifying drugs. We believe a best-in-class Tau tracer has the potential to achieve a substantial global market share in this large and growing market, which includes AD as well as other important Tauopathies.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A-syn diagnostics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also developing PET imaging agents to detect a-syn, which progressively accumulates in the brains of PD patients and is believed to be central to the neurodegenerative process of PD, as well as several other disorders, including Lewy body dementia and MSA, making it a priority target for development of therapeutics and diagnostics. We have identified molecules leveraging our Morphomer technology that selectively bind to a-syn pathological structures from human PD brain with affinity in the low-nanomolar range.</w:t>
      </w:r>
    </w:p>
    <w:p>
      <w:pPr>
        <w:spacing w:after="0" w:line="187" w:lineRule="exact"/>
        <w:rPr>
          <w:sz w:val="20"/>
          <w:szCs w:val="20"/>
          <w:color w:val="auto"/>
        </w:rPr>
      </w:pPr>
    </w:p>
    <w:p>
      <w:pPr>
        <w:ind w:firstLine="321"/>
        <w:spacing w:after="0" w:line="286" w:lineRule="auto"/>
        <w:rPr>
          <w:sz w:val="20"/>
          <w:szCs w:val="20"/>
          <w:color w:val="auto"/>
        </w:rPr>
      </w:pPr>
      <w:r>
        <w:rPr>
          <w:rFonts w:ascii="Arial" w:cs="Arial" w:eastAsia="Arial" w:hAnsi="Arial"/>
          <w:sz w:val="16"/>
          <w:szCs w:val="16"/>
          <w:color w:val="auto"/>
        </w:rPr>
        <w:t>Our second-generation clinical candidate, ACI-3847, shows low-nanomolar binding to pathological a-syn from PD brain homogenates, good selectivity and a strong preclinical pharmacokinetic (PK) profile, with minimal background. It was evaluated in an FiH study in a small cohort of patients with idiopathic PD and healthy volunteers. Although no statistically significant differences between PD and healthy volunteers were observed, overall, PD patients showed higher tracer retention in the substantia nigra and surrounding brain regions, where a-syn deposits start accumulating in PD. These</w:t>
      </w:r>
    </w:p>
    <w:p>
      <w:pPr>
        <w:spacing w:after="0" w:line="1" w:lineRule="exact"/>
        <w:rPr>
          <w:sz w:val="20"/>
          <w:szCs w:val="20"/>
          <w:color w:val="auto"/>
        </w:rPr>
      </w:pPr>
    </w:p>
    <w:p>
      <w:pPr>
        <w:ind w:right="240"/>
        <w:spacing w:after="0" w:line="209" w:lineRule="auto"/>
        <w:rPr>
          <w:sz w:val="20"/>
          <w:szCs w:val="20"/>
          <w:color w:val="auto"/>
        </w:rPr>
      </w:pPr>
      <w:r>
        <w:rPr>
          <w:rFonts w:ascii="Arial" w:cs="Arial" w:eastAsia="Arial" w:hAnsi="Arial"/>
          <w:sz w:val="18"/>
          <w:szCs w:val="18"/>
          <w:color w:val="auto"/>
        </w:rPr>
        <w:t>encouraging data support further evaluation of [</w:t>
      </w:r>
      <w:r>
        <w:rPr>
          <w:rFonts w:ascii="Arial" w:cs="Arial" w:eastAsia="Arial" w:hAnsi="Arial"/>
          <w:sz w:val="29"/>
          <w:szCs w:val="29"/>
          <w:color w:val="auto"/>
          <w:vertAlign w:val="superscript"/>
        </w:rPr>
        <w:t>18</w:t>
      </w:r>
      <w:r>
        <w:rPr>
          <w:rFonts w:ascii="Arial" w:cs="Arial" w:eastAsia="Arial" w:hAnsi="Arial"/>
          <w:sz w:val="18"/>
          <w:szCs w:val="18"/>
          <w:color w:val="auto"/>
        </w:rPr>
        <w:t>F]ACI-3847 in a-syn indications with expected higher a-syn load than idiopathic PD, and these studies are currently ongoing.</w:t>
      </w:r>
    </w:p>
    <w:p>
      <w:pPr>
        <w:spacing w:after="0" w:line="20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May 2020, we received an additional substantial grant from the Michael J. Fox Foundation for Parkinson’s Disease Research to support the clinical development of the second-generation candidate in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different a-synucleinopathies and the initial clinical evaluation of the third-generation candidate. The current status of the program was presented at the HAI 2020 and AAIC 2020.</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2020, we advanced a third-generation candidate, ACI-12589. Compared to the second-generation tracer, ACI-12589 retained the good selectivity and pharmacokinetic profile while also showing a significantly increased signal specificity in PD versus non-diseased human tissues (Figure 44). The Phase 1-enabling preclinical and manufacturing activities for ACI-12589 were completed in 2020 and the IND was accepted in early 2021. The FiH clinical evaluation of the third-generation tracer began in February 2021 and is expected to be completed in Q3 2021.</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Figure 44: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generation alpha-synuclein tracers with improved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97790</wp:posOffset>
            </wp:positionV>
            <wp:extent cx="5160645" cy="21431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606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 AAIC Conference, 2020</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Currently there are no imaging products in the market that target a-syn. This provides us with the opportunity to become the market leader in a-syn PET imaging. We believe the ability to image a-syn deposits in the brain will enable a fundamental change in the approach toward treating PD and other a-syn-associated diseases.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TDP-43 imaging diagnostics</w:t>
      </w:r>
    </w:p>
    <w:p>
      <w:pPr>
        <w:spacing w:after="0" w:line="229"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To complement our pipeline of PET imaging tracers, we also selected TDP-43 as a third target. TDP-43 in its physiological function is a protein participating in nucleic acid transport. Similar to Tau, Abeta and a-syn, TDP-43 misfolds in TDP-43-mediated proteinopathies into insoluble aggregates predominantly in the cytoplasm of neurons, leading to cellular dysfunction and eventually clinical symptoms. TDP-43 pathology often appears in other neurodegenerative diseases (e.g., AD) as a part of mixed pathologies, and it has been proposed that misfolded TDP-43 contributes to the observed clinical phenotype in addition to the primary pathology. The precise molecular diagnosis and differentiation of early stages of such diseases is of critical importance. Using proprietary assays, a set of small molecular weight compounds from four chemically distinct series were identified, which bind to patient-derived pathological TDP-43. Several of these compounds demonstrated favorable pharmacokinetic profiles in rodents suggesting suitable properties for further development as PET ligands. We identified candidates showing nanomolar affinities on tissues from patients with TDP-43 proteinopathies. Affinity and selectivity are being further optimized to deliver a potential first-in-class PET tracer for TDP-43.</w:t>
      </w:r>
    </w:p>
    <w:p>
      <w:pPr>
        <w:spacing w:after="0" w:line="166" w:lineRule="exact"/>
        <w:rPr>
          <w:sz w:val="20"/>
          <w:szCs w:val="20"/>
          <w:color w:val="auto"/>
        </w:rPr>
      </w:pPr>
    </w:p>
    <w:p>
      <w:pPr>
        <w:jc w:val="center"/>
        <w:ind w:right="160"/>
        <w:spacing w:after="0" w:line="311" w:lineRule="auto"/>
        <w:rPr>
          <w:sz w:val="20"/>
          <w:szCs w:val="20"/>
          <w:color w:val="auto"/>
        </w:rPr>
      </w:pPr>
      <w:r>
        <w:rPr>
          <w:rFonts w:ascii="Arial" w:cs="Arial" w:eastAsia="Arial" w:hAnsi="Arial"/>
          <w:sz w:val="16"/>
          <w:szCs w:val="16"/>
          <w:color w:val="auto"/>
        </w:rPr>
        <w:t>There are no imaging products in the market today targeting TDP-43. This provides us with a unique opportunity to become the first company to provide a TDP-43-PET tracer to the market. We believe the ability to image TDP-43 deposits in the brain will enable fundamental change in the approach toward treating primary and secondary TDP-43 proteinopathies including improved design for AD clinical trials to provide the best outcome for patients.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Our SupraAntigen and Morphomer platforms have generated large numbers of clinical assets that address multiple diseases related to protein misfolding. Selected key assets in the product pipeline have been licensed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184" w:lineRule="exact"/>
        <w:rPr>
          <w:sz w:val="20"/>
          <w:szCs w:val="20"/>
          <w:color w:val="auto"/>
        </w:rPr>
      </w:pPr>
    </w:p>
    <w:p>
      <w:pPr>
        <w:ind w:left="620" w:right="300" w:hanging="234"/>
        <w:spacing w:after="0" w:line="263"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March 2009, January 2013, May 2014 and May 2015) for crenezumab for AD, under which we may become eligible to receive payments potentially greater than USD 340 (CHF 303) million, excluding royalties;</w:t>
      </w:r>
    </w:p>
    <w:p>
      <w:pPr>
        <w:spacing w:after="0" w:line="183" w:lineRule="exact"/>
        <w:rPr>
          <w:rFonts w:ascii="Arial" w:cs="Arial" w:eastAsia="Arial" w:hAnsi="Arial"/>
          <w:sz w:val="18"/>
          <w:szCs w:val="18"/>
          <w:color w:val="auto"/>
        </w:rPr>
      </w:pPr>
    </w:p>
    <w:p>
      <w:pPr>
        <w:ind w:left="620" w:right="520" w:hanging="234"/>
        <w:spacing w:after="0" w:line="263"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(and amended in December 2015) for semorinemab to treat AD and potentially other indications, under which we may become eligible to receive payments potentially greater than CHF 400 million, excluding royalties;</w:t>
      </w:r>
    </w:p>
    <w:p>
      <w:pPr>
        <w:spacing w:after="0" w:line="183" w:lineRule="exact"/>
        <w:rPr>
          <w:rFonts w:ascii="Arial" w:cs="Arial" w:eastAsia="Arial" w:hAnsi="Arial"/>
          <w:sz w:val="18"/>
          <w:szCs w:val="18"/>
          <w:color w:val="auto"/>
        </w:rPr>
      </w:pPr>
    </w:p>
    <w:p>
      <w:pPr>
        <w:ind w:left="620" w:right="320" w:hanging="234"/>
        <w:spacing w:after="0" w:line="263"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worldwide licensing agreement with Janssen signed in December 2014 (and amended in April 2016, July 2017, January 2019 and November 2019) for therapeutic anti-Tau vaccines for AD, and potentially other Tauopathies, under which we may become eligible to receive payments totaling up to CHF 500 million, excluding royalties;</w:t>
      </w:r>
    </w:p>
    <w:p>
      <w:pPr>
        <w:spacing w:after="0" w:line="183" w:lineRule="exact"/>
        <w:rPr>
          <w:rFonts w:ascii="Arial" w:cs="Arial" w:eastAsia="Arial" w:hAnsi="Arial"/>
          <w:sz w:val="18"/>
          <w:szCs w:val="18"/>
          <w:color w:val="auto"/>
        </w:rPr>
      </w:pPr>
    </w:p>
    <w:p>
      <w:pPr>
        <w:ind w:left="620" w:right="120" w:hanging="234"/>
        <w:spacing w:after="0" w:line="263"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worldwide licensing and collaboration agreement (LCA) with LMI (formerly Piramal Imaging SA) signed in May 2014 for small-molecule Tau ligands for use as PET tracers under which we may become eligible to receive payments totaling up to EUR 159 (CHF 175) million, excluding royalties; and</w:t>
      </w:r>
    </w:p>
    <w:p>
      <w:pPr>
        <w:spacing w:after="0" w:line="183" w:lineRule="exact"/>
        <w:rPr>
          <w:rFonts w:ascii="Arial" w:cs="Arial" w:eastAsia="Arial" w:hAnsi="Arial"/>
          <w:sz w:val="18"/>
          <w:szCs w:val="18"/>
          <w:color w:val="auto"/>
        </w:rPr>
      </w:pPr>
    </w:p>
    <w:p>
      <w:pPr>
        <w:ind w:left="620" w:right="220" w:hanging="234"/>
        <w:spacing w:after="0" w:line="259"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worldwide license agreement with Lilly to research and develop Morphomer Tau small molecules for the treatment of AD and other neurodegenerative diseases, which was entered into in December 2018 (and amended in September 2019 and March 2020). The agreement was deemed effective on January 23, 2019. Under this, we may become eligible to receive payments up to approximately CHF 1.9 billion, excluding royalties.</w:t>
      </w:r>
    </w:p>
    <w:p>
      <w:pPr>
        <w:spacing w:after="0" w:line="18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Further information concerning details of our agreements and collaborations can be found under “Item 5: Operating and financial review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pharmaceutical and biopharmaceutical industries are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patients with advanced AD who may have agitation, aggressive behaviors, psychosis and depression. No new drugs have been approved for the treatment of AD since 2003.</w:t>
      </w:r>
    </w:p>
    <w:p>
      <w:pPr>
        <w:spacing w:after="0" w:line="18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target for monoclonal antibodies is pathological Tau protein. Therapeutic vaccines are a second class of disease-modifying therapies, and include our candidate products ACI-35.030, which targets aggregated, phosphorylated Tau protein and ACI-24, which targets pathological Abeta.</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availability of novel diagnostic agents to visualize the disease development in patients with AD is critical for successful clinical development of disease-modifying products in AD. At the forefront of this new diagnostic effort are PET agents for in-life imaging of disease, and in particular, Tau-targeting PET agents, which we believe will allow precise assessment of disease in patients with AD.</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ACI-35.030. </w:t>
      </w:r>
      <w:r>
        <w:rPr>
          <w:rFonts w:ascii="Arial" w:cs="Arial" w:eastAsia="Arial" w:hAnsi="Arial"/>
          <w:sz w:val="18"/>
          <w:szCs w:val="18"/>
          <w:color w:val="auto"/>
        </w:rPr>
        <w:t>ACI-35.030, if approved, would compete with other approved Tau-targeting therapeutic vaccines. This includes the AADvac1 vaccine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by Axon Neuroscience, which completed a Phase 2 study in 2020.</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b w:val="1"/>
          <w:bCs w:val="1"/>
          <w:i w:val="1"/>
          <w:iCs w:val="1"/>
          <w:color w:val="auto"/>
        </w:rPr>
        <w:t xml:space="preserve">Semorinemab. </w:t>
      </w:r>
      <w:r>
        <w:rPr>
          <w:rFonts w:ascii="Arial" w:cs="Arial" w:eastAsia="Arial" w:hAnsi="Arial"/>
          <w:sz w:val="16"/>
          <w:szCs w:val="16"/>
          <w:color w:val="auto"/>
        </w:rPr>
        <w:t>Semorinemab is one of several Tau-targeting monoclonal antibodies in development to potentially act as disease-modifying agents.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Biogen is evaluating gosuranemab (licensed from Bristol-Myers Squibb) in a Phase 2 clinical trial in AD. AbbVie is currently investigating tilavonemab in AD in Phase 2 studies. Zagotenemab (Lilly) is currently in a Phase 2 study in AD. Bepranemab (UCB/Roche), BIIB076 (Biogen/Neuroimmune), JNJ3657 (Janssen), Lu AF87908 (Lundbeck), PNT001 (Pinteon Therapeutics) and E-2814 (Eisai) are being evaluated in Phase 1 studies.</w:t>
      </w:r>
    </w:p>
    <w:p>
      <w:pPr>
        <w:spacing w:after="0" w:line="15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Morphomer Tau. </w:t>
      </w:r>
      <w:r>
        <w:rPr>
          <w:rFonts w:ascii="Arial" w:cs="Arial" w:eastAsia="Arial" w:hAnsi="Arial"/>
          <w:sz w:val="17"/>
          <w:szCs w:val="17"/>
          <w:color w:val="auto"/>
        </w:rPr>
        <w:t>AC Immune has developed the first small molecule targeting aggregated Tau with high selectivity for the target. In collaboration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Lilly, this molecule (ACI-3024) was studied in a Phase 1 clinical trial which was completed in 2020 as a first-in-class, Tau-specific, disease-modifying, Tau aggregation inhibitor small molecule for the treatment of neurodegenerative diseases characterized by misfolded Tau. Together with our partner Eli Lilly, we have identified optimized candidates that will now be prioritized for Alzheimer’s disease development. The optimized candidates have been shown to have enhanced brain uptake, good safety profiles and high affinity for Tau. These new candidates are being further characterized in in vivo preclinical models and will be advanced into investigational new drug (IND)-enabling studies, and one of them is expected to advance into development in 2021. ACI-3024 will continue to be investigated in Orphan indications.</w:t>
      </w:r>
    </w:p>
    <w:p>
      <w:pPr>
        <w:spacing w:after="0" w:line="177"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b w:val="1"/>
          <w:bCs w:val="1"/>
          <w:i w:val="1"/>
          <w:iCs w:val="1"/>
          <w:color w:val="auto"/>
        </w:rPr>
        <w:t xml:space="preserve">ACI-24 for AD. </w:t>
      </w:r>
      <w:r>
        <w:rPr>
          <w:rFonts w:ascii="Arial" w:cs="Arial" w:eastAsia="Arial" w:hAnsi="Arial"/>
          <w:sz w:val="16"/>
          <w:szCs w:val="16"/>
          <w:color w:val="auto"/>
        </w:rPr>
        <w:t>ACI-24, if approved, would compete with other approved anti-Abeta-targeting therapeutic vaccines. This includes the ABvac 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(Araclon Biotech), which is currently being evaluated in a Phase 2 study and UB-311(Vaxxinity), which has completed a Phase 2 study.</w:t>
      </w:r>
    </w:p>
    <w:p>
      <w:pPr>
        <w:spacing w:after="0" w:line="12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ACI-24 for DS. </w:t>
      </w:r>
      <w:r>
        <w:rPr>
          <w:rFonts w:ascii="Arial" w:cs="Arial" w:eastAsia="Arial" w:hAnsi="Arial"/>
          <w:sz w:val="18"/>
          <w:szCs w:val="18"/>
          <w:color w:val="auto"/>
        </w:rPr>
        <w:t>ACI-24 is the first disease-modifying vaccine candidate addressing DS-related AD, with a potential preventive and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Although there are symptomatic treatments of DS in clinical development, to our knowledge there are currently no other disease-modifying treatments in clinical development for AD in DS.</w:t>
      </w:r>
    </w:p>
    <w:p>
      <w:pPr>
        <w:spacing w:after="0" w:line="184"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b w:val="1"/>
          <w:bCs w:val="1"/>
          <w:i w:val="1"/>
          <w:iCs w:val="1"/>
          <w:color w:val="auto"/>
        </w:rPr>
        <w:t xml:space="preserve">Crenezumab. </w:t>
      </w:r>
      <w:r>
        <w:rPr>
          <w:rFonts w:ascii="Arial" w:cs="Arial" w:eastAsia="Arial" w:hAnsi="Arial"/>
          <w:sz w:val="16"/>
          <w:szCs w:val="16"/>
          <w:color w:val="auto"/>
        </w:rPr>
        <w:t>Crenezumab is the first monoclonal antibody candidate that targets Abeta in cognitively healthy individuals at risk of developing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familial AD. However, Lilly’s solanezumab, Roche’s gantenerumab and Eisai’s lecanemab are being evaluated in studies of presymptomatic AD.</w:t>
      </w:r>
    </w:p>
    <w:p>
      <w:pPr>
        <w:spacing w:after="0" w:line="12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A-syn and TDP-43 antibodies. </w:t>
      </w:r>
      <w:r>
        <w:rPr>
          <w:rFonts w:ascii="Arial" w:cs="Arial" w:eastAsia="Arial" w:hAnsi="Arial"/>
          <w:sz w:val="18"/>
          <w:szCs w:val="18"/>
          <w:color w:val="auto"/>
        </w:rPr>
        <w:t>Several a-syn antibodies are currently in development; Roche/Prothena entered a Phase 2 with prasinezumab in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Biogen entered a Phase 2 with cinpanemab in January 2018; Astra Zeneca/Takeda started a Phase 1 study in patients with Parkinson’s disease with MEDI1341 in August 2020; Lundbeck/Genmab entered a Phase 1 with Lu AF82422 in July 2018; and BAN0805 (AbbVie/BioArctic) is currently in a Phase 1 study. To our knowledge, there are no TDP-43 antibodies in the clinic.</w:t>
      </w:r>
    </w:p>
    <w:p>
      <w:pPr>
        <w:spacing w:after="0" w:line="18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i w:val="1"/>
          <w:iCs w:val="1"/>
          <w:color w:val="auto"/>
        </w:rPr>
        <w:t xml:space="preserve">Diagnostics. </w:t>
      </w:r>
      <w:r>
        <w:rPr>
          <w:rFonts w:ascii="Arial" w:cs="Arial" w:eastAsia="Arial" w:hAnsi="Arial"/>
          <w:sz w:val="17"/>
          <w:szCs w:val="17"/>
          <w:color w:val="auto"/>
        </w:rPr>
        <w:t>Tauvid (previously known as Flortaucipir), which was developed by Eli Lilly and approved by FDA in May 2020. However, should PI-2620 be approved, it would also compete with (i) APN-1607 (previously known as 18F-PM-PBB3), a product candidate in a Phase 2 study and being advanced by Aprinoia; (ii) THK-5351 (FluoroTau), a product candidate in a Phase 2 study being advanced by GE Healthcare; (iii) 18F-MK-6240, which is being evaluated by Cerveau/Merck in a Phase 2 clinical trial in patients with ADAD; (iv) 18F-GTP1, which is being developed by Genentech and is in a Phase 2 study in subjects at risk of developing ADAD, (v) 18F-RO6958948, for which Roche has completed a Phase 1 study in patients with AD and (vi)18F-JNJ-067, for which Janssen has completed a Phase 1 study in patients with AD.</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Commercialization strategy</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strategy to date has been to focus on identifying partnerships for our early-stage product candidates as both a way to secure non-dilutive capital to fund our other research and development programs and also as a</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way to accelerate the development of these partnered products by leveraging our partners’ extensive knowledge in clinical studies, drug development, manufacturing and commercialization.</w:t>
      </w:r>
    </w:p>
    <w:p>
      <w:pPr>
        <w:spacing w:after="0" w:line="17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With greater financial resources at our disposal and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while we plan to seek a strategic partner for our Abeta vaccine program in AD, our current plan is to retain full control of this asset for development in the DS population. We will complete the ongoing Phase 2 study for AD before partnering this program and intend to fund further clinical development in DS from our own financial resources. In the field of diagnostics, the parallel development of therapeutic compounds and companion diagnostics is of growing importance to the pharmaceutical and biopharmaceutical industries.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product candidates is granted marketing approval, we intend to focus our initial commercial efforts in the US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and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to defend and enforce patents, to preserve the confidentiality of our trade secrets and to operate our business without infringing any patents and other intellectual property or proprietary rights of third parties. See the section titled “Risk factors — Risks related to intellectual property” for additional information.</w:t>
      </w:r>
    </w:p>
    <w:p>
      <w:pPr>
        <w:spacing w:after="0" w:line="187"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As of December 31, 2020 we owned or co-owned approximately 40 issued US patents and 323 issued patents in other jurisdictions, as well as 26 pending US patent applications and 354 pending foreign patent applications. As of December 31, 2020 we licensed approximately 25 issued US patents and 20 pending US patent applications, as well as 236 issued patents in other jurisdictions and 238 pending foreign patent applications.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patent portfolios for our most advanced product candidates as of December 31, 2020 are summarized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Anti-Tau vaccines</w:t>
      </w:r>
    </w:p>
    <w:p>
      <w:pPr>
        <w:spacing w:after="0" w:line="22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patent portfolio for anti-Tau vaccines includes a patent family with composition-of-matter claims (including claims directed to the ACI-35 antigenic peptide and a pharmaceutical composition comprising such an antigenic peptide), claims directed to treating certain indications using ACI-35 including AD, and claims directed to using ACI-35 to induce an immune response. This patent family currently contains approximately 27 issued patents and four pending patent applications in 27 countries. The issued patents in this patent family, if the appropriate maintenance, renewal, annuity or other governmental fees are paid, are expected to expire in 2030, excluding any additional term for patent term adjustments or patent term extensions.</w:t>
      </w:r>
    </w:p>
    <w:p>
      <w:pPr>
        <w:spacing w:after="0" w:line="161"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patent portfolio for anti-Tau vaccines also includes a patent family relating to therapeutic Tau vaccine claims (including claims directed to a pharmaceutical composition comprising an antigenic Tau peptide), claims directed to using such vaccines to induce an immune response in a subject, and claims directed to methods for preventing or treating a neurodegenerative disease or disorder, including AD, among others. Any patents issuing</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this patent family, if the appropriate maintenance, renewal, annuity or other governmental fees are paid, are expected to expire in 2038, excluding any additional term for patent term adjustments or patent term extensions.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Semorinemab</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global patent portfolio relating to semorinemab includes patents and patent applications with claims directed to compositions of matter, methods of treatment for certain indications including AD, and methods of use, among others.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Morphomer Tau</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patent portfolio relating to Morphomer Tau therapeutics includes patent applications with claims directed to composition of matter (including claims directed to the molecule, a pharmaceutical composition comprising such molecule and a mixture comprising such molecule), and claims directed to prevention and treatment of certain indications using such molecules including AD and PSP, among others.</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patent portfolio relating to the Morphomer Tau therapeutic program includes patent applications that we own or co-own in four different patent families. As of December 31, 2020, we owned or co-owned approximately 51 pending patent applications and one US issued patent in our main patent family directed to the ACI-3024 small molecule Tau aggregation inhibitor. If the appropriate maintenance, renewal, annuity, or other governmental fees are paid, national-stage applications issuing from this PCT patent application are expected to expire in 2039, excluding any additional term for patent term adjustments or patent term extensions, as applicable.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ACI-24</w:t>
      </w:r>
    </w:p>
    <w:p>
      <w:pPr>
        <w:spacing w:after="0" w:line="22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Our patent portfolio for ACI-24 includes composition-of-matter claims (including claims directed to the ACI-24 antigenic construct), claims directed to treating certain indications using ACI-24 including AD, and claims directed to using ACI-24 to induce an immune response. Our patent portfolio for ACI-24 consists of approximately 25 issued patents and 9 pending patent applications in 30 countries. With respect to the US, we own two issued US patents.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17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patent portfolio for ACI-24 also consists of an additional patent family directed to the use of the ACI-24 vaccine in the treatment and/or prevention of memory and/or cognitive impairments or abnormalities in the DS subpopulation, among others. As of December 31, 2020, in this patent family, we owned approximately 10 patents and 8 pending patent applications in 18 countries. The issued patents in this patent family, if the appropriate maintenance, renewal, annuity or other governmental fees are paid, are expected to expire in 2032, excluding any additional term for patent term adjustments or patent term extensions.</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patent portfolio for ACI-24 also includes a patent family related to therapeutic anti-Abeta vaccine claims (including claims directed to a pharmaceutical composition comprising an antigenic peptide), and claims directed to using such vaccines in treating, preventing, inducing a protective immune response against or alleviating the symptoms associated with an Abeta-associated disease in a subject, among others. This patent family currently contains approximately 29 pending patent applications in 31 countries and one issued US patent. Any issued patents in this patent family, if the appropriate maintenance, renewal, annuity or other governmental fees are paid, are expected to expire in 2039, excluding any additional term for patent term adjustments or patent term extensions.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Crenezumab</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8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patent portfolio relating to crenezumab includes patents and patent applications that we own or co-own in four different patent families. As of December 31, 2020, we owned or co-owned approximately 45 patents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(not including the patents in the individual countries where the issued European patent was validated) and 19 patent applications in 34 countries in our main patent family directed to the crenezumab antibody and methods of using the crenezumab antibody to treat certain indications, including AD. This patent portfolio includes three issued US patents and one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that was filed on July 13, 2007. If the appropriate maintenance, renewal, annuity, or other governmental fees are paid, national-stage applications issuing from this PCT patent application are expected to expire in 2027, excluding any additional term for patent term adjustments or patent term extensions, as applicable.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PI-2620</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patent portfolio relating to PI-2620 includes patent applications with claims directed to composition of matter (including claims directed to the molecule, its precursor and a diagnostic composition comprising such molecule), claims directed to diagnosis of certain indications using PI-2620 including AD and PSP, and claims directed to a method of manufacturing PI-2620, among others.</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patent portfolio relating to PI-2620 includes patent applications that we own or co-own in three different patent families. As of December 31, 2020, we owned or co-owned approximately 16 patent applications in 16 countries in our main patent family directed to the PI-2620 molecule, its precursor and methods of using the PI-2620 to diagnose certain indications, including AD and PSP. If the appropriate maintenance, renewal, annuity, or other governmental fees are paid, national-stage applications issuing from this PCT patent application are expected to expire in 2037, excluding any additional term for patent term adjustments or patent term extensions, as applicable.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do not own or operate facilities for the manufacture, packaging, labeling, storage, testing or distribution of preclinical or clinical supplies of any of our drug candidates. We instead contract with and rely on third-party CMOs to manufacture, package, label, store, test and distribute all preclinical development and clinical supplies of our drug candidates, and we plan to continue to do so for the foreseeable future. We have established relationships with CMOs such as WuXi AppTec (WuXi STA), Bachem AG, Polymun GmbH, Syngene International Limited and Avecia among others.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facilities used by our collaboration partners and CMOs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CMOs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QCs and QA systems including personnel qualification.</w:t>
      </w:r>
    </w:p>
    <w:p>
      <w:pPr>
        <w:spacing w:after="0" w:line="16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QC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product stability during the storage period; this, in addition to guaranteeing the safety of the products, supports the definition of a suitable supply chain that may encompass the distribution of the products in different continents.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established, with CMOs supplying drug substances or drug products under cGMP, quality agreements and master service agreements. Quality agreements define the quality standards required to develop, produce and supply the product, and also define the responsibilities related to the collaboration with regards to the quality related aspects. Manufacturing service agreements define the commercial and financial framework under which product manufacturing under cGMP is performed. Any failure to achieve and maintain compliance with the laws, regulations and standards, suspension of the manufacturing of our product candidates or revoke of cGMP permissions, which would adversely affect our business and reputation, are defined in the master service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agreements and quality agreements. The risk that any third-party providers may breach the agreements they have with us because of factors beyond our control and the possibility that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which may offer the chance to rapidly identify alternative contract manufacturers to whom the manufacturing process could be transferred providing continuity for the clinical study.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Interaction with collaboration partners and CMOs</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Finally, our partnership with CMOs is managed through an efficient project management platform in which teams are formed with the representatives of each key function from both parties. Meetings occur either through telephone conferences aimed at updating short-term actions or face-to-face conferences when mid- to long-term development plans are discussed.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QA group is included within the regulatory department with the mission to:</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create and maintain a corporate quality management system;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ensure cGCP, cGMP, cGLP and current Good Distribution Practice (cGDP) compliance.</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 science-driven approach is the cornerstone of our interactions and this has helped us to build and maintain a high level of trust with regulators. Besides informal conversations with the authorities, our regulatory department has conducted several pre-Investigational New Drug (pre-IND) meetings with the FDA (ACI-24 for AD and DS, and PI-2620) and Scientific Advice meetings, which are the European equivalent of pre-IND meetings (with the German Paul-Ehrlich-Institut, Swedish Medical Products Agency; UK Medicine &amp; Healthcare Products Regulatory Agency, Finnish Medicines Agency, the Spanish Agency of Medicines and Medical Devices and the EMA). Since 2008, our regulatory department has filed a total of 18 clinical trial applications in the EU (one each in Austria, Denmark, the Netherlands and Poland, two in Germany, three in Sweden, four in Finland and five in the UK) and 4 INDs in the US.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6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regulatory department contains a QA group. As every quality issue ultimately requires regulatory involvement and input, this approach is intended to lead to rapid resolution of issues and ensure full compliance to satisfy both the 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regulatory department is also tasked with generating our annual quality plan. The personnel tasked with QA have issued a set of approximately 77 standard operating procedures and working instructions and continuously train the relevant staff. Our QA personnel conduct regular audits, including in-person audits of the contract manufacturers, contract research organizations and laboratories conducting primary endpoint analysis. In addition, we have a full-time QA documentation assistant to ensure good documentation practice and archiving.</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clinical studies, manufacturing, labeling, storage, distribution, record-keeping, advertising, promotion, import, export and marketing, among other things, of our product candidates are subject to extensive regulation by governmental authorities in the US and other countries. The US FDA, under the Federal Food, Drug, and Cosmetic Act (FDCA), regulates pharmaceutical products in the US. The steps required before a drug may be approved for marketing in the US generally include:</w:t>
      </w:r>
    </w:p>
    <w:p>
      <w:pPr>
        <w:spacing w:after="0" w:line="187" w:lineRule="exact"/>
        <w:rPr>
          <w:sz w:val="20"/>
          <w:szCs w:val="20"/>
          <w:color w:val="auto"/>
        </w:rPr>
      </w:pPr>
    </w:p>
    <w:p>
      <w:pPr>
        <w:ind w:left="620" w:hanging="234"/>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cGLP regulations;</w:t>
      </w:r>
    </w:p>
    <w:p>
      <w:pPr>
        <w:spacing w:after="0" w:line="225" w:lineRule="exact"/>
        <w:rPr>
          <w:rFonts w:ascii="Arial" w:cs="Arial" w:eastAsia="Arial" w:hAnsi="Arial"/>
          <w:sz w:val="18"/>
          <w:szCs w:val="18"/>
          <w:color w:val="auto"/>
        </w:rPr>
      </w:pPr>
    </w:p>
    <w:p>
      <w:pPr>
        <w:ind w:left="620" w:right="760" w:hanging="234"/>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submission to the FDA of an IND application for human clinical testing, which must become effective before human clinical studies commence;</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obtaining a positive opinion from the ethics committee (Europe)/institutional review board (US) to commence study on human subjects;</w:t>
      </w:r>
    </w:p>
    <w:p>
      <w:pPr>
        <w:spacing w:after="0" w:line="236" w:lineRule="exact"/>
        <w:rPr>
          <w:rFonts w:ascii="Arial" w:cs="Arial" w:eastAsia="Arial" w:hAnsi="Arial"/>
          <w:sz w:val="17"/>
          <w:szCs w:val="17"/>
          <w:color w:val="auto"/>
        </w:rPr>
      </w:pPr>
    </w:p>
    <w:p>
      <w:pPr>
        <w:ind w:left="620" w:right="460" w:hanging="234"/>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performance of adequate and well-controlled human clinical studies to establish the safety and efficacy of the product candidate for each proposed indication and conducted in accordance with cGCP requirements;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submission to the FDA of an NDA;</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225" w:lineRule="exact"/>
        <w:rPr>
          <w:rFonts w:ascii="Arial" w:cs="Arial" w:eastAsia="Arial" w:hAnsi="Arial"/>
          <w:sz w:val="18"/>
          <w:szCs w:val="18"/>
          <w:color w:val="auto"/>
        </w:rPr>
      </w:pPr>
    </w:p>
    <w:p>
      <w:pPr>
        <w:ind w:left="620" w:right="780" w:hanging="234"/>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cGMP requirements;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US; and</w:t>
      </w:r>
    </w:p>
    <w:p>
      <w:pPr>
        <w:spacing w:after="0" w:line="225" w:lineRule="exact"/>
        <w:rPr>
          <w:rFonts w:ascii="Arial" w:cs="Arial" w:eastAsia="Arial" w:hAnsi="Arial"/>
          <w:sz w:val="18"/>
          <w:szCs w:val="18"/>
          <w:color w:val="auto"/>
        </w:rPr>
      </w:pPr>
    </w:p>
    <w:p>
      <w:pPr>
        <w:ind w:left="620" w:right="180" w:hanging="234"/>
        <w:spacing w:after="0" w:line="263"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having parallel scientific advice from the EMA or Health Technology Assessment body whereby the payors are involved at the outset (Phase 2), which is intended to facilitate the design of clinical studies to target primarily populations with a high chance of obtaining reimbursement and accelerate the process of time to reimbursement.</w:t>
      </w:r>
    </w:p>
    <w:p>
      <w:pPr>
        <w:spacing w:after="0" w:line="184"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FDA has various programs, including Fast Track, Priority review, Accelerated Approval and Breakthrough Therapy designation, which are intended to increase agency interactions, expedite or facilitate the process for reviewing drug candidates, and/or provide for initial approval based on surrogate endpoints. We believe that one or more of our product candidates may qualify for some of these expedited development and review programs. However, even if a drug candidate qualifies for one or more of these programs, the FDA may later decide that the drug candidate no longer meets the conditions for qualification.</w:t>
      </w:r>
    </w:p>
    <w:p>
      <w:pPr>
        <w:spacing w:after="0" w:line="18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it provides a significant improvement in the treatment, diagnosis or prevention of a disease compared with marketed products. The FDA will attempt to</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direct additional resources to the evaluation of an application for a new drug designated for Priority Review to facilitate the review. Additionally, a product may be eligible for the Accelerated Approval program. Drug candidates that are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as a condition for Accelerated Approval the FDA currently requires pre-approval of promotional materials, which could adversely impact the timing of the commercial launch of the product. The Fast Track, Priority Review and Accelerated Approval programs do not change the standards for approval but may expedite the development or approval process.</w:t>
      </w:r>
    </w:p>
    <w:p>
      <w:pPr>
        <w:spacing w:after="0" w:line="16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Food and Drug Administration Safety and Innovation Act of 2012 also amended the FDCA to require the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in one or more clinically significant endpoints. A sponsor may request that a drug be designated as a breakthrough therapy at any time during the clinical development of the product. If so designated, the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66"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The testing and approval process requires substantial time, effort and financial resources, and the receipt and timing of any approval is uncertain. Given this paradigm, AD has been given Life-Threatening Disease status by the FDA and therefore AD therapies are eligible for the expanded access program for investigational drugs and other pathways such as Breakthrough Therapy, Accelerated Approval and Priority Review. Additionally, a single well-designed, well-conducted, pivotal clinical study could be sufficient to trigger market approval pending a successful PAI.</w:t>
      </w:r>
    </w:p>
    <w:p>
      <w:pPr>
        <w:spacing w:after="0" w:line="157"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automatically become effective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Board/Committee. This group provides authorization for whether or not a study may move forward at designated checkpoints based on access to certain data from the study. We may also suspend or terminate a clinical study based on evolving business objectives and/or competitive climate.</w:t>
      </w:r>
    </w:p>
    <w:p>
      <w:pPr>
        <w:spacing w:after="0" w:line="17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8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Phase 2. Phase 2 clinical studies usually involve studies in a limited patient population to (i) evaluate the efficacy of the product candidate for specific indications, (ii) determine dosage tolerance and optimal dosage, and (iii) identify possible adverse effects and safety risks.</w:t>
      </w:r>
    </w:p>
    <w:p>
      <w:pPr>
        <w:spacing w:after="0" w:line="146" w:lineRule="exact"/>
        <w:rPr>
          <w:sz w:val="20"/>
          <w:szCs w:val="20"/>
          <w:color w:val="auto"/>
        </w:rPr>
      </w:pPr>
    </w:p>
    <w:p>
      <w:pPr>
        <w:jc w:val="both"/>
        <w:ind w:right="620" w:firstLine="324"/>
        <w:spacing w:after="0" w:line="263" w:lineRule="auto"/>
        <w:rPr>
          <w:sz w:val="20"/>
          <w:szCs w:val="20"/>
          <w:color w:val="auto"/>
        </w:rPr>
      </w:pPr>
      <w:r>
        <w:rPr>
          <w:rFonts w:ascii="Arial" w:cs="Arial" w:eastAsia="Arial" w:hAnsi="Arial"/>
          <w:sz w:val="18"/>
          <w:szCs w:val="18"/>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8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Phase 4. 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post-marketing requirements or commitments. Failure to conduct any required Phase 4 clinical studies promptly could result in withdrawal of approval.</w:t>
      </w:r>
    </w:p>
    <w:p>
      <w:pPr>
        <w:spacing w:after="0" w:line="18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estimate that it generally takes 10 to 15 years, or possibly longer, to discover, develop and bring to market a new pharmaceutical or biopharmaceutical product in the US. Several years may be needed to complete each phase, including discovery, preclinical, Phase 1, 2 or 3, or marketing authorization.</w:t>
      </w:r>
    </w:p>
    <w:p>
      <w:pPr>
        <w:spacing w:after="0" w:line="18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addition, under the Pediatric Research Equity Act,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(FDASIA), which was signed into law on July 9, 2012, amended the FDCA. The FDASIA requires that a sponsor who is planning to submit a marketing application for a drug or biological product that includes a new active ingredient, new indication, new dosage form, new dosing regimen or new route of administration submit an initial Pediatric Study Plan within 60 days of an end-of-Phase-2 meeting or as may be agreed between the sponsor and the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Pediatric Study Plan. A sponsor can submit amendments to an agreed-upon initial Pediatric Study Plan at any time if changes to the pediatric plan need to be considered based on data collected from nonclinical studies, early-phase clinical trials, and/or other clinical development programs.</w:t>
      </w:r>
    </w:p>
    <w:p>
      <w:pPr>
        <w:spacing w:after="0" w:line="17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(PDUFA), as amended, each NDA must be accompanied by a user fee. The FDA adjusts the PDUFA user fees on an annual basis. PDUFA VI eliminates fees for supplements as well as for establishments, although applicants will be assessed for annual prescription drug program fees for prescription drug products, rather than the prescription drug product fee assessed under the previous iteration of PDUFA. According to the FDA’s fee schedule for the 2021 FY, the user fee for each NDA application requiring clinical data is USD 2,875,842 and the annual program fee is USD 336,432.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Once the NDA submission has been submitted, the FDA has 60 days after submission of the NDA to conduct an initial review to determine whether it is sufficient to accept for filing. Under the PDUFA, the FDA</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 regulations and may also inspect clinical study sites for integrity of the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9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After the FDA evaluates the NDA and conducts inspections of the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 or studies,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post-marketing studies or clinical studies. Such post-marketing testing may include Phase 4 clinical studies and surveillance to further assess and monitor the product’s safety and effectiveness after commercialization.</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(SPA). Upon a specific request for a SPA by an IND sponsor, the FDA will evaluate the protocol. If an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agreed-upon protocol, or the relevant data, assumptions, or information provided by the IND sponsor when requesting a SPA agreement change, are found to be false statements or misstatements, or are found to omit relevant facts. An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Orphan-drug designation</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a disease or condition that either affects fewer than 200,000 individuals in the US, or affects more than 200,000 individuals in the US but there is no reasonable expectation that the cost of developing and making a drug product available in the US for this type of disease or condition will be recovered from sales of the product in the US. Orphan-product designation must be requested before submitting an NDA. After the FDA grants orphan-product designation, the identity of the therapeutic agent and its potential orphan use are disclosed publicly by the FDA. Orphan-product designation does not convey any advantage in or shorten the duration of the regulatory review and approval process.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orphan-product exclusivity, which means that the FDA cannot approve any other applications to market the same drug or biological product for the same indication for 7 years, except in limited circumstances, such as a showing of clinical superiority to the product with orphan exclusivity. The designation of such drug also entitles a party to financial incentives such as opportunities for grant funding toward clinical study costs, tax advantages and user-fee waivers. Competitors,</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however, may receive approval of different products for the indication for which the orphan product has exclusivity or obtain approval for the same product but for a different indication for which the orphan product has exclusivity. Orphan-product exclusivity also could block the approval of one of our products for 7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orphan-product exclusivity. Orphan-drug status in the EU has similar but not identical benefits in that jurisdiction.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be required to be disclosed in the future.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user-fee requirements for any marketed products and the establishments at which such products are manufactured, as well as new application fees for supplemental applications with clinical data.</w:t>
      </w:r>
    </w:p>
    <w:p>
      <w:pPr>
        <w:spacing w:after="0" w:line="17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areas of production and QC to maintain cGMP compliance.</w:t>
      </w:r>
    </w:p>
    <w:p>
      <w:pPr>
        <w:spacing w:after="0" w:line="17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post-marketing studies or clinical studies to assess new safety risks, or imposition of distribution or other restrictions under a REMS program. Other potential consequences include, among other things:</w:t>
      </w:r>
    </w:p>
    <w:p>
      <w:pPr>
        <w:spacing w:after="0" w:line="176" w:lineRule="exact"/>
        <w:rPr>
          <w:sz w:val="20"/>
          <w:szCs w:val="20"/>
          <w:color w:val="auto"/>
        </w:rPr>
      </w:pPr>
    </w:p>
    <w:p>
      <w:pPr>
        <w:ind w:left="620" w:hanging="234"/>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236" w:lineRule="exact"/>
        <w:rPr>
          <w:rFonts w:ascii="Arial" w:cs="Arial" w:eastAsia="Arial" w:hAnsi="Arial"/>
          <w:sz w:val="17"/>
          <w:szCs w:val="17"/>
          <w:color w:val="auto"/>
        </w:rPr>
      </w:pPr>
    </w:p>
    <w:p>
      <w:pPr>
        <w:ind w:left="620" w:hanging="234"/>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5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of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60-day period from the date the product is first approved for commercial marketing. The USPTO,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 containing it.</w:t>
      </w:r>
    </w:p>
    <w:p>
      <w:pPr>
        <w:spacing w:after="0" w:line="182"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Biologics Price Competition and Innovation Act of 2009 provides up to 12 years of non-patent data exclusivity within the US to the first applicant to gain approval of a Biologics License Application for a new biologic product that has not previously been approved by the FDA, which we refer to as a reference product. This 12-year data exclusivity does prohibit the FDA from approving a biosimilar or interchangeable product of such reference product until 12 years after the licensure of such reference product. In addition, the FDA will not accept a biosimilar or interchangeable product application for review until 4 years after the date of first licensure of such reference product. Under 21CFR314.108, 5 years’ exclusivity is also granted to new chemical entities that contain no active moiety that has been approved by the FDA under section 505(b). This market exclusivity bars the FDA from accepting for review any ANDA or 505(b)(2) application for a drug containing the same active moiety for (i) 5 years if an ANDA or 505(b)(2) application does not contain a paragraph IV certification to a listed patent, or (ii) 4 years if an ANDA or 505(b)(2) is submitted containing a paragraph IV certification to a listed patent. Moreover, pediatric exclusivity, if granted, may add 6 months of exclusivity if the reference product has been studied with respect to a pediatric indication in accordance with certain regulatory requirements. A reference product may also be granted 7 years of orphan-drug exclusivity for the treatment of a rare disease or condition under section 527(a) of FDCA, which would run in parallel with the 12 years of data exclusivity of the reference product, if applicable.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market any product outside of the US,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US apply similarly in the context of the EU,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 drug review approval</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the EEA, which is comprised of the 27 Member States of the EU plus Norway, Iceland and Liechtenstein medicinal products can only be commercialized after obtaining a marketing authorization. There are two types of marketing authorization: the Community Marketing Authorization, which is issued by the EC through the Centralized Procedure based on the opinion of the Committee for Medicinal Products for Human Use (CHMP), a body of the EMA, and which is valid throughout the entire territory of the EEA; and the National Marketing Authorization, which is issued by the competent authorities of the Member States of the EEA and authorizes marketing only in that Member State’s national territory and not the EEA as a whole.</w:t>
      </w:r>
    </w:p>
    <w:p>
      <w:pPr>
        <w:spacing w:after="0" w:line="16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 The National Marketing Authorization is for products not falling within the mandatory scope of the Centralized Procedure. Where a product has already been authorized for marketing in a Member State of the EEA, this National Marketing Authorization can be recognized in another Member State through the Mutual Recognition Procedure. If the product has not received a National Marketing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marketing authorization is sought, one of which is selected by the applicant as the Reference Member State (RMS). If the RMS proposes to authorize the product, and the other Member States do not raise objections, the product is granted a National Marketing Authorization in all the Member States in which the authorization was sought. Before granting the marketing authorization, the EMA or the competent authorities of the Member States of the EEA assesses the risk–benefit balance of the product on the basis of scientific criteria concerning its quality, safety and efficacy.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in the EU</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Product development, the regulatory approval process, and safety monitoring of medicinal products and their manufacturers in the EU proceed in much the same manner as they do in the US. Therefore, many of the issues discussed above apply similarly in the context of the EU. In addition, drugs are subject to the extensive price and reimbursement regulations of the various EU Member States.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As is the case in the US, the various phases of preclinical and clinical research in the EU are subject to significant regulatory controls. The Clinical Trials Directive 2001/20/EC, as amended and which will be replaced in 2021 or later by Regulation (EU) No 536/2014) provides a system for the approval of clinical studies in the European Union via implementation through national legislation of the Member States. Under this system, approval must be obtained from the competent national authorities of the EU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EEA. European regulators and ethics committees also require the submission of AE reports during a study and a copy of the final study report.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Marketing approvals under the EU regulatory system may be obtained through a centralized or decentralized procedure. The centralized procedure results in the grant of a single marketing authorization, which is valid for all (currently 27) EU Member States and the three European Free Trade Association (EFTA) members (Norway, Iceland and Liechtenstein).</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Pursuant to Regulation (EC) No. 726/2004, as amended, the centralized procedure is mandatory for drugs developed by means of specified biotechnological processes, advanced-therapy medicinal products, drugs for human use containing a new active substance for which the therapeutic indication is the treatment of specified diseases, including but not limited to AIDS,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the marketing authorization application,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the manufacturing and control information that should be submitted in a marketing authorization application, and the post-approval measures required to monitor patients and evaluate the long-term efficacy and potential adverse reactions. Although these guidelines are not legally binding, we believe that our compliance with them is likely to be necessary to gain approval for any of our product candidates.</w:t>
      </w:r>
    </w:p>
    <w:p>
      <w:pPr>
        <w:spacing w:after="0" w:line="19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maximum timeframe for the evaluation of a marketing authorization application by the CHMP under the centralized procedure is 210 days after receipt of a valid application. This period will be suspended until such time as the supplementary information requested by the CHMP has been provided by the applicant. Likewise, this time limit will be suspended for the time allowed for the applicant to prepare oral or written explanations. When an application is submitted for a marketing authorization in respect of a drug that is of major interest from the viewpoint of public health and in particular therapeutic innovation, the applicant may request an accelerated assessment procedure. If the CHMP accepts such a request, the time limit of 210 days will be reduced to 150 days, but it is possible that the CHMP can revert to the standard time limit for the centralized procedure if it considers that it is no longer appropriate to conduct an accelerated assessment.</w:t>
      </w:r>
    </w:p>
    <w:p>
      <w:pPr>
        <w:spacing w:after="0" w:line="1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EC, which drafts a decision within approximately 67 days following the CHMP opinion. After consulting with the Member States, the EC adopts a decision and grants a marketing authorization, which is valid for the whole of the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EMA has various programs, including accelerated assessment, conditional approval and PRIority MEdicines (PRIME), which are intended to increase agency interactions, expedite or facilitate the process for reviewing drug candidates, and/or provide for initial approval on the basis of surrogate endpoints. One or more of our product candidates may qualify for some of these expedited development and review programs. However, even if a drug candidate qualifies for one or more of these programs, the EMA may later decide that the drug candidate no longer meets the conditions for qualification. Eligibility to the PRIME scheme is limited to products considered to offer a major therapeutic advantage in populations with high unmet need. PRIME is a voluntary scheme aimed at enhancing interaction and early dialogue with developers of promising medicines through achieving the early appointment of the Rapporteur for the product, optimizing development plans and speeding up evaluation so these medicines can reach patients earlier. Products benefiting from PRIME can expect to be eligible for accelerated assessment at the time of application for a marketing authorization application.</w:t>
      </w:r>
    </w:p>
    <w:p>
      <w:pPr>
        <w:spacing w:after="0" w:line="16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EU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a complete independent data package benefit from 8 years of data exclusivity and an additional 2 years of market exclusivity. Data exclusivity prevents regulatory authorities in the EU from referencing the innovator’s data to assess a generic (abbreviated) application. During the additional 2-year period of market exclusivity, a generic marketing authorization can be submitted, and the innovator’s data may be referenced, but no generic medicinal product can be marketed until the expiration of the market exclusivity. The overall 10-year period will be extended to a</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maximum of 11 years if, during the first 8 years of those 10 years, the marketing authorization holder (MAH) obtains an authorization for one or more new therapeutic indications that, during the scientific evaluation prior to their authorization, are held to bring a significant clinical benefit in comparison with existing therapies. Even if a compound is considered to be a new chemical entity and the innovator can gain the period of data exclusivity, another company nevertheless could also market another version of the drug if such company obtained marketing authorization based on a marketing authorization application with a completely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an SPC of up to 5 years’, pursuant to Regulation (EC) No. 469/2009. Such SPCs extend the rights under the basic patent for the drug.</w:t>
      </w:r>
    </w:p>
    <w:p>
      <w:pPr>
        <w:spacing w:after="0" w:line="16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EU, the pediatric regulation [Regulation (EC) No 1901/2006 as amended] requires sponsors to submit a pediatric investigation plan at the end of Phase 1. This plan will provide the details of the quality, non-clinical and 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an orphan medicinal product pursuant to Regulation (EC) No. 141/2000, as amended. Instead, a medicinal product designated as an orphan medicinal product may enjoy an extension of the 10-year market exclusivity period granted under Regulation (EC) No. 141/2000 to 12 years subject to the conditions applicable to orphan drugs.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drug regulation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EU, Regulation (EC) No. 141/2000, as amended, states that a drug will be designated as an orphan drug if its sponsor can establish:</w:t>
      </w:r>
    </w:p>
    <w:p>
      <w:pPr>
        <w:spacing w:after="0" w:line="237" w:lineRule="exact"/>
        <w:rPr>
          <w:sz w:val="20"/>
          <w:szCs w:val="20"/>
          <w:color w:val="auto"/>
        </w:rPr>
      </w:pPr>
    </w:p>
    <w:p>
      <w:pPr>
        <w:ind w:left="620" w:right="120" w:hanging="234"/>
        <w:spacing w:after="0" w:line="259"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it is intended for the diagnosis, prevention or treatment of a life-threatening or chronically debilitating condition affecting not more than 5 in 10,000 persons in the EU when the application is made, or that it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and</w:t>
      </w:r>
    </w:p>
    <w:p>
      <w:pPr>
        <w:spacing w:after="0" w:line="186" w:lineRule="exact"/>
        <w:rPr>
          <w:rFonts w:ascii="Arial" w:cs="Arial" w:eastAsia="Arial" w:hAnsi="Arial"/>
          <w:sz w:val="18"/>
          <w:szCs w:val="18"/>
          <w:color w:val="auto"/>
        </w:rPr>
      </w:pPr>
    </w:p>
    <w:p>
      <w:pPr>
        <w:ind w:left="620" w:right="140" w:hanging="234"/>
        <w:spacing w:after="0" w:line="277"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 or, if such method exists, that the drug will be of significant benefit to those affected by that condition.</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If a EU-wide community marketing authorization in respect of an orphan drug is granted or if all the EU Member States have granted marketing authorizations in accordance with the procedures for mutual recognition, the EU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6 years if, at the end of the fifth year, it is established, with respect to the drug concerned, that the criteria for orphan-drug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177" w:lineRule="exact"/>
        <w:rPr>
          <w:sz w:val="20"/>
          <w:szCs w:val="20"/>
          <w:color w:val="auto"/>
        </w:rPr>
      </w:pPr>
    </w:p>
    <w:p>
      <w:pPr>
        <w:ind w:left="620" w:hanging="234"/>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225" w:lineRule="exact"/>
        <w:rPr>
          <w:rFonts w:ascii="Arial" w:cs="Arial" w:eastAsia="Arial" w:hAnsi="Arial"/>
          <w:sz w:val="18"/>
          <w:szCs w:val="18"/>
          <w:color w:val="auto"/>
        </w:rPr>
      </w:pPr>
    </w:p>
    <w:p>
      <w:pPr>
        <w:ind w:left="640" w:right="280" w:hanging="254"/>
        <w:spacing w:after="0" w:line="277"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incentives available to orphan drugs in the EU include financial incentives such as a reduction of fees or fee waivers and protocol assistance.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Orphan-drug designation does not shorten the duration of the regulatory review and approval process.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 and manufacturers’ license</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distribution and license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cGDP.</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In the EU, the promotion of prescription medicines is subject to intense regulation and control, including EU and national legislation as well as self-regulatory codes (industry codes). Advertising legislation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includes a prohibition on direct-to-consumer advertising. All advertising of prescription medicines must be consistent with the product’s approved Summary of Product Characteristics, and must be factual, accurate, balanced and not misleading. Advertising of prescription medicines pre-approval or off-label is not allowed. Some jurisdictions require that all promotional materials for prescription medicines be subjected to prior review and approval, either internal or regulatory.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An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obligations of an MAH include the following:</w:t>
      </w:r>
    </w:p>
    <w:p>
      <w:pPr>
        <w:spacing w:after="0" w:line="225" w:lineRule="exact"/>
        <w:rPr>
          <w:sz w:val="20"/>
          <w:szCs w:val="20"/>
          <w:color w:val="auto"/>
        </w:rPr>
      </w:pPr>
    </w:p>
    <w:p>
      <w:pPr>
        <w:ind w:left="660" w:right="50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GMPs, and the product specifications and manufacturing conditions set out in the marketing authorization, and that each batch of product is subject to appropriate release formalities.</w:t>
      </w:r>
    </w:p>
    <w:p>
      <w:pPr>
        <w:spacing w:after="0" w:line="183"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360" w:hanging="328"/>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to submit safety reports to the regulators and to comply with the good pharmacovigilance practice guidelines adopted by the EMA.</w:t>
      </w:r>
    </w:p>
    <w:p>
      <w:pPr>
        <w:spacing w:after="0" w:line="123" w:lineRule="exact"/>
        <w:rPr>
          <w:rFonts w:ascii="Arial" w:cs="Arial" w:eastAsia="Arial" w:hAnsi="Arial"/>
          <w:sz w:val="16"/>
          <w:szCs w:val="16"/>
          <w:color w:val="auto"/>
        </w:rPr>
      </w:pPr>
    </w:p>
    <w:p>
      <w:pPr>
        <w:ind w:left="660" w:right="260" w:hanging="328"/>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their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their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Legal representation and distributor issues</w:t>
      </w:r>
      <w:r>
        <w:rPr>
          <w:rFonts w:ascii="Arial" w:cs="Arial" w:eastAsia="Arial" w:hAnsi="Arial"/>
          <w:sz w:val="17"/>
          <w:szCs w:val="17"/>
          <w:color w:val="auto"/>
        </w:rPr>
        <w:t>—MAHs are responsible for regulatory actions or inactions of their distributors and agents.</w:t>
      </w:r>
    </w:p>
    <w:p>
      <w:pPr>
        <w:spacing w:after="0" w:line="236" w:lineRule="exact"/>
        <w:rPr>
          <w:rFonts w:ascii="Arial" w:cs="Arial" w:eastAsia="Arial" w:hAnsi="Arial"/>
          <w:sz w:val="17"/>
          <w:szCs w:val="17"/>
          <w:color w:val="auto"/>
        </w:rPr>
      </w:pPr>
    </w:p>
    <w:p>
      <w:pPr>
        <w:ind w:left="660" w:hanging="328"/>
        <w:spacing w:after="0" w:line="275"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Preparation, filing and maintenance of the application and subsequent marketing authorization</w:t>
      </w:r>
      <w:r>
        <w:rPr>
          <w:rFonts w:ascii="Arial" w:cs="Arial" w:eastAsia="Arial" w:hAnsi="Arial"/>
          <w:sz w:val="17"/>
          <w:szCs w:val="17"/>
          <w:color w:val="auto"/>
        </w:rPr>
        <w:t>— MAHs must maintain appropriate records,</w:t>
      </w:r>
      <w:r>
        <w:rPr>
          <w:rFonts w:ascii="Arial" w:cs="Arial" w:eastAsia="Arial" w:hAnsi="Arial"/>
          <w:sz w:val="17"/>
          <w:szCs w:val="17"/>
          <w:i w:val="1"/>
          <w:iCs w:val="1"/>
          <w:color w:val="auto"/>
        </w:rPr>
        <w:t xml:space="preserve"> </w:t>
      </w:r>
      <w:r>
        <w:rPr>
          <w:rFonts w:ascii="Arial" w:cs="Arial" w:eastAsia="Arial" w:hAnsi="Arial"/>
          <w:sz w:val="17"/>
          <w:szCs w:val="17"/>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Pricing and reimbursement</w:t>
      </w:r>
    </w:p>
    <w:p>
      <w:pPr>
        <w:spacing w:after="0" w:line="22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In the EU,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to the entry of new products are being erected and some EU countries require the completion of studies that compare the cost-effectiveness of a particular product candidate with that of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2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In addition to FDA restrictions on marketing of pharmaceutical or biopharmaceutical products, federal and state healthcare laws restrict certain business practices in the pharmaceutical and biopharmaceutical industries. These laws include, but are not limited to, anti-kickback, false claims, data privacy and security, and transparency statutes and regulations.</w:t>
      </w:r>
    </w:p>
    <w:p>
      <w:pPr>
        <w:spacing w:after="0" w:line="184" w:lineRule="exact"/>
        <w:rPr>
          <w:sz w:val="20"/>
          <w:szCs w:val="20"/>
          <w:color w:val="auto"/>
        </w:rPr>
      </w:pPr>
    </w:p>
    <w:p>
      <w:pPr>
        <w:ind w:right="200" w:firstLine="324"/>
        <w:spacing w:after="0" w:line="269" w:lineRule="auto"/>
        <w:rPr>
          <w:sz w:val="20"/>
          <w:szCs w:val="20"/>
          <w:color w:val="auto"/>
        </w:rPr>
      </w:pPr>
      <w:r>
        <w:rPr>
          <w:rFonts w:ascii="Arial" w:cs="Arial" w:eastAsia="Arial" w:hAnsi="Arial"/>
          <w:sz w:val="17"/>
          <w:szCs w:val="17"/>
          <w:color w:val="auto"/>
        </w:rPr>
        <w:t>The US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and biopharmaceutical manufacturers on the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the criteria for a statutory exception or safe harbor protection. Practices involving remuneration that may be alleged to be intended to induce prescribing, purchases or recommendations may be subject to scrutiny if they do not qualify for an exception or safe harbor.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 xml:space="preserve">Failure to meet all the requirements of a particular applicable statutory exception or regulatory safe harbor does not make the conduct </w:t>
      </w:r>
      <w:r>
        <w:rPr>
          <w:rFonts w:ascii="Arial" w:cs="Arial" w:eastAsia="Arial" w:hAnsi="Arial"/>
          <w:sz w:val="17"/>
          <w:szCs w:val="17"/>
          <w:i w:val="1"/>
          <w:iCs w:val="1"/>
          <w:color w:val="auto"/>
        </w:rPr>
        <w:t>per se</w:t>
      </w:r>
      <w:r>
        <w:rPr>
          <w:rFonts w:ascii="Arial" w:cs="Arial" w:eastAsia="Arial" w:hAnsi="Arial"/>
          <w:sz w:val="17"/>
          <w:szCs w:val="17"/>
          <w:color w:val="auto"/>
        </w:rPr>
        <w:t xml:space="preserv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healthcare-covered business, the statute has been violated. The Patient Protection and Affordable Care Act as amended by the Health Care and Education Reconciliation Act (collectively, the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the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Law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5" w:lineRule="exact"/>
        <w:rPr>
          <w:sz w:val="20"/>
          <w:szCs w:val="20"/>
          <w:color w:val="auto"/>
        </w:rPr>
      </w:pPr>
    </w:p>
    <w:p>
      <w:pPr>
        <w:ind w:right="400" w:firstLine="324"/>
        <w:spacing w:after="0" w:line="275" w:lineRule="auto"/>
        <w:rPr>
          <w:sz w:val="20"/>
          <w:szCs w:val="20"/>
          <w:color w:val="auto"/>
        </w:rPr>
      </w:pPr>
      <w:r>
        <w:rPr>
          <w:rFonts w:ascii="Arial" w:cs="Arial" w:eastAsia="Arial" w:hAnsi="Arial"/>
          <w:sz w:val="17"/>
          <w:szCs w:val="17"/>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7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Additionally, many states have similar healthcare statutes or regulations that apply to items and services reimbursed under Medicaid and other state programs, or, in several states, apply regardless of the payor. Certain states require the posting of information relating to clinical studies, and require pharmaceutical companies to implement a comprehensive compliance program that includes a limit on expenditures for, or payments to, individual medical or health professionals and to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we may be subject to international, federal and state data privacy and security laws, regulations, rules and standards. Internationally, laws, regulations and standards in many jurisdictions, such as the GDPR and the UK GDPR, apply broadly to the collection, use, retention, security, disclosure, transfer and other processing of personal information. At the federal level, HIPAA, as amended by the Health Information Technology for Economic and Clinical Health Act (HITECH), and its implementing regulations, imposes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to seek attorneys’ fees and costs associated with pursuing federal civil actions. In addition, state laws, [such as the CCPA and the CPRA,] govern the privacy and security of health and other personal information in certain circumstances, many of which differ from each other in significant ways and may not have the same effect, thus complicating compliance efforts. Non-compliance with these laws, regulations, rules and standards could result in significant penalties or legal liability. Although we take steps to comply with applicable laws, rules and regulations, we cannot ensure that we will not be subject to regulatory or private actions, investigations, disputes and litigation, which may include substantial fines or other legal liability for noncompliance of data privacy and security laws, rules and regulations, including in the event of a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business, results of operations or financial condition. See “Risk Factors— </w:t>
      </w:r>
      <w:r>
        <w:rPr>
          <w:rFonts w:ascii="Arial" w:cs="Arial" w:eastAsia="Arial" w:hAnsi="Arial"/>
          <w:sz w:val="17"/>
          <w:szCs w:val="17"/>
          <w:i w:val="1"/>
          <w:iCs w:val="1"/>
          <w:color w:val="auto"/>
        </w:rPr>
        <w:t>Changes in laws,</w:t>
      </w:r>
      <w:r>
        <w:rPr>
          <w:rFonts w:ascii="Arial" w:cs="Arial" w:eastAsia="Arial" w:hAnsi="Arial"/>
          <w:sz w:val="17"/>
          <w:szCs w:val="17"/>
          <w:color w:val="auto"/>
        </w:rPr>
        <w:t xml:space="preserve"> </w:t>
      </w:r>
      <w:r>
        <w:rPr>
          <w:rFonts w:ascii="Arial" w:cs="Arial" w:eastAsia="Arial" w:hAnsi="Arial"/>
          <w:sz w:val="17"/>
          <w:szCs w:val="17"/>
          <w:i w:val="1"/>
          <w:iCs w:val="1"/>
          <w:color w:val="auto"/>
        </w:rPr>
        <w:t>rules or regulations relating to data privacy and security, or any actual or perceived failure by us to comply with such laws, rules, regulations and standards, or contractual or other obligations relating to data privacy and security, could have a material adverse effect on our reputation, results of operations, financial condition and cash flows.</w:t>
      </w:r>
      <w:r>
        <w:rPr>
          <w:rFonts w:ascii="Arial" w:cs="Arial" w:eastAsia="Arial" w:hAnsi="Arial"/>
          <w:sz w:val="17"/>
          <w:szCs w:val="17"/>
          <w:color w:val="auto"/>
        </w:rPr>
        <w: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both domestic and foreign markets, our or our collaboration partners’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or biopharmaceutical companies. Additionally, third-party payors may refuse to include a particular branded drug in their formularies or otherwise restrict patient access to a branded drug when a less costly generic equivalent or another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Furthermore, in many foreign countries, particularly the countries of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or biopharmaceutical products. In addition, there may be importation of foreign products that compete with our own products, which could negatively impact our profitability.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the US and other jurisdictions, there have been, and we expect there will continue to be, a number of legislative and regulatory changes to the healthcare system that could affect our future results of operations as we begin to commercialize our products directly.</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March 2010, the PPACA, as amended by the HCERA (collectively, the Health Care Reform Law) was signed into law. The Health Care Reform Law has the potential to substantially change the way healthcare is financed by both governmental and private insurers. The Health Care Reform Law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 On July 24, 2020 and September 13, 2020, the Trump administration announced several executive orders related to prescription drug pricing that attempt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20, 2020, CMS issued an interim final rule implementing former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9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future of the Health Care Reform Law remains uncertain. In January 2017, Congress voted to adopt a budget resolution for the fiscal year 2017 that authorized the implementation of legislation that would repeal portions of the Health Care Reform Law. On December 14, 2018, a federal judge in Texas ruled that the Health Care Reform Law is unconstitutional in its entirety because the “individual mandate” was repealed by Congress as part of the 2017 Tax Act. While the judge, as well as the Trump administration and CMS, have stated that the ruling will have no immediate effect pending appeal of the decision, it is unclear how this decision, subsequent</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appeals, and other efforts to repeal and replace the ACA, will impact our business. On December 18, 2019, the Fifth Circuit Court of Appeals upheld the lower court’s decision that the Health Care Reform Law was unconstitutional. On March 2, 2020, the US Supreme Court granted certiorari to review the case and oral arguments were held on November 10, 2020. Although the US Supreme Court has yet ruled on the constitutionality of the ACA, on January 28, 2021, President Biden issued an executive order to initiate a special enrollment period from February 15, 2021 through May 15, 2021 for purposes of obtaining health insurance coverage through the Health Care Reform Law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Pending review, the Health Care Reform Law remains in effect, but it is unclear what effect this litigation, other efforts to repeal and replace the Health Care Reform Law and the healthcare reform measures of the Biden administration will have on the status of the ACA. Litigation and legislation over the Health Care Reform Law are likely to continue, with unpredictable and uncertain results.</w:t>
      </w:r>
    </w:p>
    <w:p>
      <w:pPr>
        <w:spacing w:after="0" w:line="16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future, there may continue to be additional proposals relating to the reform of the US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cost-containment and healthcare-reform measures. Such policy actions could have a material adverse impact on our profitability.</w:t>
      </w:r>
    </w:p>
    <w:p>
      <w:pPr>
        <w:spacing w:after="0" w:line="17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or biopharmaceutical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that are otherwise unfit for distribution such that they would be reasonably likely to result in serious health consequences or death.</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Physician Payment Sunshine Act requires most pharmaceutical and biopharmaceutical manufacturers to report annually to the Secretary of Health and Human Services any and all financial arrangements, payments, or other transfers of value made by that entity to physicians and teaching hospitals. The payment information is made publicly available in a searchable format on a content management system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that legal or regulatory changes may occur in the future, they could result in, among other things, increased costs to us or the impairment of our research, development or production efforts.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Prior to our initial public offering, we were a privately owned company. Our domicile and registered office is in Ecublens, near Lausanne, Canton of Vaud, Switzerland. Our registered and principal executive offices are located at EPFL Innovation Park, Building B, 1015 Lausanne, Switzerland, our general telephone number is (41) 21 345 91 21 and our internet address is www.acimmune.com.</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subsidiaries as of December 31, 2020.</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Company’s capital expenditures were CHF 2 million in 2020 with CHF 1.6 million for laboratory equipment and leasehold improvements. These investments are to enhance our research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lease approximately 23,600 square feet of space at the Innovation Park of the EPFL, Switzerland as of December 31, 2020. This property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We believe that the space of our existing facilities is sufficient to meet our current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together our audited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 D. Risk factors” and elsewhere in this Annual Report.</w:t>
      </w:r>
    </w:p>
    <w:p>
      <w:pPr>
        <w:spacing w:after="0" w:line="188" w:lineRule="exact"/>
        <w:rPr>
          <w:sz w:val="20"/>
          <w:szCs w:val="20"/>
          <w:color w:val="auto"/>
        </w:rPr>
      </w:pPr>
    </w:p>
    <w:p>
      <w:pPr>
        <w:ind w:right="9540" w:firstLine="8"/>
        <w:spacing w:after="0" w:line="503" w:lineRule="auto"/>
        <w:tabs>
          <w:tab w:leader="none" w:pos="32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firstLine="324"/>
        <w:spacing w:after="0" w:line="291" w:lineRule="auto"/>
        <w:rPr>
          <w:sz w:val="20"/>
          <w:szCs w:val="20"/>
          <w:color w:val="auto"/>
        </w:rPr>
      </w:pPr>
      <w:r>
        <w:rPr>
          <w:rFonts w:ascii="Arial" w:cs="Arial" w:eastAsia="Arial" w:hAnsi="Arial"/>
          <w:sz w:val="16"/>
          <w:szCs w:val="16"/>
          <w:color w:val="auto"/>
        </w:rPr>
        <w:t>To date, we have primarily financed our operations through the proceeds from our public offerings, share issuances, contract revenues from license and collaboration agreements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We incurred net losses of CHF 61.9 million for the fiscal year ended December 31, 2020 and have an accumulated losses balance of CHF 132.9 million as of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Since our inception, we have entered into strategic collaboration agreements with a range of partners covering a number of our product candidates. We entered into a strategic collaboration with Genentech in November 2006 (as amended in March 2009, January 2013, May 2014 and May 2015) regarding the development, manufacture and commercialization of crenezumab, and we refer to this agreement as the 2006</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Agreement. In June 2012, we entered into an additional strategic collaboration agreement with Genentech regarding the development, manufacture and commercialization of anti-Tau antibodies, and we refer to this agreement as the 2012 Agreement. We expect to capitalize on Genentech’s drug development and regulatory expertise and commercial capabilities to bring our partnered therapeutic products to market. In May 2014, we entered into a license and collaboration agreement with LMI (formerly Piramal Imaging SA) covering our Tau-PET Imaging tracer. In December 2014 (as amended in April 2016, July 2017, January 2019 and November 2019),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7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entered into a license agreement with Lilly in December 2018 (as amended in September 2019 and March 2020) to research and develop Morphomer Tau small molecules for the treatment of AD and other neurodegenerative diseases. Under the terms of this agreement, we have completed a Phase 1 clinical study with ACI-3024. Lilly is responsible for leading and funding further clinical development and will retain global commercialization rights for all indications.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Genentech, a member of the Roche Group</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non-AD indication based on the same intellectual property and anti-Abeta antibody compound. The value of this partnership is potentially greater than USD 340 (CHF 303) million. The structure of the collaboration agreement is as follows:</w:t>
      </w:r>
    </w:p>
    <w:p>
      <w:pPr>
        <w:spacing w:after="0" w:line="17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25"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Clinical milestone payments</w:t>
      </w:r>
      <w:r>
        <w:rPr>
          <w:rFonts w:ascii="Arial" w:cs="Arial" w:eastAsia="Arial" w:hAnsi="Arial"/>
          <w:sz w:val="18"/>
          <w:szCs w:val="18"/>
          <w:color w:val="auto"/>
        </w:rPr>
        <w:t>: payable upon commencement of each of Phase 1 and Phase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186"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upon making regulatory filings in the US and Europe, respectively, and milestone payments upon</w:t>
      </w:r>
      <w:r>
        <w:rPr>
          <w:rFonts w:ascii="Arial" w:cs="Arial" w:eastAsia="Arial" w:hAnsi="Arial"/>
          <w:sz w:val="18"/>
          <w:szCs w:val="18"/>
          <w:i w:val="1"/>
          <w:iCs w:val="1"/>
          <w:color w:val="auto"/>
        </w:rPr>
        <w:t xml:space="preserve"> </w:t>
      </w:r>
      <w:r>
        <w:rPr>
          <w:rFonts w:ascii="Arial" w:cs="Arial" w:eastAsia="Arial" w:hAnsi="Arial"/>
          <w:sz w:val="18"/>
          <w:szCs w:val="18"/>
          <w:color w:val="auto"/>
        </w:rPr>
        <w:t>obtaining marketing approval in each of the US and Europe. In addition, for a second indication, additional regulatory and approval milestones would be payable.</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Royalties</w:t>
      </w:r>
      <w:r>
        <w:rPr>
          <w:rFonts w:ascii="Arial" w:cs="Arial" w:eastAsia="Arial" w:hAnsi="Arial"/>
          <w:sz w:val="17"/>
          <w:szCs w:val="17"/>
          <w:color w:val="auto"/>
        </w:rPr>
        <w:t>: payable on sales, with different royalty rates applicable in the US and Europe. Royalty levels are tied to annual sales volumes.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royalties on sales of crenezumab with the percentage rates ranging from the mid-single digits to mid-teens.</w:t>
      </w:r>
    </w:p>
    <w:p>
      <w:pPr>
        <w:spacing w:after="0" w:line="14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To date, we have received total milestone payments of USD 65 (CHF 70.1) million comprised of an upfront payment of USD 25 (CHF 31.6) million and of USD 40 (CHF 38.2) million for clinical development milestones achieved all-in prior to January 1, 2017.</w:t>
      </w:r>
    </w:p>
    <w:p>
      <w:pPr>
        <w:spacing w:after="0" w:line="170"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Under the terms of the agreement, Genentech bears all the costs of developing crenezumab through the clinical phases. In addition, Genentech is responsible for the costs associated with seeking and obtaining regulatory and marketing approvals, along with manufacturing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Either party may terminate the agreement for any material breach by the other Party, provided a cure period of 90 days from the date when that notice is given.</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January 30, 2019, we announced that Roche, the parent of Genentech, is discontinuing the CREAD and CREAD 2 (BN29552 and BN29553) Phase 3 studies of crenezumab in people with prodromal-to-mild sporadic AD.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Crenezumab continues to be studied in the Phase 2 preventive trial, which began in 2013 in Columbia, of cognitively healthy individuals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low-double digits. The agreement also provides for collaboration on at least one additional therapeutic indication outside of AD built on the same anti-Tau antibody program as well an anti-Tau diagnostic product for AD.</w:t>
      </w:r>
    </w:p>
    <w:p>
      <w:pPr>
        <w:spacing w:after="0" w:line="16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date, 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Preclinical and clinical milestone payments</w:t>
      </w:r>
      <w:r>
        <w:rPr>
          <w:rFonts w:ascii="Arial" w:cs="Arial" w:eastAsia="Arial" w:hAnsi="Arial"/>
          <w:sz w:val="18"/>
          <w:szCs w:val="18"/>
          <w:color w:val="auto"/>
        </w:rPr>
        <w:t>: payable upon selection of a lead candidate and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upon making regulatory filings for marketing approvals in each of the US, Europe and Japan.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second indication, similar regulatory milestones would be payable.</w:t>
      </w:r>
    </w:p>
    <w:p>
      <w:pPr>
        <w:spacing w:after="0" w:line="170" w:lineRule="exact"/>
        <w:rPr>
          <w:rFonts w:ascii="Arial" w:cs="Arial" w:eastAsia="Arial" w:hAnsi="Arial"/>
          <w:sz w:val="18"/>
          <w:szCs w:val="18"/>
          <w:color w:val="auto"/>
        </w:rPr>
      </w:pPr>
    </w:p>
    <w:p>
      <w:pPr>
        <w:ind w:left="660" w:right="58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Commercialization milestones</w:t>
      </w:r>
      <w:r>
        <w:rPr>
          <w:rFonts w:ascii="Arial" w:cs="Arial" w:eastAsia="Arial" w:hAnsi="Arial"/>
          <w:sz w:val="18"/>
          <w:szCs w:val="18"/>
          <w:color w:val="auto"/>
        </w:rPr>
        <w:t>: 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Royalties</w:t>
      </w:r>
      <w:r>
        <w:rPr>
          <w:rFonts w:ascii="Arial" w:cs="Arial" w:eastAsia="Arial" w:hAnsi="Arial"/>
          <w:sz w:val="17"/>
          <w:szCs w:val="17"/>
          <w:color w:val="auto"/>
        </w:rPr>
        <w:t>: payable on sales with royalty rates differing based on the source of the intellectual property underlying the commercial product.</w:t>
      </w:r>
    </w:p>
    <w:p>
      <w:pPr>
        <w:spacing w:after="0" w:line="23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Under the terms of the agreement, Genentech bears all the costs of developing semorinemab through the clinical phases. In addition, Genentech is responsible for the costs associated with seeking and obtaining regulatory and marketing approvals, along with manufacturing,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Either party may terminate the agreement for any material breach by the other Party, provided a cure period of 90 days from the date when that notice is given.</w:t>
      </w:r>
    </w:p>
    <w:p>
      <w:pPr>
        <w:spacing w:after="0" w:line="16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September 23, 2020, the Company reported that Genentech informed us of top line results from a Phase 2 trial of the anti-Tau antibody, semorinemab, in early (prodromal to mild) Alzheimer’s disease (AD) which show that semorinemab did not meet its primary efficacy endpoint of reducing decline on Clinical Dementia Rating-Sum of Boxes (CDR-SB) compared to placebo. The primary safety endpoint was however met. Two secondary endpoints, Alzheimer’s Disease Assessment Scale-Cognitive Subscale 13 (ADAS-Cog13) and</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Alzheimer’s Disease Cooperative Study Group – Activities of Daily Living Inventory (ADCS-ADL), were not met. A second Phase 2 study of semorinemab in patients with moderate AD remains ongoing.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Janssen Pharmaceuticals, Inc.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Tau Vaccine in AD – 2014 agreement</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are co-developing the second-generation lead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second-generation vaccines.</w:t>
      </w:r>
    </w:p>
    <w:p>
      <w:pPr>
        <w:spacing w:after="0" w:line="166"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The Company received an upfront, non-refundable license fee of CHF 25.9 million, which we recognized as revenue in 2014. In May 2016, we received a payment of CHF 4.9 million for reaching a clinical milestone in the Phase 1b study. As we met all performance obligations on reaching the milestone, we recognized this milestone as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25"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Clinical milestone payments</w:t>
      </w:r>
      <w:r>
        <w:rPr>
          <w:rFonts w:ascii="Arial" w:cs="Arial" w:eastAsia="Arial" w:hAnsi="Arial"/>
          <w:sz w:val="18"/>
          <w:szCs w:val="18"/>
          <w:color w:val="auto"/>
        </w:rPr>
        <w:t>: payable upon completion of Phase 1b, commencement of the first Phase 2b or 2b/3 of clinical development,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reaching enrollment thresholds in the first Phase 2b or Phase 2b part of the first Phase 2b/3, commencement of the first Phase 3 or Phase 3 part of a Phase 2b/3 study. In addition, for a second indication, clinical milestone payments would be payable upon commencement of a Phase 3 clinical study, which would be payable concurrently with the first regulatory milestone, if Janssen were to file for regulatory approval based on Phase 2 clinical data.</w:t>
      </w:r>
    </w:p>
    <w:p>
      <w:pPr>
        <w:spacing w:after="0" w:line="187"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upon making regulatory filings in the US, Europe, and Japan, respectively. In addition,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 similar regulatory milestones would be payable. For a second indication, additional regulatory milestone payments are payable by Janssen to us upon receipt of each of the regulatory approvals in the US, Europe and Japan.</w:t>
      </w:r>
    </w:p>
    <w:p>
      <w:pPr>
        <w:spacing w:after="0" w:line="183"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Commercialization milestones</w:t>
      </w:r>
      <w:r>
        <w:rPr>
          <w:rFonts w:ascii="Arial" w:cs="Arial" w:eastAsia="Arial" w:hAnsi="Arial"/>
          <w:sz w:val="18"/>
          <w:szCs w:val="18"/>
          <w:color w:val="auto"/>
        </w:rPr>
        <w:t>: 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payable on sales, with royalty rates differing based on the level of annual sales.</w:t>
      </w:r>
    </w:p>
    <w:p>
      <w:pPr>
        <w:spacing w:after="0" w:line="225" w:lineRule="exact"/>
        <w:rPr>
          <w:sz w:val="20"/>
          <w:szCs w:val="20"/>
          <w:color w:val="auto"/>
        </w:rPr>
      </w:pPr>
    </w:p>
    <w:p>
      <w:pPr>
        <w:jc w:val="both"/>
        <w:ind w:right="280" w:firstLine="383"/>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LMI (formerly Piramal Imaging SA)</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Tau-PET imaging agent in AD – 2014 agreement</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May 2014,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159 (CHF 175) million, plus royalties on sales at a percentage rate ranging from mid-single digits to low-teens. LMI may terminate the LCA at any time by providing 3 months’ notice to us.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Clinical milestone payments</w:t>
      </w:r>
      <w:r>
        <w:rPr>
          <w:rFonts w:ascii="Arial" w:cs="Arial" w:eastAsia="Arial" w:hAnsi="Arial"/>
          <w:sz w:val="18"/>
          <w:szCs w:val="18"/>
          <w:color w:val="auto"/>
        </w:rPr>
        <w:t>: payable upon the commencement of the Phase 1, 2 and 3 studies for generation of data intended to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submission in the US or the EU. We would be entitled to further clinical milestone payments for the commencement of a Phase 2 and 3 study for a second indication.</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upon acceptance of Regulatory filing (NDA) and Regulatory approval for Commercialization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EU.</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Commercialization milestones</w:t>
      </w:r>
      <w:r>
        <w:rPr>
          <w:rFonts w:ascii="Arial" w:cs="Arial" w:eastAsia="Arial" w:hAnsi="Arial"/>
          <w:sz w:val="18"/>
          <w:szCs w:val="18"/>
          <w:color w:val="auto"/>
        </w:rPr>
        <w:t>: tied to specific annual net sales amounts.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payable on sales with royalty rates differing based on the level of annual sales.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Eli Lilly and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Morphomer Tau small molecule – 2018 license agreement</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December 2018, we entered into an exclusive, worldwide licensing agreement with Eli Lilly and Company (Lilly) to research and develop Morphomer Tau small molecules for the treatment of AD and other neurodegenerative diseases. Per the terms of the agreement, the Company received an initial upfront payment of CHF 80 million in Q1 2019 for the rights granted by the Company to Lilly. To date, the Company has completed a Phase 1 clinical study with ACI-3024. The program will be expanded to NeuroOrphan indications and ACI-3024 will be further evaluated for efficacy in models of rare Tauopathies.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Per the terms of the agreement, the Company may become eligible to receive additional milestone payments totaling up to approximately CHF 1.9 billion. In addition to milestones, we will be eligible to receive royalties on sales at a percentage rate ranging from the low double-digits to the mid-teens.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the EU.</w:t>
      </w:r>
    </w:p>
    <w:p>
      <w:pPr>
        <w:spacing w:after="0" w:line="16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received an initial upfront payment of CHF 80 million in February 2019. We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8"/>
          <w:szCs w:val="18"/>
          <w:color w:val="auto"/>
        </w:rPr>
        <w:t>n</w:t>
      </w:r>
      <w:r>
        <w:rPr>
          <w:rFonts w:ascii="Arial" w:cs="Arial" w:eastAsia="Arial" w:hAnsi="Arial"/>
          <w:sz w:val="18"/>
          <w:szCs w:val="18"/>
          <w:i w:val="1"/>
          <w:iCs w:val="1"/>
          <w:color w:val="auto"/>
        </w:rPr>
        <w:t xml:space="preserve"> exclusive license: </w:t>
      </w:r>
      <w:r>
        <w:rPr>
          <w:rFonts w:ascii="Arial" w:cs="Arial" w:eastAsia="Arial" w:hAnsi="Arial"/>
          <w:sz w:val="18"/>
          <w:szCs w:val="18"/>
          <w:color w:val="auto"/>
        </w:rPr>
        <w:t>granted by us to Lilly under certain of our intellectual property to develop,</w:t>
      </w:r>
    </w:p>
    <w:p>
      <w:pPr>
        <w:spacing w:after="0" w:line="225" w:lineRule="exact"/>
        <w:rPr>
          <w:rFonts w:ascii="Arial" w:cs="Arial" w:eastAsia="Arial" w:hAnsi="Arial"/>
          <w:sz w:val="18"/>
          <w:szCs w:val="18"/>
          <w:color w:val="auto"/>
        </w:rPr>
      </w:pPr>
    </w:p>
    <w:p>
      <w:pPr>
        <w:ind w:left="660" w:right="540"/>
        <w:spacing w:after="0" w:line="277" w:lineRule="auto"/>
        <w:rPr>
          <w:rFonts w:ascii="Arial" w:cs="Arial" w:eastAsia="Arial" w:hAnsi="Arial"/>
          <w:sz w:val="18"/>
          <w:szCs w:val="18"/>
          <w:color w:val="auto"/>
        </w:rPr>
      </w:pPr>
      <w:r>
        <w:rPr>
          <w:rFonts w:ascii="Arial" w:cs="Arial" w:eastAsia="Arial" w:hAnsi="Arial"/>
          <w:sz w:val="18"/>
          <w:szCs w:val="18"/>
          <w:color w:val="auto"/>
        </w:rPr>
        <w:t>manufacture and commercialize products containing Morphomer Tau small molecules for the treatment of AD and other neurodegenerative diseases throughout the world in any indication.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2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Clinical milestone payment</w:t>
      </w:r>
      <w:r>
        <w:rPr>
          <w:rFonts w:ascii="Arial" w:cs="Arial" w:eastAsia="Arial" w:hAnsi="Arial"/>
          <w:sz w:val="18"/>
          <w:szCs w:val="18"/>
          <w:color w:val="auto"/>
        </w:rPr>
        <w:t>s: payable upon completion of the Lilly preclinical activities period and following the first patient dosed in a Phase 2</w:t>
      </w:r>
      <w:r>
        <w:rPr>
          <w:rFonts w:ascii="Arial" w:cs="Arial" w:eastAsia="Arial" w:hAnsi="Arial"/>
          <w:sz w:val="18"/>
          <w:szCs w:val="18"/>
          <w:i w:val="1"/>
          <w:iCs w:val="1"/>
          <w:color w:val="auto"/>
        </w:rPr>
        <w:t xml:space="preserve"> </w:t>
      </w:r>
      <w:r>
        <w:rPr>
          <w:rFonts w:ascii="Arial" w:cs="Arial" w:eastAsia="Arial" w:hAnsi="Arial"/>
          <w:sz w:val="18"/>
          <w:szCs w:val="18"/>
          <w:color w:val="auto"/>
        </w:rPr>
        <w:t>and Phase 3 clinical study of a licensed product in the US or the EU.</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within 60 days after obtaining regulatory approval for any licensed product in the first indication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in certain additional indications in the US, Europe and Japan,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Commercialization milestones</w:t>
      </w:r>
      <w:r>
        <w:rPr>
          <w:rFonts w:ascii="Arial" w:cs="Arial" w:eastAsia="Arial" w:hAnsi="Arial"/>
          <w:sz w:val="18"/>
          <w:szCs w:val="18"/>
          <w:color w:val="auto"/>
        </w:rPr>
        <w:t>: payable upon achieving certain commercial sales milestones.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payable on sales with royalty rates differing based on the level of annual sales of licensed products.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agreement will terminate by the date of expiration of the last royalty term for the last licensed product. However, under the terms of the agreement, Lilly may terminate the agreement at any time after March 31, 2020 by providing 3 months’ notice to us.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and Lilly also entered into a convertible note agreement that became effective on January 23, 2019 for USD 50 (CHF 50.3) million from Lilly. In Q2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Q3 2017, we formally signed a grant continuation with the Michael J. Fox Foundation for Parkinson’s disease research (MJFF). This grant provides funds for the development of PET tracers for pathological forms of the protein alpha-synuclein, to support the early diagnosis and clinical management of Parkinson’s disease. We subsequently signed two additional grants that facilitated the execution of a first-in-human study for a potential alpha-synuclein-PET tracer (PET tracer) with the current lead compound and to further develop the PET tracer. The Company retains its intellectual property rights for these alpha-synuclein-PET tracers. These grants concluded in Q2 2020.</w:t>
      </w:r>
    </w:p>
    <w:p>
      <w:pPr>
        <w:spacing w:after="0" w:line="18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May 2020, the Company, as part of a joint arrangement with Skåne University Hospital (Skåne) in Sweden, was awarded a USD 3.2 (CHF 2.9) million grant from the MJFF’s Ken Griffin Alpha-synuclein Imaging Competition. As part of this grant, AC Immune is eligible to receive USD 2.5 (CHF</w:t>
      </w:r>
    </w:p>
    <w:p>
      <w:pPr>
        <w:ind w:right="40"/>
        <w:spacing w:after="0" w:line="260" w:lineRule="auto"/>
        <w:rPr>
          <w:sz w:val="20"/>
          <w:szCs w:val="20"/>
          <w:color w:val="auto"/>
        </w:rPr>
      </w:pPr>
      <w:r>
        <w:rPr>
          <w:rFonts w:ascii="Arial" w:cs="Arial" w:eastAsia="Arial" w:hAnsi="Arial"/>
          <w:sz w:val="18"/>
          <w:szCs w:val="18"/>
          <w:color w:val="auto"/>
        </w:rPr>
        <w:t>2.2) million directly from the MJFF. Skåne will receive USD 0.7 (CHF 0.7) million of the total grant directly from the MJFF over two years to conduct and support the clinical arm of the project.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May 2014, the IASB issued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which amends the guidance for accounting for revenues from contracts with customers. This IFRS replaces all current revenue standards in IFRS including IAS 11 (</w:t>
      </w:r>
      <w:r>
        <w:rPr>
          <w:rFonts w:ascii="Arial" w:cs="Arial" w:eastAsia="Arial" w:hAnsi="Arial"/>
          <w:sz w:val="18"/>
          <w:szCs w:val="18"/>
          <w:i w:val="1"/>
          <w:iCs w:val="1"/>
          <w:color w:val="auto"/>
        </w:rPr>
        <w:t>Construction Contracts</w:t>
      </w:r>
      <w:r>
        <w:rPr>
          <w:rFonts w:ascii="Arial" w:cs="Arial" w:eastAsia="Arial" w:hAnsi="Arial"/>
          <w:sz w:val="18"/>
          <w:szCs w:val="18"/>
          <w:color w:val="auto"/>
        </w:rPr>
        <w:t>), IAS 18 (</w:t>
      </w:r>
      <w:r>
        <w:rPr>
          <w:rFonts w:ascii="Arial" w:cs="Arial" w:eastAsia="Arial" w:hAnsi="Arial"/>
          <w:sz w:val="18"/>
          <w:szCs w:val="18"/>
          <w:i w:val="1"/>
          <w:iCs w:val="1"/>
          <w:color w:val="auto"/>
        </w:rPr>
        <w:t>Revenue</w:t>
      </w:r>
      <w:r>
        <w:rPr>
          <w:rFonts w:ascii="Arial" w:cs="Arial" w:eastAsia="Arial" w:hAnsi="Arial"/>
          <w:sz w:val="18"/>
          <w:szCs w:val="18"/>
          <w:color w:val="auto"/>
        </w:rPr>
        <w:t>) and various interpretations. The Company adopted this new standard on January 1, 2018, and would have recognized the cumulative effect of initially applying the new revenue standard as an adjustment to the opening balance of accumulated losses; however, the Company did not deem that any adjustments were required in the transition to the new standard.</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Contract revenue</w:t>
      </w:r>
      <w:r>
        <w:rPr>
          <w:rFonts w:ascii="Arial" w:cs="Arial" w:eastAsia="Arial" w:hAnsi="Arial"/>
          <w:sz w:val="18"/>
          <w:szCs w:val="18"/>
          <w:color w:val="auto"/>
        </w:rPr>
        <w:t>. The Company enters into LCAs, which are within the scope of IFRS 15, under which it licenses certain proprietary rights to its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commercialized products depending on the Company’s intellectual property. Each of these payments results in license, collaboration and other revenues, which are classified as contract revenue on the statements of income/(loss).</w:t>
      </w:r>
    </w:p>
    <w:p>
      <w:pPr>
        <w:spacing w:after="0" w:line="192"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i w:val="1"/>
          <w:iCs w:val="1"/>
          <w:color w:val="auto"/>
        </w:rPr>
        <w:t>Licenses of intellectual property</w:t>
      </w:r>
      <w:r>
        <w:rPr>
          <w:rFonts w:ascii="Arial" w:cs="Arial" w:eastAsia="Arial" w:hAnsi="Arial"/>
          <w:sz w:val="17"/>
          <w:szCs w:val="17"/>
          <w:color w:val="auto"/>
        </w:rPr>
        <w:t>. If the license to the Company’s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Milestone payments</w:t>
      </w:r>
      <w:r>
        <w:rPr>
          <w:rFonts w:ascii="Arial" w:cs="Arial" w:eastAsia="Arial" w:hAnsi="Arial"/>
          <w:sz w:val="16"/>
          <w:szCs w:val="16"/>
          <w:color w:val="auto"/>
        </w:rPr>
        <w:t>. 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4"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i w:val="1"/>
          <w:iCs w:val="1"/>
          <w:color w:val="auto"/>
        </w:rPr>
        <w:t>Research and development services</w:t>
      </w:r>
      <w:r>
        <w:rPr>
          <w:rFonts w:ascii="Arial" w:cs="Arial" w:eastAsia="Arial" w:hAnsi="Arial"/>
          <w:sz w:val="16"/>
          <w:szCs w:val="16"/>
          <w:color w:val="auto"/>
        </w:rPr>
        <w:t>. The Company has certain arrangements with our collaboration partners that include contracting our employees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i w:val="1"/>
          <w:iCs w:val="1"/>
          <w:color w:val="auto"/>
        </w:rPr>
        <w:t>Sublicense revenues</w:t>
      </w:r>
      <w:r>
        <w:rPr>
          <w:rFonts w:ascii="Arial" w:cs="Arial" w:eastAsia="Arial" w:hAnsi="Arial"/>
          <w:sz w:val="17"/>
          <w:szCs w:val="17"/>
          <w:color w:val="auto"/>
        </w:rPr>
        <w:t>. 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customers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third-party service providers, which include among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expenses on the balance sheets and within research and development expenses in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statements of income/(loss). These costs are a significant component of our research and development expenses.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record accrued expenses for these costs based on the estimated amount of work completed in accordance with agreements established with these third parties, which involves the following process:</w:t>
      </w:r>
    </w:p>
    <w:p>
      <w:pPr>
        <w:spacing w:after="0" w:line="170" w:lineRule="exact"/>
        <w:rPr>
          <w:sz w:val="20"/>
          <w:szCs w:val="20"/>
          <w:color w:val="auto"/>
        </w:rPr>
      </w:pPr>
    </w:p>
    <w:p>
      <w:pPr>
        <w:ind w:left="660" w:right="460" w:hanging="328"/>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costs;</w:t>
      </w:r>
    </w:p>
    <w:p>
      <w:pPr>
        <w:spacing w:after="0" w:line="123"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providers and adjusting, if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22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fees paid to CROs in connection with preclinical and toxicology studies and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fees paid to CMOs in connection with the production of our product candidates prior to qualifying for capitalization as inventory;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base our expense accruals related to clinical studies on our estimates of the services received and efforts expended pursuant to contracts with multiple research institutions and clinical CROs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invoice us monthly in arrears for services performed. In accruing service fees, we estimate the time period over which the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19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To date, we have not experienced significant changes in our estimates of accrued research and development expenses after a reporting period. However, due to the nature of estimates, we may be required to make changes to our estimates in the future as we become aware of additional information about the status or conduct of our clinical studies and other research activities.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statements of income/(loss), and a corresponding adjustment to equity over the remaining vesting period.</w:t>
      </w:r>
    </w:p>
    <w:p>
      <w:pPr>
        <w:spacing w:after="0" w:line="17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estimate the fair value of all time-vested options as of the date of grant using the Black-Scholes option-pricing model. Key assumptions in determining the fair value of share options granted utilizing the Black-Scholes valuation method include the following:</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720" w:type="dxa"/>
            <w:vAlign w:val="bottom"/>
          </w:tcPr>
          <w:p>
            <w:pPr>
              <w:ind w:left="1920"/>
              <w:spacing w:after="0"/>
              <w:rPr>
                <w:sz w:val="20"/>
                <w:szCs w:val="20"/>
                <w:color w:val="auto"/>
              </w:rPr>
            </w:pPr>
            <w:r>
              <w:rPr>
                <w:rFonts w:ascii="Arial" w:cs="Arial" w:eastAsia="Arial" w:hAnsi="Arial"/>
                <w:sz w:val="18"/>
                <w:szCs w:val="18"/>
                <w:b w:val="1"/>
                <w:bCs w:val="1"/>
                <w:color w:val="auto"/>
              </w:rPr>
              <w:t>Assumption</w:t>
            </w:r>
          </w:p>
        </w:tc>
        <w:tc>
          <w:tcPr>
            <w:tcW w:w="4920" w:type="dxa"/>
            <w:vAlign w:val="bottom"/>
          </w:tcPr>
          <w:p>
            <w:pPr>
              <w:ind w:left="2160"/>
              <w:spacing w:after="0"/>
              <w:rPr>
                <w:sz w:val="20"/>
                <w:szCs w:val="20"/>
                <w:color w:val="auto"/>
              </w:rPr>
            </w:pPr>
            <w:r>
              <w:rPr>
                <w:rFonts w:ascii="Arial" w:cs="Arial" w:eastAsia="Arial" w:hAnsi="Arial"/>
                <w:sz w:val="18"/>
                <w:szCs w:val="18"/>
                <w:b w:val="1"/>
                <w:bCs w:val="1"/>
                <w:color w:val="auto"/>
              </w:rPr>
              <w:t>Method of estimation</w:t>
            </w:r>
          </w:p>
        </w:tc>
      </w:tr>
      <w:tr>
        <w:trPr>
          <w:trHeight w:val="216"/>
        </w:trPr>
        <w:tc>
          <w:tcPr>
            <w:tcW w:w="372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shd w:val="clear" w:color="auto" w:fill="D5EAEA"/>
          </w:tcPr>
          <w:p>
            <w:pPr>
              <w:ind w:left="80"/>
              <w:spacing w:after="0"/>
              <w:rPr>
                <w:sz w:val="20"/>
                <w:szCs w:val="20"/>
                <w:color w:val="auto"/>
              </w:rPr>
            </w:pPr>
            <w:r>
              <w:rPr>
                <w:rFonts w:ascii="Arial" w:cs="Arial" w:eastAsia="Arial" w:hAnsi="Arial"/>
                <w:sz w:val="18"/>
                <w:szCs w:val="18"/>
                <w:color w:val="auto"/>
              </w:rPr>
              <w:t>● Estimated expected term of options</w:t>
            </w:r>
          </w:p>
        </w:tc>
        <w:tc>
          <w:tcPr>
            <w:tcW w:w="4920" w:type="dxa"/>
            <w:vAlign w:val="bottom"/>
            <w:shd w:val="clear" w:color="auto" w:fill="D5EAEA"/>
          </w:tcPr>
          <w:p>
            <w:pPr>
              <w:ind w:left="860"/>
              <w:spacing w:after="0"/>
              <w:rPr>
                <w:sz w:val="20"/>
                <w:szCs w:val="20"/>
                <w:color w:val="auto"/>
              </w:rPr>
            </w:pPr>
            <w:r>
              <w:rPr>
                <w:rFonts w:ascii="Arial" w:cs="Arial" w:eastAsia="Arial" w:hAnsi="Arial"/>
                <w:sz w:val="18"/>
                <w:szCs w:val="18"/>
                <w:color w:val="auto"/>
              </w:rPr>
              <w:t>● Simplified method</w:t>
            </w:r>
          </w:p>
        </w:tc>
      </w:tr>
      <w:tr>
        <w:trPr>
          <w:trHeight w:val="202"/>
        </w:trPr>
        <w:tc>
          <w:tcPr>
            <w:tcW w:w="3720" w:type="dxa"/>
            <w:vAlign w:val="bottom"/>
          </w:tcPr>
          <w:p>
            <w:pPr>
              <w:ind w:left="80"/>
              <w:spacing w:after="0" w:line="201" w:lineRule="exact"/>
              <w:rPr>
                <w:sz w:val="20"/>
                <w:szCs w:val="20"/>
                <w:color w:val="auto"/>
              </w:rPr>
            </w:pPr>
            <w:r>
              <w:rPr>
                <w:rFonts w:ascii="Arial" w:cs="Arial" w:eastAsia="Arial" w:hAnsi="Arial"/>
                <w:sz w:val="18"/>
                <w:szCs w:val="18"/>
                <w:color w:val="auto"/>
              </w:rPr>
              <w:t>● Expected volatility</w:t>
            </w:r>
          </w:p>
        </w:tc>
        <w:tc>
          <w:tcPr>
            <w:tcW w:w="4920" w:type="dxa"/>
            <w:vAlign w:val="bottom"/>
          </w:tcPr>
          <w:p>
            <w:pPr>
              <w:ind w:left="860"/>
              <w:spacing w:after="0" w:line="201" w:lineRule="exact"/>
              <w:rPr>
                <w:sz w:val="20"/>
                <w:szCs w:val="20"/>
                <w:color w:val="auto"/>
              </w:rPr>
            </w:pPr>
            <w:r>
              <w:rPr>
                <w:rFonts w:ascii="Arial" w:cs="Arial" w:eastAsia="Arial" w:hAnsi="Arial"/>
                <w:sz w:val="18"/>
                <w:szCs w:val="18"/>
                <w:color w:val="auto"/>
                <w:w w:val="97"/>
              </w:rPr>
              <w:t>● Estimate based on average historical volatilities of</w:t>
            </w:r>
          </w:p>
        </w:tc>
      </w:tr>
      <w:tr>
        <w:trPr>
          <w:trHeight w:val="216"/>
        </w:trPr>
        <w:tc>
          <w:tcPr>
            <w:tcW w:w="3720" w:type="dxa"/>
            <w:vAlign w:val="bottom"/>
          </w:tcPr>
          <w:p>
            <w:pPr>
              <w:spacing w:after="0"/>
              <w:rPr>
                <w:sz w:val="18"/>
                <w:szCs w:val="18"/>
                <w:color w:val="auto"/>
              </w:rPr>
            </w:pPr>
          </w:p>
        </w:tc>
        <w:tc>
          <w:tcPr>
            <w:tcW w:w="4920" w:type="dxa"/>
            <w:vAlign w:val="bottom"/>
          </w:tcPr>
          <w:p>
            <w:pPr>
              <w:ind w:left="1040"/>
              <w:spacing w:after="0"/>
              <w:rPr>
                <w:sz w:val="20"/>
                <w:szCs w:val="20"/>
                <w:color w:val="auto"/>
              </w:rPr>
            </w:pPr>
            <w:r>
              <w:rPr>
                <w:rFonts w:ascii="Arial" w:cs="Arial" w:eastAsia="Arial" w:hAnsi="Arial"/>
                <w:sz w:val="18"/>
                <w:szCs w:val="18"/>
                <w:color w:val="auto"/>
              </w:rPr>
              <w:t>common shares of comparable publicly traded</w:t>
            </w:r>
          </w:p>
        </w:tc>
      </w:tr>
      <w:tr>
        <w:trPr>
          <w:trHeight w:val="216"/>
        </w:trPr>
        <w:tc>
          <w:tcPr>
            <w:tcW w:w="3720" w:type="dxa"/>
            <w:vAlign w:val="bottom"/>
          </w:tcPr>
          <w:p>
            <w:pPr>
              <w:spacing w:after="0"/>
              <w:rPr>
                <w:sz w:val="18"/>
                <w:szCs w:val="18"/>
                <w:color w:val="auto"/>
              </w:rPr>
            </w:pPr>
          </w:p>
        </w:tc>
        <w:tc>
          <w:tcPr>
            <w:tcW w:w="4920" w:type="dxa"/>
            <w:vAlign w:val="bottom"/>
          </w:tcPr>
          <w:p>
            <w:pPr>
              <w:ind w:left="1040"/>
              <w:spacing w:after="0"/>
              <w:rPr>
                <w:sz w:val="20"/>
                <w:szCs w:val="20"/>
                <w:color w:val="auto"/>
              </w:rPr>
            </w:pPr>
            <w:r>
              <w:rPr>
                <w:rFonts w:ascii="Arial" w:cs="Arial" w:eastAsia="Arial" w:hAnsi="Arial"/>
                <w:sz w:val="18"/>
                <w:szCs w:val="18"/>
                <w:color w:val="auto"/>
                <w:w w:val="92"/>
              </w:rPr>
              <w:t>companies. We will continue to apply this process to</w:t>
            </w:r>
          </w:p>
        </w:tc>
      </w:tr>
      <w:tr>
        <w:trPr>
          <w:trHeight w:val="216"/>
        </w:trPr>
        <w:tc>
          <w:tcPr>
            <w:tcW w:w="3720" w:type="dxa"/>
            <w:vAlign w:val="bottom"/>
          </w:tcPr>
          <w:p>
            <w:pPr>
              <w:spacing w:after="0"/>
              <w:rPr>
                <w:sz w:val="18"/>
                <w:szCs w:val="18"/>
                <w:color w:val="auto"/>
              </w:rPr>
            </w:pPr>
          </w:p>
        </w:tc>
        <w:tc>
          <w:tcPr>
            <w:tcW w:w="4920" w:type="dxa"/>
            <w:vAlign w:val="bottom"/>
          </w:tcPr>
          <w:p>
            <w:pPr>
              <w:ind w:left="1040"/>
              <w:spacing w:after="0"/>
              <w:rPr>
                <w:sz w:val="20"/>
                <w:szCs w:val="20"/>
                <w:color w:val="auto"/>
              </w:rPr>
            </w:pPr>
            <w:r>
              <w:rPr>
                <w:rFonts w:ascii="Arial" w:cs="Arial" w:eastAsia="Arial" w:hAnsi="Arial"/>
                <w:sz w:val="18"/>
                <w:szCs w:val="18"/>
                <w:color w:val="auto"/>
                <w:w w:val="96"/>
              </w:rPr>
              <w:t>grants made as a public company until a sufficient</w:t>
            </w:r>
          </w:p>
        </w:tc>
      </w:tr>
      <w:tr>
        <w:trPr>
          <w:trHeight w:val="216"/>
        </w:trPr>
        <w:tc>
          <w:tcPr>
            <w:tcW w:w="3720" w:type="dxa"/>
            <w:vAlign w:val="bottom"/>
          </w:tcPr>
          <w:p>
            <w:pPr>
              <w:spacing w:after="0"/>
              <w:rPr>
                <w:sz w:val="18"/>
                <w:szCs w:val="18"/>
                <w:color w:val="auto"/>
              </w:rPr>
            </w:pPr>
          </w:p>
        </w:tc>
        <w:tc>
          <w:tcPr>
            <w:tcW w:w="4920" w:type="dxa"/>
            <w:vAlign w:val="bottom"/>
          </w:tcPr>
          <w:p>
            <w:pPr>
              <w:ind w:left="1040"/>
              <w:spacing w:after="0"/>
              <w:rPr>
                <w:sz w:val="20"/>
                <w:szCs w:val="20"/>
                <w:color w:val="auto"/>
              </w:rPr>
            </w:pPr>
            <w:r>
              <w:rPr>
                <w:rFonts w:ascii="Arial" w:cs="Arial" w:eastAsia="Arial" w:hAnsi="Arial"/>
                <w:sz w:val="18"/>
                <w:szCs w:val="18"/>
                <w:color w:val="auto"/>
              </w:rPr>
              <w:t>amount of historical information regarding the</w:t>
            </w:r>
          </w:p>
        </w:tc>
      </w:tr>
      <w:tr>
        <w:trPr>
          <w:trHeight w:val="230"/>
        </w:trPr>
        <w:tc>
          <w:tcPr>
            <w:tcW w:w="3720" w:type="dxa"/>
            <w:vAlign w:val="bottom"/>
          </w:tcPr>
          <w:p>
            <w:pPr>
              <w:spacing w:after="0"/>
              <w:rPr>
                <w:sz w:val="20"/>
                <w:szCs w:val="20"/>
                <w:color w:val="auto"/>
              </w:rPr>
            </w:pPr>
          </w:p>
        </w:tc>
        <w:tc>
          <w:tcPr>
            <w:tcW w:w="4920" w:type="dxa"/>
            <w:vAlign w:val="bottom"/>
          </w:tcPr>
          <w:p>
            <w:pPr>
              <w:ind w:left="1040"/>
              <w:spacing w:after="0"/>
              <w:rPr>
                <w:sz w:val="20"/>
                <w:szCs w:val="20"/>
                <w:color w:val="auto"/>
              </w:rPr>
            </w:pPr>
            <w:r>
              <w:rPr>
                <w:rFonts w:ascii="Arial" w:cs="Arial" w:eastAsia="Arial" w:hAnsi="Arial"/>
                <w:sz w:val="18"/>
                <w:szCs w:val="18"/>
                <w:color w:val="auto"/>
                <w:w w:val="96"/>
              </w:rPr>
              <w:t>volatility of our own stock price becomes available</w:t>
            </w:r>
          </w:p>
        </w:tc>
      </w:tr>
      <w:tr>
        <w:trPr>
          <w:trHeight w:val="202"/>
        </w:trPr>
        <w:tc>
          <w:tcPr>
            <w:tcW w:w="3720" w:type="dxa"/>
            <w:vAlign w:val="bottom"/>
            <w:shd w:val="clear" w:color="auto" w:fill="D5EAEA"/>
          </w:tcPr>
          <w:p>
            <w:pPr>
              <w:ind w:left="80"/>
              <w:spacing w:after="0" w:line="201" w:lineRule="exact"/>
              <w:rPr>
                <w:sz w:val="20"/>
                <w:szCs w:val="20"/>
                <w:color w:val="auto"/>
              </w:rPr>
            </w:pPr>
            <w:r>
              <w:rPr>
                <w:rFonts w:ascii="Arial" w:cs="Arial" w:eastAsia="Arial" w:hAnsi="Arial"/>
                <w:sz w:val="18"/>
                <w:szCs w:val="18"/>
                <w:color w:val="auto"/>
              </w:rPr>
              <w:t>● Risk-free interest rate</w:t>
            </w:r>
          </w:p>
        </w:tc>
        <w:tc>
          <w:tcPr>
            <w:tcW w:w="4920" w:type="dxa"/>
            <w:vAlign w:val="bottom"/>
            <w:shd w:val="clear" w:color="auto" w:fill="D5EAEA"/>
          </w:tcPr>
          <w:p>
            <w:pPr>
              <w:ind w:left="860"/>
              <w:spacing w:after="0" w:line="201" w:lineRule="exact"/>
              <w:rPr>
                <w:sz w:val="20"/>
                <w:szCs w:val="20"/>
                <w:color w:val="auto"/>
              </w:rPr>
            </w:pPr>
            <w:r>
              <w:rPr>
                <w:rFonts w:ascii="Arial" w:cs="Arial" w:eastAsia="Arial" w:hAnsi="Arial"/>
                <w:sz w:val="18"/>
                <w:szCs w:val="18"/>
                <w:color w:val="auto"/>
                <w:w w:val="93"/>
              </w:rPr>
              <w:t>● Yields of long-dated Swiss government zero coupon</w:t>
            </w:r>
          </w:p>
        </w:tc>
      </w:tr>
      <w:tr>
        <w:trPr>
          <w:trHeight w:val="230"/>
        </w:trPr>
        <w:tc>
          <w:tcPr>
            <w:tcW w:w="3720" w:type="dxa"/>
            <w:vAlign w:val="bottom"/>
            <w:shd w:val="clear" w:color="auto" w:fill="D5EAEA"/>
          </w:tcPr>
          <w:p>
            <w:pPr>
              <w:spacing w:after="0"/>
              <w:rPr>
                <w:sz w:val="20"/>
                <w:szCs w:val="20"/>
                <w:color w:val="auto"/>
              </w:rPr>
            </w:pPr>
          </w:p>
        </w:tc>
        <w:tc>
          <w:tcPr>
            <w:tcW w:w="4920" w:type="dxa"/>
            <w:vAlign w:val="bottom"/>
            <w:shd w:val="clear" w:color="auto" w:fill="D5EAEA"/>
          </w:tcPr>
          <w:p>
            <w:pPr>
              <w:ind w:left="1040"/>
              <w:spacing w:after="0"/>
              <w:rPr>
                <w:sz w:val="20"/>
                <w:szCs w:val="20"/>
                <w:color w:val="auto"/>
              </w:rPr>
            </w:pPr>
            <w:r>
              <w:rPr>
                <w:rFonts w:ascii="Arial" w:cs="Arial" w:eastAsia="Arial" w:hAnsi="Arial"/>
                <w:sz w:val="18"/>
                <w:szCs w:val="18"/>
                <w:color w:val="auto"/>
              </w:rPr>
              <w:t>bond issues</w:t>
            </w:r>
          </w:p>
        </w:tc>
      </w:tr>
      <w:tr>
        <w:trPr>
          <w:trHeight w:val="216"/>
        </w:trPr>
        <w:tc>
          <w:tcPr>
            <w:tcW w:w="3720" w:type="dxa"/>
            <w:vAlign w:val="bottom"/>
          </w:tcPr>
          <w:p>
            <w:pPr>
              <w:ind w:left="80"/>
              <w:spacing w:after="0"/>
              <w:rPr>
                <w:sz w:val="20"/>
                <w:szCs w:val="20"/>
                <w:color w:val="auto"/>
              </w:rPr>
            </w:pPr>
            <w:r>
              <w:rPr>
                <w:rFonts w:ascii="Arial" w:cs="Arial" w:eastAsia="Arial" w:hAnsi="Arial"/>
                <w:sz w:val="18"/>
                <w:szCs w:val="18"/>
                <w:color w:val="auto"/>
              </w:rPr>
              <w:t>● Forfeiture rates</w:t>
            </w:r>
          </w:p>
        </w:tc>
        <w:tc>
          <w:tcPr>
            <w:tcW w:w="4920" w:type="dxa"/>
            <w:vAlign w:val="bottom"/>
          </w:tcPr>
          <w:p>
            <w:pPr>
              <w:ind w:left="860"/>
              <w:spacing w:after="0"/>
              <w:rPr>
                <w:sz w:val="20"/>
                <w:szCs w:val="20"/>
                <w:color w:val="auto"/>
              </w:rPr>
            </w:pPr>
            <w:r>
              <w:rPr>
                <w:rFonts w:ascii="Arial" w:cs="Arial" w:eastAsia="Arial" w:hAnsi="Arial"/>
                <w:sz w:val="18"/>
                <w:szCs w:val="18"/>
                <w:color w:val="auto"/>
              </w:rPr>
              <w:t>● Historical and expected forfeiture data</w:t>
            </w:r>
          </w:p>
        </w:tc>
      </w:tr>
      <w:tr>
        <w:trPr>
          <w:trHeight w:val="216"/>
        </w:trPr>
        <w:tc>
          <w:tcPr>
            <w:tcW w:w="3720" w:type="dxa"/>
            <w:vAlign w:val="bottom"/>
            <w:shd w:val="clear" w:color="auto" w:fill="D5EAEA"/>
          </w:tcPr>
          <w:p>
            <w:pPr>
              <w:ind w:left="80"/>
              <w:spacing w:after="0"/>
              <w:rPr>
                <w:sz w:val="20"/>
                <w:szCs w:val="20"/>
                <w:color w:val="auto"/>
              </w:rPr>
            </w:pPr>
            <w:r>
              <w:rPr>
                <w:rFonts w:ascii="Arial" w:cs="Arial" w:eastAsia="Arial" w:hAnsi="Arial"/>
                <w:sz w:val="18"/>
                <w:szCs w:val="18"/>
                <w:color w:val="auto"/>
              </w:rPr>
              <w:t>● Expected dividends</w:t>
            </w:r>
          </w:p>
        </w:tc>
        <w:tc>
          <w:tcPr>
            <w:tcW w:w="4920" w:type="dxa"/>
            <w:vAlign w:val="bottom"/>
            <w:shd w:val="clear" w:color="auto" w:fill="D5EAEA"/>
          </w:tcPr>
          <w:p>
            <w:pPr>
              <w:ind w:left="860"/>
              <w:spacing w:after="0"/>
              <w:rPr>
                <w:sz w:val="20"/>
                <w:szCs w:val="20"/>
                <w:color w:val="auto"/>
              </w:rPr>
            </w:pPr>
            <w:r>
              <w:rPr>
                <w:rFonts w:ascii="Arial" w:cs="Arial" w:eastAsia="Arial" w:hAnsi="Arial"/>
                <w:sz w:val="18"/>
                <w:szCs w:val="18"/>
                <w:color w:val="auto"/>
              </w:rPr>
              <w:t>● Zero percent as dividends have not been paid</w:t>
            </w:r>
          </w:p>
        </w:tc>
      </w:tr>
    </w:tbl>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Historically, for all periods prior to the initial public offering (IPO),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Company’s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of our common shares.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 and restricted share units</w:t>
      </w:r>
    </w:p>
    <w:p>
      <w:pPr>
        <w:spacing w:after="0" w:line="22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premium as the awards vested.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Effective January 1, 2019, the Company adopted IFRS 16 (</w:t>
      </w:r>
      <w:r>
        <w:rPr>
          <w:rFonts w:ascii="Arial" w:cs="Arial" w:eastAsia="Arial" w:hAnsi="Arial"/>
          <w:sz w:val="17"/>
          <w:szCs w:val="17"/>
          <w:i w:val="1"/>
          <w:iCs w:val="1"/>
          <w:color w:val="auto"/>
        </w:rPr>
        <w:t>Leases</w:t>
      </w:r>
      <w:r>
        <w:rPr>
          <w:rFonts w:ascii="Arial" w:cs="Arial" w:eastAsia="Arial" w:hAnsi="Arial"/>
          <w:sz w:val="17"/>
          <w:szCs w:val="17"/>
          <w:color w:val="auto"/>
        </w:rPr>
        <w:t>), which provides a new model for lessee accounting in which all leases, other than short-term and low-value leases, are accounted for by the recognition on the balance sheet of a right-of-use asset and a lease liability, and the subsequent amortization of the right-of-use asset over the earlier of the end of the useful life or the lease term. The Company applied the modified retrospective approach, which requires the recognition of the cumulative effect of initially applying IFRS 16 as of January 1, 2019 to accumulated losses and not restating previous years. As the Company recognized the right-of-use assets at the amount equal to the lease liabilities there was no impact to accumulated losses. For a complete discussion of accounting, see “Note 5. Right-of-use assets and lease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where we currently operate our clinical trials and business operations. The extent to which Covid-19 may impact us will depend on future developments, which are highly uncertain and cannot be predicted with confidence, such as the duration of the outbreak, the severity of Covid-19, or the effectiveness of actions to contain and treat for Covid-19.</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effected its business continuity plan during the interim period ended September 30, 2020. The Company implemented its plan quickly and continues to adapt as the situation evolves. Currently, we have mostly resumed normal operations at full capacity with minimal disruptions to our business. We are continuously assessing and adapting our working practices and business operations to ensure compliance with official guidance and orders related to the pandemic, and are working proactively with our partners and other</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stakeholders to take steps intended to mitigate and minimize any negative impact to our research, clinical programs and other business operations.</w:t>
      </w:r>
    </w:p>
    <w:p>
      <w:pPr>
        <w:spacing w:after="0" w:line="23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Many of our key trials are already fully enrolled and patient follow-up can continue remotely in most cases. However, the current pandemic may impact certain clinical trials as long as the pandemic is ongoing. Most notably:</w:t>
      </w:r>
    </w:p>
    <w:p>
      <w:pPr>
        <w:spacing w:after="0" w:line="166"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ACI-35.030 for AD: </w:t>
      </w:r>
      <w:r>
        <w:rPr>
          <w:rFonts w:ascii="Arial" w:cs="Arial" w:eastAsia="Arial" w:hAnsi="Arial"/>
          <w:sz w:val="18"/>
          <w:szCs w:val="18"/>
          <w:color w:val="auto"/>
        </w:rPr>
        <w:t>The Company continues to collect data from the Phase 1b/2a study. The interim analysis of ACI-35.030 at the lowest dose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immunogenicity) was obtained in Q2 2020 and led to the initiation of the second highest dosing group in the Phase 1b/2a clinical trial. The interim analysis of this second highest dosing group (safety, tolerability and immunogenicity) was obtained in Q4 2020 and led to the initiation of the highest dosing group in the Phase 1b/2a clinical trial in Q1 2021. The initiation of these dosing groups of ACI-35.030 commenced in accordance with the underlying development plans.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ACI-3024</w:t>
      </w:r>
      <w:r>
        <w:rPr>
          <w:rFonts w:ascii="Arial" w:cs="Arial" w:eastAsia="Arial" w:hAnsi="Arial"/>
          <w:sz w:val="18"/>
          <w:szCs w:val="18"/>
          <w:color w:val="auto"/>
        </w:rPr>
        <w:t>: Our Phase 1 study for ACI-3024 in healthy young, elderly non-Japanese and Japanese volunteers was completed in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ACI-24 for DS</w:t>
      </w:r>
      <w:r>
        <w:rPr>
          <w:rFonts w:ascii="Arial" w:cs="Arial" w:eastAsia="Arial" w:hAnsi="Arial"/>
          <w:sz w:val="18"/>
          <w:szCs w:val="18"/>
          <w:color w:val="auto"/>
        </w:rPr>
        <w:t>: The Company’s ACI-24 Phase 1b trial has been completed and the final analysis is ongoing.</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Regulatory submission of the ACI-24-DS Phase 2 trial was initiated as planned. The initiation of the clinical trial will be dependent on the evolving Covid-19 situation.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ACI-24 for AD: </w:t>
      </w:r>
      <w:r>
        <w:rPr>
          <w:rFonts w:ascii="Arial" w:cs="Arial" w:eastAsia="Arial" w:hAnsi="Arial"/>
          <w:sz w:val="16"/>
          <w:szCs w:val="16"/>
          <w:color w:val="auto"/>
        </w:rPr>
        <w:t>The Company continues to collect safety, immunogenicity and biomarker data from patients in the ongoing Phase 2 study of ACI-24.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18-month interim data analysis is anticipated for the ongoing study in Q2 2021.</w:t>
      </w:r>
    </w:p>
    <w:p>
      <w:pPr>
        <w:spacing w:after="0" w:line="207" w:lineRule="exact"/>
        <w:rPr>
          <w:sz w:val="20"/>
          <w:szCs w:val="20"/>
          <w:color w:val="auto"/>
        </w:rPr>
      </w:pPr>
    </w:p>
    <w:p>
      <w:pPr>
        <w:ind w:right="20" w:firstLine="324"/>
        <w:spacing w:after="0" w:line="314" w:lineRule="auto"/>
        <w:rPr>
          <w:sz w:val="20"/>
          <w:szCs w:val="20"/>
          <w:color w:val="auto"/>
        </w:rPr>
      </w:pPr>
      <w:r>
        <w:rPr>
          <w:rFonts w:ascii="Arial" w:cs="Arial" w:eastAsia="Arial" w:hAnsi="Arial"/>
          <w:sz w:val="16"/>
          <w:szCs w:val="16"/>
          <w:b w:val="1"/>
          <w:bCs w:val="1"/>
          <w:color w:val="auto"/>
        </w:rPr>
        <w:t xml:space="preserve">crenezumab: </w:t>
      </w:r>
      <w:r>
        <w:rPr>
          <w:rFonts w:ascii="Arial" w:cs="Arial" w:eastAsia="Arial" w:hAnsi="Arial"/>
          <w:sz w:val="16"/>
          <w:szCs w:val="16"/>
          <w:color w:val="auto"/>
        </w:rPr>
        <w:t>In response to the government-imposed stay at home order in Colombia related to the Covid-19 pandemic, the dosing of participants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Colombian API study was temporarily interrupted in H1 2020. The dosing restarted on May 18, 2020. Participants are receiving crenezumab or placebo for at least five years as part of the long-term prevention study, and, despite the interruption, we continue to expect data from the study in Q1 2022.</w:t>
      </w:r>
    </w:p>
    <w:p>
      <w:pPr>
        <w:spacing w:after="0" w:line="142"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b w:val="1"/>
          <w:bCs w:val="1"/>
          <w:color w:val="auto"/>
        </w:rPr>
        <w:t xml:space="preserve">PI-2620: </w:t>
      </w:r>
      <w:r>
        <w:rPr>
          <w:rFonts w:ascii="Arial" w:cs="Arial" w:eastAsia="Arial" w:hAnsi="Arial"/>
          <w:sz w:val="18"/>
          <w:szCs w:val="18"/>
          <w:color w:val="auto"/>
        </w:rPr>
        <w:t>The longitudinal Phase 2 study in AD and the Phase 1 test/re-test study in PSP enrolling patients in the UK were impacted by Covid-19 and</w:t>
      </w:r>
      <w:r>
        <w:rPr>
          <w:rFonts w:ascii="Arial" w:cs="Arial" w:eastAsia="Arial" w:hAnsi="Arial"/>
          <w:sz w:val="18"/>
          <w:szCs w:val="18"/>
          <w:b w:val="1"/>
          <w:bCs w:val="1"/>
          <w:color w:val="auto"/>
        </w:rPr>
        <w:t xml:space="preserve"> </w:t>
      </w:r>
      <w:r>
        <w:rPr>
          <w:rFonts w:ascii="Arial" w:cs="Arial" w:eastAsia="Arial" w:hAnsi="Arial"/>
          <w:sz w:val="18"/>
          <w:szCs w:val="18"/>
          <w:color w:val="auto"/>
        </w:rPr>
        <w:t>Brexit and have been suspended. An investigator-initiated Phase 2 study in AD in Korea continues with a potential data analysis in Q2 2021. The Phase 1 PSP study may resume in Q2 2021 in the UK, depending on the ongoing Covid-19 pandemic, but a backup study is being also prepared in Germany which could begin in H2 2021.</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six-months supply on hand cannot be secured. Finally, the Company currently does not expect delays to its clinical trials due to manufacturing or supply-chain issues.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Given our stage of development, we have not generated any revenue from product sales. Our contract revenues to date have been derived primarily from separate license and collaboration agreements on some of our product candidates in various stages of preclinical and clinical development.</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contract revenues have experienced fluctuations over the past 3 years as a result of securing new collaboration agreements, the timing of milestone achievement and the size of each milestone payment. We expect that any revenue we generate from our collaboration agreements with each of Lilly, Genentech, Janssen and LMI and/or from any other current or future collaboration partners will fluctuate from year to year as a result of the timing and amount of milestones and other payments.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Research and development costs are expensed as incurred, and consist of salaries and benefits, laboratory supplies, materials, intellectual property and facility costs, as well as fees paid to other non-employees and entities that conduct certain research and development activities on our behalf. Amounts incurred in connection with license and collaboration agreements are also included in research and development expense. Payments made prior to the receipt of goods or services to be used in research and development are capitalized until those goods or services are received.</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CROs and clinical sites. We determine the actual costs through monitoring patient enrollment and discussions with internal personnel and external service providers as to the progress or stage of completion of trials or services and the agreed-upon fee to be paid for such services.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Manufacturing start-up costs are a component of research and development expenses. Additionally, manufacturing costs incurred after regulatory approval but in connection with significant changes and/or enhancements to the approved manufacturing process are recorded as research and development expenses. We accrue and expense the manufacturing activities performed by third parties based upon actual work completed in accordance with agreements established with contract manufacturers.</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investment in research and development activities, including the clinical development of our product candidates has historically been and is projected to be more than 75% of our total annual operating costs. Research and development expenses represent costs incurred to conduct research, such as the discovery and development of our product candidates, as well as development of new product candidates from our SupraAntigen and Morphomer platforms and the development of product candidates pursuant to our collaboration agreements with Lilly, Genentech, Janssen and LMI. We recognize all research and development costs as they are incurred. Clinical study costs, contract manufacturing and other development costs incurred by third parties are expensed as the contracted work is performed. At present, our research activities comprise three major areas:</w:t>
      </w:r>
    </w:p>
    <w:p>
      <w:pPr>
        <w:spacing w:after="0" w:line="164"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focused non-Alzheimer’s neurodegenerative diseases including NeuroOrphan indications;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expect our research and development expenses to increase substantially in the future and expect to fund a broader number of projects, which will impact our research strategy in four key ways:</w:t>
      </w:r>
    </w:p>
    <w:p>
      <w:pPr>
        <w:spacing w:after="0" w:line="170" w:lineRule="exact"/>
        <w:rPr>
          <w:sz w:val="20"/>
          <w:szCs w:val="20"/>
          <w:color w:val="auto"/>
        </w:rPr>
      </w:pPr>
    </w:p>
    <w:p>
      <w:pPr>
        <w:ind w:right="180" w:firstLine="332"/>
        <w:spacing w:after="0" w:line="277" w:lineRule="auto"/>
        <w:tabs>
          <w:tab w:leader="none" w:pos="5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 diagnostics;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We expect that our total future research and development costs will continue to increase over current levels in line with our three-pillar strategy that focuses on (i) AD, (ii) focused non-Alzheimer’s neurodegenerative diseases including NeuroOrphan indications and (iii) diagnostics.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information technology (IT) and other consulting fees. Allocated expenses consist of depreciation expense related to our office and research and development facility.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Financial income and expenses include bank fees associated with charges levied by banks on foreign payments, interest income and expense associated with our cash balances and interest expense associated with</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lease liabilities. Additionally, for the year ended December 31, 2019, we incurred effective interest to amortize the host debt for the convertible loan due to Lilly and accrue interest for our financing obligation.</w:t>
      </w:r>
    </w:p>
    <w:p>
      <w:pPr>
        <w:spacing w:after="0" w:line="170" w:lineRule="exact"/>
        <w:rPr>
          <w:sz w:val="20"/>
          <w:szCs w:val="20"/>
          <w:color w:val="auto"/>
        </w:rPr>
      </w:pPr>
    </w:p>
    <w:p>
      <w:pPr>
        <w:ind w:right="140" w:firstLine="321"/>
        <w:spacing w:after="0" w:line="263" w:lineRule="auto"/>
        <w:rPr>
          <w:sz w:val="20"/>
          <w:szCs w:val="20"/>
          <w:color w:val="auto"/>
        </w:rPr>
      </w:pPr>
      <w:r>
        <w:rPr>
          <w:rFonts w:ascii="Arial" w:cs="Arial" w:eastAsia="Arial" w:hAnsi="Arial"/>
          <w:sz w:val="18"/>
          <w:szCs w:val="18"/>
          <w:color w:val="auto"/>
        </w:rPr>
        <w:t>Exchange differences consist of foreign exchange transactions and re-measurement gains and losses that arise from our cash being held in currency other than Swiss Francs, certain collaboration agreements such as the collaboration agreements with Genentech and LMI being denominated in currencies other than Swiss Francs, and selected purchases, which we effect in foreign currencies.</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Finally, the Company recorded a gain on the conversion feature of the convertible loan due to Lilly for the year ended December 31, 2019 that did not repeat in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AC Immune is subject to corporate Swiss federal, cantonal and communal taxation, respectively, in Switzerland, Canton of Vaud, Commune of Ecublens, near Lausanne.</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are entitled under Swiss laws to carry forward any losses incurred for a period of 7 years and can offset our losses carried forward against future taxes. As of December 31, 2020, we had tax loss carry-forwards totaling CHF 121.9 million. There is no certainty that we will make sufficient profits to be able to utilize these tax loss carry-forwards in full.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corporate income tax rate (federal, cantonal and communal) where we are domiciled is currently 13.63%.</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January 1, 2020, the Company may request for 2020 and future tax years a tax relief of 60%, which would be applied to income from patents and similar rights at the communal and cantonal levels. This relief would first require the reintegration of all expensed and deducted research and development costs related to the concerned patents and similar rights for consideration in our taxable results from the prior ten years. The Company has not currently made any decision to enter this patent box system. Additionally, a “super-deduction” may be granted for payroll and other expenses of research and development of Swiss origins.</w:t>
      </w:r>
    </w:p>
    <w:p>
      <w:pPr>
        <w:spacing w:after="0" w:line="18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However, the aforementioned tax relief based on the patent box and deductions for research and development may not exceed 50% of the overall taxable profit before these tax relief and deductions.</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Notwithstanding the corporate income tax, the corporate capital is taxed at a rate of 0.13% (cantonal and communal tax only, as there is no federal tax on capital).</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Value added tax (VAT) is charged on all qualifying goods and services supplied by VAT-registered businesses. Rates vary based on category, but the Company applies a standard rate of 7.7% on the value of the goods or services to all sales invoices, which is payable to the Swiss tax authorities. Similarly, VAT paid on purchase invoices is reclaimable from the Swiss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numbers below have been derived from our audited financial statements included elsewhere in this Annual Report. The discussion below should be read along with these financial statements and it is qualified in its entirety by reference to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 revenues during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720"/>
              <w:spacing w:after="0"/>
              <w:rPr>
                <w:sz w:val="20"/>
                <w:szCs w:val="20"/>
                <w:color w:val="auto"/>
              </w:rPr>
            </w:pPr>
            <w:r>
              <w:rPr>
                <w:rFonts w:ascii="Arial" w:cs="Arial" w:eastAsia="Arial" w:hAnsi="Arial"/>
                <w:sz w:val="18"/>
                <w:szCs w:val="18"/>
                <w:b w:val="1"/>
                <w:bCs w:val="1"/>
                <w:color w:val="auto"/>
              </w:rPr>
              <w:t>In CHF thousands</w:t>
            </w:r>
          </w:p>
        </w:tc>
        <w:tc>
          <w:tcPr>
            <w:tcW w:w="2180" w:type="dxa"/>
            <w:vAlign w:val="bottom"/>
            <w:gridSpan w:val="2"/>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206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15,431</w:t>
            </w:r>
          </w:p>
        </w:tc>
        <w:tc>
          <w:tcPr>
            <w:tcW w:w="100" w:type="dxa"/>
            <w:vAlign w:val="bottom"/>
            <w:tcBorders>
              <w:top w:val="single" w:sz="8" w:color="D5EAEA"/>
            </w:tcBorders>
            <w:shd w:val="clear" w:color="auto" w:fill="D5EAEA"/>
          </w:tcPr>
          <w:p>
            <w:pPr>
              <w:spacing w:after="0"/>
              <w:rPr>
                <w:sz w:val="19"/>
                <w:szCs w:val="19"/>
                <w:color w:val="auto"/>
              </w:rPr>
            </w:pPr>
          </w:p>
        </w:tc>
        <w:tc>
          <w:tcPr>
            <w:tcW w:w="480" w:type="dxa"/>
            <w:vAlign w:val="bottom"/>
            <w:tcBorders>
              <w:top w:val="single" w:sz="8" w:color="auto"/>
              <w:bottom w:val="single" w:sz="8" w:color="auto"/>
            </w:tcBorders>
            <w:shd w:val="clear" w:color="auto" w:fill="D5EAEA"/>
          </w:tcPr>
          <w:p>
            <w:pPr>
              <w:spacing w:after="0"/>
              <w:rPr>
                <w:sz w:val="19"/>
                <w:szCs w:val="19"/>
                <w:color w:val="auto"/>
              </w:rPr>
            </w:pPr>
          </w:p>
        </w:tc>
        <w:tc>
          <w:tcPr>
            <w:tcW w:w="8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110,456</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(95,025)</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15,431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110,456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60" w:type="dxa"/>
            <w:vAlign w:val="bottom"/>
            <w:vMerge w:val="restart"/>
          </w:tcPr>
          <w:p>
            <w:pPr>
              <w:jc w:val="right"/>
              <w:ind w:right="10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contract revenues experience fluctuations as a result of securing new collaboration agreements, the timing of milestone achievements and the size of each milestone payment. For the year ended December 31, 2020, the decrease of CHF 95 million in contract revenues compared to the year ended December 31, 2019 was primarily a result of:</w:t>
      </w:r>
    </w:p>
    <w:p>
      <w:pPr>
        <w:spacing w:after="0" w:line="184" w:lineRule="exact"/>
        <w:rPr>
          <w:sz w:val="20"/>
          <w:szCs w:val="20"/>
          <w:color w:val="auto"/>
        </w:rPr>
      </w:pPr>
    </w:p>
    <w:p>
      <w:pPr>
        <w:ind w:left="660" w:right="120" w:hanging="328"/>
        <w:spacing w:after="0" w:line="286"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decrease of CHF 91.3 million in our agreement with Lilly. The Company recognized a CHF 10 million milestone and CHF 4.3 million for research and development activities in 2020. These were offset by an upfront payment of CHF 73.1 million for a right-of-use license fee, CHF 30 million for the first installment of the first milestone achieved and CHF 2.6 million for research and development activities in 2019;</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decrease of CHF 0.1 million for research and development activities associated with our collaboration agreement with Janssen; and</w:t>
      </w:r>
    </w:p>
    <w:p>
      <w:pPr>
        <w:spacing w:after="0" w:line="236"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CHF 3.6 million from non-recurring revenues for a CHF 2.2 million Phase 2 milestone earned in 2019 from LMI, CHF 1.1 million earned in our Biogen collaboration which ended in April 2019 and CHF 0.4 million in other contract revenues.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in both of our Genentech collaborations. We and Janssen are co-developing the second-generation lead therapeutic vaccines through the Phase 1b/2a completion. AC Immune and Janssen will jointly share research and development costs until the completion of the first Phase 2b. From Phase 2b and onwards, Janssen will assume responsibility for the clinical development, manufacturing and commercialization of the second-generation vaccines. We expect to incur additional research and development expenditures associated with the expansion of our Morphomer Tau program into NeuroOrphan indications as well as an expansion of ACI-3024 to be evaluated in other rare Tauopathies. In addition to these arrangements, we expect that our total future research and development costs will continue to increase over current levels in line with our three-pillar strategy that focuses on (i) AD, (ii) focused non-Alzheimer’s neurodegenerative diseases including NeuroOrphan indications and (iii) diagnostics.</w:t>
      </w:r>
    </w:p>
    <w:p>
      <w:pPr>
        <w:spacing w:after="0" w:line="16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table below provides a breakdown of our research and development costs, including direct research and development costs and manufacturing costs related to research and development, by major development categories of our programs for the periods covered by this Annual Report. The research and development costs 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research and development projects, because the employees within our research and development groups are typically deployed across multiple research and development programs.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2020 and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category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720"/>
              <w:spacing w:after="0"/>
              <w:rPr>
                <w:sz w:val="20"/>
                <w:szCs w:val="20"/>
                <w:color w:val="auto"/>
              </w:rPr>
            </w:pPr>
            <w:r>
              <w:rPr>
                <w:rFonts w:ascii="Arial" w:cs="Arial" w:eastAsia="Arial" w:hAnsi="Arial"/>
                <w:sz w:val="18"/>
                <w:szCs w:val="18"/>
                <w:b w:val="1"/>
                <w:bCs w:val="1"/>
                <w:color w:val="auto"/>
              </w:rPr>
              <w:t>In CHF thousands</w:t>
            </w:r>
          </w:p>
        </w:tc>
        <w:tc>
          <w:tcPr>
            <w:tcW w:w="2180" w:type="dxa"/>
            <w:vAlign w:val="bottom"/>
            <w:gridSpan w:val="2"/>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Discovery and preclinical expenses</w:t>
            </w:r>
          </w:p>
        </w:tc>
        <w:tc>
          <w:tcPr>
            <w:tcW w:w="20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20,408</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17,809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Clinical expenses</w:t>
            </w:r>
          </w:p>
        </w:tc>
        <w:tc>
          <w:tcPr>
            <w:tcW w:w="3560" w:type="dxa"/>
            <w:vAlign w:val="bottom"/>
            <w:gridSpan w:val="3"/>
          </w:tcPr>
          <w:p>
            <w:pPr>
              <w:jc w:val="right"/>
              <w:ind w:right="30"/>
              <w:spacing w:after="0"/>
              <w:rPr>
                <w:sz w:val="20"/>
                <w:szCs w:val="20"/>
                <w:color w:val="auto"/>
              </w:rPr>
            </w:pPr>
            <w:r>
              <w:rPr>
                <w:rFonts w:ascii="Arial" w:cs="Arial" w:eastAsia="Arial" w:hAnsi="Arial"/>
                <w:sz w:val="18"/>
                <w:szCs w:val="18"/>
                <w:color w:val="auto"/>
              </w:rPr>
              <w:t>17,124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13,806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30"/>
        </w:trPr>
        <w:tc>
          <w:tcPr>
            <w:tcW w:w="4800" w:type="dxa"/>
            <w:vAlign w:val="bottom"/>
            <w:shd w:val="clear" w:color="auto" w:fill="D5EAEA"/>
          </w:tcPr>
          <w:p>
            <w:pPr>
              <w:spacing w:after="0"/>
              <w:rPr>
                <w:sz w:val="20"/>
                <w:szCs w:val="20"/>
                <w:color w:val="auto"/>
              </w:rPr>
            </w:pPr>
            <w:r>
              <w:rPr>
                <w:rFonts w:ascii="Arial" w:cs="Arial" w:eastAsia="Arial" w:hAnsi="Arial"/>
                <w:sz w:val="18"/>
                <w:szCs w:val="18"/>
                <w:color w:val="auto"/>
              </w:rPr>
              <w:t>Group function expenses</w:t>
            </w:r>
          </w:p>
        </w:tc>
        <w:tc>
          <w:tcPr>
            <w:tcW w:w="356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D5EAEA"/>
          </w:tcPr>
          <w:p>
            <w:pPr>
              <w:spacing w:after="0"/>
              <w:rPr>
                <w:sz w:val="19"/>
                <w:szCs w:val="19"/>
                <w:color w:val="auto"/>
              </w:rPr>
            </w:pPr>
          </w:p>
        </w:tc>
        <w:tc>
          <w:tcPr>
            <w:tcW w:w="480" w:type="dxa"/>
            <w:vAlign w:val="bottom"/>
            <w:shd w:val="clear" w:color="auto" w:fill="D5EAEA"/>
          </w:tcPr>
          <w:p>
            <w:pPr>
              <w:spacing w:after="0"/>
              <w:rPr>
                <w:sz w:val="19"/>
                <w:szCs w:val="19"/>
                <w:color w:val="auto"/>
              </w:rPr>
            </w:pPr>
          </w:p>
        </w:tc>
        <w:tc>
          <w:tcPr>
            <w:tcW w:w="8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Direct R&amp;D</w:t>
            </w:r>
          </w:p>
        </w:tc>
        <w:tc>
          <w:tcPr>
            <w:tcW w:w="20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38,436</w:t>
            </w:r>
          </w:p>
        </w:tc>
        <w:tc>
          <w:tcPr>
            <w:tcW w:w="100" w:type="dxa"/>
            <w:vAlign w:val="bottom"/>
            <w:tcBorders>
              <w:bottom w:val="single" w:sz="8" w:color="D5EAEA"/>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32,640</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197"/>
        </w:trPr>
        <w:tc>
          <w:tcPr>
            <w:tcW w:w="480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Payroll expenses</w:t>
            </w:r>
          </w:p>
        </w:tc>
        <w:tc>
          <w:tcPr>
            <w:tcW w:w="20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14,424</w:t>
            </w: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6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12,382</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560" w:type="dxa"/>
            <w:vAlign w:val="bottom"/>
            <w:gridSpan w:val="3"/>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4800" w:type="dxa"/>
            <w:vAlign w:val="bottom"/>
            <w:shd w:val="clear" w:color="auto" w:fill="D5EAEA"/>
          </w:tcPr>
          <w:p>
            <w:pPr>
              <w:spacing w:after="0"/>
              <w:rPr>
                <w:sz w:val="20"/>
                <w:szCs w:val="20"/>
                <w:color w:val="auto"/>
              </w:rPr>
            </w:pPr>
            <w:r>
              <w:rPr>
                <w:rFonts w:ascii="Arial" w:cs="Arial" w:eastAsia="Arial" w:hAnsi="Arial"/>
                <w:sz w:val="18"/>
                <w:szCs w:val="18"/>
                <w:color w:val="auto"/>
              </w:rPr>
              <w:t>Other non-allocated</w:t>
            </w:r>
          </w:p>
        </w:tc>
        <w:tc>
          <w:tcPr>
            <w:tcW w:w="356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D5EAEA"/>
          </w:tcPr>
          <w:p>
            <w:pPr>
              <w:spacing w:after="0"/>
              <w:rPr>
                <w:sz w:val="19"/>
                <w:szCs w:val="19"/>
                <w:color w:val="auto"/>
              </w:rPr>
            </w:pPr>
          </w:p>
        </w:tc>
        <w:tc>
          <w:tcPr>
            <w:tcW w:w="480" w:type="dxa"/>
            <w:vAlign w:val="bottom"/>
            <w:shd w:val="clear" w:color="auto" w:fill="D5EAEA"/>
          </w:tcPr>
          <w:p>
            <w:pPr>
              <w:spacing w:after="0"/>
              <w:rPr>
                <w:sz w:val="19"/>
                <w:szCs w:val="19"/>
                <w:color w:val="auto"/>
              </w:rPr>
            </w:pPr>
          </w:p>
        </w:tc>
        <w:tc>
          <w:tcPr>
            <w:tcW w:w="8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R&amp;D</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59,487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50,432</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60" w:type="dxa"/>
            <w:vAlign w:val="bottom"/>
            <w:vMerge w:val="restart"/>
          </w:tcPr>
          <w:p>
            <w:pPr>
              <w:jc w:val="right"/>
              <w:ind w:right="103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auto"/>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p>
      <w:pPr>
        <w:spacing w:after="0" w:line="195" w:lineRule="auto"/>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research and development expenses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Includes depreciation expenses</w:t>
      </w:r>
    </w:p>
    <w:p>
      <w:pPr>
        <w:spacing w:after="0" w:line="128"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Includes share-based compensation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Discovery and preclinical expenses increased CHF 2.6 million, primarily due to:</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5715</wp:posOffset>
            </wp:positionV>
            <wp:extent cx="17830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tabs>
          <w:tab w:leader="none" w:pos="1440" w:val="left"/>
          <w:tab w:leader="none" w:pos="27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5"/>
          <w:szCs w:val="15"/>
          <w:b w:val="1"/>
          <w:bCs w:val="1"/>
          <w:color w:val="auto"/>
        </w:rPr>
        <w:t>Change</w:t>
      </w:r>
    </w:p>
    <w:p>
      <w:pPr>
        <w:spacing w:after="0" w:line="67" w:lineRule="exact"/>
        <w:rPr>
          <w:sz w:val="20"/>
          <w:szCs w:val="20"/>
          <w:color w:val="auto"/>
        </w:rPr>
      </w:pPr>
    </w:p>
    <w:p>
      <w:pPr>
        <w:ind w:left="260"/>
        <w:spacing w:after="0"/>
        <w:tabs>
          <w:tab w:leader="none" w:pos="1700" w:val="left"/>
          <w:tab w:leader="none" w:pos="3220" w:val="left"/>
        </w:tabs>
        <w:rPr>
          <w:sz w:val="20"/>
          <w:szCs w:val="20"/>
          <w:color w:val="auto"/>
        </w:rPr>
      </w:pPr>
      <w:r>
        <w:rPr>
          <w:rFonts w:ascii="Arial" w:cs="Arial" w:eastAsia="Arial" w:hAnsi="Arial"/>
          <w:sz w:val="18"/>
          <w:szCs w:val="18"/>
          <w:color w:val="auto"/>
        </w:rPr>
        <w:t>43,787</w:t>
      </w:r>
      <w:r>
        <w:rPr>
          <w:sz w:val="20"/>
          <w:szCs w:val="20"/>
          <w:color w:val="auto"/>
        </w:rPr>
        <w:tab/>
      </w:r>
      <w:r>
        <w:rPr>
          <w:rFonts w:ascii="Arial" w:cs="Arial" w:eastAsia="Arial" w:hAnsi="Arial"/>
          <w:sz w:val="18"/>
          <w:szCs w:val="18"/>
          <w:color w:val="auto"/>
        </w:rPr>
        <w:t>37,465</w:t>
      </w:r>
      <w:r>
        <w:rPr>
          <w:sz w:val="20"/>
          <w:szCs w:val="20"/>
          <w:color w:val="auto"/>
        </w:rPr>
        <w:tab/>
      </w:r>
      <w:r>
        <w:rPr>
          <w:rFonts w:ascii="Arial" w:cs="Arial" w:eastAsia="Arial" w:hAnsi="Arial"/>
          <w:sz w:val="16"/>
          <w:szCs w:val="16"/>
          <w:color w:val="auto"/>
        </w:rPr>
        <w:t>6,322</w:t>
      </w:r>
    </w:p>
    <w:p>
      <w:pPr>
        <w:spacing w:after="0" w:line="63" w:lineRule="exact"/>
        <w:rPr>
          <w:sz w:val="20"/>
          <w:szCs w:val="20"/>
          <w:color w:val="auto"/>
        </w:rPr>
      </w:pPr>
    </w:p>
    <w:p>
      <w:pPr>
        <w:ind w:left="260"/>
        <w:spacing w:after="0"/>
        <w:tabs>
          <w:tab w:leader="none" w:pos="1700" w:val="left"/>
          <w:tab w:leader="none" w:pos="3220" w:val="left"/>
        </w:tabs>
        <w:rPr>
          <w:sz w:val="20"/>
          <w:szCs w:val="20"/>
          <w:color w:val="auto"/>
        </w:rPr>
      </w:pPr>
      <w:r>
        <w:rPr>
          <w:rFonts w:ascii="Arial" w:cs="Arial" w:eastAsia="Arial" w:hAnsi="Arial"/>
          <w:sz w:val="18"/>
          <w:szCs w:val="18"/>
          <w:color w:val="auto"/>
        </w:rPr>
        <w:t>15,700</w:t>
      </w:r>
      <w:r>
        <w:rPr>
          <w:sz w:val="20"/>
          <w:szCs w:val="20"/>
          <w:color w:val="auto"/>
        </w:rPr>
        <w:tab/>
      </w:r>
      <w:r>
        <w:rPr>
          <w:rFonts w:ascii="Arial" w:cs="Arial" w:eastAsia="Arial" w:hAnsi="Arial"/>
          <w:sz w:val="18"/>
          <w:szCs w:val="18"/>
          <w:color w:val="auto"/>
        </w:rPr>
        <w:t>12,967</w:t>
      </w:r>
      <w:r>
        <w:rPr>
          <w:sz w:val="20"/>
          <w:szCs w:val="20"/>
          <w:color w:val="auto"/>
        </w:rPr>
        <w:tab/>
      </w:r>
      <w:r>
        <w:rPr>
          <w:rFonts w:ascii="Arial" w:cs="Arial" w:eastAsia="Arial" w:hAnsi="Arial"/>
          <w:sz w:val="16"/>
          <w:szCs w:val="16"/>
          <w:color w:val="auto"/>
        </w:rPr>
        <w:t>2,733</w:t>
      </w:r>
    </w:p>
    <w:p>
      <w:pPr>
        <w:spacing w:after="0" w:line="36" w:lineRule="exact"/>
        <w:rPr>
          <w:sz w:val="20"/>
          <w:szCs w:val="20"/>
          <w:color w:val="auto"/>
        </w:rPr>
      </w:pPr>
    </w:p>
    <w:p>
      <w:pPr>
        <w:ind w:left="260"/>
        <w:spacing w:after="0"/>
        <w:tabs>
          <w:tab w:leader="none" w:pos="1700" w:val="left"/>
          <w:tab w:leader="none" w:pos="3220" w:val="left"/>
        </w:tabs>
        <w:rPr>
          <w:sz w:val="20"/>
          <w:szCs w:val="20"/>
          <w:color w:val="auto"/>
        </w:rPr>
      </w:pPr>
      <w:r>
        <w:rPr>
          <w:rFonts w:ascii="Arial" w:cs="Arial" w:eastAsia="Arial" w:hAnsi="Arial"/>
          <w:sz w:val="18"/>
          <w:szCs w:val="18"/>
          <w:color w:val="auto"/>
        </w:rPr>
        <w:t>59,487</w:t>
      </w:r>
      <w:r>
        <w:rPr>
          <w:sz w:val="20"/>
          <w:szCs w:val="20"/>
          <w:color w:val="auto"/>
        </w:rPr>
        <w:tab/>
      </w:r>
      <w:r>
        <w:rPr>
          <w:rFonts w:ascii="Arial" w:cs="Arial" w:eastAsia="Arial" w:hAnsi="Arial"/>
          <w:sz w:val="18"/>
          <w:szCs w:val="18"/>
          <w:color w:val="auto"/>
        </w:rPr>
        <w:t>50,432</w:t>
      </w:r>
      <w:r>
        <w:rPr>
          <w:sz w:val="20"/>
          <w:szCs w:val="20"/>
          <w:color w:val="auto"/>
        </w:rPr>
        <w:tab/>
      </w:r>
      <w:r>
        <w:rPr>
          <w:rFonts w:ascii="Arial" w:cs="Arial" w:eastAsia="Arial" w:hAnsi="Arial"/>
          <w:sz w:val="16"/>
          <w:szCs w:val="16"/>
          <w:color w:val="auto"/>
        </w:rPr>
        <w:t>9,055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31750</wp:posOffset>
            </wp:positionV>
            <wp:extent cx="27000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594" w:lineRule="exact"/>
        <w:rPr>
          <w:sz w:val="20"/>
          <w:szCs w:val="20"/>
          <w:color w:val="auto"/>
        </w:rPr>
      </w:pPr>
    </w:p>
    <w:p>
      <w:pPr>
        <w:sectPr>
          <w:pgSz w:w="11900" w:h="16838" w:orient="portrait"/>
          <w:cols w:equalWidth="0" w:num="2">
            <w:col w:w="6760" w:space="720"/>
            <w:col w:w="3760"/>
          </w:cols>
          <w:pgMar w:left="320" w:top="225" w:right="339" w:bottom="1440" w:gutter="0" w:footer="0" w:header="0"/>
        </w:sectPr>
      </w:pPr>
    </w:p>
    <w:p>
      <w:pPr>
        <w:spacing w:after="0" w:line="48" w:lineRule="exact"/>
        <w:rPr>
          <w:sz w:val="20"/>
          <w:szCs w:val="20"/>
          <w:color w:val="auto"/>
        </w:rPr>
      </w:pPr>
    </w:p>
    <w:p>
      <w:pPr>
        <w:ind w:left="660" w:right="20" w:hanging="328"/>
        <w:spacing w:after="0" w:line="25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in ACI-24 for DS of CHF 3.6 million for development costs associated with the second generation, CHF 1.2 million for preclinical and manufacturing costs to advance our a-syn projects, CHF 0.9 million for certain neuroinflammation investments, CHF 0.9 million for the development of our anti-TDP-43 antibody with the initiation of IND-enabling studies, CHF 0.8 million for preclinical and manufacturing activities for our a-syn Imaging program, CHF 0.4 million for the expansion of our Morphomer Tau program into NeuroOrphan indications, and CHF 0.6 million in other discovery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660" w:right="680" w:hanging="328"/>
        <w:spacing w:after="0" w:line="34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decrease of CHF 4.2 million in ACI-24 for AD based on completion of manufacturing process development and CHF 1.5 million in our collaboration with Janssen due to the completion of the majority of the preclinical safety evaluation for JACI-35.054 in the prior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Clinical expenses increased by CHF 3.3 million, primarily due to:</w:t>
      </w:r>
    </w:p>
    <w:p>
      <w:pPr>
        <w:spacing w:after="0" w:line="225" w:lineRule="exact"/>
        <w:rPr>
          <w:sz w:val="20"/>
          <w:szCs w:val="20"/>
          <w:color w:val="auto"/>
        </w:rPr>
      </w:pPr>
    </w:p>
    <w:p>
      <w:pPr>
        <w:ind w:left="660" w:right="140" w:hanging="328"/>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CHF 2.2 million in ACI-24 for DS related to scaling up activities for a Phase 2 clinical study, CHF 0.8 million for the full year Phase 1 activities of our Morphomer Tau compound and CHF 0.9 million for ACI-35.030 related to the current Phase 1b/2a including enrollment of additional subjects and other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decrease of CHF 0.5 million for ACI-24 for AD as the 18-month treatment completes.</w:t>
      </w:r>
    </w:p>
    <w:p>
      <w:pPr>
        <w:spacing w:after="0" w:line="225" w:lineRule="exact"/>
        <w:rPr>
          <w:sz w:val="20"/>
          <w:szCs w:val="20"/>
          <w:color w:val="auto"/>
        </w:rPr>
      </w:pPr>
    </w:p>
    <w:p>
      <w:pPr>
        <w:ind w:right="520" w:firstLine="168"/>
        <w:spacing w:after="0" w:line="277" w:lineRule="auto"/>
        <w:rPr>
          <w:sz w:val="20"/>
          <w:szCs w:val="20"/>
          <w:color w:val="auto"/>
        </w:rPr>
      </w:pPr>
      <w:r>
        <w:rPr>
          <w:rFonts w:ascii="Arial" w:cs="Arial" w:eastAsia="Arial" w:hAnsi="Arial"/>
          <w:sz w:val="18"/>
          <w:szCs w:val="18"/>
          <w:color w:val="auto"/>
        </w:rPr>
        <w:t>The variances in Group function expenses relate to regulatory and quality assurance, IP and other non-allocated costs. The variances in Other non-allocated expenses relate to administrative R&amp;D and certain non-allocated functional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salaries and related costs increased by CHF 2.7 million, primarily due to:</w:t>
      </w:r>
    </w:p>
    <w:p>
      <w:pPr>
        <w:spacing w:after="0" w:line="225" w:lineRule="exact"/>
        <w:rPr>
          <w:sz w:val="20"/>
          <w:szCs w:val="20"/>
          <w:color w:val="auto"/>
        </w:rPr>
      </w:pPr>
    </w:p>
    <w:p>
      <w:pPr>
        <w:ind w:left="660" w:right="84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in salary- and benefit-related costs of CHF 2.0 million due to the hiring of 13 additional full-time equivalent employees and annualization of 2019 hires;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higher share-based compensation expense of CHF 0.7 million related predominantly to an increase of stock options issued to employees.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686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7,471</w:t>
            </w:r>
          </w:p>
        </w:tc>
        <w:tc>
          <w:tcPr>
            <w:tcW w:w="100" w:type="dxa"/>
            <w:vAlign w:val="bottom"/>
            <w:tcBorders>
              <w:top w:val="single" w:sz="8" w:color="D5EAEA"/>
            </w:tcBorders>
            <w:shd w:val="clear" w:color="auto" w:fill="D5EAEA"/>
          </w:tcPr>
          <w:p>
            <w:pPr>
              <w:spacing w:after="0"/>
              <w:rPr>
                <w:sz w:val="21"/>
                <w:szCs w:val="21"/>
                <w:color w:val="auto"/>
              </w:rPr>
            </w:pPr>
          </w:p>
        </w:tc>
        <w:tc>
          <w:tcPr>
            <w:tcW w:w="480" w:type="dxa"/>
            <w:vAlign w:val="bottom"/>
            <w:tcBorders>
              <w:top w:val="single" w:sz="8" w:color="auto"/>
            </w:tcBorders>
            <w:shd w:val="clear" w:color="auto" w:fill="D5EAEA"/>
          </w:tcPr>
          <w:p>
            <w:pPr>
              <w:spacing w:after="0"/>
              <w:rPr>
                <w:sz w:val="21"/>
                <w:szCs w:val="21"/>
                <w:color w:val="auto"/>
              </w:rPr>
            </w:pPr>
          </w:p>
        </w:tc>
        <w:tc>
          <w:tcPr>
            <w:tcW w:w="8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6,637</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D5EAEA"/>
            </w:tcBorders>
            <w:gridSpan w:val="2"/>
          </w:tcPr>
          <w:p>
            <w:pPr>
              <w:spacing w:after="0" w:line="270"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D5EAEA"/>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18,557</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16,058</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980" w:type="dxa"/>
            <w:vAlign w:val="bottom"/>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Includes depreciation expenses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Includes share-based compensation</w:t>
      </w:r>
    </w:p>
    <w:p>
      <w:pPr>
        <w:sectPr>
          <w:pgSz w:w="11900" w:h="16838" w:orient="portrait"/>
          <w:cols w:equalWidth="0" w:num="1">
            <w:col w:w="11240"/>
          </w:cols>
          <w:pgMar w:left="320" w:top="225" w:right="339" w:bottom="1440" w:gutter="0" w:footer="0" w:header="0"/>
          <w:type w:val="continuous"/>
        </w:sect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5" w:name="page126"/>
    <w:bookmarkEnd w:id="1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year ended December 31, 2020, our general and administrative expenses totaled CHF 18.6 million, an increase of CHF 2.5 million from CHF 16.1 million incurred during the year ended December 31, 2019. This increase is primarily due to:</w:t>
      </w:r>
    </w:p>
    <w:p>
      <w:pPr>
        <w:spacing w:after="0" w:line="170" w:lineRule="exact"/>
        <w:rPr>
          <w:sz w:val="20"/>
          <w:szCs w:val="20"/>
          <w:color w:val="auto"/>
        </w:rPr>
      </w:pPr>
    </w:p>
    <w:p>
      <w:pPr>
        <w:ind w:left="660" w:right="92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in salary- and benefit-related costs of CHF 1.1 million due to the hiring of 3 additional full-time equivalent employees and annualization of 2019 hires;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in share-based compensation expense of CHF 0.6 million related predominantly to an increase of stock options issued to executive officers and directors;</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CHF 0.5 million increase in administrative expenditures, predominantly driven by a CHF 0.4 million increase in our directors and officers insurance and CHF 0.1 million in other miscellaneous items;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CHF 0.6 million increase in depreciation expense of our right-of-use assets and capital equipment; and</w:t>
      </w:r>
    </w:p>
    <w:p>
      <w:pPr>
        <w:spacing w:after="0" w:line="225" w:lineRule="exact"/>
        <w:rPr>
          <w:rFonts w:ascii="Arial" w:cs="Arial" w:eastAsia="Arial" w:hAnsi="Arial"/>
          <w:sz w:val="18"/>
          <w:szCs w:val="18"/>
          <w:color w:val="auto"/>
        </w:rPr>
      </w:pPr>
    </w:p>
    <w:p>
      <w:pPr>
        <w:ind w:right="160" w:firstLine="332"/>
        <w:spacing w:after="0" w:line="500"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CHF 0.2 million increase in legal fees, driven by an increase for professional services associated with our at the market offering issuance costs, partially offset by: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CHF 0.3 million decrease in travel and entertainment expenditures;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CHF 0.2 million decrease in investor relations expenditures.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1,742</w:t>
            </w: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1960" w:type="dxa"/>
            <w:vAlign w:val="bottom"/>
            <w:gridSpan w:val="3"/>
            <w:shd w:val="clear" w:color="auto" w:fill="D5EAEA"/>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(4,542)</w:t>
            </w:r>
          </w:p>
        </w:tc>
      </w:tr>
      <w:tr>
        <w:trPr>
          <w:trHeight w:val="230"/>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1,458</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(1,567)</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finance result was a loss primarily increased related to:</w:t>
      </w:r>
    </w:p>
    <w:p>
      <w:pPr>
        <w:spacing w:after="0" w:line="225" w:lineRule="exact"/>
        <w:rPr>
          <w:sz w:val="20"/>
          <w:szCs w:val="20"/>
          <w:color w:val="auto"/>
        </w:rPr>
      </w:pPr>
    </w:p>
    <w:p>
      <w:pPr>
        <w:ind w:left="660" w:right="8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non-repetition of a CHF 4.5 million gain on the conversion feature related to the Company’s convertible loan due to Lilly. This gain was mainly related to the change in value of the shares between the share price determined in the convertible loan and the share price at the date of the conversion,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660" w:right="5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CHF 1.7 million decrease in financial expense, of which CHF 1.4 million was effective interest recorded to amortize the host debt per the convertible loan due to Lilly;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CHF 1.5 million decrease in exchange differences predominantly related to a CHF 1.2 million remeasurement loss related to the settlement of the convertible loan that did not repeat in the current period.</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years ended December 31, 2020 and 2019,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1380" w:type="dxa"/>
            <w:vAlign w:val="bottom"/>
          </w:tcPr>
          <w:p>
            <w:pPr>
              <w:jc w:val="right"/>
              <w:spacing w:after="0"/>
              <w:rPr>
                <w:sz w:val="20"/>
                <w:szCs w:val="20"/>
                <w:color w:val="auto"/>
              </w:rPr>
            </w:pPr>
            <w:r>
              <w:rPr>
                <w:rFonts w:ascii="Arial" w:cs="Arial" w:eastAsia="Arial" w:hAnsi="Arial"/>
                <w:sz w:val="18"/>
                <w:szCs w:val="18"/>
                <w:color w:val="auto"/>
              </w:rPr>
              <w:t>(59,517)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55,220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(114,737)</w:t>
            </w:r>
          </w:p>
        </w:tc>
      </w:tr>
      <w:tr>
        <w:trPr>
          <w:trHeight w:val="216"/>
        </w:trPr>
        <w:tc>
          <w:tcPr>
            <w:tcW w:w="698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Investing activities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28,329</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(66,885)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95,214</w:t>
            </w:r>
          </w:p>
        </w:tc>
      </w:tr>
      <w:tr>
        <w:trPr>
          <w:trHeight w:val="229"/>
        </w:trPr>
        <w:tc>
          <w:tcPr>
            <w:tcW w:w="6980" w:type="dxa"/>
            <w:vAlign w:val="bottom"/>
            <w:tcBorders>
              <w:bottom w:val="single" w:sz="8" w:color="D5EAEA"/>
            </w:tcBorders>
            <w:gridSpan w:val="2"/>
          </w:tcPr>
          <w:p>
            <w:pPr>
              <w:ind w:left="160"/>
              <w:spacing w:after="0"/>
              <w:rPr>
                <w:sz w:val="20"/>
                <w:szCs w:val="20"/>
                <w:color w:val="auto"/>
              </w:rPr>
            </w:pPr>
            <w:r>
              <w:rPr>
                <w:rFonts w:ascii="Arial" w:cs="Arial" w:eastAsia="Arial" w:hAnsi="Arial"/>
                <w:sz w:val="18"/>
                <w:szCs w:val="18"/>
                <w:color w:val="auto"/>
              </w:rPr>
              <w:t>Financing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49,616</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(50,419)</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(31,991)</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37,951</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(69,942)</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817" w:gutter="0" w:footer="0" w:header="0"/>
        </w:sectPr>
      </w:pP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817" w:gutter="0" w:footer="0" w:header="0"/>
          <w:type w:val="continuous"/>
        </w:sectPr>
      </w:pPr>
    </w:p>
    <w:bookmarkStart w:id="126" w:name="page127"/>
    <w:bookmarkEnd w:id="1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Net cash used in operating activities was CHF 59.5 million for the year ended December 31, 2020 compared with net cash provided by operating activities of CHF 55.2 million for the year ended December 31, 2019. The change in cash provided by operating activities for the year ended December 31, 2020 was due to the Company incurring a net loss of CHF 61.9 million for the year ended December 31, 2020 compared with net income of CHF 45.4 million for the same period in 2019, which was driven by (i) a decrease of CHF 95 million in contract revenues principally due to the recognition of a CHF 10 million milestones which was offset by an upfront payment of CHF 73.1 million for a right-of-use license fee and CHF 30 million for the first installment of the first milestone achieved in 2019 and (ii) offset by the increase in research and development costs in the year ended December 31, 2020.</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Net cash provided by investing activities was CHF 28.3 million for the year ended December 31, 2020 compared with net cash used in investing activities of CHF 66.9 million for the year ended December 31, 2019.</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net of CHF 30 million worth of short-term financial assets matured for the year ended December 31, 2020, compared to a CHF 65 million increase in investments in short-term financial assets for the prior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Net cash used in financing activities was CHF 0.8 million for the year ended December 31, 2020 compared with net cash provided by financing activities of CHF 49.6 million for the year ended December 31, 2019. The decrease of CHF 50.4 million is predominantly related to CHF 50.3 million received from Lilly for a convertible loan, offset by CHF 0.5 million for transaction costs associated with loan settlement in 2019 which did not repeat in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successfully commercialize, our current or any future product candidates. As of December 31, 2020, we had cash and cash equivalents of CHF 160.9 million and short-term financial assets of CHF 65 million, resulting in CHF 225.9 million of liquidity. The decrease relative to December 31, 2019 is due to a decrease in contract revenues of CHF 95 million in 2020 as discussed above. The Company also increased its research and development spending on our major discovery, research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Q1 2024.</w:t>
      </w:r>
    </w:p>
    <w:p>
      <w:pPr>
        <w:spacing w:after="0" w:line="19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1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60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potential cost and timing of managing, protecting, defending and enforcing our portfolio of intellectual property.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In addition, the Company has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We have capitalized a portion of our lease liabilities in accordance with IFRS 16. See “Note 5. Right-of-use assets and lease liabilities.”</w:t>
      </w:r>
    </w:p>
    <w:p>
      <w:pPr>
        <w:spacing w:after="0" w:line="18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currently projects CHF 0.8 million in undiscounted short-term lease obligations and CHF 1.9 million in undiscounted long-term lease obligations. Additionally, the Company projects CHF 24.7 million in short-term purchase commitments and CHF 9.3 million in long-term purchase commitments predominantly driven by R&amp;D activities.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ATM program</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Company established an “at the market offering” for the sale of up to USD 80 (CHF 71.3) million worth of our common shares from time to time by entering into a Sales Agreement with Jefferies. As of December 31, 2020, 5,000,000 shares have been issued and are held as treasury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For a discussion of the financial results and condition for the fiscal year ended December 31, 2018, please refer to “Item 5. Operating and financial review and prospects—A. Operating results – comparison of the years ended December 31, 2019 and 2018” of our Annual Report on Form 20-F for the year ended December 31, 2019 filed on March 30, 2020.</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–A. Operating results – results of operations.”</w:t>
      </w:r>
    </w:p>
    <w:p>
      <w:pPr>
        <w:spacing w:after="0" w:line="166"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5. Operating and financial review and prospects.”</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“Forward-Looking Statements.”</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addition to our operating results, as calculated in accordance with IFRS, as adopted by the IASB,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these measures assist our shareholders because they enhance the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our financial statements prepared in accordance with IFRS. The most directly comparable IFRS measure to these non-IFRS measures is net income/(loss). The following table reconciles net income/(loss) to adjusted income/(loss) and adjusted earnings/(loss) per share for the periods presented:</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225" w:right="67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980" w:type="dxa"/>
            <w:vAlign w:val="bottom"/>
            <w:gridSpan w:val="2"/>
          </w:tcPr>
          <w:p>
            <w:pPr>
              <w:ind w:left="132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Income/(loss)</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(61,921)</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Borders>
              <w:top w:val="single" w:sz="8" w:color="D5EAEA"/>
            </w:tcBorders>
            <w:shd w:val="clear" w:color="auto" w:fill="D5EAEA"/>
          </w:tcPr>
          <w:p>
            <w:pPr>
              <w:spacing w:after="0"/>
              <w:rPr>
                <w:sz w:val="19"/>
                <w:szCs w:val="19"/>
                <w:color w:val="auto"/>
              </w:rPr>
            </w:pPr>
          </w:p>
        </w:tc>
        <w:tc>
          <w:tcPr>
            <w:tcW w:w="220" w:type="dxa"/>
            <w:vAlign w:val="bottom"/>
            <w:tcBorders>
              <w:top w:val="single" w:sz="8" w:color="auto"/>
              <w:bottom w:val="single" w:sz="8" w:color="auto"/>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r>
      <w:tr>
        <w:trPr>
          <w:trHeight w:val="209"/>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698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Non-cash share-based payments</w:t>
            </w:r>
            <w:r>
              <w:rPr>
                <w:rFonts w:ascii="Arial" w:cs="Arial" w:eastAsia="Arial" w:hAnsi="Arial"/>
                <w:sz w:val="29"/>
                <w:szCs w:val="29"/>
                <w:color w:val="auto"/>
                <w:vertAlign w:val="superscript"/>
              </w:rPr>
              <w:t>1</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4,088</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D5EAEA"/>
          </w:tcPr>
          <w:p>
            <w:pPr>
              <w:spacing w:after="0"/>
              <w:rPr>
                <w:sz w:val="22"/>
                <w:szCs w:val="22"/>
                <w:color w:val="auto"/>
              </w:rPr>
            </w:pPr>
          </w:p>
        </w:tc>
        <w:tc>
          <w:tcPr>
            <w:tcW w:w="220" w:type="dxa"/>
            <w:vAlign w:val="bottom"/>
            <w:shd w:val="clear" w:color="auto" w:fill="D5EAEA"/>
          </w:tcPr>
          <w:p>
            <w:pPr>
              <w:spacing w:after="0"/>
              <w:rPr>
                <w:sz w:val="22"/>
                <w:szCs w:val="22"/>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2,518</w:t>
            </w:r>
          </w:p>
        </w:tc>
      </w:tr>
      <w:tr>
        <w:trPr>
          <w:trHeight w:val="257"/>
        </w:trPr>
        <w:tc>
          <w:tcPr>
            <w:tcW w:w="69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Foreign currency (gains)/losses</w:t>
            </w:r>
            <w:r>
              <w:rPr>
                <w:rFonts w:ascii="Arial" w:cs="Arial" w:eastAsia="Arial" w:hAnsi="Arial"/>
                <w:sz w:val="29"/>
                <w:szCs w:val="29"/>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703</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1,179</w:t>
            </w:r>
          </w:p>
        </w:tc>
      </w:tr>
      <w:tr>
        <w:trPr>
          <w:trHeight w:val="257"/>
        </w:trPr>
        <w:tc>
          <w:tcPr>
            <w:tcW w:w="698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Effective interest expenses</w:t>
            </w:r>
            <w:r>
              <w:rPr>
                <w:rFonts w:ascii="Arial" w:cs="Arial" w:eastAsia="Arial" w:hAnsi="Arial"/>
                <w:sz w:val="29"/>
                <w:szCs w:val="29"/>
                <w:color w:val="auto"/>
                <w:vertAlign w:val="superscript"/>
              </w:rPr>
              <w:t>3</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D5EAEA"/>
          </w:tcPr>
          <w:p>
            <w:pPr>
              <w:spacing w:after="0"/>
              <w:rPr>
                <w:sz w:val="22"/>
                <w:szCs w:val="22"/>
                <w:color w:val="auto"/>
              </w:rPr>
            </w:pPr>
          </w:p>
        </w:tc>
        <w:tc>
          <w:tcPr>
            <w:tcW w:w="220" w:type="dxa"/>
            <w:vAlign w:val="bottom"/>
            <w:shd w:val="clear" w:color="auto" w:fill="D5EAEA"/>
          </w:tcPr>
          <w:p>
            <w:pPr>
              <w:spacing w:after="0"/>
              <w:rPr>
                <w:sz w:val="22"/>
                <w:szCs w:val="22"/>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Change in fair value of conversion feature</w:t>
            </w:r>
            <w:r>
              <w:rPr>
                <w:rFonts w:ascii="Arial" w:cs="Arial" w:eastAsia="Arial" w:hAnsi="Arial"/>
                <w:sz w:val="29"/>
                <w:szCs w:val="29"/>
                <w:color w:val="auto"/>
                <w:vertAlign w:val="superscript"/>
              </w:rPr>
              <w:t>4</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98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income/(loss)</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(57,130)</w:t>
            </w:r>
          </w:p>
        </w:tc>
        <w:tc>
          <w:tcPr>
            <w:tcW w:w="40" w:type="dxa"/>
            <w:vAlign w:val="bottom"/>
            <w:tcBorders>
              <w:top w:val="single" w:sz="8" w:color="auto"/>
              <w:bottom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45,915</w:t>
            </w:r>
          </w:p>
        </w:tc>
        <w:tc>
          <w:tcPr>
            <w:tcW w:w="10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auto"/>
              <w:bottom w:val="single" w:sz="8" w:color="auto"/>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(47,254)</w:t>
            </w:r>
          </w:p>
        </w:tc>
      </w:tr>
      <w:tr>
        <w:trPr>
          <w:trHeight w:val="196"/>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Earnings/(loss) per share – basic</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(0.86)</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D5EAEA"/>
          </w:tcPr>
          <w:p>
            <w:pPr>
              <w:spacing w:after="0"/>
              <w:rPr>
                <w:sz w:val="19"/>
                <w:szCs w:val="19"/>
                <w:color w:val="auto"/>
              </w:rPr>
            </w:pPr>
          </w:p>
        </w:tc>
        <w:tc>
          <w:tcPr>
            <w:tcW w:w="220" w:type="dxa"/>
            <w:vAlign w:val="bottom"/>
            <w:shd w:val="clear" w:color="auto" w:fill="D5EAEA"/>
          </w:tcPr>
          <w:p>
            <w:pPr>
              <w:spacing w:after="0"/>
              <w:rPr>
                <w:sz w:val="19"/>
                <w:szCs w:val="19"/>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(0.82)</w:t>
            </w:r>
          </w:p>
        </w:tc>
      </w:tr>
      <w:tr>
        <w:trPr>
          <w:trHeight w:val="210"/>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Earnings/(loss) per share – diluted</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D5EAEA"/>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r>
      <w:tr>
        <w:trPr>
          <w:trHeight w:val="20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Adjustment to earnings/(loss) per share – basic</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0.07</w:t>
            </w:r>
          </w:p>
        </w:tc>
        <w:tc>
          <w:tcPr>
            <w:tcW w:w="4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D5EAEA"/>
          </w:tcPr>
          <w:p>
            <w:pPr>
              <w:spacing w:after="0"/>
              <w:rPr>
                <w:sz w:val="18"/>
                <w:szCs w:val="18"/>
                <w:color w:val="auto"/>
              </w:rPr>
            </w:pPr>
          </w:p>
        </w:tc>
        <w:tc>
          <w:tcPr>
            <w:tcW w:w="220" w:type="dxa"/>
            <w:vAlign w:val="bottom"/>
            <w:tcBorders>
              <w:bottom w:val="single" w:sz="8" w:color="auto"/>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0.06</w:t>
            </w:r>
          </w:p>
        </w:tc>
      </w:tr>
      <w:tr>
        <w:trPr>
          <w:trHeight w:val="210"/>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Adjustment to earnings/(loss) per share – diluted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D5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r>
      <w:tr>
        <w:trPr>
          <w:trHeight w:val="20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earnings/(loss) per share – basic</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(0.79)</w:t>
            </w:r>
          </w:p>
        </w:tc>
        <w:tc>
          <w:tcPr>
            <w:tcW w:w="4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D5EAEA"/>
          </w:tcPr>
          <w:p>
            <w:pPr>
              <w:spacing w:after="0"/>
              <w:rPr>
                <w:sz w:val="18"/>
                <w:szCs w:val="18"/>
                <w:color w:val="auto"/>
              </w:rPr>
            </w:pPr>
          </w:p>
        </w:tc>
        <w:tc>
          <w:tcPr>
            <w:tcW w:w="220" w:type="dxa"/>
            <w:vAlign w:val="bottom"/>
            <w:tcBorders>
              <w:bottom w:val="single" w:sz="8" w:color="auto"/>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(0.76)</w:t>
            </w:r>
          </w:p>
        </w:tc>
      </w:tr>
      <w:tr>
        <w:trPr>
          <w:trHeight w:val="209"/>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Adjusted earnings/(loss) per share – diluted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D5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r>
      <w:tr>
        <w:trPr>
          <w:trHeight w:val="21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Weighted-average number of shares used to compute adjusted loss per share – basic</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71,900,212</w:t>
            </w:r>
          </w:p>
        </w:tc>
        <w:tc>
          <w:tcPr>
            <w:tcW w:w="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70,603,611</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61,838,228</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Weighted-average number of shares used to compute adjusted loss per share – diluted</w:t>
            </w:r>
          </w:p>
        </w:tc>
        <w:tc>
          <w:tcPr>
            <w:tcW w:w="1340" w:type="dxa"/>
            <w:vAlign w:val="bottom"/>
          </w:tcPr>
          <w:p>
            <w:pPr>
              <w:jc w:val="right"/>
              <w:spacing w:after="0"/>
              <w:rPr>
                <w:sz w:val="20"/>
                <w:szCs w:val="20"/>
                <w:color w:val="auto"/>
              </w:rPr>
            </w:pPr>
            <w:r>
              <w:rPr>
                <w:rFonts w:ascii="Arial" w:cs="Arial" w:eastAsia="Arial" w:hAnsi="Arial"/>
                <w:sz w:val="18"/>
                <w:szCs w:val="18"/>
                <w:color w:val="auto"/>
              </w:rPr>
              <w:t>71,900,212</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71,103,341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61,838,228</w:t>
            </w:r>
          </w:p>
        </w:tc>
      </w:tr>
    </w:tbl>
    <w:p>
      <w:pPr>
        <w:spacing w:after="0" w:line="125" w:lineRule="exact"/>
        <w:rPr>
          <w:sz w:val="20"/>
          <w:szCs w:val="20"/>
          <w:color w:val="auto"/>
        </w:rPr>
      </w:pPr>
    </w:p>
    <w:p>
      <w:pPr>
        <w:ind w:right="120"/>
        <w:spacing w:after="0" w:line="196"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01"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Reflects foreign currency re-measurement gains and losses for the period, predominantly impacted by the change in the exchange rate between the US Dollar and the Swiss Franc.</w:t>
      </w:r>
    </w:p>
    <w:p>
      <w:pPr>
        <w:spacing w:after="0" w:line="181" w:lineRule="auto"/>
        <w:rPr>
          <w:sz w:val="20"/>
          <w:szCs w:val="20"/>
          <w:color w:val="auto"/>
        </w:rPr>
      </w:pPr>
      <w:r>
        <w:rPr>
          <w:rFonts w:ascii="Arial" w:cs="Arial" w:eastAsia="Arial" w:hAnsi="Arial"/>
          <w:sz w:val="18"/>
          <w:szCs w:val="18"/>
          <w:color w:val="auto"/>
          <w:vertAlign w:val="superscript"/>
        </w:rPr>
        <w:t>3</w:t>
      </w:r>
      <w:r>
        <w:rPr>
          <w:rFonts w:ascii="Arial" w:cs="Arial" w:eastAsia="Arial" w:hAnsi="Arial"/>
          <w:sz w:val="12"/>
          <w:szCs w:val="12"/>
          <w:color w:val="auto"/>
        </w:rPr>
        <w:t>Effective interest expense for the period relates to the accretion of the Company’s convertible loan in accordance with the effective interest method.</w:t>
      </w:r>
    </w:p>
    <w:p>
      <w:pPr>
        <w:spacing w:after="0"/>
        <w:rPr>
          <w:sz w:val="20"/>
          <w:szCs w:val="20"/>
          <w:color w:val="auto"/>
        </w:rPr>
      </w:pPr>
      <w:r>
        <w:rPr>
          <w:rFonts w:ascii="Arial" w:cs="Arial" w:eastAsia="Arial" w:hAnsi="Arial"/>
          <w:sz w:val="23"/>
          <w:szCs w:val="23"/>
          <w:color w:val="auto"/>
          <w:vertAlign w:val="superscript"/>
        </w:rPr>
        <w:t>4</w:t>
      </w:r>
      <w:r>
        <w:rPr>
          <w:rFonts w:ascii="Arial" w:cs="Arial" w:eastAsia="Arial" w:hAnsi="Arial"/>
          <w:sz w:val="14"/>
          <w:szCs w:val="14"/>
          <w:color w:val="auto"/>
        </w:rPr>
        <w:t>Change in fair value of conversion feature that is bifurcated from the convertible loan host debt with Lilly.</w:t>
      </w:r>
    </w:p>
    <w:p>
      <w:pPr>
        <w:spacing w:after="0" w:line="5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Adjustments for the years ended December 31, 2020, 2019 and 2018 decreased net loss by CHF 4.8 million, increased net income by CHF 0.5 million and decreased net loss by CHF 3.7 million, respectively. The Company recorded share-based compensation expenses of CHF 4.1 million, CHF 2.8 million and CHF 2.5 million for the years ended December 31, 2020, 2019 and 2018, respectively. There were foreign currency re-measurement losses of CHF 0.7 million, CHF 0.8 million and CHF 1.2 million for the years ended December 31, 2020, 2019 and 2018, respectively, predominantly related to the cash balance of the Company as a result of fluctuations of the US Dollar against the Swiss Franc. Related to the Company’s convertible note settled with Lilly in 2019, we recorded CHF 1.4 million for amortization of effective interest for the year ended December 31, 2019 and recognized a CHF 4.5 million gain for the change in fair value of the liability related to the conversion feature in 2019. There were no comparable expenses or gains in 2020 nor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discloses liquidity, which is defined as a financial indicator comprised of cash and cash equivalents and short-term financial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 Summary of significant accounting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to our Financial Statements for further definition.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following table presents information about our executive officers, other key employees, and directors and director nominees, including their ages, as of March 1, 2021. The term of each of our directors is 1 year and, accordingly, will expire at our 2021 annual shareholder meeting to be held in June 2021.</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1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9"/>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Initial year of</w:t>
            </w:r>
          </w:p>
        </w:tc>
      </w:tr>
      <w:tr>
        <w:trPr>
          <w:trHeight w:val="234"/>
        </w:trPr>
        <w:tc>
          <w:tcPr>
            <w:tcW w:w="3060" w:type="dxa"/>
            <w:vAlign w:val="bottom"/>
          </w:tcPr>
          <w:p>
            <w:pPr>
              <w:ind w:left="13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5740" w:type="dxa"/>
            <w:vAlign w:val="bottom"/>
          </w:tcPr>
          <w:p>
            <w:pPr>
              <w:ind w:left="25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appointment</w:t>
            </w:r>
          </w:p>
        </w:tc>
      </w:tr>
      <w:tr>
        <w:trPr>
          <w:trHeight w:val="210"/>
        </w:trPr>
        <w:tc>
          <w:tcPr>
            <w:tcW w:w="30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shd w:val="clear" w:color="auto" w:fill="D5EAEA"/>
          </w:tcPr>
          <w:p>
            <w:pPr>
              <w:spacing w:after="0"/>
              <w:rPr>
                <w:sz w:val="18"/>
                <w:szCs w:val="18"/>
                <w:color w:val="auto"/>
              </w:rPr>
            </w:pPr>
          </w:p>
        </w:tc>
        <w:tc>
          <w:tcPr>
            <w:tcW w:w="5740" w:type="dxa"/>
            <w:vAlign w:val="bottom"/>
            <w:tcBorders>
              <w:top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580" w:type="dxa"/>
            <w:vAlign w:val="bottom"/>
            <w:tcBorders>
              <w:top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tcBorders>
              <w:top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Andrea Pfeifer, Ph.D.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63</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2003</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Marie Kosco-Vilbois, Ph.D.</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Chief Scientific Officer</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63</w:t>
            </w:r>
          </w:p>
        </w:tc>
        <w:tc>
          <w:tcPr>
            <w:tcW w:w="156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Johannes Rolf Streffer, M.D.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Chief Medical Officer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52</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Piergiorgio Donati</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Chief Technical Operations Officer</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50</w:t>
            </w:r>
          </w:p>
        </w:tc>
        <w:tc>
          <w:tcPr>
            <w:tcW w:w="156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Joerg Hornstein</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43</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Jean-Fabien Monin</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Chief Administrative Officer</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50</w:t>
            </w:r>
          </w:p>
        </w:tc>
        <w:tc>
          <w:tcPr>
            <w:tcW w:w="156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Other Key Employees</w:t>
            </w:r>
          </w:p>
        </w:tc>
        <w:tc>
          <w:tcPr>
            <w:tcW w:w="100" w:type="dxa"/>
            <w:vAlign w:val="bottom"/>
            <w:shd w:val="clear" w:color="auto" w:fill="D5EAEA"/>
          </w:tcPr>
          <w:p>
            <w:pPr>
              <w:spacing w:after="0"/>
              <w:rPr>
                <w:sz w:val="18"/>
                <w:szCs w:val="18"/>
                <w:color w:val="auto"/>
              </w:rPr>
            </w:pPr>
          </w:p>
        </w:tc>
        <w:tc>
          <w:tcPr>
            <w:tcW w:w="57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Julien Rongère, Ph.D.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VP Regulatory Affairs and Quality Assurance</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43</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Alexandre Caratsch</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General Counsel</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55</w:t>
            </w:r>
          </w:p>
        </w:tc>
        <w:tc>
          <w:tcPr>
            <w:tcW w:w="156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Olivier Sol, M.D.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AVP Medical Sciences and Clinical Operations</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54</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Bojana Portmann, Ph.D.</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AVP IP and Business Development</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41</w:t>
            </w:r>
          </w:p>
        </w:tc>
        <w:tc>
          <w:tcPr>
            <w:tcW w:w="156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4"/>
              </w:rPr>
              <w:t>2011</w:t>
            </w: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Julian Gray, M.D., Ph.D.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Clinical Advisor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63</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Mark Danton</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VP Information Systems, Security and Digital Technologies</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57</w:t>
            </w:r>
          </w:p>
        </w:tc>
        <w:tc>
          <w:tcPr>
            <w:tcW w:w="156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Non-Executive Directors</w:t>
            </w:r>
          </w:p>
        </w:tc>
        <w:tc>
          <w:tcPr>
            <w:tcW w:w="100" w:type="dxa"/>
            <w:vAlign w:val="bottom"/>
            <w:shd w:val="clear" w:color="auto" w:fill="D5EAEA"/>
          </w:tcPr>
          <w:p>
            <w:pPr>
              <w:spacing w:after="0"/>
              <w:rPr>
                <w:sz w:val="18"/>
                <w:szCs w:val="18"/>
                <w:color w:val="auto"/>
              </w:rPr>
            </w:pPr>
          </w:p>
        </w:tc>
        <w:tc>
          <w:tcPr>
            <w:tcW w:w="57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Douglas Williams, Ph.D.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Chairman and Director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62</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Martin Velasco</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Vice-Chairman and Director</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66</w:t>
            </w:r>
          </w:p>
        </w:tc>
        <w:tc>
          <w:tcPr>
            <w:tcW w:w="156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Peter Bollmann, Ph.D.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67</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Thomas Graney</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Director</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56</w:t>
            </w:r>
          </w:p>
        </w:tc>
        <w:tc>
          <w:tcPr>
            <w:tcW w:w="156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D5EAEA"/>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Werner Lanthaler, Ph.D.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52</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8"/>
                <w:szCs w:val="18"/>
                <w:color w:val="auto"/>
              </w:rPr>
            </w:pPr>
          </w:p>
        </w:tc>
      </w:tr>
      <w:tr>
        <w:trPr>
          <w:trHeight w:val="216"/>
        </w:trPr>
        <w:tc>
          <w:tcPr>
            <w:tcW w:w="3060" w:type="dxa"/>
            <w:vAlign w:val="bottom"/>
            <w:shd w:val="clear" w:color="auto" w:fill="D5EAEA"/>
          </w:tcPr>
          <w:p>
            <w:pPr>
              <w:spacing w:after="0"/>
              <w:rPr>
                <w:sz w:val="20"/>
                <w:szCs w:val="20"/>
                <w:color w:val="auto"/>
              </w:rPr>
            </w:pPr>
            <w:r>
              <w:rPr>
                <w:rFonts w:ascii="Arial" w:cs="Arial" w:eastAsia="Arial" w:hAnsi="Arial"/>
                <w:sz w:val="18"/>
                <w:szCs w:val="18"/>
                <w:color w:val="auto"/>
              </w:rPr>
              <w:t>Roy Twyman, M.D.</w:t>
            </w:r>
          </w:p>
        </w:tc>
        <w:tc>
          <w:tcPr>
            <w:tcW w:w="58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Director</w:t>
            </w:r>
          </w:p>
        </w:tc>
        <w:tc>
          <w:tcPr>
            <w:tcW w:w="6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64</w:t>
            </w:r>
          </w:p>
        </w:tc>
        <w:tc>
          <w:tcPr>
            <w:tcW w:w="1560" w:type="dxa"/>
            <w:vAlign w:val="bottom"/>
            <w:gridSpan w:val="2"/>
            <w:shd w:val="clear" w:color="auto" w:fill="D5EAEA"/>
          </w:tcPr>
          <w:p>
            <w:pPr>
              <w:jc w:val="center"/>
              <w:ind w:left="30"/>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D5EAEA"/>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Carl June, M.D.</w:t>
            </w: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67</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color w:val="auto"/>
        </w:rPr>
        <w:t xml:space="preserve">Andrea Pfeifer, Ph.D., Co-Founder, Chief Executive Officer and Director: </w:t>
      </w:r>
      <w:r>
        <w:rPr>
          <w:rFonts w:ascii="Arial" w:cs="Arial" w:eastAsia="Arial" w:hAnsi="Arial"/>
          <w:sz w:val="16"/>
          <w:szCs w:val="16"/>
          <w:color w:val="auto"/>
        </w:rPr>
        <w:t>Prof. Andrea Pfeifer co-founded AC Immune SA in 2003, successfully</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it to an IPO in 2016, since when she has served as a Director on the Board. Under her leadership, multiple transformative partnerships have been established with leading pharmaceutical companies, yielding a potential value of up to CHF 3.3 billion plus additional royalties. Before founding the Company, she was the Head of Nestlé Research Centre in Lausanne, Switzerland where she played a major role in connecting science and business. Whilst at Nestlé she led the scientific development of a number of highly innovative, critically acclaimed products from laboratory to market, established the microbiome as a major cross-category product development platform and co-founded the Life Science focused Nestlé Venture Capital Fund. Prior to this she was a Visiting Fellow at the Human Carcinogenesis Branch of The National Institute of Health, Bethesda, USA. She currently serves as the Chair of Investment Fund BioMedInvest, Basel and AB2 Bio SA, Lausanne, and is a member of the Supervisory Board of Symrise AG, Holzminden, Germany. She is also a key member of the CEOi initiative on Alzheimer’s Disease and the Davos Alzheimer’s Collaborative (DAC).</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Prof. Pfeifer holds a Ph.D. in Toxicology (Cancer Research) from the University of Würzburg, Germany and is a registered Toxicologist and Pharmacist. She received her Habilitation from the University of Lausanne, Switzerland and is an Honorary Professor at the Ecole Polytechnique Fédérale de Lausanne (EPFL).</w:t>
      </w:r>
    </w:p>
    <w:p>
      <w:pPr>
        <w:spacing w:after="0" w:line="180" w:lineRule="exact"/>
        <w:rPr>
          <w:sz w:val="20"/>
          <w:szCs w:val="20"/>
          <w:color w:val="auto"/>
        </w:rPr>
      </w:pPr>
    </w:p>
    <w:p>
      <w:pPr>
        <w:ind w:right="160" w:firstLine="324"/>
        <w:spacing w:after="0" w:line="274" w:lineRule="auto"/>
        <w:rPr>
          <w:sz w:val="20"/>
          <w:szCs w:val="20"/>
          <w:color w:val="auto"/>
        </w:rPr>
      </w:pPr>
      <w:r>
        <w:rPr>
          <w:rFonts w:ascii="Arial" w:cs="Arial" w:eastAsia="Arial" w:hAnsi="Arial"/>
          <w:sz w:val="17"/>
          <w:szCs w:val="17"/>
          <w:b w:val="1"/>
          <w:bCs w:val="1"/>
          <w:color w:val="auto"/>
        </w:rPr>
        <w:t>Marie Kosco-Vilbois, Ph.D., Chief Scientific Officer</w:t>
      </w:r>
      <w:r>
        <w:rPr>
          <w:rFonts w:ascii="Arial" w:cs="Arial" w:eastAsia="Arial" w:hAnsi="Arial"/>
          <w:sz w:val="17"/>
          <w:szCs w:val="17"/>
          <w:color w:val="auto"/>
        </w:rPr>
        <w:t>: A US citizen, Dr. Kosco-Vilbois has extensive experience in the biopharmaceutical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and served as Chief Scientific Officer of Novimmune since 2005. Prior to joining Novimmune in 2002, Dr. Kosco-Vilbois was Head of Immunology and Preclinical Pharmacology at the Serono Pharmaceutical Research Institute, a Senior Scientist and then Head of Immunology at the Glaxo Wellcome Research Institute in Geneva, and a Scientific Member of the Basel Institute for Immunology. During her career, she has taken numerous biologicals from discovery into preclinical studies and clinical development, most notably filing market applications of a biological for an orphan indication. Dr. Kosco-Vilbois gained her Bachelor's Degree in Biology from Rutgers University, New Jersey,</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and a PhD in Anatomy and Immunology from the Medical College of Virginia/Virginia Commonwealth University School of Medicine, US.</w:t>
      </w:r>
    </w:p>
    <w:p>
      <w:pPr>
        <w:spacing w:after="0" w:line="221" w:lineRule="exact"/>
        <w:rPr>
          <w:sz w:val="20"/>
          <w:szCs w:val="20"/>
          <w:color w:val="auto"/>
        </w:rPr>
      </w:pPr>
    </w:p>
    <w:p>
      <w:pPr>
        <w:ind w:right="40" w:firstLine="321"/>
        <w:spacing w:after="0" w:line="298" w:lineRule="auto"/>
        <w:rPr>
          <w:sz w:val="20"/>
          <w:szCs w:val="20"/>
          <w:color w:val="auto"/>
        </w:rPr>
      </w:pPr>
      <w:r>
        <w:rPr>
          <w:rFonts w:ascii="Arial" w:cs="Arial" w:eastAsia="Arial" w:hAnsi="Arial"/>
          <w:sz w:val="16"/>
          <w:szCs w:val="16"/>
          <w:b w:val="1"/>
          <w:bCs w:val="1"/>
          <w:color w:val="auto"/>
        </w:rPr>
        <w:t xml:space="preserve">Johannes Rolf Streffer, M.D., Chief Medical Officer: </w:t>
      </w:r>
      <w:r>
        <w:rPr>
          <w:rFonts w:ascii="Arial" w:cs="Arial" w:eastAsia="Arial" w:hAnsi="Arial"/>
          <w:sz w:val="16"/>
          <w:szCs w:val="16"/>
          <w:color w:val="auto"/>
        </w:rPr>
        <w:t>Prof. Johannes Streffer joined AC Immune SA in January 2021 as Chief Medical Officer from</w:t>
      </w:r>
      <w:r>
        <w:rPr>
          <w:rFonts w:ascii="Arial" w:cs="Arial" w:eastAsia="Arial" w:hAnsi="Arial"/>
          <w:sz w:val="16"/>
          <w:szCs w:val="16"/>
          <w:b w:val="1"/>
          <w:bCs w:val="1"/>
          <w:color w:val="auto"/>
        </w:rPr>
        <w:t xml:space="preserve"> </w:t>
      </w:r>
      <w:r>
        <w:rPr>
          <w:rFonts w:ascii="Arial" w:cs="Arial" w:eastAsia="Arial" w:hAnsi="Arial"/>
          <w:sz w:val="16"/>
          <w:szCs w:val="16"/>
          <w:color w:val="auto"/>
        </w:rPr>
        <w:t>UCB Biopharma SPRL where he was VP, Head of Translational Medicine Neuroscience. Prior to this he was a member of the Alzheimer Disease Area Leadership Team at Janssen R&amp;D and the industrial lead for EMIF-AD, where 14 countries are combined to foster understanding of early biomarkers and change in the predementia AD spectrum. His recognized expertise and standing in the scientific and medical community provide an invaluable asset as we work to develop innovative treatments for neurodegenerative diseases based on our proprietary technology platforms.</w:t>
      </w:r>
    </w:p>
    <w:p>
      <w:pPr>
        <w:spacing w:after="0" w:line="158" w:lineRule="exact"/>
        <w:rPr>
          <w:sz w:val="20"/>
          <w:szCs w:val="20"/>
          <w:color w:val="auto"/>
        </w:rPr>
      </w:pPr>
    </w:p>
    <w:p>
      <w:pPr>
        <w:ind w:right="220" w:firstLine="321"/>
        <w:spacing w:after="0" w:line="342" w:lineRule="auto"/>
        <w:rPr>
          <w:sz w:val="20"/>
          <w:szCs w:val="20"/>
          <w:color w:val="auto"/>
        </w:rPr>
      </w:pPr>
      <w:r>
        <w:rPr>
          <w:rFonts w:ascii="Arial" w:cs="Arial" w:eastAsia="Arial" w:hAnsi="Arial"/>
          <w:sz w:val="16"/>
          <w:szCs w:val="16"/>
          <w:color w:val="auto"/>
        </w:rPr>
        <w:t>Prof. Streffer graduated from the University of Tübingen, Germany with a medical degree. He completed graduate studies on neuro-oncology and is Board certified in Psychiatry and Neurology. Currently he is a visiting Professor in the Department of Biomedical Sciences, University of Antwerp.</w:t>
      </w:r>
    </w:p>
    <w:p>
      <w:pPr>
        <w:spacing w:after="0" w:line="120" w:lineRule="exact"/>
        <w:rPr>
          <w:sz w:val="20"/>
          <w:szCs w:val="20"/>
          <w:color w:val="auto"/>
        </w:rPr>
      </w:pPr>
    </w:p>
    <w:p>
      <w:pPr>
        <w:ind w:right="160" w:firstLine="324"/>
        <w:spacing w:after="0" w:line="303" w:lineRule="auto"/>
        <w:rPr>
          <w:sz w:val="20"/>
          <w:szCs w:val="20"/>
          <w:color w:val="auto"/>
        </w:rPr>
      </w:pPr>
      <w:r>
        <w:rPr>
          <w:rFonts w:ascii="Arial" w:cs="Arial" w:eastAsia="Arial" w:hAnsi="Arial"/>
          <w:sz w:val="16"/>
          <w:szCs w:val="16"/>
          <w:b w:val="1"/>
          <w:bCs w:val="1"/>
          <w:color w:val="auto"/>
        </w:rPr>
        <w:t xml:space="preserve">Piergiorgio Donati, Chief Technical Operations Officer: </w:t>
      </w:r>
      <w:r>
        <w:rPr>
          <w:rFonts w:ascii="Arial" w:cs="Arial" w:eastAsia="Arial" w:hAnsi="Arial"/>
          <w:sz w:val="16"/>
          <w:szCs w:val="16"/>
          <w:color w:val="auto"/>
        </w:rPr>
        <w:t>Mr. Donati joined AC Immune in June 2018 as Director, Global Program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having previously worked for AC Immune from 2011 to 2015 as Head of Manufacturing and Project Management. Between 2015 and 2018, Mr. Donati was Head of CMC program development at Glenmark Pharmaceuticals and Biotech CMC Lead at Merck KGaA. Prior to 2011, he held R&amp;D positions at Abiogen, Merck Group and Serono. Mr. Donati holds a degree in Analytical Chemistry from the Technical Institute G.L. Bernini.</w:t>
      </w:r>
    </w:p>
    <w:p>
      <w:pPr>
        <w:spacing w:after="0" w:line="15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 xml:space="preserve">Joerg Hornstein, Chief Financial Officer: </w:t>
      </w:r>
      <w:r>
        <w:rPr>
          <w:rFonts w:ascii="Arial" w:cs="Arial" w:eastAsia="Arial" w:hAnsi="Arial"/>
          <w:sz w:val="18"/>
          <w:szCs w:val="18"/>
          <w:color w:val="auto"/>
        </w:rPr>
        <w:t>Mr. Hornstein has served as our Chief Financial Officer since April 2017. Prior to joining AC Immune,</w:t>
      </w:r>
      <w:r>
        <w:rPr>
          <w:rFonts w:ascii="Arial" w:cs="Arial" w:eastAsia="Arial" w:hAnsi="Arial"/>
          <w:sz w:val="18"/>
          <w:szCs w:val="18"/>
          <w:b w:val="1"/>
          <w:bCs w:val="1"/>
          <w:color w:val="auto"/>
        </w:rPr>
        <w:t xml:space="preserve"> </w:t>
      </w:r>
      <w:r>
        <w:rPr>
          <w:rFonts w:ascii="Arial" w:cs="Arial" w:eastAsia="Arial" w:hAnsi="Arial"/>
          <w:sz w:val="18"/>
          <w:szCs w:val="18"/>
          <w:color w:val="auto"/>
        </w:rPr>
        <w:t>Mr. Hornstein served as Senior Vice President Group Controlling for Unternehmensgruppe Theo Müller based in Luxembourg from January 2014 to March 2017. Between 2002 and 2013 he worked for Merck KGaA, a leading science and technology company in healthcare, life science and performance materials, where he held various senior finance roles. Among other appointments, he was CFO for Merck’s operations in Indonesia and Merck Serono’s operations in China. Furthermore, he served as Vice President Group Controlling for Merck Group Headquarters in Germany and as Divisional CFO for Merck Millipore in the US. Mr. Hornstein holds an MBA with Distinction from London Business School, UK, and a Bachelor of Business Administration from Baylor University in the US.</w:t>
      </w:r>
    </w:p>
    <w:p>
      <w:pPr>
        <w:spacing w:after="0" w:line="189"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b w:val="1"/>
          <w:bCs w:val="1"/>
          <w:color w:val="auto"/>
        </w:rPr>
        <w:t>Julien Rongère, Ph.D., VP Regulatory Affairs and Quality Assurance</w:t>
      </w:r>
      <w:r>
        <w:rPr>
          <w:rFonts w:ascii="Arial" w:cs="Arial" w:eastAsia="Arial" w:hAnsi="Arial"/>
          <w:sz w:val="17"/>
          <w:szCs w:val="17"/>
          <w:color w:val="auto"/>
        </w:rPr>
        <w:t>: Dr. Rongère joined AC Immune in July 2017 as Head of European</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Affairs and Quality Assurance. Prior to joining AC Immune, Dr. Rongère held positions of increasing responsibility at Celgene in Switzerland. Most recently, he served as Director, Regulatory Affairs, leading the development of regulatory strategies for small molecules and CAR-T cell therapies and contributed to the development and approval of Revlimid in multiple myeloma and mantle cell lymphoma. Prior to Celgene, Dr. Rongère served as a Regulatory Expert at Apoxis, SA in Switzerland. During his career, Dr. Rongère gained specific expertise in the development of regulatory strategies for taking products from Phase 1 through to commercialization in the field of hematology/oncology and immunology/inflammation, including fast-to-market approaches, orphan drugs and pediatric development. Dr. Rongère gained his Master’s Degree in Medical Genetics from the University of Aberdeen, UK, and holds a Ph.D. in Molecular Biology from the University of Lausanne, Switzerland.</w:t>
      </w:r>
    </w:p>
    <w:p>
      <w:pPr>
        <w:spacing w:after="0" w:line="17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b w:val="1"/>
          <w:bCs w:val="1"/>
          <w:color w:val="auto"/>
        </w:rPr>
        <w:t xml:space="preserve">Alexandre Caratsch, General Counsel: </w:t>
      </w:r>
      <w:r>
        <w:rPr>
          <w:rFonts w:ascii="Arial" w:cs="Arial" w:eastAsia="Arial" w:hAnsi="Arial"/>
          <w:sz w:val="16"/>
          <w:szCs w:val="16"/>
          <w:color w:val="auto"/>
        </w:rPr>
        <w:t>Alexandre Caratsch is a Swiss-qualified attorney with 30 years’ experience in private practice, multinational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and in ventures. He initially worked as an in-house lawyer for E&amp;Y and the SGS Group before specializing in healthcare, holding senior legal positions at Novartis and Medtronic. Before joining AC Immune, he led the Corporate Legal Affairs and Intellectual Property group for Medtronic’s Europe, Middle East and Africa (EMEA) region. Mr. Caratsch has also co-founded two start-up companies in the field of information technology and medical technology, respectively, and has supported other start-up companies with strategic, transactional and general counsel. Mr. Caratsch holds a Master’s degree in Law from the University of Neuchâtel, Switzerland and is admitted to the Bar of Geneva, Switzerland.</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Oliver Sol, M.D., AVP Medical Sciences and Clinical Operations</w:t>
      </w:r>
      <w:r>
        <w:rPr>
          <w:rFonts w:ascii="Arial" w:cs="Arial" w:eastAsia="Arial" w:hAnsi="Arial"/>
          <w:sz w:val="18"/>
          <w:szCs w:val="18"/>
          <w:color w:val="auto"/>
        </w:rPr>
        <w:t>: Prior to joining AC Immune, Dr. Olivier Sol was Clinical Director of Exonhit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(Paris) and thereafter Medical &amp; Regulatory Affairs Director for Diaxonhit, where he was responsible for the development and medical validation of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diagnostic products in cancer, infectious diseases and Alzheimer's disease. Dr. Sol spent his over 20-year career as a Medical Expert in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areas with a strong focus on central nervous system diseases, within pharmaceutical companies as Janssen, UCB-Pharma, GlaxoSmithKline and Sanofi. He contributed to the clinical development of currently marketed drugs in epilepsy (topiramate and levetiracetam) and galantamine in Alzheimer’s disease. He has also gained significant experience in the field of biological biomarkers. Dr. Sol holds an M.D. from the Paris-Sud University (Paris-Saclay) with a specialization in Medical Biology.</w:t>
      </w:r>
    </w:p>
    <w:p>
      <w:pPr>
        <w:spacing w:after="0" w:line="189"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Bojana Portmann, Ph.D., AVP IP and Business Development</w:t>
      </w:r>
      <w:r>
        <w:rPr>
          <w:rFonts w:ascii="Arial" w:cs="Arial" w:eastAsia="Arial" w:hAnsi="Arial"/>
          <w:sz w:val="17"/>
          <w:szCs w:val="17"/>
          <w:color w:val="auto"/>
        </w:rPr>
        <w:t>: Dr. Portmann joined AC Immune in 2011 as Intellectual Property Manager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held multiple roles within the IP department with increasing responsibility over the past years, during which her work was mainly focused on creating and strengthening patent portfolios for biologicals, small molecules and liposomal technology. Dr. Portmann holds a Ph.D. degree from the EPFL University in Switzerland, and a LL.M. degree, Master of Intellectual Property Law and Management (MIPLM), from the CEIPI in France. She also received a M.Sc. (Dipl. Ing.) degree in Polymer and Chemical Engineering from the University of Belgrade in Serbia.</w:t>
      </w:r>
    </w:p>
    <w:p>
      <w:pPr>
        <w:spacing w:after="0" w:line="16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Julian Gray, M.D., Ph.D., Clinical Advisor</w:t>
      </w:r>
      <w:r>
        <w:rPr>
          <w:rFonts w:ascii="Arial" w:cs="Arial" w:eastAsia="Arial" w:hAnsi="Arial"/>
          <w:sz w:val="17"/>
          <w:szCs w:val="17"/>
          <w:color w:val="auto"/>
        </w:rPr>
        <w:t>: Dr. Gray has served as Clinical Advisor to our programs in neurodegenerative diseases since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Oxford Brookes University.</w:t>
      </w:r>
    </w:p>
    <w:p>
      <w:pPr>
        <w:spacing w:after="0" w:line="172"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 xml:space="preserve">Mark Danton, VP Information Systems, Security and Digital Technologies: </w:t>
      </w:r>
      <w:r>
        <w:rPr>
          <w:rFonts w:ascii="Arial" w:cs="Arial" w:eastAsia="Arial" w:hAnsi="Arial"/>
          <w:sz w:val="18"/>
          <w:szCs w:val="18"/>
          <w:color w:val="auto"/>
        </w:rPr>
        <w:t>Mr. Mark Danton is a globally recognized and experienced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Information Systems/Information Technology (IS/IT) with extensive experience in developing, launching and managing business-relevant IS, cybersecurity and digital technology solutions and services.</w:t>
      </w:r>
    </w:p>
    <w:p>
      <w:pPr>
        <w:spacing w:after="0" w:line="18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Prior to joining AC Immune, Mr. Danton served as IS/IT Global Manager at Nestlé and held a number of global roles at BT Global Services and in Dimension Data PLC. Mr. Danton holds an Executive MBA from the Business School Lausanne, graduating cum laude and as the Executive MBA Student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Douglas Williams, Ph.D., Chairman and Director: </w:t>
      </w:r>
      <w:r>
        <w:rPr>
          <w:rFonts w:ascii="Arial" w:cs="Arial" w:eastAsia="Arial" w:hAnsi="Arial"/>
          <w:sz w:val="17"/>
          <w:szCs w:val="17"/>
          <w:color w:val="auto"/>
        </w:rPr>
        <w:t>Douglas E. Williams, Ph.D., is currently the President, CEO and member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Codiak BioSciences. He was previously Biogen’s Executive Vice President, Research and Development, serving in this role from January 2011 to July 2015. He joined Biogen from ZymoGenetics, where he was most recently CEO and member of the Board of Directors. ZymoGenetics was purchased for USD 985 million by Bristol Myers Squibb during Dr. Williams’ tenure. Previously, he held leadership positions within the biotechnology industry, including Chief Scientific Officer and Executive Vice President of Research and Development at Seattle Genetics, and Senior Vice President and Washington Site Leader at Amgen. Dr. Williams served in a series of scientific and senior leadership positions over a decade at Immunex, including Executive Vice President and Chief Technology Officer and a member of the Board of Directors. During his 30+ year career in the biotechnology industry he has played a role in the development of several novel drugs including Enbrel, Tecfidera, and Spinraza. He has served on the board of numerous biotechnology companies and is currently a member of the Board of Directors of Ovid Pharmaceuticals, and Chairman of the Board of AC Immune, and is a Director for private companies Cygnal Therapeutics, and Xenikos.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Martin Velasco, Vice-Chairman and Director: </w:t>
      </w:r>
      <w:r>
        <w:rPr>
          <w:rFonts w:ascii="Arial" w:cs="Arial" w:eastAsia="Arial" w:hAnsi="Arial"/>
          <w:sz w:val="17"/>
          <w:szCs w:val="17"/>
          <w:color w:val="auto"/>
        </w:rPr>
        <w:t>Mr. Velasco has served on our board of directors since December 2003. Martin Velasco is 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entrepreneur and business angel with extensive experience in the IT, medical and biotech areas. He serves on the board of directors or advisory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other high-tech companies including as Founder, Chairman and Chief Executive Officer of Anecova, an assisted reproductive technology (ART)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and World Economic Forum Technology Pioneer 2008, as Chairman of the Supervisory Board of Cocomore, a digital communications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agency and information technology services firm, and as a Board Member of Aridhia, a health informatics company. Martin is also the Founder of Infantia</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Foundation, a philanthropic organization aiding children in the developing world. He is an Ambassador of BlueOrchard, the leading private microfinance investment advisory company and a member of the Strategic Advisory Board of the École Polytechnique Fédérale de Lausanne (EPFL)..</w:t>
      </w:r>
    </w:p>
    <w:p>
      <w:pPr>
        <w:spacing w:after="0" w:line="120"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Board Member. His broad industry experience embraces biotechnology and medical technology firms, including previous Board positions with Cytos Biotechnology and Prionics.</w:t>
      </w:r>
    </w:p>
    <w:p>
      <w:pPr>
        <w:spacing w:after="0" w:line="17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color w:val="auto"/>
        </w:rPr>
        <w:t xml:space="preserve">Thomas Graney, Director: </w:t>
      </w:r>
      <w:r>
        <w:rPr>
          <w:rFonts w:ascii="Arial" w:cs="Arial" w:eastAsia="Arial" w:hAnsi="Arial"/>
          <w:sz w:val="17"/>
          <w:szCs w:val="17"/>
          <w:color w:val="auto"/>
        </w:rPr>
        <w:t>Thomas Graney is currently the Chief Financial Officer of Oxurion NV. Prior to Oxurion, he was CFO of Generation Bio,</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and Chief Financial Officer at Vertex Pharmaceuticals Inc. and Chief Financial Officer and Senior Vice President of Finance &amp; Corporate Strategy at Ironwood Pharmaceuticals. Prior to Ironwood Pharmaceuticals, Mr. Graney spent 20 years working with J&amp;J and its affiliates, serving for 4 years as worldwide Vice President of Finance and Chief Financial Officer of Ethicon. Mr. Graney has extensive global experience that spans corporate development, commercial strategy, portfolio management and supply chain management, communication and investor relations. A Chartered Financial Analyst charterholder, Mr. Graney holds a B.S. in accounting from the University of Delaware and an MBA in Marketing, Finance and International Business from the Leonard N. Stern School of Business at New York University.</w:t>
      </w:r>
    </w:p>
    <w:p>
      <w:pPr>
        <w:spacing w:after="0" w:line="17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Werner Lanthaler, Ph.D., Director: </w:t>
      </w:r>
      <w:r>
        <w:rPr>
          <w:rFonts w:ascii="Arial" w:cs="Arial" w:eastAsia="Arial" w:hAnsi="Arial"/>
          <w:sz w:val="17"/>
          <w:szCs w:val="17"/>
          <w:color w:val="auto"/>
        </w:rPr>
        <w:t>Dr. Werner Lanthaler is the CEO of Evotec AG, a drug discovery alliance and development partnership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rapidly progressing innovative product approaches with leading pharmaceutical and biotechnology companies, academics, patient advocacy groups and venture capitalists. Since joining Evotec in 2009, Dr. Lanthaler has focused the company on collaborating with biotech and pharma companies and academia, supporting biotech innovation. He previously served as Chief Financial Officer at Intercell AG where he played a key role in many of that company's major milestones. During his tenure, Intercell undertook an IPO and developed from a venture-backed biotechnology company into a global vaccine player. Dr. Lanthaler has also served as Director of the Federation of Austrian Industry, and from 1995 to 1998 was a Senior Management Consultant at McKinsey &amp; Company. Dr. Lanthaler is a Non-Executive Member of the Board of Directors of arGEN-X and is a member of the Supervisory Board of Topas Therapeutics GmbH. He holds a Doctorate in Economics from Vienna University, a Master's degree in Business Administration from Harvard University, and a degree in Psychology.</w:t>
      </w:r>
    </w:p>
    <w:p>
      <w:pPr>
        <w:spacing w:after="0" w:line="173" w:lineRule="exact"/>
        <w:rPr>
          <w:sz w:val="20"/>
          <w:szCs w:val="20"/>
          <w:color w:val="auto"/>
        </w:rPr>
      </w:pPr>
    </w:p>
    <w:p>
      <w:pPr>
        <w:ind w:right="140" w:firstLine="324"/>
        <w:spacing w:after="0" w:line="274" w:lineRule="auto"/>
        <w:rPr>
          <w:sz w:val="20"/>
          <w:szCs w:val="20"/>
          <w:color w:val="auto"/>
        </w:rPr>
      </w:pPr>
      <w:r>
        <w:rPr>
          <w:rFonts w:ascii="Arial" w:cs="Arial" w:eastAsia="Arial" w:hAnsi="Arial"/>
          <w:sz w:val="17"/>
          <w:szCs w:val="17"/>
          <w:b w:val="1"/>
          <w:bCs w:val="1"/>
          <w:color w:val="auto"/>
        </w:rPr>
        <w:t>Roy Twyman, M.D., Director</w:t>
      </w:r>
      <w:r>
        <w:rPr>
          <w:rFonts w:ascii="Arial" w:cs="Arial" w:eastAsia="Arial" w:hAnsi="Arial"/>
          <w:sz w:val="17"/>
          <w:szCs w:val="17"/>
          <w:color w:val="auto"/>
        </w:rPr>
        <w:t>: Dr. Twyman is a Neurologist and is founder and current CEO of Amron Neuroscience, LLC, a private consulting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focused on neuroscience drug development. Prior to this, Dr. Twyman spent almost 20 years at Janssen Research &amp; Development, LLC (a Johnson &amp; Johnson company) and was a member of the Neuroscience Therapeutic Area Leadership team responsible for clinical R&amp;D and strategic planning of CNS neurology and psychiatry pipeline products. From 2012 to March 2018, Dr. Twyman was a Senior Vice President in the Neuroscience Therapeutic Area overseeing the Alzheimer’s Disease Area. He currently participates as an independent Board Member or as a Scientific Advisory Board Member for a number of small biotech or pharmaceutical companies.</w:t>
      </w:r>
    </w:p>
    <w:p>
      <w:pPr>
        <w:spacing w:after="0" w:line="17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color w:val="auto"/>
        </w:rPr>
        <w:t xml:space="preserve">Carl June, M.D., Director: </w:t>
      </w:r>
      <w:r>
        <w:rPr>
          <w:rFonts w:ascii="Arial" w:cs="Arial" w:eastAsia="Arial" w:hAnsi="Arial"/>
          <w:sz w:val="16"/>
          <w:szCs w:val="16"/>
          <w:color w:val="auto"/>
        </w:rPr>
        <w:t>Prof. June is Richard W. Vague Professor in Immunotherapy, Director of the Center for Cellular Immunotherapies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the Parker Institute for Cancer Immunotherapy at the Perelman School of Medicine at the University of Pennsylvania. Due to his lifelong work on lymphocyte activation, Prof. June is considered a world authority on mechanisms related to immune tolerance and adoptive immunotherapy in the fields of chronic inflammation and cancer. He and his team pioneered the groundbreaking work in immunotherapy in which patients with refractory and relapsed chronic lymphocytic leukemia are treated with genetically engineered versions of their own T cells. This CAR-T therapy approach, which trains the immune system to attack and destroy cancer cells, has opened a new era of innovative treatments and personalized medicine for cancer patients.</w:t>
      </w:r>
    </w:p>
    <w:p>
      <w:pPr>
        <w:spacing w:after="0" w:line="16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Prof. June is a graduate of the Naval Academy in Annapolis, USA, and Baylor College of Medicine in Houston, USA, where he received his medical degree. Prof. June also completed graduate training in immunology and malaria with Dr. Paul-Henri Lambert at the World Health Organization, Geneva, Switzerland, and post-doctoral training in transplantation biology with E. Donnell Thomas and John Hansen at the Fred Hutchinson Cancer Research Center in Seattle, USA. He has published more than 500 manuscripts and is the recipient of numerous honors and prizes.</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For the year ended December 31, 2020, the aggregate compensation accrued or paid to the members of our board of directors and our executive officers for services in all capacities was CHF 6.6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year ended December 31, 2020, the total fair value of stock options granted to directors and executive officers was CHF 2.9 million.</w:t>
      </w:r>
    </w:p>
    <w:p>
      <w:pPr>
        <w:spacing w:after="0" w:line="2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and executive officers amounted to a total of CHF 0.2 million in the year ended December 31, 2020.</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incorporate by reference into this Annual Report the information in “Item 1. C—2020 Board Compensation” and “Item 2. C—2020 Executive Compensation” of Exhibit 99.3 to our report on Form 6-K filed with the SEC on March 23,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2016, we ceased issuing new grants under our prior equity incentive plans, which we refer to as the Prior Plans, and adopted a new omnibus equity incentive plan under which we have the discretion to grant a broad range of equity-based awards to eligible participants.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Prior plan: C1</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Since our inception in 2003, we have had four separate Prior Plans under which stock options were granted (Prior Plans A, B and C2 have terminated): Options granted under Plan C1 from 2013 through the adoption of the current 2016 Stock Option and Incentive Plan (SOIP) were taxed upon exercise instead of at grant due to a change in taxation rules.</w:t>
      </w:r>
    </w:p>
    <w:p>
      <w:pPr>
        <w:spacing w:after="0" w:line="18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Plan C1, an option, which can only be granted with the approval of our board of directors, is evidenced by an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signed by the participant to indicate his or her acceptance of the option and is subject to the terms and conditions of the applicable Prior Plan.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Under Plan C1, options were granted to our directors, employees, advisors and agents.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 exercise price</w:t>
      </w:r>
      <w:r>
        <w:rPr>
          <w:rFonts w:ascii="Arial" w:cs="Arial" w:eastAsia="Arial" w:hAnsi="Arial"/>
          <w:sz w:val="18"/>
          <w:szCs w:val="18"/>
          <w:color w:val="auto"/>
        </w:rPr>
        <w:t>. The exercise price of all options issued under the Prior Plan is CHF 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Vesting period</w:t>
      </w:r>
      <w:r>
        <w:rPr>
          <w:rFonts w:ascii="Arial" w:cs="Arial" w:eastAsia="Arial" w:hAnsi="Arial"/>
          <w:sz w:val="18"/>
          <w:szCs w:val="18"/>
          <w:color w:val="auto"/>
        </w:rPr>
        <w:t>. Under Plan C1, the options vesting period was 4 years with 25% of the options vesting each year.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Expiration period. </w:t>
      </w:r>
      <w:r>
        <w:rPr>
          <w:rFonts w:ascii="Arial" w:cs="Arial" w:eastAsia="Arial" w:hAnsi="Arial"/>
          <w:sz w:val="18"/>
          <w:szCs w:val="18"/>
          <w:color w:val="auto"/>
        </w:rPr>
        <w:t>The expiry dates for each plan are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C1: 10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2016 SOIP</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At the November 15, 2016 AGM of the Company, our board of directors approved the 2016 SOIP (as amended and restated the “2016 SOIP”). The maximum number of shares available for issuance under the 2016 SOIP is 3,523,000 common shares. The shares available for issuance under the 2016 SOIP were initially registered with the SEC on a Form S-8 on March 8, 2017, and additional shares were registered on a Form S-8 on August 5, 2019. As of December 31, 2020, there were a total of 1,099,015 shares underlying options that were exercisable and 2,900,667 shares underlying outstanding options and 19,494 shares underlying outstanding restricted share units issued from both our Prior Plans and the 2016 SOIP.</w:t>
      </w:r>
    </w:p>
    <w:p>
      <w:pPr>
        <w:spacing w:after="0" w:line="17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The 2016 SOIP is administered by either our board of directors or the compensation committee, or a similar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performing the functions of the compensation committee. Approval of the plan administrator is required for all grants of awards under the 2016 SOIP, but the administrator may delegate to our CEO the authority to grant awards, subject to certain limitations set forth on the plan.</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Awards may be granted in the form of incentive stock options, non-qualified stock options, stock appreciation rights,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awards, unrestricted share awards, performance share awards and dividend equivalent rights.</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Under the 2016 SOIP, full or part-time officers and other employees, non-employee directors and consultants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who are selected by the administrator are eligible to participate in the plan.</w:t>
      </w:r>
    </w:p>
    <w:p>
      <w:pPr>
        <w:spacing w:after="0" w:line="17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i w:val="1"/>
          <w:iCs w:val="1"/>
          <w:color w:val="auto"/>
        </w:rPr>
        <w:t xml:space="preserve">Options exercise price. </w:t>
      </w:r>
      <w:r>
        <w:rPr>
          <w:rFonts w:ascii="Arial" w:cs="Arial" w:eastAsia="Arial" w:hAnsi="Arial"/>
          <w:sz w:val="18"/>
          <w:szCs w:val="18"/>
          <w:color w:val="auto"/>
        </w:rPr>
        <w:t>Under the 2016 SOIP, the option exercise price is determined by the plan administrator at the time of grant, but will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fair market value (as defined in the 2016 SOIP) on the grant date, and for incentive stock options granted to any employee who is a 10 percent owner in the Company, will not be less than 110 percent of the fair market value on the grant date.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Vesting period. </w:t>
      </w:r>
      <w:r>
        <w:rPr>
          <w:rFonts w:ascii="Arial" w:cs="Arial" w:eastAsia="Arial" w:hAnsi="Arial"/>
          <w:sz w:val="17"/>
          <w:szCs w:val="17"/>
          <w:color w:val="auto"/>
        </w:rPr>
        <w:t>Vesting conditions are determined by the administrator at the time of grant and are specified in the applicable award certificate.</w:t>
      </w:r>
    </w:p>
    <w:p>
      <w:pPr>
        <w:spacing w:after="0" w:line="2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i w:val="1"/>
          <w:iCs w:val="1"/>
          <w:color w:val="auto"/>
        </w:rPr>
        <w:t xml:space="preserve">Accelerated vesting. </w:t>
      </w:r>
      <w:r>
        <w:rPr>
          <w:rFonts w:ascii="Arial" w:cs="Arial" w:eastAsia="Arial" w:hAnsi="Arial"/>
          <w:sz w:val="18"/>
          <w:szCs w:val="18"/>
          <w:color w:val="auto"/>
        </w:rPr>
        <w:t>The administrator may accelerate the exercisability or vesting of all or any portion of any award in circumstances involving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grantee’s death, disability, retirement or termination of employment, or a change in control.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the 2016 SOIP.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restatement to the 2016 SOIP</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June 2019, the Board authorized, and the shareholders approved, an increase in the maximum number of shares reserved for issuance under the 2016 SOIP. In October 2019, the Board authorized a second amendment and restatement to the 2016 SOIP. These amendments were made to align certain elements with Swiss statutory requirements and had no financial impact for the Company in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For the fiscal year ended December 31, 2020, the Company has granted our directors and executive officers, in the aggregate, options for the right to acquire 689,700 shares at exercise prices ranging from USD 5.04 to USD 6.95 per share, which vest either over a 1 year, 3 year or 4 year period with vesting to occur quarterly or annually depending on the nature of the award. The Company did not grant restricted share units to its directors and executive officers in 2020 or 2019. Previous restricted share units granted to directors vested over a 1 year period. Restricted share units granted to executives have a 4 year vesting life with vesting to occur quarterly. Please see “Note 17. Share-based compensation” for further detail.</w:t>
      </w:r>
    </w:p>
    <w:p>
      <w:pPr>
        <w:spacing w:after="0" w:line="157" w:lineRule="exact"/>
        <w:rPr>
          <w:sz w:val="20"/>
          <w:szCs w:val="20"/>
          <w:color w:val="auto"/>
        </w:rPr>
      </w:pPr>
    </w:p>
    <w:p>
      <w:pPr>
        <w:ind w:right="8620" w:firstLine="8"/>
        <w:spacing w:after="0" w:line="566" w:lineRule="auto"/>
        <w:tabs>
          <w:tab w:leader="none" w:pos="324"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Composition of board of directors</w:t>
      </w:r>
    </w:p>
    <w:p>
      <w:pPr>
        <w:ind w:right="60" w:firstLine="324"/>
        <w:spacing w:after="0" w:line="342" w:lineRule="auto"/>
        <w:rPr>
          <w:sz w:val="20"/>
          <w:szCs w:val="20"/>
          <w:color w:val="auto"/>
        </w:rPr>
      </w:pPr>
      <w:r>
        <w:rPr>
          <w:rFonts w:ascii="Arial" w:cs="Arial" w:eastAsia="Arial" w:hAnsi="Arial"/>
          <w:sz w:val="16"/>
          <w:szCs w:val="16"/>
          <w:color w:val="auto"/>
        </w:rPr>
        <w:t>Our board of directors is composed of eight directors. Each director is elected for a 1-year term. The current members of our board of directors were appointed at a shareholders’ meetings held on June 26, 2020 and November 20, 2020 to serve until the 2021 shareholders’ meeting to be held in June 2021.</w:t>
      </w:r>
    </w:p>
    <w:p>
      <w:pPr>
        <w:spacing w:after="0" w:line="12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right="40" w:firstLine="321"/>
        <w:spacing w:after="0" w:line="263" w:lineRule="auto"/>
        <w:rPr>
          <w:sz w:val="20"/>
          <w:szCs w:val="20"/>
          <w:color w:val="auto"/>
        </w:rPr>
      </w:pPr>
      <w:r>
        <w:rPr>
          <w:rFonts w:ascii="Arial" w:cs="Arial" w:eastAsia="Arial" w:hAnsi="Arial"/>
          <w:sz w:val="18"/>
          <w:szCs w:val="18"/>
          <w:color w:val="auto"/>
        </w:rPr>
        <w:t>Our Board of Directors met in accordance with their respective mandate both physically, by video-conference and telephonically throughout 2020. The Board members analyzed the scientific, business, financial and organizational risks of the Company based on the external factors and internal changes that could potentially impact the risks for the Company in the future.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considering any applicable committee independence standards, Douglas Williams, Martin Velasco, Peter Bollmann, Thomas Graney, Werner Lanthaler, Roy Twyman and Carl June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Our board of directors established two separate committees: an audit and finance committee and a compensation, nomination and corporate governance committee.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audit and finance committee, which consists of Peter Bollmann (Chair), Thomas Graney, Werner Lanthaler and Martin Velasco, assists our board of directors in overseeing our accounting and financial reporting processes and the audits of our financial statements. In addition, the audit and finance committee is directly responsible for the appointment, compensation, retention and oversight of the work of our independent registered public accounting firm. The audit and finance committee consists exclusively of members of our board who are financially literate, and Peter Bollmann, Thomas Graney, Werner Lanthaler and Martin Velasco are considered to be “audit committee financial experts” as defined by the SEC. Our board of directors has determined that Peter Bollmann, Thomas Graney, Werner Lanthaler and Martin Velasco satisfy the “independence” requirements set forth in Rule 10A-3 under the Exchange Act.</w:t>
      </w:r>
    </w:p>
    <w:p>
      <w:pPr>
        <w:spacing w:after="0" w:line="19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audit and finance committee is governed by a charter that complies with Nasdaq rules. The audit and finance committee has the responsibility to, among other things:</w:t>
      </w:r>
    </w:p>
    <w:p>
      <w:pPr>
        <w:spacing w:after="0" w:line="17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236" w:lineRule="exact"/>
        <w:rPr>
          <w:rFonts w:ascii="Arial" w:cs="Arial" w:eastAsia="Arial" w:hAnsi="Arial"/>
          <w:sz w:val="17"/>
          <w:szCs w:val="17"/>
          <w:color w:val="auto"/>
        </w:rPr>
      </w:pPr>
    </w:p>
    <w:p>
      <w:pPr>
        <w:ind w:left="660" w:right="64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 and assess the independent auditor’s report and management letters and take notice of all comments of the independent auditor on accounting procedures and systems of control, and review the independent auditor’s reports with management;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and discuss all (i) financial statements, (ii)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 the quarterly financial statements;</w:t>
      </w:r>
    </w:p>
    <w:p>
      <w:pPr>
        <w:spacing w:after="0" w:line="225" w:lineRule="exact"/>
        <w:rPr>
          <w:rFonts w:ascii="Arial" w:cs="Arial" w:eastAsia="Arial" w:hAnsi="Arial"/>
          <w:sz w:val="18"/>
          <w:szCs w:val="18"/>
          <w:color w:val="auto"/>
        </w:rPr>
      </w:pPr>
    </w:p>
    <w:p>
      <w:pPr>
        <w:ind w:left="660" w:right="80" w:hanging="328"/>
        <w:spacing w:after="0" w:line="286"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statements, including critical accounting policies, the effect of regulatory and accounting initiatives, and off-balance sheet transactions and structures on our financial statements;</w:t>
      </w:r>
    </w:p>
    <w:p>
      <w:pPr>
        <w:spacing w:after="0" w:line="170" w:lineRule="exact"/>
        <w:rPr>
          <w:sz w:val="20"/>
          <w:szCs w:val="20"/>
          <w:color w:val="auto"/>
        </w:rPr>
      </w:pPr>
    </w:p>
    <w:p>
      <w:pPr>
        <w:ind w:left="660" w:right="10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w:t>
      </w:r>
    </w:p>
    <w:p>
      <w:pPr>
        <w:spacing w:after="0" w:line="17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that could materially impact our contingent liabilities and risks;</w:t>
      </w:r>
    </w:p>
    <w:p>
      <w:pPr>
        <w:spacing w:after="0" w:line="146"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including significant deficiencies and material weaknesses in the design or operation of internal controls over financial reporting;</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approve or ratify any related-person transaction in accordance with our related-person transaction policy.</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nomination and corporate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nomination and corporate governance committee, consists of Douglas Williams (Chair), Martin Velasco and Thomas Graney.</w:t>
      </w:r>
    </w:p>
    <w:p>
      <w:pPr>
        <w:spacing w:after="0" w:line="24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compensation, nomination and corporate governance committee is governed by a charter that complies with Nasdaq rules. The compensation, nomination and corporate governance committee has the responsibility to, among other things:</w:t>
      </w:r>
    </w:p>
    <w:p>
      <w:pPr>
        <w:spacing w:after="0" w:line="170" w:lineRule="exact"/>
        <w:rPr>
          <w:sz w:val="20"/>
          <w:szCs w:val="20"/>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recommend to the board the guidelines for the overall compensation and equity awards for the board of directors and executive officers along with the rationale for such recommendations;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recommend to the board the compensation of executive officers;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·propose the maximum total compensation of the board of directors and executive officers for approval at the Annual General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·periodically review policies and principles for the Company’s corporate governance;</w:t>
      </w:r>
    </w:p>
    <w:p>
      <w:pPr>
        <w:spacing w:after="0" w:line="225"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 the process for assessment of the performance of members of the board, its committees and individual members;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prepare and reviews the Company’s succession plan for members of the board and the executive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periodically review the Company’s code of conduct and recommends changes as needed;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recommend for presentation to our shareholders the compensation report for shareholder vote;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define guidelines for the selection of candidates for election or re-election as members of the board and our executive officers.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Swiss law requires that we adopt a compensation committee, so in accordance with Nasdaq Listing Rule 5615(a)(3), we will follow home country requirements with respect to the compensation, nomination and corporate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 requirements of Nasdaq Listing Rule 5605(e). We will be subject to the Swiss Ordinance Against Executive Compensation (Say on Pay) Rule. In addition, this committee will also be responsible for director and board committee nominations as well as reviewing and amending, if required, our corporate governance framework and guidelines.</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As of December 31, 2020, we employed 149 employees, 24 of whom were part-time employees. 69 of our employees hold Ph.D. degrees and 50 hold M.Sc. degrees. Our 149 employees are from more than 25 countries. The average number of employees (calculated on full-time equivalents) in 2020 was 134.4. As of December 31, 2019 and 2018 we had 132 and 104 employees, respectively. We have never had a work stoppage, and none of our employees is represented by a labor organization or under any collective-bargaining arrangements. We consider our employee relations to be good.</w:t>
      </w:r>
    </w:p>
    <w:p>
      <w:pPr>
        <w:spacing w:after="0" w:line="153"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7. Major shareholders and related-party transactions-A. Major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RELATED-PARTY TRANSACTIONS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relating to the beneficial ownership of our common shares as of the date of this Annual Report by:</w:t>
      </w:r>
    </w:p>
    <w:p>
      <w:pPr>
        <w:spacing w:after="0" w:line="22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2021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percentage of outstanding common shares is computed on the basis of 72,701,715 common shares outstanding as of March 1, 2021. Common shares that a person has the right to acquire within 60 days of March 1, 2021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1015 Lausanne, Switzerland.</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r>
      <w:tr>
        <w:trPr>
          <w:trHeight w:val="234"/>
        </w:trPr>
        <w:tc>
          <w:tcPr>
            <w:tcW w:w="8400" w:type="dxa"/>
            <w:vAlign w:val="bottom"/>
            <w:gridSpan w:val="2"/>
          </w:tcPr>
          <w:p>
            <w:pPr>
              <w:ind w:left="3680"/>
              <w:spacing w:after="0"/>
              <w:rPr>
                <w:sz w:val="20"/>
                <w:szCs w:val="20"/>
                <w:color w:val="auto"/>
              </w:rPr>
            </w:pPr>
            <w:r>
              <w:rPr>
                <w:rFonts w:ascii="Arial" w:cs="Arial" w:eastAsia="Arial" w:hAnsi="Arial"/>
                <w:sz w:val="18"/>
                <w:szCs w:val="18"/>
                <w:b w:val="1"/>
                <w:bCs w:val="1"/>
                <w:color w:val="auto"/>
              </w:rPr>
              <w:t>Shareholder</w:t>
            </w:r>
          </w:p>
        </w:tc>
        <w:tc>
          <w:tcPr>
            <w:tcW w:w="1440" w:type="dxa"/>
            <w:vAlign w:val="bottom"/>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owned (%)</w:t>
            </w:r>
          </w:p>
        </w:tc>
      </w:tr>
      <w:tr>
        <w:trPr>
          <w:trHeight w:val="210"/>
        </w:trPr>
        <w:tc>
          <w:tcPr>
            <w:tcW w:w="83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5% Shareholders</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400" w:type="dxa"/>
            <w:vAlign w:val="bottom"/>
            <w:tcBorders>
              <w:top w:val="single" w:sz="8" w:color="auto"/>
            </w:tcBorders>
            <w:shd w:val="clear" w:color="auto" w:fill="D5EAEA"/>
          </w:tcPr>
          <w:p>
            <w:pPr>
              <w:spacing w:after="0"/>
              <w:rPr>
                <w:sz w:val="18"/>
                <w:szCs w:val="18"/>
                <w:color w:val="auto"/>
              </w:rPr>
            </w:pPr>
          </w:p>
        </w:tc>
      </w:tr>
      <w:tr>
        <w:trPr>
          <w:trHeight w:val="256"/>
        </w:trPr>
        <w:tc>
          <w:tcPr>
            <w:tcW w:w="8400" w:type="dxa"/>
            <w:vAlign w:val="bottom"/>
            <w:gridSpan w:val="2"/>
          </w:tcPr>
          <w:p>
            <w:pPr>
              <w:spacing w:after="0" w:line="256"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29"/>
                <w:szCs w:val="29"/>
                <w:color w:val="auto"/>
                <w:vertAlign w:val="superscript"/>
              </w:rPr>
              <w:t>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18,041,000</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57"/>
        </w:trPr>
        <w:tc>
          <w:tcPr>
            <w:tcW w:w="840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Varuma AG</w:t>
            </w:r>
            <w:r>
              <w:rPr>
                <w:rFonts w:ascii="Arial" w:cs="Arial" w:eastAsia="Arial" w:hAnsi="Arial"/>
                <w:sz w:val="29"/>
                <w:szCs w:val="29"/>
                <w:color w:val="auto"/>
                <w:vertAlign w:val="superscript"/>
              </w:rPr>
              <w:t>2</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11,999,999</w:t>
            </w:r>
          </w:p>
        </w:tc>
        <w:tc>
          <w:tcPr>
            <w:tcW w:w="100" w:type="dxa"/>
            <w:vAlign w:val="bottom"/>
            <w:shd w:val="clear" w:color="auto" w:fill="D5EAEA"/>
          </w:tcPr>
          <w:p>
            <w:pPr>
              <w:spacing w:after="0"/>
              <w:rPr>
                <w:sz w:val="22"/>
                <w:szCs w:val="22"/>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16.5%</w:t>
            </w:r>
          </w:p>
        </w:tc>
      </w:tr>
      <w:tr>
        <w:trPr>
          <w:trHeight w:val="257"/>
        </w:trPr>
        <w:tc>
          <w:tcPr>
            <w:tcW w:w="8400" w:type="dxa"/>
            <w:vAlign w:val="bottom"/>
            <w:gridSpan w:val="2"/>
          </w:tcPr>
          <w:p>
            <w:pPr>
              <w:spacing w:after="0" w:line="256" w:lineRule="exact"/>
              <w:rPr>
                <w:sz w:val="20"/>
                <w:szCs w:val="20"/>
                <w:color w:val="auto"/>
              </w:rPr>
            </w:pPr>
            <w:r>
              <w:rPr>
                <w:rFonts w:ascii="Arial" w:cs="Arial" w:eastAsia="Arial" w:hAnsi="Arial"/>
                <w:sz w:val="18"/>
                <w:szCs w:val="18"/>
                <w:color w:val="auto"/>
              </w:rPr>
              <w:t>Biotechnology Value Fund (BVF) Inc.</w:t>
            </w:r>
            <w:r>
              <w:rPr>
                <w:rFonts w:ascii="Arial" w:cs="Arial" w:eastAsia="Arial" w:hAnsi="Arial"/>
                <w:sz w:val="29"/>
                <w:szCs w:val="29"/>
                <w:color w:val="auto"/>
                <w:vertAlign w:val="superscript"/>
              </w:rPr>
              <w:t>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7,916,658</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840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EcoR1 Capital, LLC</w:t>
            </w:r>
            <w:r>
              <w:rPr>
                <w:rFonts w:ascii="Arial" w:cs="Arial" w:eastAsia="Arial" w:hAnsi="Arial"/>
                <w:sz w:val="29"/>
                <w:szCs w:val="29"/>
                <w:color w:val="auto"/>
                <w:vertAlign w:val="superscript"/>
              </w:rPr>
              <w:t>4</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4,702,160</w:t>
            </w:r>
          </w:p>
        </w:tc>
        <w:tc>
          <w:tcPr>
            <w:tcW w:w="100" w:type="dxa"/>
            <w:vAlign w:val="bottom"/>
            <w:shd w:val="clear" w:color="auto" w:fill="D5EAEA"/>
          </w:tcPr>
          <w:p>
            <w:pPr>
              <w:spacing w:after="0"/>
              <w:rPr>
                <w:sz w:val="22"/>
                <w:szCs w:val="22"/>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6.5%</w:t>
            </w:r>
          </w:p>
        </w:tc>
      </w:tr>
      <w:tr>
        <w:trPr>
          <w:trHeight w:val="256"/>
        </w:trPr>
        <w:tc>
          <w:tcPr>
            <w:tcW w:w="8400" w:type="dxa"/>
            <w:vAlign w:val="bottom"/>
            <w:gridSpan w:val="2"/>
          </w:tcPr>
          <w:p>
            <w:pPr>
              <w:spacing w:after="0" w:line="256" w:lineRule="exact"/>
              <w:rPr>
                <w:sz w:val="20"/>
                <w:szCs w:val="20"/>
                <w:color w:val="auto"/>
              </w:rPr>
            </w:pPr>
            <w:r>
              <w:rPr>
                <w:rFonts w:ascii="Arial" w:cs="Arial" w:eastAsia="Arial" w:hAnsi="Arial"/>
                <w:sz w:val="18"/>
                <w:szCs w:val="18"/>
                <w:color w:val="auto"/>
              </w:rPr>
              <w:t>Eli Lilly and Company</w:t>
            </w:r>
            <w:r>
              <w:rPr>
                <w:rFonts w:ascii="Arial" w:cs="Arial" w:eastAsia="Arial" w:hAnsi="Arial"/>
                <w:sz w:val="29"/>
                <w:szCs w:val="29"/>
                <w:color w:val="auto"/>
                <w:vertAlign w:val="superscript"/>
              </w:rPr>
              <w:t>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3,615,328</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4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Executive Officers and Directors</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spacing w:after="0"/>
              <w:rPr>
                <w:sz w:val="18"/>
                <w:szCs w:val="18"/>
                <w:color w:val="auto"/>
              </w:rPr>
            </w:pPr>
          </w:p>
        </w:tc>
      </w:tr>
      <w:tr>
        <w:trPr>
          <w:trHeight w:val="256"/>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Andrea Pfeifer</w:t>
            </w:r>
            <w:r>
              <w:rPr>
                <w:rFonts w:ascii="Arial" w:cs="Arial" w:eastAsia="Arial" w:hAnsi="Arial"/>
                <w:sz w:val="29"/>
                <w:szCs w:val="29"/>
                <w:color w:val="auto"/>
                <w:vertAlign w:val="superscript"/>
              </w:rPr>
              <w:t>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2,675,887</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7"/>
        </w:trPr>
        <w:tc>
          <w:tcPr>
            <w:tcW w:w="840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Marie Kosco-Vilbois</w:t>
            </w:r>
            <w:r>
              <w:rPr>
                <w:rFonts w:ascii="Arial" w:cs="Arial" w:eastAsia="Arial" w:hAnsi="Arial"/>
                <w:sz w:val="29"/>
                <w:szCs w:val="29"/>
                <w:color w:val="auto"/>
                <w:vertAlign w:val="superscript"/>
              </w:rPr>
              <w:t>7</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2"/>
                <w:szCs w:val="22"/>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Johannes Rolf Streffer</w:t>
            </w:r>
            <w:r>
              <w:rPr>
                <w:rFonts w:ascii="Arial" w:cs="Arial" w:eastAsia="Arial" w:hAnsi="Arial"/>
                <w:sz w:val="29"/>
                <w:szCs w:val="29"/>
                <w:color w:val="auto"/>
                <w:vertAlign w:val="superscript"/>
              </w:rPr>
              <w:t>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Piergiorgio Donati</w:t>
            </w:r>
            <w:r>
              <w:rPr>
                <w:rFonts w:ascii="Arial" w:cs="Arial" w:eastAsia="Arial" w:hAnsi="Arial"/>
                <w:sz w:val="29"/>
                <w:szCs w:val="29"/>
                <w:color w:val="auto"/>
                <w:vertAlign w:val="superscript"/>
              </w:rPr>
              <w:t>9</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2"/>
                <w:szCs w:val="22"/>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Joerg Hornstein</w:t>
            </w:r>
            <w:r>
              <w:rPr>
                <w:rFonts w:ascii="Arial" w:cs="Arial" w:eastAsia="Arial" w:hAnsi="Arial"/>
                <w:sz w:val="29"/>
                <w:szCs w:val="29"/>
                <w:color w:val="auto"/>
                <w:vertAlign w:val="superscript"/>
              </w:rPr>
              <w:t>10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840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Jean-Fabien Monin</w:t>
            </w:r>
            <w:r>
              <w:rPr>
                <w:rFonts w:ascii="Arial" w:cs="Arial" w:eastAsia="Arial" w:hAnsi="Arial"/>
                <w:sz w:val="29"/>
                <w:szCs w:val="29"/>
                <w:color w:val="auto"/>
                <w:vertAlign w:val="superscript"/>
              </w:rPr>
              <w:t>11</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2"/>
                <w:szCs w:val="22"/>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Douglas Williams</w:t>
            </w:r>
            <w:r>
              <w:rPr>
                <w:rFonts w:ascii="Arial" w:cs="Arial" w:eastAsia="Arial" w:hAnsi="Arial"/>
                <w:sz w:val="29"/>
                <w:szCs w:val="29"/>
                <w:color w:val="auto"/>
                <w:vertAlign w:val="superscript"/>
              </w:rPr>
              <w:t>12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Martin Velasco</w:t>
            </w:r>
            <w:r>
              <w:rPr>
                <w:rFonts w:ascii="Arial" w:cs="Arial" w:eastAsia="Arial" w:hAnsi="Arial"/>
                <w:sz w:val="29"/>
                <w:szCs w:val="29"/>
                <w:color w:val="auto"/>
                <w:vertAlign w:val="superscript"/>
              </w:rPr>
              <w:t>13</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2"/>
                <w:szCs w:val="22"/>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Peter Bollmann</w:t>
            </w:r>
            <w:r>
              <w:rPr>
                <w:rFonts w:ascii="Arial" w:cs="Arial" w:eastAsia="Arial" w:hAnsi="Arial"/>
                <w:sz w:val="29"/>
                <w:szCs w:val="29"/>
                <w:color w:val="auto"/>
                <w:vertAlign w:val="superscript"/>
              </w:rPr>
              <w:t>14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840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Thomas Graney</w:t>
            </w:r>
            <w:r>
              <w:rPr>
                <w:rFonts w:ascii="Arial" w:cs="Arial" w:eastAsia="Arial" w:hAnsi="Arial"/>
                <w:sz w:val="29"/>
                <w:szCs w:val="29"/>
                <w:color w:val="auto"/>
                <w:vertAlign w:val="superscript"/>
              </w:rPr>
              <w:t>15</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2"/>
                <w:szCs w:val="22"/>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Werner Lanthaler</w:t>
            </w:r>
            <w:r>
              <w:rPr>
                <w:rFonts w:ascii="Arial" w:cs="Arial" w:eastAsia="Arial" w:hAnsi="Arial"/>
                <w:sz w:val="29"/>
                <w:szCs w:val="29"/>
                <w:color w:val="auto"/>
                <w:vertAlign w:val="superscript"/>
              </w:rPr>
              <w:t>16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Roy Twyman</w:t>
            </w:r>
            <w:r>
              <w:rPr>
                <w:rFonts w:ascii="Arial" w:cs="Arial" w:eastAsia="Arial" w:hAnsi="Arial"/>
                <w:sz w:val="29"/>
                <w:szCs w:val="29"/>
                <w:color w:val="auto"/>
                <w:vertAlign w:val="superscript"/>
              </w:rPr>
              <w:t>17</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2"/>
                <w:szCs w:val="22"/>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Carl June</w:t>
            </w:r>
            <w:r>
              <w:rPr>
                <w:rFonts w:ascii="Arial" w:cs="Arial" w:eastAsia="Arial" w:hAnsi="Arial"/>
                <w:sz w:val="29"/>
                <w:szCs w:val="29"/>
                <w:color w:val="auto"/>
                <w:vertAlign w:val="superscript"/>
              </w:rPr>
              <w:t>18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All executive officers and directors as a group (13 persons)</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4,048,942</w:t>
            </w: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w:t>
            </w:r>
          </w:p>
        </w:tc>
      </w:tr>
      <w:tr>
        <w:trPr>
          <w:trHeight w:val="236"/>
        </w:trPr>
        <w:tc>
          <w:tcPr>
            <w:tcW w:w="8300" w:type="dxa"/>
            <w:vAlign w:val="bottom"/>
          </w:tcPr>
          <w:p>
            <w:pPr>
              <w:spacing w:after="0" w:line="237" w:lineRule="exact"/>
              <w:rPr>
                <w:sz w:val="20"/>
                <w:szCs w:val="20"/>
                <w:color w:val="auto"/>
              </w:rPr>
            </w:pPr>
            <w:r>
              <w:rPr>
                <w:rFonts w:ascii="Arial" w:cs="Arial" w:eastAsia="Arial" w:hAnsi="Arial"/>
                <w:sz w:val="22"/>
                <w:szCs w:val="22"/>
                <w:color w:val="auto"/>
              </w:rPr>
              <w:t>_______________</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4"/>
          <w:szCs w:val="14"/>
          <w:color w:val="auto"/>
        </w:rPr>
        <w:t>* Indicates beneficial ownership of less than 1% of the total issued and outstanding common shares.</w:t>
      </w:r>
    </w:p>
    <w:p>
      <w:pPr>
        <w:spacing w:after="0" w:line="134" w:lineRule="exact"/>
        <w:rPr>
          <w:sz w:val="20"/>
          <w:szCs w:val="20"/>
          <w:color w:val="auto"/>
        </w:rPr>
      </w:pPr>
    </w:p>
    <w:p>
      <w:pPr>
        <w:ind w:right="260"/>
        <w:spacing w:after="0" w:line="221"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3"/>
          <w:szCs w:val="13"/>
          <w:color w:val="auto"/>
        </w:rPr>
        <w:t>Represents 18,041,000 shares held by dievini Hopp BioTech holding GmbH &amp; Co KG. Dietmar Hopp controls the voting and investment decisions of the ultimate parent company of dievini Hopp BioTech holding GmbH &amp; Co KG. The address for dievini Hopp BioTech holding GmbH &amp; Co KG is Johann-Jakob-Astor Str. 57, 69190 Walldorf, Germany.</w:t>
      </w:r>
    </w:p>
    <w:p>
      <w:pPr>
        <w:spacing w:after="0" w:line="126" w:lineRule="exact"/>
        <w:rPr>
          <w:sz w:val="20"/>
          <w:szCs w:val="20"/>
          <w:color w:val="auto"/>
        </w:rPr>
      </w:pPr>
    </w:p>
    <w:p>
      <w:pPr>
        <w:ind w:right="160"/>
        <w:spacing w:after="0" w:line="203"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Represents 11,999,999 shares held by Varuma AG set forth in a Schedule 13G/A filed with the SEC on February 12, 2019. The address for Varuma AG is Aeschenvorstadt 55, CH-4051 Basel, Switzerland. Rudolf Maag controls the voting and investment decisions of Varuma AG.</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3"/>
          <w:szCs w:val="13"/>
          <w:color w:val="auto"/>
        </w:rPr>
        <w:t>Based on information set forth in a Schedule 13G filed with the SEC by BVF on January 14, 2021, these shares consist of 7,916,658 shares held of record by BVF Inc. The address of BVF Inc.</w:t>
      </w:r>
    </w:p>
    <w:p>
      <w:pPr>
        <w:spacing w:after="0" w:line="201" w:lineRule="auto"/>
        <w:rPr>
          <w:sz w:val="20"/>
          <w:szCs w:val="20"/>
          <w:color w:val="auto"/>
        </w:rPr>
      </w:pPr>
      <w:r>
        <w:rPr>
          <w:rFonts w:ascii="Arial" w:cs="Arial" w:eastAsia="Arial" w:hAnsi="Arial"/>
          <w:sz w:val="14"/>
          <w:szCs w:val="14"/>
          <w:color w:val="auto"/>
        </w:rPr>
        <w:t>is 44 Montgomery St., 40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 San Francisco, California 94104.</w:t>
      </w:r>
    </w:p>
    <w:p>
      <w:pPr>
        <w:spacing w:after="0" w:line="73" w:lineRule="exact"/>
        <w:rPr>
          <w:sz w:val="20"/>
          <w:szCs w:val="20"/>
          <w:color w:val="auto"/>
        </w:rPr>
      </w:pPr>
    </w:p>
    <w:p>
      <w:pPr>
        <w:ind w:right="60"/>
        <w:spacing w:after="0" w:line="203" w:lineRule="auto"/>
        <w:rPr>
          <w:sz w:val="20"/>
          <w:szCs w:val="20"/>
          <w:color w:val="auto"/>
        </w:rPr>
      </w:pPr>
      <w:r>
        <w:rPr>
          <w:rFonts w:ascii="Arial" w:cs="Arial" w:eastAsia="Arial" w:hAnsi="Arial"/>
          <w:sz w:val="23"/>
          <w:szCs w:val="23"/>
          <w:color w:val="auto"/>
          <w:vertAlign w:val="superscript"/>
        </w:rPr>
        <w:t>4</w:t>
      </w:r>
      <w:r>
        <w:rPr>
          <w:rFonts w:ascii="Arial" w:cs="Arial" w:eastAsia="Arial" w:hAnsi="Arial"/>
          <w:sz w:val="14"/>
          <w:szCs w:val="14"/>
          <w:color w:val="auto"/>
        </w:rPr>
        <w:t>Based on information set forth in a Schedule 13G filed with the SEC by EcoR1 Capital on January 22, 2021, these shares consist of 4,702,160 shares held of record by EcoR1 Capital, LLC. The address of EcoR1 Capital, LLC is 357 Tehama Street #3, San Francisco, California 94103.</w:t>
      </w:r>
    </w:p>
    <w:p>
      <w:pPr>
        <w:spacing w:after="0" w:line="126" w:lineRule="exact"/>
        <w:rPr>
          <w:sz w:val="20"/>
          <w:szCs w:val="20"/>
          <w:color w:val="auto"/>
        </w:rPr>
      </w:pPr>
    </w:p>
    <w:p>
      <w:pPr>
        <w:ind w:right="320"/>
        <w:spacing w:after="0" w:line="203" w:lineRule="auto"/>
        <w:rPr>
          <w:sz w:val="20"/>
          <w:szCs w:val="20"/>
          <w:color w:val="auto"/>
        </w:rPr>
      </w:pPr>
      <w:r>
        <w:rPr>
          <w:rFonts w:ascii="Arial" w:cs="Arial" w:eastAsia="Arial" w:hAnsi="Arial"/>
          <w:sz w:val="23"/>
          <w:szCs w:val="23"/>
          <w:color w:val="auto"/>
          <w:vertAlign w:val="superscript"/>
        </w:rPr>
        <w:t>5</w:t>
      </w:r>
      <w:r>
        <w:rPr>
          <w:rFonts w:ascii="Arial" w:cs="Arial" w:eastAsia="Arial" w:hAnsi="Arial"/>
          <w:sz w:val="14"/>
          <w:szCs w:val="14"/>
          <w:color w:val="auto"/>
        </w:rPr>
        <w:t>Represents 3,615,328 shares that Lilly obtained as part of its conversion in April 2019 of the Convertible Note Agreement, which was deemed effective in January 2019. See “Note 9. Share Capital” in our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6</w:t>
      </w:r>
      <w:r>
        <w:rPr>
          <w:rFonts w:ascii="Arial" w:cs="Arial" w:eastAsia="Arial" w:hAnsi="Arial"/>
          <w:sz w:val="14"/>
          <w:szCs w:val="14"/>
          <w:color w:val="auto"/>
        </w:rPr>
        <w:t>Consists of 2,365,066 of our common shares and options to purchase 310,821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7</w:t>
      </w:r>
      <w:r>
        <w:rPr>
          <w:rFonts w:ascii="Arial" w:cs="Arial" w:eastAsia="Arial" w:hAnsi="Arial"/>
          <w:sz w:val="14"/>
          <w:szCs w:val="14"/>
          <w:color w:val="auto"/>
        </w:rPr>
        <w:t>Consists of 20,661 of our common shares and options to purchase 32,777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8</w:t>
      </w:r>
      <w:r>
        <w:rPr>
          <w:rFonts w:ascii="Arial" w:cs="Arial" w:eastAsia="Arial" w:hAnsi="Arial"/>
          <w:sz w:val="14"/>
          <w:szCs w:val="14"/>
          <w:color w:val="auto"/>
        </w:rPr>
        <w:t>Dr. Streffer holds neither common shares nor non-vested equity instruments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9</w:t>
      </w:r>
      <w:r>
        <w:rPr>
          <w:rFonts w:ascii="Arial" w:cs="Arial" w:eastAsia="Arial" w:hAnsi="Arial"/>
          <w:sz w:val="14"/>
          <w:szCs w:val="14"/>
          <w:color w:val="auto"/>
        </w:rPr>
        <w:t>Consists of 4,500 of our common shares and options to purchase 28,158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10</w:t>
      </w:r>
      <w:r>
        <w:rPr>
          <w:rFonts w:ascii="Arial" w:cs="Arial" w:eastAsia="Arial" w:hAnsi="Arial"/>
          <w:sz w:val="14"/>
          <w:szCs w:val="14"/>
          <w:color w:val="auto"/>
        </w:rPr>
        <w:t>Consists of 0 of our common shares and options to purchase 303,950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11</w:t>
      </w:r>
      <w:r>
        <w:rPr>
          <w:rFonts w:ascii="Arial" w:cs="Arial" w:eastAsia="Arial" w:hAnsi="Arial"/>
          <w:sz w:val="14"/>
          <w:szCs w:val="14"/>
          <w:color w:val="auto"/>
        </w:rPr>
        <w:t>Consists of 291,593 of our common shares and options to purchase 24,759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12</w:t>
      </w:r>
      <w:r>
        <w:rPr>
          <w:rFonts w:ascii="Arial" w:cs="Arial" w:eastAsia="Arial" w:hAnsi="Arial"/>
          <w:sz w:val="14"/>
          <w:szCs w:val="14"/>
          <w:color w:val="auto"/>
        </w:rPr>
        <w:t>Consists of 12,818 of our common shares and options to purchase 23,295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13</w:t>
      </w:r>
      <w:r>
        <w:rPr>
          <w:rFonts w:ascii="Arial" w:cs="Arial" w:eastAsia="Arial" w:hAnsi="Arial"/>
          <w:sz w:val="14"/>
          <w:szCs w:val="14"/>
          <w:color w:val="auto"/>
        </w:rPr>
        <w:t>Consists of 456,078 of our common shares and options to purchase 21,023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14</w:t>
      </w:r>
      <w:r>
        <w:rPr>
          <w:rFonts w:ascii="Arial" w:cs="Arial" w:eastAsia="Arial" w:hAnsi="Arial"/>
          <w:sz w:val="14"/>
          <w:szCs w:val="14"/>
          <w:color w:val="auto"/>
        </w:rPr>
        <w:t>Consists of 46,609 of our common shares and options to purchase 18,750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15</w:t>
      </w:r>
      <w:r>
        <w:rPr>
          <w:rFonts w:ascii="Arial" w:cs="Arial" w:eastAsia="Arial" w:hAnsi="Arial"/>
          <w:sz w:val="14"/>
          <w:szCs w:val="14"/>
          <w:color w:val="auto"/>
        </w:rPr>
        <w:t>Consists of 15,851 of our common shares and options to purchase 18,750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16</w:t>
      </w:r>
      <w:r>
        <w:rPr>
          <w:rFonts w:ascii="Arial" w:cs="Arial" w:eastAsia="Arial" w:hAnsi="Arial"/>
          <w:sz w:val="14"/>
          <w:szCs w:val="14"/>
          <w:color w:val="auto"/>
        </w:rPr>
        <w:t>Consists of 9,922 of our common shares and options to purchase 18,750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17</w:t>
      </w:r>
      <w:r>
        <w:rPr>
          <w:rFonts w:ascii="Arial" w:cs="Arial" w:eastAsia="Arial" w:hAnsi="Arial"/>
          <w:sz w:val="14"/>
          <w:szCs w:val="14"/>
          <w:color w:val="auto"/>
        </w:rPr>
        <w:t>Consists of 0 of our common shares and options to purchase 24,811 of our common shares exercisable within 60 days of March 1, 2021.</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18</w:t>
      </w:r>
      <w:r>
        <w:rPr>
          <w:rFonts w:ascii="Arial" w:cs="Arial" w:eastAsia="Arial" w:hAnsi="Arial"/>
          <w:sz w:val="14"/>
          <w:szCs w:val="14"/>
          <w:color w:val="auto"/>
        </w:rPr>
        <w:t>Dr. June holds neither common shares nor non-vested equity instruments exercisable within 60 days of March 1, 2021.</w:t>
      </w:r>
    </w:p>
    <w:p>
      <w:pPr>
        <w:sectPr>
          <w:pgSz w:w="11900" w:h="16838" w:orient="portrait"/>
          <w:cols w:equalWidth="0" w:num="1">
            <w:col w:w="11240"/>
          </w:cols>
          <w:pgMar w:left="320" w:top="225" w:right="339" w:bottom="1440" w:gutter="0" w:footer="0" w:header="0"/>
        </w:sectPr>
      </w:pP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0" w:name="page141"/>
    <w:bookmarkEnd w:id="1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As of March 1, 2021, we had approximately 229 shareholders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ownership by major shareholders</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have experienced significant changes in the percentage ownership held by major shareholders as a result of our IPO. Prior to our IPO in September 2016, our principal shareholders were dievini Hopp BioTech holding GmbH &amp; Co KG and Varuma AG, which held shares representing 36.5% and 23.1% prior to our IPO, respectively. As of March 1, 2021, dievini Hopp BioTech holding GmbH &amp; Co KG and Varuma AG held 24.8% and 16.5% of our common shares, respectively. BVF Inc. decreased its holdings from 15.8% to 10.9% of our outstanding common shares and EcoR1 Capital, LLC held 6.5% of our outstanding common shares in 2020. Finally, Lilly continued to hold shares representing 5% beneficial ownership as of March 1, 2021.</w:t>
      </w:r>
    </w:p>
    <w:p>
      <w:pPr>
        <w:spacing w:after="0" w:line="16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July 2018, we completed three offerings of our common shares. In these offerings, we issued and sold 10,000,000 common shares, including 1,108,695 sold to the underwriters pursuant to the underwriters’ over-allotment option. The percentage ownership held by certain shareholders decreased as a result of the issuance of the common shares sold by us in these offerings.</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September 2016, we completed our IPO and listed our common shares on the Nasdaq Global Market. In the IPO, we issued and sold 6,900,000 common shares, including 900,000 common shares sold to the underwriters pursuant to the underwriters’ over-allotment option. While none of our existing shareholders sold common shares in the IPO, the percentage ownership held by certain shareholders decreased as a result of the issuance of the common shares sold by us in the IPO.</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Related-party transactions</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July 2018, as part of the Company’s previously announced second subscription rights offering, a major shareholder and members of the board and executive management purchased an aggregate of 614,147 of the Company’s common shares on the same basis and otherwise on the same terms as the other participants in such rights offering.</w:t>
      </w:r>
    </w:p>
    <w:p>
      <w:pPr>
        <w:spacing w:after="0" w:line="18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above transaction represents the only related-party transactions we have entered into since January 1, 2018 with any of our executive officers, directors and holders of more than 10% of any class of our voting securities, or any member of the immediate family of any of the foregoing persons, other than the compensation arrangements we describe under “Item 6. Directors, senior management and employees–B.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360" w:firstLine="324"/>
        <w:spacing w:after="0" w:line="287"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certain investors in the Series E Private Placement pursuant to which we granted them certain demand and piggyback registration rights for the resale of the common shares held by them, as described below. The registration rights described below will expire on the earlier to occur of (i) the fifth anniversary of the completion of our IPO and</w:t>
      </w:r>
    </w:p>
    <w:p>
      <w:pPr>
        <w:spacing w:after="0" w:line="2" w:lineRule="exact"/>
        <w:rPr>
          <w:sz w:val="20"/>
          <w:szCs w:val="20"/>
          <w:color w:val="auto"/>
        </w:rPr>
      </w:pPr>
    </w:p>
    <w:p>
      <w:pPr>
        <w:ind w:right="60" w:firstLine="8"/>
        <w:spacing w:after="0" w:line="255" w:lineRule="auto"/>
        <w:tabs>
          <w:tab w:leader="none" w:pos="2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Pursuant to the terms of the registration rights agreement, a shareholder or group of shareholders holding at least 10% of our outstanding common shares may request that we effect a registration under the Securities Act of all or any portion of such requesting shareholders’ registrable securities. As of March 1, 2021 dievini Hopp BioTech holding GmbH &amp; Co KG and Varuma AG were our only shareholders party to the registration rights agreement who held at least 10% of our outstanding commons shares, and together they beneficially held 30,040,999 of our common shares, representing approximately 41.3% of the voting power of our common shares outstanding as of March 1, 2021. At least 10 business days prior to the anticipated filing date of the registration statement relating to such demand registration, we must give all other shareholders party to the registration rights agreement notice of such requested registration. Within 5 business days of such notice, any of</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other shareholders party to the registration rights agreement may request that we also effect the registration of the registrable securities held by them.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will not be required to effect a registration of all such registrable securities unless the aggregate proceeds expected to be received from the sale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registrable securities equals or exceeds USD 10 million or such lesser amount that constitutes all of the requesting shareholders’ registrable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USD 5 million). In no event will we be required to effect more than two demand registrations or underwritten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 downs referred to under “Shelf registration rights” below. Depending on certain conditions, we may postpone a demand registration on two occasions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any period of 12 consecutive months for up to 90 days.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add any of their remaining registrable securities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Pursuant to the terms of the registration rights agreement,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As of March 1, 2021 dievini Hopp BioTech holding GmbH &amp; Co KG and Varuma AG were our only shareholders party to the registration rights agreement who held at least 10% of our outstanding commons shares, representing approximately 41.3% of the voting power of our common shares outstanding. We will only be required to effect one public offering from such shelf registration statement within any six-month period, each of which shall be deemed to constitute a demand registration for purposes of the number of demand registrations we are required to effect as described under “Demand registration rights” above.</w:t>
      </w:r>
    </w:p>
    <w:p>
      <w:pPr>
        <w:spacing w:after="0" w:line="17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October 2020 and August 2018, respectively, we filed registration statements on Form F-3 to register the resale of two of our shareholder’s common shares pursuant to the requirements of the registration rights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 policy</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Prior to our IPO, we entered into a new related-person transaction policy under which any such transaction must be approved or ratified by the audit and finance committee. The board of directors reviews the policy on a yearly basis and has, lastly, determined that it adequately covers the requirements of Sarbanes-Oxley control mechanisms.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executive management</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connection with our IPO, our articles of association require us to indemnify our directors and executive management to the fullest extent permitted by law.</w:t>
      </w:r>
    </w:p>
    <w:p>
      <w:pPr>
        <w:spacing w:after="0" w:line="166" w:lineRule="exact"/>
        <w:rPr>
          <w:sz w:val="20"/>
          <w:szCs w:val="20"/>
          <w:color w:val="auto"/>
        </w:rPr>
      </w:pPr>
    </w:p>
    <w:p>
      <w:pPr>
        <w:ind w:left="340" w:right="8500" w:hanging="332"/>
        <w:spacing w:after="0" w:line="500" w:lineRule="auto"/>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right="6560" w:firstLine="8"/>
        <w:spacing w:after="0" w:line="503" w:lineRule="auto"/>
        <w:tabs>
          <w:tab w:leader="none" w:pos="32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Financial statements</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18. Financial statements,” which contains our financial statements prepared in accordance with IFRS.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the management’s estimation, we may record reserves in our financial statements for pending litigation and other claims.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policy</w:t>
      </w:r>
    </w:p>
    <w:p>
      <w:pPr>
        <w:spacing w:after="0" w:line="229" w:lineRule="exact"/>
        <w:rPr>
          <w:sz w:val="20"/>
          <w:szCs w:val="20"/>
          <w:color w:val="auto"/>
        </w:rPr>
      </w:pPr>
    </w:p>
    <w:p>
      <w:pPr>
        <w:jc w:val="both"/>
        <w:ind w:firstLine="415"/>
        <w:spacing w:after="0" w:line="263"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4"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Under Swiss law, any dividend must be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Arial" w:cs="Arial" w:eastAsia="Arial" w:hAnsi="Arial"/>
          <w:sz w:val="18"/>
          <w:szCs w:val="18"/>
          <w:i w:val="1"/>
          <w:iCs w:val="1"/>
          <w:color w:val="auto"/>
        </w:rPr>
        <w:t>report des bénéfices</w:t>
      </w:r>
      <w:r>
        <w:rPr>
          <w:rFonts w:ascii="Arial" w:cs="Arial" w:eastAsia="Arial" w:hAnsi="Arial"/>
          <w:sz w:val="18"/>
          <w:szCs w:val="18"/>
          <w:color w:val="auto"/>
        </w:rPr>
        <w:t>) or if it has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w:t>
      </w:r>
      <w:r>
        <w:rPr>
          <w:rFonts w:ascii="Arial" w:cs="Arial" w:eastAsia="Arial" w:hAnsi="Arial"/>
          <w:sz w:val="18"/>
          <w:szCs w:val="18"/>
          <w:color w:val="auto"/>
        </w:rPr>
        <w:t>”). Distributions out of nominal share capital, which is the aggregate nominal value of a corporation’s issued shares, may be made only by way of a share capital reduction.</w:t>
      </w:r>
    </w:p>
    <w:p>
      <w:pPr>
        <w:spacing w:after="0" w:line="19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Significant changes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left="340" w:right="8520" w:hanging="332"/>
        <w:spacing w:after="0" w:line="563" w:lineRule="auto"/>
        <w:tabs>
          <w:tab w:leader="none" w:pos="34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Offering and listing details </w:t>
      </w:r>
      <w:r>
        <w:rPr>
          <w:rFonts w:ascii="Arial" w:cs="Arial" w:eastAsia="Arial" w:hAnsi="Arial"/>
          <w:sz w:val="16"/>
          <w:szCs w:val="16"/>
          <w:color w:val="auto"/>
        </w:rPr>
        <w:t>See “Item 9–C. Markets” below.</w:t>
      </w:r>
    </w:p>
    <w:p>
      <w:pPr>
        <w:ind w:left="340" w:right="9340" w:hanging="332"/>
        <w:spacing w:after="0" w:line="563" w:lineRule="auto"/>
        <w:tabs>
          <w:tab w:leader="none" w:pos="34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340" w:hanging="332"/>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common shares trade on the Nasdaq Global Market under the symbol “ACIU.”</w:t>
      </w:r>
    </w:p>
    <w:p>
      <w:pPr>
        <w:spacing w:after="0" w:line="221" w:lineRule="exact"/>
        <w:rPr>
          <w:rFonts w:ascii="Arial" w:cs="Arial" w:eastAsia="Arial" w:hAnsi="Arial"/>
          <w:sz w:val="18"/>
          <w:szCs w:val="18"/>
          <w:b w:val="1"/>
          <w:bCs w:val="1"/>
          <w:color w:val="auto"/>
        </w:rPr>
      </w:pPr>
    </w:p>
    <w:p>
      <w:pPr>
        <w:ind w:left="340" w:right="9300" w:hanging="332"/>
        <w:spacing w:after="0" w:line="601" w:lineRule="auto"/>
        <w:tabs>
          <w:tab w:leader="none" w:pos="34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340" w:hanging="332"/>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right="9240" w:hanging="332"/>
        <w:spacing w:after="0" w:line="563" w:lineRule="auto"/>
        <w:tabs>
          <w:tab w:leader="none" w:pos="34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ind w:left="340" w:right="9740" w:hanging="332"/>
        <w:spacing w:after="0" w:line="629" w:lineRule="auto"/>
        <w:tabs>
          <w:tab w:leader="none" w:pos="34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ectPr>
          <w:pgSz w:w="11900" w:h="16838" w:orient="portrait"/>
          <w:cols w:equalWidth="0" w:num="1">
            <w:col w:w="11180"/>
          </w:cols>
          <w:pgMar w:left="320" w:top="225" w:right="399" w:bottom="1440" w:gutter="0" w:footer="0" w:header="0"/>
        </w:sectPr>
      </w:pP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143" w:name="page144"/>
    <w:bookmarkEnd w:id="1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Please see the Articles of Association of AC Immune SA (Exhibit 3.1 to this Form 20-F).</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Except as otherwise disclosed in this Annual Report on Form 20-F (including the Exhibits), we are not currently, and have not been in the past 2 years, party to any material contract, other than contracts entered into in the ordinary course of business.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Exchange controls</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US and regulations thereunder as of the date hereof, which are subject to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consider the specific circumstances of any particular shareholder or potential investor and does not relate to persons in the business of buying and selling common shares or other securities. The summary is not intended to be, and should not be interpreted as, legal or tax advice to any particular potential shareholder, and no representation with respect to the tax consequences to any particular shareholder is made.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Current and prospective shareholders are advised to consult their own tax advisors in light of their particular circumstances as to the Swiss tax laws, regulations and regulatory practices that could be relevant to them in connection with the acquiring, owning and selling or otherwise disposing of common shares and receiving dividends and similar cash or in-kind distributions on common shares (including dividends on liquidation proceeds and stock dividends) or distributions on common shares based upon a capital reduction (</w:t>
      </w:r>
      <w:r>
        <w:rPr>
          <w:rFonts w:ascii="Arial" w:cs="Arial" w:eastAsia="Arial" w:hAnsi="Arial"/>
          <w:sz w:val="16"/>
          <w:szCs w:val="16"/>
          <w:i w:val="1"/>
          <w:iCs w:val="1"/>
          <w:color w:val="auto"/>
        </w:rPr>
        <w:t>remboursements de la valeur nominale</w:t>
      </w:r>
      <w:r>
        <w:rPr>
          <w:rFonts w:ascii="Arial" w:cs="Arial" w:eastAsia="Arial" w:hAnsi="Arial"/>
          <w:sz w:val="16"/>
          <w:szCs w:val="16"/>
          <w:color w:val="auto"/>
        </w:rPr>
        <w:t>) or reserves paid out of capital contributions (</w:t>
      </w:r>
      <w:r>
        <w:rPr>
          <w:rFonts w:ascii="Arial" w:cs="Arial" w:eastAsia="Arial" w:hAnsi="Arial"/>
          <w:sz w:val="16"/>
          <w:szCs w:val="16"/>
          <w:i w:val="1"/>
          <w:iCs w:val="1"/>
          <w:color w:val="auto"/>
        </w:rPr>
        <w:t>réserves sur les apports en capital</w:t>
      </w:r>
      <w:r>
        <w:rPr>
          <w:rFonts w:ascii="Arial" w:cs="Arial" w:eastAsia="Arial" w:hAnsi="Arial"/>
          <w:sz w:val="16"/>
          <w:szCs w:val="16"/>
          <w:color w:val="auto"/>
        </w:rPr>
        <w:t>) and the consequences thereof under the tax laws, regulations and regulatory practices of Switzerland.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AC Immune</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AC Immune is subject to corporate Swiss federal, cantonal and communal taxation in Switzerland, Canton of Vaud, Commune of Ecublens, near Lausanne, respectively.</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are entitled under Swiss laws to carry forward any losses incurred for a period of 7 years and can offset our losses carried forward against future taxes. As of December 31, 2020, we had tax loss carry-forwards totaling CHF 121.9 million. There is no certainty that we will make sufficient profits to be able to utilize these tax loss carry-forwards in full.</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corporate income tax rate (federal, cantonal and communal) where we are domiciled is currently 13.63%.</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of January 1, 2020, the Company may request a tax relief of 60%, which would be applied to income from patents and similar rights at communal and cantonal levels. Additionally, a so-called “super-deduction” may be granted for payroll and other expenses of research and development of Swiss origins.</w:t>
      </w:r>
    </w:p>
    <w:p>
      <w:pPr>
        <w:spacing w:after="0" w:line="18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However, the aforementioned tax relief based on the patent box and deductions for research and development may not exceed 50% of the overall taxable profit before these tax relief and deductions.</w:t>
      </w:r>
    </w:p>
    <w:p>
      <w:pPr>
        <w:spacing w:after="0" w:line="17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Notwithstanding the corporate income tax, the corporate capital is taxed at a rate of 0.13% (cantonal and communal tax only, as there is no federal tax on capital). As of January 1, 2020 the capital attributable to patents and similar rights is considered with 50% relief in the capital tax calculation.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Federal, cantonal and communal individual income tax and corporate income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termed, “Non-resident shareholders”), will not be subject to any Swiss federal, cantonal and communal income tax on dividends and similar cash or in-kind distributions on Shares (including liquidation proceeds and stock dividends) (for the purposes of this section,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on shares, or capital gains realized on the sale or other disposition of shares (see, however, “—</w:t>
      </w:r>
      <w:r>
        <w:rPr>
          <w:rFonts w:ascii="Arial" w:cs="Arial" w:eastAsia="Arial" w:hAnsi="Arial"/>
          <w:sz w:val="17"/>
          <w:szCs w:val="17"/>
          <w:i w:val="1"/>
          <w:iCs w:val="1"/>
          <w:color w:val="auto"/>
        </w:rPr>
        <w:t>Swiss federal withholding tax”</w:t>
      </w:r>
      <w:r>
        <w:rPr>
          <w:rFonts w:ascii="Arial" w:cs="Arial" w:eastAsia="Arial" w:hAnsi="Arial"/>
          <w:sz w:val="17"/>
          <w:szCs w:val="17"/>
          <w:color w:val="auto"/>
        </w:rPr>
        <w:t xml:space="preserve"> below for a summary of Swiss federal withholding tax on dividends.)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Swiss-resident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distributions paid out of reserves from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in their personal income tax return and are subject to Swiss federal, cantonal and communal income tax on any net taxable income for the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w:t>
      </w:r>
      <w:r>
        <w:rPr>
          <w:rFonts w:ascii="Arial" w:cs="Arial" w:eastAsia="Arial" w:hAnsi="Arial"/>
          <w:sz w:val="16"/>
          <w:szCs w:val="16"/>
          <w:color w:val="auto"/>
        </w:rPr>
        <w:t xml:space="preserve"> </w:t>
      </w:r>
      <w:r>
        <w:rPr>
          <w:rFonts w:ascii="Arial" w:cs="Arial" w:eastAsia="Arial" w:hAnsi="Arial"/>
          <w:sz w:val="16"/>
          <w:szCs w:val="16"/>
          <w:i w:val="1"/>
          <w:iCs w:val="1"/>
          <w:color w:val="auto"/>
        </w:rPr>
        <w:t>des actions</w:t>
      </w:r>
      <w:r>
        <w:rPr>
          <w:rFonts w:ascii="Arial" w:cs="Arial" w:eastAsia="Arial" w:hAnsi="Arial"/>
          <w:sz w:val="16"/>
          <w:szCs w:val="16"/>
          <w:color w:val="auto"/>
        </w:rPr>
        <w:t>) and distributions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Shareholders holding at least 10% of the share capital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may be able to deduct their taxable dividends at 30% at the federal level and up to 50% at the cantonal level, depending on their respective cantonal rates, as partial relief from economic double taxation. Capital gains resulting from the sale or other disposition of shares are, subject to a few exceptions,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shareholders</w:t>
      </w:r>
      <w:r>
        <w:rPr>
          <w:rFonts w:ascii="Arial" w:cs="Arial" w:eastAsia="Arial" w:hAnsi="Arial"/>
          <w:sz w:val="16"/>
          <w:szCs w:val="16"/>
          <w:color w:val="auto"/>
        </w:rPr>
        <w:t>” below for a summary of the taxation treatment applicable to Swiss-resident individuals, who, for income tax purposes, are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securities dealers” or are otherwise deemed to hold Company shares in their commercial wealth.</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Domestic commercial shareholders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corporate taxpayers may be eligible for tax relief (</w:t>
      </w:r>
      <w:r>
        <w:rPr>
          <w:rFonts w:ascii="Arial" w:cs="Arial" w:eastAsia="Arial" w:hAnsi="Arial"/>
          <w:sz w:val="18"/>
          <w:szCs w:val="18"/>
          <w:i w:val="1"/>
          <w:iCs w:val="1"/>
          <w:color w:val="auto"/>
        </w:rPr>
        <w:t>réduction pour participations</w:t>
      </w:r>
      <w:r>
        <w:rPr>
          <w:rFonts w:ascii="Arial" w:cs="Arial" w:eastAsia="Arial" w:hAnsi="Arial"/>
          <w:sz w:val="18"/>
          <w:szCs w:val="18"/>
          <w:color w:val="auto"/>
        </w:rPr>
        <w:t>) in respect of dividends and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distributions paid out of reserves from capital contributions (</w:t>
      </w:r>
      <w:r>
        <w:rPr>
          <w:rFonts w:ascii="Arial" w:cs="Arial" w:eastAsia="Arial" w:hAnsi="Arial"/>
          <w:sz w:val="18"/>
          <w:szCs w:val="18"/>
          <w:i w:val="1"/>
          <w:iCs w:val="1"/>
          <w:color w:val="auto"/>
        </w:rPr>
        <w:t>apports de</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 as well as capital gains on sales of shares, if the Shares held by them as part of a Swiss business have an aggregate market value of at least CHF 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represent 10% or more of the outstanding share capital of the Company (in the case of capital gains, if the shares have been held for at least one year).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their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distributions paid out of reserves from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 Non-resident shareholder may be entitled to a partial or full refund, as the case may be,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 xml:space="preserve">The Company will be subject to and pay to the Swiss Federal Tax Administration a 1% Swiss federal issuance stamp duty (droit de timbre </w:t>
      </w:r>
      <w:r>
        <w:rPr>
          <w:rFonts w:ascii="Arial" w:cs="Arial" w:eastAsia="Arial" w:hAnsi="Arial"/>
          <w:sz w:val="16"/>
          <w:szCs w:val="16"/>
          <w:i w:val="1"/>
          <w:iCs w:val="1"/>
          <w:color w:val="auto"/>
        </w:rPr>
        <w:t>d’émissions</w:t>
      </w:r>
      <w:r>
        <w:rPr>
          <w:rFonts w:ascii="Arial" w:cs="Arial" w:eastAsia="Arial" w:hAnsi="Arial"/>
          <w:sz w:val="16"/>
          <w:szCs w:val="16"/>
          <w:color w:val="auto"/>
        </w:rPr>
        <w:t>) on the consideration received for the issuance of the shares less certain costs incurred in connection with the issuance. The issuance and delivery of the shares to the initial shareholders at the offering price is not subject to Swiss federal securities transfer stamp duty (</w:t>
      </w:r>
      <w:r>
        <w:rPr>
          <w:rFonts w:ascii="Arial" w:cs="Arial" w:eastAsia="Arial" w:hAnsi="Arial"/>
          <w:sz w:val="16"/>
          <w:szCs w:val="16"/>
          <w:i w:val="1"/>
          <w:iCs w:val="1"/>
          <w:color w:val="auto"/>
        </w:rPr>
        <w:t>droit de timbre de négociation</w:t>
      </w:r>
      <w:r>
        <w:rPr>
          <w:rFonts w:ascii="Arial" w:cs="Arial" w:eastAsia="Arial" w:hAnsi="Arial"/>
          <w:sz w:val="16"/>
          <w:szCs w:val="16"/>
          <w:color w:val="auto"/>
        </w:rPr>
        <w:t>).</w:t>
      </w:r>
    </w:p>
    <w:p>
      <w:pPr>
        <w:spacing w:after="0" w:line="14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Any subsequent dealings in the shares, for which a bank or another securities dealer in Switzerland, as defined in the Swiss Federal Stamp Tax Act, acts as an intermediary, or is a party, to the transaction, are, subject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certain exemptions provided for in the Swiss Federal Stamp Tax Act, subject to Swiss securities transfer stamp duty tax at an aggregate tax rate of up to 0.15% of the consideration paid for such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following is a description of the material US federal income tax consequences to US Holders, as defined below, of owning and disposing of our common shares. It does not describe all tax considerations that may be relevant to a particular person’s decision to acquire common shares.</w:t>
      </w:r>
    </w:p>
    <w:p>
      <w:pPr>
        <w:spacing w:after="0" w:line="12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Holders whose functional currency for US federal income tax purposes is not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shares, by vote or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US.</w:t>
      </w:r>
    </w:p>
    <w:p>
      <w:pPr>
        <w:spacing w:after="0" w:line="22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advisors as to the particular US federal income tax consequences of owning and disposing of the common shares.</w:t>
      </w:r>
    </w:p>
    <w:p>
      <w:pPr>
        <w:spacing w:after="0" w:line="149" w:lineRule="exact"/>
        <w:rPr>
          <w:sz w:val="20"/>
          <w:szCs w:val="20"/>
          <w:color w:val="auto"/>
        </w:rPr>
      </w:pPr>
    </w:p>
    <w:p>
      <w:pPr>
        <w:ind w:right="80" w:firstLine="366"/>
        <w:spacing w:after="0" w:line="263"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US (the “Treaty”) all as of the date hereof, any of which is subject to change or differing interpretations, possibly with retroactive effect.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 any of the following:</w:t>
      </w:r>
    </w:p>
    <w:p>
      <w:pPr>
        <w:spacing w:after="0" w:line="211"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US, any state therein or the District of Columbia;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US Holders should be aware that the Company has determined that it was likely a PFIC for 2019, and may be a PFIC in 2020 or one or more future years, which could result in adverse US federal income tax consequences for US Holders. See “—PFIC rules” below. US Holders should consult their tax advisors concerning the US federal, state, local and non-US tax consequences of owning and disposing of common shares in their particular circumstances, including the consequences to them under the PFIC rules discussed below.</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discussed above under “Dividends and dividend policy,” we do not currently expect to make distributions on our common shares. In the event that we do make distributions of cash or other property, subject to the PFIC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6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US Holders should consult their tax advisors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advisors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Subject to the PFIC rules described below, gain or loss realized on the sale or other disposition of common shares will be capital gain or loss, and will be long-term capital gain or loss if the US Holder held the common shares for more than 1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(PFIC) rules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For purposes of the above calculations, we will be treated as if we hold our proportionate share of the assets of, and directly receive our proportionate share of the income of, any other corporation in which we directly or indirectly own at least 25%, by value, of the shares of such corporation. Passive income generally includes interest, dividends, rents, certain non-active royalties and capital gains. Although we have not obtained independent valuations of our assets during 2020 and thus are not in a position to make a definitive determination as to whether we were a PFIC in 2020, based on our income and assets during 2020 and certain estimates and assumptions, including as to both the total value and the relative value of our assets as implied by our market capitalization during 2019, we believe that it is likely that we were a PFIC in 2020. In addition, it is possible that we may also be a PFIC in 2021 or one or more future years because, among other things, (i) we may not generate a substantial amount of non-passive gross income, for US federal income tax purposes, in any year, (ii) we currently own, and expect to continue to own, a substantial amount of passive assets, including cash, and (iii) the estimated valuation, for PFIC purposes, of our assets that generate non-passive income for PFIC purposes, including our intangible assets, is likely to be dependent in</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large part on our market capitalization and is therefore uncertain and may vary substantially over time. Accordingly, there can be no assurance that we will not be a PFIC in 2021 or any future taxable year.</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we were a PFIC in 2020 or in any future year during which a US investor held or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If we were a PFIC in 2020 or in any future year during which a US investor held or holds common shares (assuming such US Holder has not made a timely mark-to-market election, as further described below), any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any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3 years or the US Holder’s holding period, whichever is shorter, that distribution would be subject to taxation in the same manner as gain, described immediately above.</w:t>
      </w:r>
    </w:p>
    <w:p>
      <w:pPr>
        <w:spacing w:after="0" w:line="16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this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in order to avoid the application of the foregoing rules, a US person who owns stock in a PFIC for US federal income tax purposes may make a “qualified electing fund” (QEF) election with respect to such PFIC if the PFIC provides the information necessary for such election to be made. If a US person makes a QEF election with respect to a PFIC, the US person will be currently taxable on their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the information necessary for US Holders to make QEF elections.</w:t>
      </w:r>
    </w:p>
    <w:p>
      <w:pPr>
        <w:spacing w:after="0" w:line="192" w:lineRule="exact"/>
        <w:rPr>
          <w:sz w:val="20"/>
          <w:szCs w:val="20"/>
          <w:color w:val="auto"/>
        </w:rPr>
      </w:pPr>
    </w:p>
    <w:p>
      <w:pPr>
        <w:jc w:val="both"/>
        <w:ind w:right="140" w:firstLine="324"/>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Internal Revenue Service (IRS) Form 8621 (or any successor form) with respect to us, generally with the holder’s federal income tax return for that year.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Holders should consult their tax advisors concerning our potential PFIC status and the potential application of the PFIC rules.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Payments of dividends and sales proceeds that are made within the US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they are not subject to backup withholding.</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the Holder to a refund, provided that the required information is furnished in a timely manner to the 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advisors regarding the effect, if any, of this legislation on their ownership and disposition of the common shares.</w:t>
      </w:r>
    </w:p>
    <w:p>
      <w:pPr>
        <w:spacing w:after="0" w:line="183" w:lineRule="exact"/>
        <w:rPr>
          <w:sz w:val="20"/>
          <w:szCs w:val="20"/>
          <w:color w:val="auto"/>
        </w:rPr>
      </w:pPr>
    </w:p>
    <w:p>
      <w:pPr>
        <w:ind w:left="380" w:right="8620" w:hanging="372"/>
        <w:spacing w:after="0" w:line="500" w:lineRule="auto"/>
        <w:tabs>
          <w:tab w:leader="none" w:pos="335"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9200" w:hanging="332"/>
        <w:spacing w:after="0" w:line="563" w:lineRule="auto"/>
        <w:tabs>
          <w:tab w:leader="none" w:pos="34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340" w:hanging="332"/>
        <w:spacing w:after="0"/>
        <w:tabs>
          <w:tab w:leader="none" w:pos="3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140" w:firstLine="369"/>
        <w:spacing w:after="0" w:line="275" w:lineRule="auto"/>
        <w:rPr>
          <w:sz w:val="20"/>
          <w:szCs w:val="20"/>
          <w:color w:val="auto"/>
        </w:rPr>
      </w:pPr>
      <w:r>
        <w:rPr>
          <w:rFonts w:ascii="Arial" w:cs="Arial" w:eastAsia="Arial" w:hAnsi="Arial"/>
          <w:sz w:val="17"/>
          <w:szCs w:val="17"/>
          <w:color w:val="auto"/>
        </w:rPr>
        <w:t>We are subject to the informational requirements of the Exchange Act. Accordingly, we are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such as us, that file electronically with the SEC. The address of that website is www.sec.gov.</w:t>
      </w:r>
    </w:p>
    <w:p>
      <w:pPr>
        <w:spacing w:after="0" w:line="17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Additionally, pursuant to Swiss law, any shareholder of record has the right to receive a free copy of this Annual Report and to inspect this Annual Report at any time at our registered office in Ecublens, near Lausanne, Canton of Vaud, Switzerland.</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67"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ind w:right="180" w:firstLine="369"/>
        <w:spacing w:after="0" w:line="263" w:lineRule="auto"/>
        <w:rPr>
          <w:sz w:val="20"/>
          <w:szCs w:val="20"/>
          <w:color w:val="auto"/>
        </w:rPr>
      </w:pPr>
      <w:r>
        <w:rPr>
          <w:rFonts w:ascii="Arial" w:cs="Arial" w:eastAsia="Arial" w:hAnsi="Arial"/>
          <w:sz w:val="18"/>
          <w:szCs w:val="18"/>
          <w:color w:val="auto"/>
        </w:rPr>
        <w:t>The Company’s activities expose it to the following financial risks: market risk (currency and interest rate risk), credit risk and liquidity risk. The Company’s overall risk management program focuses on the unpredictability of financial markets and seeks to minimize potential adverse effects on the Company’s financial performance.</w:t>
      </w:r>
    </w:p>
    <w:p>
      <w:pPr>
        <w:spacing w:after="0" w:line="184"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the policy of matching its cash holdings to the currency structure of its expenses. As of December 31, 2020, the Company holds almost 95% of its overall cash and cash equivalents balance in CHF with the remainder predominantly in EUR and USD (see “Note 6. Cash and cash equivalents and financial assets” of the financial statements). The Company holds almost 96% of its liquidity (cash and cash equivalents plus short-term financial assets) in CHF.</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 number of collaboration agreements for which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39% of our total costs are incurred in currencies other than the Swiss Franc. Due to the size of some of the income received from collaboration agreements and also the high percentage of our costs indirectly being in foreign currencies, a hypothetical 10% change in exchange rates relative to the Swiss Franc could have a material impact on our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maintain financial instruments in accordance with our treasury management policy. The primary objectives of our policy are to preserve principal, maintain proper liquidity and meet operating needs. Our financial assets are subject to interest rate risk and will decrease in value if market interest rates increase. Due to the current negative interest rates in Switzerland and our policy to maintain the majority of our cash and cash equivalents in our functional currency.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220" w:firstLine="324"/>
        <w:spacing w:after="0" w:line="301" w:lineRule="auto"/>
        <w:rPr>
          <w:sz w:val="20"/>
          <w:szCs w:val="20"/>
          <w:color w:val="auto"/>
        </w:rPr>
      </w:pPr>
      <w:r>
        <w:rPr>
          <w:rFonts w:ascii="Arial" w:cs="Arial" w:eastAsia="Arial" w:hAnsi="Arial"/>
          <w:sz w:val="16"/>
          <w:szCs w:val="16"/>
          <w:color w:val="auto"/>
        </w:rPr>
        <w:t>The Company maintains a formal treasury risk and investment management policy to limit counterparty credit risk. As of December 31, 2020, the Company’s cash and cash equivalents and short-term financial assets are held with four financial institutions, each with a high credit rating assigned by international credit-rating agencies. The maximum amount of credit risk is the carrying amount of the financial assets. Receivables are fully performing, not past due and not impaired (see “Note 6. Cash and cash equivalents and financial assets” and “Note 8. Other current receivables”).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w:t>
      </w:r>
    </w:p>
    <w:p>
      <w:pPr>
        <w:spacing w:after="0" w:line="12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Based on the Company’s current liquidity position, comprised of cash and cash equivalents and short-term financial assets, the Company is well financed through Q1 2024, excluding any potential milestones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both"/>
        <w:ind w:left="340" w:right="9740" w:hanging="332"/>
        <w:spacing w:after="0" w:line="601" w:lineRule="auto"/>
        <w:tabs>
          <w:tab w:leader="none" w:pos="340"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340" w:right="9300" w:hanging="332"/>
        <w:spacing w:after="0" w:line="629" w:lineRule="auto"/>
        <w:tabs>
          <w:tab w:leader="none" w:pos="34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340" w:right="9660" w:hanging="332"/>
        <w:spacing w:after="0" w:line="563" w:lineRule="auto"/>
        <w:tabs>
          <w:tab w:leader="none" w:pos="34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ind w:left="320" w:right="8740" w:hanging="312"/>
        <w:spacing w:after="0" w:line="500" w:lineRule="auto"/>
        <w:tabs>
          <w:tab w:leader="none" w:pos="323"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American depositary shares </w:t>
      </w:r>
      <w:r>
        <w:rPr>
          <w:rFonts w:ascii="Arial" w:cs="Arial" w:eastAsia="Arial" w:hAnsi="Arial"/>
          <w:sz w:val="18"/>
          <w:szCs w:val="18"/>
          <w:color w:val="auto"/>
        </w:rPr>
        <w:t>Not applicable.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5"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Defaults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 matters to report.</w:t>
      </w:r>
    </w:p>
    <w:p>
      <w:pPr>
        <w:spacing w:after="0" w:line="221" w:lineRule="exact"/>
        <w:rPr>
          <w:rFonts w:ascii="Arial" w:cs="Arial" w:eastAsia="Arial" w:hAnsi="Arial"/>
          <w:sz w:val="18"/>
          <w:szCs w:val="18"/>
          <w:b w:val="1"/>
          <w:bCs w:val="1"/>
          <w:color w:val="auto"/>
        </w:rPr>
      </w:pPr>
    </w:p>
    <w:p>
      <w:pPr>
        <w:ind w:left="340" w:right="8860" w:hanging="332"/>
        <w:spacing w:after="0" w:line="563" w:lineRule="auto"/>
        <w:tabs>
          <w:tab w:leader="none" w:pos="34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Arrears and delinquencies </w:t>
      </w:r>
      <w:r>
        <w:rPr>
          <w:rFonts w:ascii="Arial" w:cs="Arial" w:eastAsia="Arial" w:hAnsi="Arial"/>
          <w:sz w:val="16"/>
          <w:szCs w:val="16"/>
          <w:color w:val="auto"/>
        </w:rPr>
        <w:t>No matters to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5" w:lineRule="exact"/>
        <w:rPr>
          <w:sz w:val="20"/>
          <w:szCs w:val="20"/>
          <w:color w:val="auto"/>
        </w:rPr>
      </w:pPr>
    </w:p>
    <w:p>
      <w:pPr>
        <w:ind w:left="340" w:right="9700" w:hanging="332"/>
        <w:spacing w:after="0" w:line="601" w:lineRule="auto"/>
        <w:tabs>
          <w:tab w:leader="none" w:pos="34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Use of proceeds </w:t>
      </w:r>
      <w:r>
        <w:rPr>
          <w:rFonts w:ascii="Arial" w:cs="Arial" w:eastAsia="Arial" w:hAnsi="Arial"/>
          <w:sz w:val="15"/>
          <w:szCs w:val="15"/>
          <w:color w:val="auto"/>
        </w:rPr>
        <w:t>Not applicable.</w:t>
      </w: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Disclosure controls and procedures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December 31, 2020,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Based on such evaluation, our Chief Executive Officer and Chief Financial Officer concluded that our disclosure controls and procedures were effective in recording, processing, summarizing and reporting on a timely basis the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Annual Report on internal control over financial reporting</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by the Committee of Sponsoring Organizations of the Treadway Commission. Based on that evaluation, our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Chief Financial Officer concluded that our internal control over financial reporting was effective as of December 31, 2020.</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the registered public accounting firm</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an exemption provided to emerging growth companies under the JOBS Act.</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year ended December 31, 2020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Our board of directors has determined that Peter Bollmann, Thomas Graney, Werner Lanthaler and Martin Velasco are audit committee financial experts, as that term is defined by the SEC, and are independent for the purposes of SEC and Nasdaq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applies to all of our directors, executive officers and employees. We have published our Code of Business Conduct and Ethics on our website, </w:t>
      </w:r>
      <w:r>
        <w:rPr>
          <w:rFonts w:ascii="Arial" w:cs="Arial" w:eastAsia="Arial" w:hAnsi="Arial"/>
          <w:sz w:val="17"/>
          <w:szCs w:val="17"/>
          <w:i w:val="1"/>
          <w:iCs w:val="1"/>
          <w:color w:val="auto"/>
        </w:rPr>
        <w:t>www.acimmune.com</w:t>
      </w:r>
      <w:r>
        <w:rPr>
          <w:rFonts w:ascii="Arial" w:cs="Arial" w:eastAsia="Arial" w:hAnsi="Arial"/>
          <w:sz w:val="17"/>
          <w:szCs w:val="17"/>
          <w:color w:val="auto"/>
        </w:rPr>
        <w:t>. The information contained on our website is not a part of this Annual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ITEM 16C. Principal accountant fees and services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Years Ended</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Audit fees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300</w:t>
            </w:r>
          </w:p>
        </w:tc>
      </w:tr>
      <w:tr>
        <w:trPr>
          <w:trHeight w:val="230"/>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Audit-related fees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fees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344</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For the year ended December 31, 2020, PricewaterhouseCoopers SA (PwC) was the Company’s auditor for the IFRS and statutory accounts. At the ordinary Annual General Meeting on June 26, 2020, the shareholders appointed PwC as the Company’s auditor for a term of office of 1 year.</w:t>
      </w:r>
    </w:p>
    <w:p>
      <w:pPr>
        <w:spacing w:after="0" w:line="12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0D0E00"/>
        </w:rPr>
        <w:t>Audit fees for services provided by PwC in 2020 include the standard audit work performed each fiscal year that is necessary to allow the auditor to issue an opinion on our financial statements and to issue an opinion on the local statutory financial statements. Audit fees also include services that can be provided only by the external auditor such as reviews of quarterly financial results and review of our shelf registration statements and prospectus offerings.</w:t>
      </w:r>
    </w:p>
    <w:p>
      <w:pPr>
        <w:spacing w:after="0" w:line="14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Audit-related fees consisted of fees billed for assurance and related services that were reasonably related to the performance of the audit or review of our financial statements or for services that were traditionally performed by the external auditor.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0D0E00"/>
        </w:rPr>
        <w:t>In accordance with the requirements of the US Sarbanes-Oxley Act of 2002 and rules issued by the SEC, we review and pre-approve any services performed by PwC. The procedure requires that all proposed future engagements of PwC for audit and permitted non-audit services are submitted to the Audit and Finance Committee for approval prior to the beginning of any such services. In accordance with this policy, all services performed by and fees paid to PwC in this Item 16C, were approved by the Audit and Finance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no purchases of our equity securities were made by or on behalf of AC Immune SA or any affiliated purchaser.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significant corporate governance differences from Nasdaq listing standards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common shares are listed on the Nasdaq Global Market. We are therefore required to comply with certain of the Nasdaq’s corporate governance listing standards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Independent directors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nomination and corporate governance committee</w:t>
      </w:r>
    </w:p>
    <w:p>
      <w:pPr>
        <w:spacing w:after="0" w:line="22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Swiss law requires that we have a compensation, nomination and corporate governance committee, we will follow home country requirements with respect to such committee. As a result, our practice will vary from the requirements of Nasdaq Listing Rule 5605(d), which sets forth certain requirements as to the responsibilities, composition and independence of compensation, nomination and corporate governance committees.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Quorum requirements</w:t>
      </w:r>
    </w:p>
    <w:p>
      <w:pPr>
        <w:spacing w:after="0" w:line="22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Solicitation of proxies</w:t>
      </w:r>
    </w:p>
    <w:p>
      <w:pPr>
        <w:spacing w:after="0" w:line="225" w:lineRule="exact"/>
        <w:rPr>
          <w:sz w:val="20"/>
          <w:szCs w:val="20"/>
          <w:color w:val="auto"/>
        </w:rPr>
      </w:pPr>
    </w:p>
    <w:p>
      <w:pPr>
        <w:ind w:right="460" w:firstLine="324"/>
        <w:spacing w:after="0" w:line="257" w:lineRule="auto"/>
        <w:rPr>
          <w:sz w:val="20"/>
          <w:szCs w:val="20"/>
          <w:color w:val="auto"/>
        </w:rPr>
      </w:pPr>
      <w:r>
        <w:rPr>
          <w:rFonts w:ascii="Arial" w:cs="Arial" w:eastAsia="Arial" w:hAnsi="Arial"/>
          <w:sz w:val="18"/>
          <w:szCs w:val="18"/>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approval</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4" w:name="page155"/>
    <w:bookmarkEnd w:id="154"/>
    <w:p>
      <w:pPr>
        <w:spacing w:after="0" w:line="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responded to Item 18 in lieu of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Statements are filed as part of this Annual Report, see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Annual Report on Form 20-F:</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2.1</w:t>
            </w:r>
          </w:p>
        </w:tc>
        <w:tc>
          <w:tcPr>
            <w:tcW w:w="9680" w:type="dxa"/>
            <w:vAlign w:val="bottom"/>
            <w:tcBorders>
              <w:bottom w:val="single" w:sz="8" w:color="0000EE"/>
            </w:tcBorders>
            <w:gridSpan w:val="20"/>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Registration Rights Agreement (incorporated herein by reference to Exhibit 4.1 to the Company’s Registration Statement on Form F-1</w:t>
              </w:r>
            </w:hyperlink>
          </w:p>
        </w:tc>
        <w:tc>
          <w:tcPr>
            <w:tcW w:w="16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gridSpan w:val="24"/>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(File No. 333-211714) filed with the SEC on May 31, 2016)</w:t>
              </w:r>
            </w:hyperlink>
          </w:p>
        </w:tc>
      </w:tr>
      <w:tr>
        <w:trPr>
          <w:trHeight w:val="222"/>
        </w:trPr>
        <w:tc>
          <w:tcPr>
            <w:tcW w:w="1360" w:type="dxa"/>
            <w:vAlign w:val="bottom"/>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3.1*</w:t>
              </w:r>
            </w:hyperlink>
          </w:p>
        </w:tc>
        <w:tc>
          <w:tcPr>
            <w:tcW w:w="432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Articles of Association of AC Immune SA</w:t>
              </w:r>
            </w:hyperlink>
          </w:p>
        </w:tc>
        <w:tc>
          <w:tcPr>
            <w:tcW w:w="5520" w:type="dxa"/>
            <w:vAlign w:val="bottom"/>
            <w:gridSpan w:val="18"/>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956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Research Collaboration and License Agreement between AC Immune SA Corporation and Genentech, Inc. dated November 6, 2006</w:t>
              </w:r>
            </w:hyperlink>
          </w:p>
        </w:tc>
        <w:tc>
          <w:tcPr>
            <w:tcW w:w="280" w:type="dxa"/>
            <w:vAlign w:val="bottom"/>
            <w:gridSpan w:val="7"/>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(incorporated herein by reference to Exhibit 10.1 to the Company’s Registration Statement on Form F-1 (File No. 333-211714) filed</w:t>
              </w:r>
            </w:hyperlink>
          </w:p>
        </w:tc>
        <w:tc>
          <w:tcPr>
            <w:tcW w:w="3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3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with the SEC on May 31, 2016)</w:t>
              </w:r>
            </w:hyperlink>
          </w:p>
        </w:tc>
        <w:tc>
          <w:tcPr>
            <w:tcW w:w="7540" w:type="dxa"/>
            <w:vAlign w:val="bottom"/>
            <w:gridSpan w:val="2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95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Amendment to the Research Collaboration and License Agreement between AC Immune SA Corporation and Genentech, Inc. dated</w:t>
              </w:r>
            </w:hyperlink>
          </w:p>
        </w:tc>
        <w:tc>
          <w:tcPr>
            <w:tcW w:w="3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May 7, 2015 (incorporated herein by reference to Exhibit 10.2 to the Company’s Registration Statement on Form F-1 (File No. 333-</w:t>
              </w:r>
            </w:hyperlink>
          </w:p>
        </w:tc>
        <w:tc>
          <w:tcPr>
            <w:tcW w:w="3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gridSpan w:val="24"/>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211714) filed with the SEC on May 31, 2016)</w:t>
              </w:r>
            </w:hyperlink>
          </w:p>
        </w:tc>
      </w:tr>
      <w:tr>
        <w:trPr>
          <w:trHeight w:val="20"/>
        </w:trPr>
        <w:tc>
          <w:tcPr>
            <w:tcW w:w="13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9840" w:type="dxa"/>
            <w:vAlign w:val="bottom"/>
            <w:gridSpan w:val="24"/>
          </w:tcPr>
          <w:p>
            <w:pPr>
              <w:spacing w:after="0" w:line="196" w:lineRule="exact"/>
              <w:rPr>
                <w:rFonts w:ascii="Arial" w:cs="Arial" w:eastAsia="Arial" w:hAnsi="Arial"/>
                <w:sz w:val="18"/>
                <w:szCs w:val="18"/>
                <w:color w:val="0000EE"/>
                <w:w w:val="96"/>
              </w:rPr>
            </w:pPr>
            <w:hyperlink r:id="rId209">
              <w:r>
                <w:rPr>
                  <w:rFonts w:ascii="Arial" w:cs="Arial" w:eastAsia="Arial" w:hAnsi="Arial"/>
                  <w:sz w:val="18"/>
                  <w:szCs w:val="18"/>
                  <w:color w:val="0000EE"/>
                  <w:w w:val="96"/>
                </w:rPr>
                <w:t>Research Collaboration and License Agreement between AC Immune SA Corporation and Genentech, Inc. dated June 15, 2012</w:t>
              </w:r>
            </w:hyperlink>
          </w:p>
        </w:tc>
      </w:tr>
      <w:tr>
        <w:trPr>
          <w:trHeight w:val="20"/>
        </w:trPr>
        <w:tc>
          <w:tcPr>
            <w:tcW w:w="13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(incorporated herein by reference to Exhibit 10.3 to the Company’s Registration Statement on Form F-1 (File No. 333-211714) filed</w:t>
              </w:r>
            </w:hyperlink>
          </w:p>
        </w:tc>
        <w:tc>
          <w:tcPr>
            <w:tcW w:w="3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3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with the SEC on May 31, 2016)</w:t>
              </w:r>
            </w:hyperlink>
          </w:p>
        </w:tc>
        <w:tc>
          <w:tcPr>
            <w:tcW w:w="7540" w:type="dxa"/>
            <w:vAlign w:val="bottom"/>
            <w:gridSpan w:val="2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9840" w:type="dxa"/>
            <w:vAlign w:val="bottom"/>
            <w:gridSpan w:val="24"/>
          </w:tcPr>
          <w:p>
            <w:pPr>
              <w:spacing w:after="0" w:line="196" w:lineRule="exact"/>
              <w:rPr>
                <w:rFonts w:ascii="Arial" w:cs="Arial" w:eastAsia="Arial" w:hAnsi="Arial"/>
                <w:sz w:val="18"/>
                <w:szCs w:val="18"/>
                <w:color w:val="0000EE"/>
                <w:w w:val="94"/>
              </w:rPr>
            </w:pPr>
            <w:hyperlink r:id="rId210">
              <w:r>
                <w:rPr>
                  <w:rFonts w:ascii="Arial" w:cs="Arial" w:eastAsia="Arial" w:hAnsi="Arial"/>
                  <w:sz w:val="18"/>
                  <w:szCs w:val="18"/>
                  <w:color w:val="0000EE"/>
                  <w:w w:val="94"/>
                </w:rPr>
                <w:t>License and Collaboration Agreement between Piramal Imaging Ltd., Piramal Imaging SA and AC Immune SA, dated May 9, 2014</w:t>
              </w:r>
            </w:hyperlink>
          </w:p>
        </w:tc>
      </w:tr>
      <w:tr>
        <w:trPr>
          <w:trHeight w:val="20"/>
        </w:trPr>
        <w:tc>
          <w:tcPr>
            <w:tcW w:w="13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(incorporated herein by reference to Exhibit 10.4 to the Company’s Registration Statement on Form F-1 (File No. 333-211714) filed</w:t>
              </w:r>
            </w:hyperlink>
          </w:p>
        </w:tc>
        <w:tc>
          <w:tcPr>
            <w:tcW w:w="3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3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with the SEC on May 31, 2016)</w:t>
              </w:r>
            </w:hyperlink>
          </w:p>
        </w:tc>
        <w:tc>
          <w:tcPr>
            <w:tcW w:w="7540" w:type="dxa"/>
            <w:vAlign w:val="bottom"/>
            <w:gridSpan w:val="2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9840" w:type="dxa"/>
            <w:vAlign w:val="bottom"/>
            <w:gridSpan w:val="24"/>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License, Development and Commercialization Agreement between Janssen Pharmaceuticals, Inc. and AC Immune SA, dated December</w:t>
              </w:r>
            </w:hyperlink>
          </w:p>
        </w:tc>
      </w:tr>
      <w:tr>
        <w:trPr>
          <w:trHeight w:val="20"/>
        </w:trPr>
        <w:tc>
          <w:tcPr>
            <w:tcW w:w="13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24, 2014 (incorporated herein by reference to Exhibit 10.5 to the Company’s Registration Statement on Form F-1 (File No. 333-211714)</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gridSpan w:val="24"/>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filed with the SEC on May 31, 2016)</w:t>
              </w:r>
            </w:hyperlink>
          </w:p>
        </w:tc>
      </w:tr>
      <w:tr>
        <w:trPr>
          <w:trHeight w:val="20"/>
        </w:trPr>
        <w:tc>
          <w:tcPr>
            <w:tcW w:w="13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98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Form of Indemnity Agreement (incorporated herein by reference to Exhibit 10.6 to the Company’s Registration Statement on Form F-1</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gridSpan w:val="24"/>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(File No. 333-211714) filed with the SEC on May 31, 2016)</w:t>
              </w:r>
            </w:hyperlink>
          </w:p>
        </w:tc>
      </w:tr>
      <w:tr>
        <w:trPr>
          <w:trHeight w:val="20"/>
        </w:trPr>
        <w:tc>
          <w:tcPr>
            <w:tcW w:w="136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98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AC Immune SA 2013 Equity Incentive Plan (incorporated herein by reference to Exhibit 10.7 to the Company’s Registration Statement</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gridSpan w:val="24"/>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on Form F-1 (File No. 333-211714) filed with the SEC on May 31, 2016)</w:t>
              </w:r>
            </w:hyperlink>
          </w:p>
        </w:tc>
      </w:tr>
      <w:tr>
        <w:trPr>
          <w:trHeight w:val="20"/>
        </w:trPr>
        <w:tc>
          <w:tcPr>
            <w:tcW w:w="136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9840" w:type="dxa"/>
            <w:vAlign w:val="bottom"/>
            <w:gridSpan w:val="24"/>
          </w:tcPr>
          <w:p>
            <w:pPr>
              <w:spacing w:after="0" w:line="196" w:lineRule="exact"/>
              <w:rPr>
                <w:rFonts w:ascii="Arial" w:cs="Arial" w:eastAsia="Arial" w:hAnsi="Arial"/>
                <w:sz w:val="18"/>
                <w:szCs w:val="18"/>
                <w:color w:val="0000EE"/>
                <w:w w:val="95"/>
              </w:rPr>
            </w:pPr>
            <w:hyperlink r:id="rId214">
              <w:r>
                <w:rPr>
                  <w:rFonts w:ascii="Arial" w:cs="Arial" w:eastAsia="Arial" w:hAnsi="Arial"/>
                  <w:sz w:val="18"/>
                  <w:szCs w:val="18"/>
                  <w:color w:val="0000EE"/>
                  <w:w w:val="95"/>
                </w:rPr>
                <w:t>Subscription Agreement among Fidelity entities and AC Immune SA, dated October 16, 2015 (incorporated herein by reference to</w:t>
              </w:r>
            </w:hyperlink>
          </w:p>
        </w:tc>
      </w:tr>
      <w:tr>
        <w:trPr>
          <w:trHeight w:val="222"/>
        </w:trPr>
        <w:tc>
          <w:tcPr>
            <w:tcW w:w="1360" w:type="dxa"/>
            <w:vAlign w:val="bottom"/>
          </w:tcPr>
          <w:p>
            <w:pPr>
              <w:spacing w:after="0"/>
              <w:rPr>
                <w:sz w:val="19"/>
                <w:szCs w:val="19"/>
                <w:color w:val="auto"/>
              </w:rPr>
            </w:pPr>
          </w:p>
        </w:tc>
        <w:tc>
          <w:tcPr>
            <w:tcW w:w="9380" w:type="dxa"/>
            <w:vAlign w:val="bottom"/>
            <w:tcBorders>
              <w:top w:val="single" w:sz="8" w:color="0000EE"/>
            </w:tcBorders>
            <w:gridSpan w:val="13"/>
          </w:tcPr>
          <w:p>
            <w:pPr>
              <w:spacing w:after="0"/>
              <w:rPr>
                <w:rFonts w:ascii="Arial" w:cs="Arial" w:eastAsia="Arial" w:hAnsi="Arial"/>
                <w:sz w:val="18"/>
                <w:szCs w:val="18"/>
                <w:u w:val="single" w:color="auto"/>
                <w:color w:val="0000EE"/>
                <w:w w:val="93"/>
              </w:rPr>
            </w:pPr>
            <w:hyperlink r:id="rId214">
              <w:r>
                <w:rPr>
                  <w:rFonts w:ascii="Arial" w:cs="Arial" w:eastAsia="Arial" w:hAnsi="Arial"/>
                  <w:sz w:val="18"/>
                  <w:szCs w:val="18"/>
                  <w:u w:val="single" w:color="auto"/>
                  <w:color w:val="0000EE"/>
                  <w:w w:val="93"/>
                </w:rPr>
                <w:t>Exhibit 10.8 to the Company’s Registration Statement on Form F-1 (File No. 333-211714) filed with the SEC on May 31, 2016)</w:t>
              </w:r>
            </w:hyperlink>
          </w:p>
        </w:tc>
        <w:tc>
          <w:tcPr>
            <w:tcW w:w="460" w:type="dxa"/>
            <w:vAlign w:val="bottom"/>
            <w:gridSpan w:val="11"/>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4.9</w:t>
            </w:r>
          </w:p>
        </w:tc>
        <w:tc>
          <w:tcPr>
            <w:tcW w:w="9840" w:type="dxa"/>
            <w:vAlign w:val="bottom"/>
            <w:gridSpan w:val="24"/>
          </w:tcPr>
          <w:p>
            <w:pPr>
              <w:spacing w:after="0" w:line="190"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Subscription Agreement among Temasek entities and AC Immune SA, dated October 16, 2015 (incorporated herein by reference to</w:t>
              </w:r>
            </w:hyperlink>
          </w:p>
        </w:tc>
      </w:tr>
      <w:tr>
        <w:trPr>
          <w:trHeight w:val="222"/>
        </w:trPr>
        <w:tc>
          <w:tcPr>
            <w:tcW w:w="1360" w:type="dxa"/>
            <w:vAlign w:val="bottom"/>
          </w:tcPr>
          <w:p>
            <w:pPr>
              <w:spacing w:after="0"/>
              <w:rPr>
                <w:sz w:val="19"/>
                <w:szCs w:val="19"/>
                <w:color w:val="auto"/>
              </w:rPr>
            </w:pPr>
          </w:p>
        </w:tc>
        <w:tc>
          <w:tcPr>
            <w:tcW w:w="9500" w:type="dxa"/>
            <w:vAlign w:val="bottom"/>
            <w:tcBorders>
              <w:top w:val="single" w:sz="8" w:color="0000EE"/>
            </w:tcBorders>
            <w:gridSpan w:val="14"/>
          </w:tcPr>
          <w:p>
            <w:pPr>
              <w:spacing w:after="0"/>
              <w:rPr>
                <w:rFonts w:ascii="Arial" w:cs="Arial" w:eastAsia="Arial" w:hAnsi="Arial"/>
                <w:sz w:val="18"/>
                <w:szCs w:val="18"/>
                <w:u w:val="single" w:color="auto"/>
                <w:color w:val="0000EE"/>
                <w:w w:val="94"/>
              </w:rPr>
            </w:pPr>
            <w:hyperlink r:id="rId215">
              <w:r>
                <w:rPr>
                  <w:rFonts w:ascii="Arial" w:cs="Arial" w:eastAsia="Arial" w:hAnsi="Arial"/>
                  <w:sz w:val="18"/>
                  <w:szCs w:val="18"/>
                  <w:u w:val="single" w:color="auto"/>
                  <w:color w:val="0000EE"/>
                  <w:w w:val="94"/>
                </w:rPr>
                <w:t>Exhibit 10.9 to the Company’s Registration Statement on Form F-1 (File No. 333-211714) filed with the SEC on May 31, 2016)</w:t>
              </w:r>
            </w:hyperlink>
          </w:p>
        </w:tc>
        <w:tc>
          <w:tcPr>
            <w:tcW w:w="340" w:type="dxa"/>
            <w:vAlign w:val="bottom"/>
            <w:gridSpan w:val="10"/>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4.10</w:t>
            </w:r>
          </w:p>
        </w:tc>
        <w:tc>
          <w:tcPr>
            <w:tcW w:w="9840" w:type="dxa"/>
            <w:vAlign w:val="bottom"/>
            <w:gridSpan w:val="24"/>
          </w:tcPr>
          <w:p>
            <w:pPr>
              <w:spacing w:after="0" w:line="190" w:lineRule="exact"/>
              <w:rPr>
                <w:rFonts w:ascii="Arial" w:cs="Arial" w:eastAsia="Arial" w:hAnsi="Arial"/>
                <w:sz w:val="18"/>
                <w:szCs w:val="18"/>
                <w:color w:val="0000EE"/>
                <w:w w:val="99"/>
              </w:rPr>
            </w:pPr>
            <w:hyperlink r:id="rId216">
              <w:r>
                <w:rPr>
                  <w:rFonts w:ascii="Arial" w:cs="Arial" w:eastAsia="Arial" w:hAnsi="Arial"/>
                  <w:sz w:val="18"/>
                  <w:szCs w:val="18"/>
                  <w:color w:val="0000EE"/>
                  <w:w w:val="99"/>
                </w:rPr>
                <w:t>Stock Option Plan - AC Immune of December 31, 2004 (incorporated herein by reference to Exhibit 99.03 to the Company’s</w:t>
              </w:r>
            </w:hyperlink>
          </w:p>
        </w:tc>
      </w:tr>
      <w:tr>
        <w:trPr>
          <w:trHeight w:val="196"/>
        </w:trPr>
        <w:tc>
          <w:tcPr>
            <w:tcW w:w="136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Registration Statement on Form S-8, filed with the SEC on September 29, 2016)</w:t>
              </w:r>
            </w:hyperlink>
          </w:p>
        </w:tc>
        <w:tc>
          <w:tcPr>
            <w:tcW w:w="3180" w:type="dxa"/>
            <w:vAlign w:val="bottom"/>
            <w:tcBorders>
              <w:top w:val="single" w:sz="8" w:color="0000EE"/>
            </w:tcBorders>
          </w:tcPr>
          <w:p>
            <w:pPr>
              <w:spacing w:after="0"/>
              <w:rPr>
                <w:sz w:val="17"/>
                <w:szCs w:val="17"/>
                <w:color w:val="auto"/>
              </w:rPr>
            </w:pPr>
          </w:p>
        </w:tc>
        <w:tc>
          <w:tcPr>
            <w:tcW w:w="860" w:type="dxa"/>
            <w:vAlign w:val="bottom"/>
            <w:gridSpan w:val="1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4.11</w:t>
            </w:r>
          </w:p>
        </w:tc>
        <w:tc>
          <w:tcPr>
            <w:tcW w:w="98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Employee Stock Option and Share Plan of AC Immune (2005 Plan) (incorporated herein by reference to Exhibit 99.02 to the Company’s</w:t>
              </w:r>
            </w:hyperlink>
          </w:p>
        </w:tc>
      </w:tr>
      <w:tr>
        <w:trPr>
          <w:trHeight w:val="196"/>
        </w:trPr>
        <w:tc>
          <w:tcPr>
            <w:tcW w:w="1360" w:type="dxa"/>
            <w:vAlign w:val="bottom"/>
          </w:tcPr>
          <w:p>
            <w:pPr>
              <w:spacing w:after="0"/>
              <w:rPr>
                <w:sz w:val="17"/>
                <w:szCs w:val="17"/>
                <w:color w:val="auto"/>
              </w:rPr>
            </w:pPr>
          </w:p>
        </w:tc>
        <w:tc>
          <w:tcPr>
            <w:tcW w:w="58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Registration Statement on Form S-8, filed with the SEC on September 29, 2016)</w:t>
              </w:r>
            </w:hyperlink>
          </w:p>
        </w:tc>
        <w:tc>
          <w:tcPr>
            <w:tcW w:w="4040" w:type="dxa"/>
            <w:vAlign w:val="bottom"/>
            <w:gridSpan w:val="1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4.12</w:t>
            </w:r>
          </w:p>
        </w:tc>
        <w:tc>
          <w:tcPr>
            <w:tcW w:w="98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AC Immune SA 2013 Equity Incentive Plan (incorporated herein by reference to Exhibit 10.7 to the Company’s Registration Statement</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gridSpan w:val="24"/>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on Form F-1, filed with the SEC on May 31, 2016)</w:t>
              </w:r>
            </w:hyperlink>
          </w:p>
        </w:tc>
      </w:tr>
      <w:tr>
        <w:trPr>
          <w:trHeight w:val="20"/>
        </w:trPr>
        <w:tc>
          <w:tcPr>
            <w:tcW w:w="136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4.13</w:t>
            </w:r>
          </w:p>
        </w:tc>
        <w:tc>
          <w:tcPr>
            <w:tcW w:w="9840" w:type="dxa"/>
            <w:vAlign w:val="bottom"/>
            <w:gridSpan w:val="24"/>
          </w:tcPr>
          <w:p>
            <w:pPr>
              <w:spacing w:after="0" w:line="196" w:lineRule="exact"/>
              <w:rPr>
                <w:rFonts w:ascii="Arial" w:cs="Arial" w:eastAsia="Arial" w:hAnsi="Arial"/>
                <w:sz w:val="18"/>
                <w:szCs w:val="18"/>
                <w:color w:val="0000EE"/>
                <w:w w:val="92"/>
              </w:rPr>
            </w:pPr>
            <w:hyperlink r:id="rId218">
              <w:r>
                <w:rPr>
                  <w:rFonts w:ascii="Arial" w:cs="Arial" w:eastAsia="Arial" w:hAnsi="Arial"/>
                  <w:sz w:val="18"/>
                  <w:szCs w:val="18"/>
                  <w:color w:val="0000EE"/>
                  <w:w w:val="92"/>
                </w:rPr>
                <w:t>AC Immune SA 2016 Stock Option and Incentive Plan (incorporated herein by reference to Exhibit 99.08 to the Company’s Report on</w:t>
              </w:r>
            </w:hyperlink>
          </w:p>
        </w:tc>
      </w:tr>
      <w:tr>
        <w:trPr>
          <w:trHeight w:val="196"/>
        </w:trPr>
        <w:tc>
          <w:tcPr>
            <w:tcW w:w="1360" w:type="dxa"/>
            <w:vAlign w:val="bottom"/>
          </w:tcPr>
          <w:p>
            <w:pPr>
              <w:spacing w:after="0"/>
              <w:rPr>
                <w:sz w:val="17"/>
                <w:szCs w:val="17"/>
                <w:color w:val="auto"/>
              </w:rPr>
            </w:pPr>
          </w:p>
        </w:tc>
        <w:tc>
          <w:tcPr>
            <w:tcW w:w="96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Form 6-K, filed with the SEC on October 13, 2016)</w:t>
              </w:r>
            </w:hyperlink>
          </w:p>
        </w:tc>
        <w:tc>
          <w:tcPr>
            <w:tcW w:w="160" w:type="dxa"/>
            <w:vAlign w:val="bottom"/>
            <w:gridSpan w:val="4"/>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720" w:type="dxa"/>
            <w:vAlign w:val="bottom"/>
            <w:gridSpan w:val="5"/>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4.14</w:t>
            </w:r>
          </w:p>
        </w:tc>
        <w:tc>
          <w:tcPr>
            <w:tcW w:w="98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License Agreement between AC Immune SA and Eli Lilly and Company, dated December 11, 2018 (incorporated herein by reference to</w:t>
              </w:r>
            </w:hyperlink>
          </w:p>
        </w:tc>
        <w:tc>
          <w:tcPr>
            <w:tcW w:w="20" w:type="dxa"/>
            <w:vAlign w:val="bottom"/>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9840" w:type="dxa"/>
            <w:vAlign w:val="bottom"/>
            <w:gridSpan w:val="24"/>
          </w:tcPr>
          <w:p>
            <w:pPr>
              <w:spacing w:after="0"/>
              <w:rPr>
                <w:rFonts w:ascii="Arial" w:cs="Arial" w:eastAsia="Arial" w:hAnsi="Arial"/>
                <w:sz w:val="18"/>
                <w:szCs w:val="18"/>
                <w:u w:val="single" w:color="auto"/>
                <w:color w:val="0000EE"/>
                <w:w w:val="99"/>
              </w:rPr>
            </w:pPr>
            <w:hyperlink r:id="rId219">
              <w:r>
                <w:rPr>
                  <w:rFonts w:ascii="Arial" w:cs="Arial" w:eastAsia="Arial" w:hAnsi="Arial"/>
                  <w:sz w:val="18"/>
                  <w:szCs w:val="18"/>
                  <w:u w:val="single" w:color="auto"/>
                  <w:color w:val="0000EE"/>
                  <w:w w:val="99"/>
                </w:rPr>
                <w:t>Exhibit 4.14 to the Amendment No. 1 to the Company’s Annual Report on Form 20-F/A, filed with the SEC on April 19, 2019)</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4.15</w:t>
            </w:r>
          </w:p>
        </w:tc>
        <w:tc>
          <w:tcPr>
            <w:tcW w:w="974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First Amendment to License Agreement between AC Immune SA and Eli Lilly and Company, dated September 19, 2019 (incorporated</w:t>
              </w:r>
            </w:hyperlink>
          </w:p>
        </w:tc>
        <w:tc>
          <w:tcPr>
            <w:tcW w:w="100" w:type="dxa"/>
            <w:vAlign w:val="bottom"/>
            <w:gridSpan w:val="3"/>
          </w:tcPr>
          <w:p>
            <w:pPr>
              <w:spacing w:after="0"/>
              <w:rPr>
                <w:sz w:val="16"/>
                <w:szCs w:val="16"/>
                <w:color w:val="auto"/>
              </w:rPr>
            </w:pPr>
          </w:p>
        </w:tc>
      </w:tr>
      <w:tr>
        <w:trPr>
          <w:trHeight w:val="222"/>
        </w:trPr>
        <w:tc>
          <w:tcPr>
            <w:tcW w:w="1360" w:type="dxa"/>
            <w:vAlign w:val="bottom"/>
          </w:tcPr>
          <w:p>
            <w:pPr>
              <w:spacing w:after="0"/>
              <w:rPr>
                <w:sz w:val="19"/>
                <w:szCs w:val="19"/>
                <w:color w:val="auto"/>
              </w:rPr>
            </w:pPr>
          </w:p>
        </w:tc>
        <w:tc>
          <w:tcPr>
            <w:tcW w:w="9840" w:type="dxa"/>
            <w:vAlign w:val="bottom"/>
            <w:gridSpan w:val="24"/>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herein by reference to Exhibit 10.1 to the Company’s Report on Form 6-K, filed with the SEC on September 20, 2019)</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4.16</w:t>
            </w:r>
          </w:p>
        </w:tc>
        <w:tc>
          <w:tcPr>
            <w:tcW w:w="9840" w:type="dxa"/>
            <w:vAlign w:val="bottom"/>
            <w:gridSpan w:val="24"/>
          </w:tcPr>
          <w:p>
            <w:pPr>
              <w:spacing w:after="0" w:line="190" w:lineRule="exact"/>
              <w:rPr>
                <w:rFonts w:ascii="Arial" w:cs="Arial" w:eastAsia="Arial" w:hAnsi="Arial"/>
                <w:sz w:val="18"/>
                <w:szCs w:val="18"/>
                <w:color w:val="0000EE"/>
                <w:w w:val="93"/>
              </w:rPr>
            </w:pPr>
            <w:hyperlink r:id="rId221">
              <w:r>
                <w:rPr>
                  <w:rFonts w:ascii="Arial" w:cs="Arial" w:eastAsia="Arial" w:hAnsi="Arial"/>
                  <w:sz w:val="18"/>
                  <w:szCs w:val="18"/>
                  <w:color w:val="0000EE"/>
                  <w:w w:val="93"/>
                </w:rPr>
                <w:t>Convertible Note Agreement between AC Immune SA and Eli Lilly and Company, dated December 11, 2018 (incorporated herein by</w:t>
              </w:r>
            </w:hyperlink>
          </w:p>
        </w:tc>
      </w:tr>
      <w:tr>
        <w:trPr>
          <w:trHeight w:val="222"/>
        </w:trPr>
        <w:tc>
          <w:tcPr>
            <w:tcW w:w="1360" w:type="dxa"/>
            <w:vAlign w:val="bottom"/>
          </w:tcPr>
          <w:p>
            <w:pPr>
              <w:spacing w:after="0"/>
              <w:rPr>
                <w:sz w:val="19"/>
                <w:szCs w:val="19"/>
                <w:color w:val="auto"/>
              </w:rPr>
            </w:pPr>
          </w:p>
        </w:tc>
        <w:tc>
          <w:tcPr>
            <w:tcW w:w="9600" w:type="dxa"/>
            <w:vAlign w:val="bottom"/>
            <w:tcBorders>
              <w:top w:val="single" w:sz="8" w:color="0000EE"/>
            </w:tcBorders>
            <w:gridSpan w:val="18"/>
          </w:tcPr>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reference to Exhibit 4.15 to the Company’s Annual Report on Form 20-F, filed with the SEC on March 21, 2019)</w:t>
              </w:r>
            </w:hyperlink>
          </w:p>
        </w:tc>
        <w:tc>
          <w:tcPr>
            <w:tcW w:w="240" w:type="dxa"/>
            <w:vAlign w:val="bottom"/>
            <w:gridSpan w:val="6"/>
          </w:tcPr>
          <w:p>
            <w:pPr>
              <w:spacing w:after="0"/>
              <w:rPr>
                <w:sz w:val="19"/>
                <w:szCs w:val="19"/>
                <w:color w:val="auto"/>
              </w:rPr>
            </w:pPr>
          </w:p>
        </w:tc>
      </w:tr>
      <w:tr>
        <w:trPr>
          <w:trHeight w:val="190"/>
        </w:trPr>
        <w:tc>
          <w:tcPr>
            <w:tcW w:w="1360" w:type="dxa"/>
            <w:vAlign w:val="bottom"/>
          </w:tcPr>
          <w:p>
            <w:pPr>
              <w:spacing w:after="0" w:line="190" w:lineRule="exact"/>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4.17</w:t>
              </w:r>
            </w:hyperlink>
          </w:p>
        </w:tc>
        <w:tc>
          <w:tcPr>
            <w:tcW w:w="9640" w:type="dxa"/>
            <w:vAlign w:val="bottom"/>
            <w:tcBorders>
              <w:bottom w:val="single" w:sz="8" w:color="0000EE"/>
            </w:tcBorders>
            <w:gridSpan w:val="19"/>
          </w:tcPr>
          <w:p>
            <w:pPr>
              <w:spacing w:after="0" w:line="190"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Second Amendment to License Agreement between AC Immune SA and Eli Lilly and Company, dated March 23, 2020 (incorporated</w:t>
              </w:r>
            </w:hyperlink>
          </w:p>
        </w:tc>
        <w:tc>
          <w:tcPr>
            <w:tcW w:w="200" w:type="dxa"/>
            <w:vAlign w:val="bottom"/>
            <w:gridSpan w:val="5"/>
          </w:tcPr>
          <w:p>
            <w:pPr>
              <w:spacing w:after="0"/>
              <w:rPr>
                <w:sz w:val="16"/>
                <w:szCs w:val="16"/>
                <w:color w:val="auto"/>
              </w:rPr>
            </w:pPr>
          </w:p>
        </w:tc>
      </w:tr>
      <w:tr>
        <w:trPr>
          <w:trHeight w:val="222"/>
        </w:trPr>
        <w:tc>
          <w:tcPr>
            <w:tcW w:w="1360" w:type="dxa"/>
            <w:vAlign w:val="bottom"/>
          </w:tcPr>
          <w:p>
            <w:pPr>
              <w:spacing w:after="0"/>
              <w:rPr>
                <w:sz w:val="19"/>
                <w:szCs w:val="19"/>
                <w:color w:val="auto"/>
              </w:rPr>
            </w:pPr>
          </w:p>
        </w:tc>
        <w:tc>
          <w:tcPr>
            <w:tcW w:w="9840" w:type="dxa"/>
            <w:vAlign w:val="bottom"/>
            <w:gridSpan w:val="24"/>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herein by reference to Exhibit 10.1 to the Company’s Report in Form 6-K, filed with the SEC on September 8, 2020)</w:t>
              </w:r>
            </w:hyperlink>
          </w:p>
        </w:tc>
      </w:tr>
      <w:tr>
        <w:trPr>
          <w:trHeight w:val="190"/>
        </w:trPr>
        <w:tc>
          <w:tcPr>
            <w:tcW w:w="1360" w:type="dxa"/>
            <w:vAlign w:val="bottom"/>
          </w:tcPr>
          <w:p>
            <w:pPr>
              <w:spacing w:after="0" w:line="190" w:lineRule="exact"/>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4.18</w:t>
              </w:r>
            </w:hyperlink>
          </w:p>
        </w:tc>
        <w:tc>
          <w:tcPr>
            <w:tcW w:w="9280" w:type="dxa"/>
            <w:vAlign w:val="bottom"/>
            <w:tcBorders>
              <w:bottom w:val="single" w:sz="8" w:color="0000EE"/>
            </w:tcBorders>
            <w:gridSpan w:val="12"/>
          </w:tcPr>
          <w:p>
            <w:pPr>
              <w:spacing w:after="0" w:line="190"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Open Market Sale Agreement between AC Immune SA and Jefferies LLC (incorporated herein by reference to Exhibit 1.1 to the</w:t>
              </w:r>
            </w:hyperlink>
          </w:p>
        </w:tc>
        <w:tc>
          <w:tcPr>
            <w:tcW w:w="560" w:type="dxa"/>
            <w:vAlign w:val="bottom"/>
            <w:gridSpan w:val="12"/>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5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Company's Report on 6-K, filed with the SEC on September 8, 2020)</w:t>
              </w:r>
            </w:hyperlink>
          </w:p>
        </w:tc>
        <w:tc>
          <w:tcPr>
            <w:tcW w:w="4840" w:type="dxa"/>
            <w:vAlign w:val="bottom"/>
            <w:gridSpan w:val="17"/>
          </w:tcPr>
          <w:p>
            <w:pPr>
              <w:spacing w:after="0"/>
              <w:rPr>
                <w:sz w:val="17"/>
                <w:szCs w:val="17"/>
                <w:color w:val="auto"/>
              </w:rPr>
            </w:pPr>
          </w:p>
        </w:tc>
      </w:tr>
      <w:tr>
        <w:trPr>
          <w:trHeight w:val="222"/>
        </w:trPr>
        <w:tc>
          <w:tcPr>
            <w:tcW w:w="1360" w:type="dxa"/>
            <w:vAlign w:val="bottom"/>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4.19*</w:t>
              </w:r>
            </w:hyperlink>
          </w:p>
        </w:tc>
        <w:tc>
          <w:tcPr>
            <w:tcW w:w="9840" w:type="dxa"/>
            <w:vAlign w:val="bottom"/>
            <w:gridSpan w:val="24"/>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Description of Securities</w:t>
              </w:r>
            </w:hyperlink>
          </w:p>
        </w:tc>
      </w:tr>
      <w:tr>
        <w:trPr>
          <w:trHeight w:val="216"/>
        </w:trPr>
        <w:tc>
          <w:tcPr>
            <w:tcW w:w="1360" w:type="dxa"/>
            <w:vAlign w:val="bottom"/>
          </w:tcPr>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12.1*</w:t>
              </w:r>
            </w:hyperlink>
          </w:p>
        </w:tc>
        <w:tc>
          <w:tcPr>
            <w:tcW w:w="9840" w:type="dxa"/>
            <w:vAlign w:val="bottom"/>
            <w:gridSpan w:val="24"/>
          </w:tcPr>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Certification of Andrea Pfeifer pursuant to 17 CFR 240.13a-14(a)</w:t>
              </w:r>
            </w:hyperlink>
          </w:p>
        </w:tc>
      </w:tr>
      <w:tr>
        <w:trPr>
          <w:trHeight w:val="216"/>
        </w:trPr>
        <w:tc>
          <w:tcPr>
            <w:tcW w:w="1360" w:type="dxa"/>
            <w:vAlign w:val="bottom"/>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12.2*</w:t>
              </w:r>
            </w:hyperlink>
          </w:p>
        </w:tc>
        <w:tc>
          <w:tcPr>
            <w:tcW w:w="9840" w:type="dxa"/>
            <w:vAlign w:val="bottom"/>
            <w:gridSpan w:val="24"/>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Certification of Joerg Hornstein pursuant to 17 CFR 240.13a-14(a).</w:t>
              </w:r>
            </w:hyperlink>
          </w:p>
        </w:tc>
      </w:tr>
      <w:tr>
        <w:trPr>
          <w:trHeight w:val="216"/>
        </w:trPr>
        <w:tc>
          <w:tcPr>
            <w:tcW w:w="1360" w:type="dxa"/>
            <w:vAlign w:val="bottom"/>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13.1*</w:t>
              </w:r>
            </w:hyperlink>
          </w:p>
        </w:tc>
        <w:tc>
          <w:tcPr>
            <w:tcW w:w="9840" w:type="dxa"/>
            <w:vAlign w:val="bottom"/>
            <w:gridSpan w:val="24"/>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Certification of Andrea Pfeifer pursuant to 17 CFR 240.13a-14(b) and 18 USC.1350</w:t>
              </w:r>
            </w:hyperlink>
          </w:p>
        </w:tc>
      </w:tr>
      <w:tr>
        <w:trPr>
          <w:trHeight w:val="216"/>
        </w:trPr>
        <w:tc>
          <w:tcPr>
            <w:tcW w:w="1360" w:type="dxa"/>
            <w:vAlign w:val="bottom"/>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13.2*</w:t>
              </w:r>
            </w:hyperlink>
          </w:p>
        </w:tc>
        <w:tc>
          <w:tcPr>
            <w:tcW w:w="9840" w:type="dxa"/>
            <w:vAlign w:val="bottom"/>
            <w:gridSpan w:val="24"/>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Certification of Joerg Hornstein pursuant to 17 CFR 240.13a-14(b) and 18 USC.1350</w:t>
              </w:r>
            </w:hyperlink>
          </w:p>
        </w:tc>
      </w:tr>
      <w:tr>
        <w:trPr>
          <w:trHeight w:val="216"/>
        </w:trPr>
        <w:tc>
          <w:tcPr>
            <w:tcW w:w="1360" w:type="dxa"/>
            <w:vAlign w:val="bottom"/>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15.1*</w:t>
              </w:r>
            </w:hyperlink>
          </w:p>
        </w:tc>
        <w:tc>
          <w:tcPr>
            <w:tcW w:w="9840" w:type="dxa"/>
            <w:vAlign w:val="bottom"/>
            <w:gridSpan w:val="24"/>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Consent of PricewaterhouseCoopers SA</w:t>
              </w:r>
            </w:hyperlink>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35" w:lineRule="auto"/>
        <w:rPr>
          <w:sz w:val="20"/>
          <w:szCs w:val="20"/>
          <w:color w:val="auto"/>
        </w:rPr>
      </w:pPr>
      <w:r>
        <w:rPr>
          <w:rFonts w:ascii="Arial" w:cs="Arial" w:eastAsia="Arial" w:hAnsi="Arial"/>
          <w:sz w:val="22"/>
          <w:szCs w:val="22"/>
          <w:color w:val="auto"/>
        </w:rPr>
        <w:t>_______________</w:t>
      </w: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(b) Financial Statement Schedules</w:t>
      </w:r>
    </w:p>
    <w:p>
      <w:pPr>
        <w:sectPr>
          <w:pgSz w:w="11900" w:h="16841" w:orient="portrait"/>
          <w:cols w:equalWidth="0" w:num="1">
            <w:col w:w="11200"/>
          </w:cols>
          <w:pgMar w:left="320" w:top="225" w:right="379" w:bottom="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99"/>
          </w:cols>
          <w:pgMar w:left="660" w:top="341" w:right="1440"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3"/>
          </w:tcPr>
          <w:p>
            <w:pPr>
              <w:ind w:left="2680"/>
              <w:spacing w:after="0"/>
              <w:rPr>
                <w:sz w:val="20"/>
                <w:szCs w:val="20"/>
                <w:color w:val="auto"/>
              </w:rPr>
            </w:pPr>
            <w:r>
              <w:rPr>
                <w:rFonts w:ascii="Arial" w:cs="Arial" w:eastAsia="Arial" w:hAnsi="Arial"/>
                <w:sz w:val="18"/>
                <w:szCs w:val="18"/>
                <w:color w:val="auto"/>
              </w:rPr>
              <w:t>AC IMMUNE SA</w:t>
            </w:r>
          </w:p>
        </w:tc>
      </w:tr>
      <w:tr>
        <w:trPr>
          <w:trHeight w:val="634"/>
        </w:trPr>
        <w:tc>
          <w:tcPr>
            <w:tcW w:w="3520" w:type="dxa"/>
            <w:vAlign w:val="bottom"/>
          </w:tcPr>
          <w:p>
            <w:pPr>
              <w:spacing w:after="0"/>
              <w:rPr>
                <w:sz w:val="20"/>
                <w:szCs w:val="20"/>
                <w:color w:val="auto"/>
              </w:rPr>
            </w:pPr>
            <w:r>
              <w:rPr>
                <w:rFonts w:ascii="Arial" w:cs="Arial" w:eastAsia="Arial" w:hAnsi="Arial"/>
                <w:sz w:val="18"/>
                <w:szCs w:val="18"/>
                <w:color w:val="auto"/>
              </w:rPr>
              <w:t>Date: March 23, 2021</w:t>
            </w:r>
          </w:p>
        </w:tc>
        <w:tc>
          <w:tcPr>
            <w:tcW w:w="3040" w:type="dxa"/>
            <w:vAlign w:val="bottom"/>
          </w:tcPr>
          <w:p>
            <w:pPr>
              <w:ind w:left="2680"/>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/s/ Andrea Pfeifer</w:t>
            </w:r>
          </w:p>
        </w:tc>
      </w:tr>
      <w:tr>
        <w:trPr>
          <w:trHeight w:val="216"/>
        </w:trPr>
        <w:tc>
          <w:tcPr>
            <w:tcW w:w="3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Andrea Pfeifer</w:t>
            </w:r>
          </w:p>
        </w:tc>
      </w:tr>
      <w:tr>
        <w:trPr>
          <w:trHeight w:val="230"/>
        </w:trPr>
        <w:tc>
          <w:tcPr>
            <w:tcW w:w="3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34"/>
        </w:trPr>
        <w:tc>
          <w:tcPr>
            <w:tcW w:w="3520" w:type="dxa"/>
            <w:vAlign w:val="bottom"/>
          </w:tcPr>
          <w:p>
            <w:pPr>
              <w:spacing w:after="0"/>
              <w:rPr>
                <w:sz w:val="24"/>
                <w:szCs w:val="24"/>
                <w:color w:val="auto"/>
              </w:rPr>
            </w:pPr>
          </w:p>
        </w:tc>
        <w:tc>
          <w:tcPr>
            <w:tcW w:w="3040" w:type="dxa"/>
            <w:vAlign w:val="bottom"/>
          </w:tcPr>
          <w:p>
            <w:pPr>
              <w:ind w:left="2680"/>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/s/ Joerg Hornstein</w:t>
            </w:r>
          </w:p>
        </w:tc>
      </w:tr>
      <w:tr>
        <w:trPr>
          <w:trHeight w:val="216"/>
        </w:trPr>
        <w:tc>
          <w:tcPr>
            <w:tcW w:w="3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Joerg Hornstein</w:t>
            </w:r>
          </w:p>
        </w:tc>
      </w:tr>
      <w:tr>
        <w:trPr>
          <w:trHeight w:val="230"/>
        </w:trPr>
        <w:tc>
          <w:tcPr>
            <w:tcW w:w="3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ChiefFinancial Officer</w:t>
            </w:r>
          </w:p>
        </w:tc>
      </w:tr>
      <w:tr>
        <w:trPr>
          <w:trHeight w:val="567"/>
        </w:trPr>
        <w:tc>
          <w:tcPr>
            <w:tcW w:w="35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151</w:t>
            </w:r>
          </w:p>
        </w:tc>
        <w:tc>
          <w:tcPr>
            <w:tcW w:w="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820" w:type="dxa"/>
            <w:vAlign w:val="bottom"/>
          </w:tcPr>
          <w:p>
            <w:pPr>
              <w:spacing w:after="0"/>
              <w:rPr>
                <w:sz w:val="16"/>
                <w:szCs w:val="16"/>
                <w:color w:val="auto"/>
              </w:rPr>
            </w:pPr>
          </w:p>
        </w:tc>
      </w:tr>
      <w:tr>
        <w:trPr>
          <w:trHeight w:val="458"/>
        </w:trPr>
        <w:tc>
          <w:tcPr>
            <w:tcW w:w="1042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820" w:type="dxa"/>
            <w:vAlign w:val="bottom"/>
          </w:tcPr>
          <w:p>
            <w:pPr>
              <w:spacing w:after="0"/>
              <w:rPr>
                <w:sz w:val="24"/>
                <w:szCs w:val="24"/>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b w:val="1"/>
                <w:bCs w:val="1"/>
                <w:color w:val="auto"/>
              </w:rPr>
              <w:t>Audited financial statements — AC IMMUNE SA</w:t>
            </w:r>
          </w:p>
        </w:tc>
        <w:tc>
          <w:tcPr>
            <w:tcW w:w="820" w:type="dxa"/>
            <w:vAlign w:val="bottom"/>
          </w:tcPr>
          <w:p>
            <w:pPr>
              <w:spacing w:after="0"/>
              <w:rPr>
                <w:sz w:val="24"/>
                <w:szCs w:val="24"/>
                <w:color w:val="auto"/>
              </w:rPr>
            </w:pPr>
          </w:p>
        </w:tc>
      </w:tr>
      <w:tr>
        <w:trPr>
          <w:trHeight w:val="446"/>
        </w:trPr>
        <w:tc>
          <w:tcPr>
            <w:tcW w:w="1042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Report of independent registered public accounting firm</w:t>
              </w:r>
            </w:hyperlink>
          </w:p>
        </w:tc>
        <w:tc>
          <w:tcPr>
            <w:tcW w:w="820" w:type="dxa"/>
            <w:vAlign w:val="bottom"/>
          </w:tcPr>
          <w:p>
            <w:pPr>
              <w:ind w:left="26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F-2</w:t>
              </w:r>
            </w:hyperlink>
          </w:p>
        </w:tc>
      </w:tr>
      <w:tr>
        <w:trPr>
          <w:trHeight w:val="243"/>
        </w:trPr>
        <w:tc>
          <w:tcPr>
            <w:tcW w:w="1042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Balance Sheets as of December 31, 2020 and 2019</w:t>
              </w:r>
            </w:hyperlink>
          </w:p>
        </w:tc>
        <w:tc>
          <w:tcPr>
            <w:tcW w:w="820" w:type="dxa"/>
            <w:vAlign w:val="bottom"/>
          </w:tcPr>
          <w:p>
            <w:pPr>
              <w:ind w:left="26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F-3</w:t>
              </w:r>
            </w:hyperlink>
          </w:p>
        </w:tc>
      </w:tr>
      <w:tr>
        <w:trPr>
          <w:trHeight w:val="243"/>
        </w:trPr>
        <w:tc>
          <w:tcPr>
            <w:tcW w:w="10420" w:type="dxa"/>
            <w:vAlign w:val="bottom"/>
          </w:tcPr>
          <w:p>
            <w:pPr>
              <w:spacing w:after="0"/>
              <w:rPr>
                <w:rFonts w:ascii="Arial" w:cs="Arial" w:eastAsia="Arial" w:hAnsi="Arial"/>
                <w:sz w:val="18"/>
                <w:szCs w:val="18"/>
                <w:u w:val="single" w:color="auto"/>
                <w:color w:val="0000EE"/>
                <w:w w:val="91"/>
              </w:rPr>
            </w:pPr>
            <w:hyperlink w:anchor="page161">
              <w:r>
                <w:rPr>
                  <w:rFonts w:ascii="Arial" w:cs="Arial" w:eastAsia="Arial" w:hAnsi="Arial"/>
                  <w:sz w:val="18"/>
                  <w:szCs w:val="18"/>
                  <w:u w:val="single" w:color="auto"/>
                  <w:color w:val="0000EE"/>
                  <w:w w:val="91"/>
                </w:rPr>
                <w:t>Statements of Income/(Loss) and Statements of Comprehensive Income/(Loss) for the fiscal years ended December 31, 2020, 2019 and 2018</w:t>
              </w:r>
            </w:hyperlink>
          </w:p>
        </w:tc>
        <w:tc>
          <w:tcPr>
            <w:tcW w:w="820" w:type="dxa"/>
            <w:vAlign w:val="bottom"/>
          </w:tcPr>
          <w:p>
            <w:pPr>
              <w:ind w:left="26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F-4</w:t>
              </w:r>
            </w:hyperlink>
          </w:p>
        </w:tc>
      </w:tr>
      <w:tr>
        <w:trPr>
          <w:trHeight w:val="243"/>
        </w:trPr>
        <w:tc>
          <w:tcPr>
            <w:tcW w:w="1042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Statements of Changes in Equity for the fiscal years ended December 31, 2020, 2019 and 2018</w:t>
              </w:r>
            </w:hyperlink>
          </w:p>
        </w:tc>
        <w:tc>
          <w:tcPr>
            <w:tcW w:w="820" w:type="dxa"/>
            <w:vAlign w:val="bottom"/>
          </w:tcPr>
          <w:p>
            <w:pPr>
              <w:ind w:left="26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F-5</w:t>
              </w:r>
            </w:hyperlink>
          </w:p>
        </w:tc>
      </w:tr>
      <w:tr>
        <w:trPr>
          <w:trHeight w:val="243"/>
        </w:trPr>
        <w:tc>
          <w:tcPr>
            <w:tcW w:w="1042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Statements of Cash Flows for the fiscal years ended December 31, 2020, 2019 and 2018</w:t>
              </w:r>
            </w:hyperlink>
          </w:p>
        </w:tc>
        <w:tc>
          <w:tcPr>
            <w:tcW w:w="820" w:type="dxa"/>
            <w:vAlign w:val="bottom"/>
          </w:tcPr>
          <w:p>
            <w:pPr>
              <w:ind w:left="26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F-6</w:t>
              </w:r>
            </w:hyperlink>
          </w:p>
        </w:tc>
      </w:tr>
      <w:tr>
        <w:trPr>
          <w:trHeight w:val="243"/>
        </w:trPr>
        <w:tc>
          <w:tcPr>
            <w:tcW w:w="1042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Notes to the Financial Statements</w:t>
              </w:r>
            </w:hyperlink>
          </w:p>
        </w:tc>
        <w:tc>
          <w:tcPr>
            <w:tcW w:w="820" w:type="dxa"/>
            <w:vAlign w:val="bottom"/>
          </w:tcPr>
          <w:p>
            <w:pPr>
              <w:ind w:left="26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F-7</w:t>
              </w:r>
            </w:hyperlink>
          </w:p>
        </w:tc>
      </w:tr>
      <w:tr>
        <w:trPr>
          <w:trHeight w:val="580"/>
        </w:trPr>
        <w:tc>
          <w:tcPr>
            <w:tcW w:w="10420" w:type="dxa"/>
            <w:vAlign w:val="bottom"/>
            <w:tcBorders>
              <w:bottom w:val="single" w:sz="8" w:color="auto"/>
            </w:tcBorders>
          </w:tcPr>
          <w:p>
            <w:pPr>
              <w:ind w:left="5480"/>
              <w:spacing w:after="0"/>
              <w:rPr>
                <w:sz w:val="20"/>
                <w:szCs w:val="20"/>
                <w:color w:val="auto"/>
              </w:rPr>
            </w:pPr>
            <w:r>
              <w:rPr>
                <w:rFonts w:ascii="Arial" w:cs="Arial" w:eastAsia="Arial" w:hAnsi="Arial"/>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balance sheets of AC Immune SA (the “Company”) as of December 31, 2020 and 2019 and the related statements of income/(loss), comprehensive income/(loss), changes in equity and cash flows for each of the three years in the period ended December 31, 2020,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the International Financial Reporting Standards as issued by the International Accounting Standards Board.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Notes 3 and 5 to the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7440" w:type="dxa"/>
            <w:vAlign w:val="bottom"/>
          </w:tcPr>
          <w:p>
            <w:pPr>
              <w:spacing w:after="0"/>
              <w:rPr>
                <w:sz w:val="20"/>
                <w:szCs w:val="20"/>
                <w:color w:val="auto"/>
              </w:rPr>
            </w:pPr>
            <w:r>
              <w:rPr>
                <w:rFonts w:ascii="Arial" w:cs="Arial" w:eastAsia="Arial" w:hAnsi="Arial"/>
                <w:sz w:val="18"/>
                <w:szCs w:val="18"/>
                <w:b w:val="1"/>
                <w:bCs w:val="1"/>
                <w:color w:val="auto"/>
              </w:rPr>
              <w:t>Financial Statements (IFRS)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AC Immune SA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4"/>
              </w:rPr>
              <w:t>As of</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Note</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financial assets</w:t>
            </w:r>
          </w:p>
        </w:tc>
        <w:tc>
          <w:tcPr>
            <w:tcW w:w="90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90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7/12</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29"/>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9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231,767</w:t>
            </w:r>
          </w:p>
        </w:tc>
        <w:tc>
          <w:tcPr>
            <w:tcW w:w="100" w:type="dxa"/>
            <w:vAlign w:val="bottom"/>
            <w:tcBorders>
              <w:bottom w:val="single" w:sz="8" w:color="D5EAEA"/>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292,774</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D5EAEA"/>
            </w:tcBorders>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Total assets</w:t>
            </w:r>
          </w:p>
        </w:tc>
        <w:tc>
          <w:tcPr>
            <w:tcW w:w="90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238,740</w:t>
            </w:r>
          </w:p>
        </w:tc>
        <w:tc>
          <w:tcPr>
            <w:tcW w:w="100" w:type="dxa"/>
            <w:vAlign w:val="bottom"/>
            <w:tcBorders>
              <w:bottom w:val="single" w:sz="8" w:color="D5EAEA"/>
            </w:tcBorders>
            <w:shd w:val="clear" w:color="auto" w:fill="D5EAEA"/>
          </w:tcPr>
          <w:p>
            <w:pPr>
              <w:spacing w:after="0"/>
              <w:rPr>
                <w:sz w:val="17"/>
                <w:szCs w:val="17"/>
                <w:color w:val="auto"/>
              </w:rPr>
            </w:pPr>
          </w:p>
        </w:tc>
        <w:tc>
          <w:tcPr>
            <w:tcW w:w="480" w:type="dxa"/>
            <w:vAlign w:val="bottom"/>
            <w:tcBorders>
              <w:bottom w:val="single" w:sz="8" w:color="auto"/>
            </w:tcBorders>
            <w:shd w:val="clear" w:color="auto" w:fill="D5EAEA"/>
          </w:tcPr>
          <w:p>
            <w:pPr>
              <w:spacing w:after="0"/>
              <w:rPr>
                <w:sz w:val="17"/>
                <w:szCs w:val="17"/>
                <w:color w:val="auto"/>
              </w:rPr>
            </w:pPr>
          </w:p>
        </w:tc>
        <w:tc>
          <w:tcPr>
            <w:tcW w:w="86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299,250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Share premium</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346,890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346,526</w:t>
            </w: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Treasury shares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losses</w:t>
            </w:r>
          </w:p>
        </w:tc>
        <w:tc>
          <w:tcPr>
            <w:tcW w:w="90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(132,850)</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90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215,478</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272,442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30"/>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7,464</w:t>
            </w:r>
          </w:p>
        </w:tc>
        <w:tc>
          <w:tcPr>
            <w:tcW w:w="10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9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D5EAEA"/>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196"/>
        </w:trPr>
        <w:tc>
          <w:tcPr>
            <w:tcW w:w="744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expenses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11,085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11,797</w:t>
            </w: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Short-term financing obligation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9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Short-term lease liabilities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9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D5EAEA"/>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D5EAEA"/>
            </w:tcBorders>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Total liabilities</w:t>
            </w:r>
          </w:p>
        </w:tc>
        <w:tc>
          <w:tcPr>
            <w:tcW w:w="90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23,262</w:t>
            </w:r>
          </w:p>
        </w:tc>
        <w:tc>
          <w:tcPr>
            <w:tcW w:w="100" w:type="dxa"/>
            <w:vAlign w:val="bottom"/>
            <w:tcBorders>
              <w:bottom w:val="single" w:sz="8" w:color="D5EAEA"/>
            </w:tcBorders>
            <w:shd w:val="clear" w:color="auto" w:fill="D5EAEA"/>
          </w:tcPr>
          <w:p>
            <w:pPr>
              <w:spacing w:after="0"/>
              <w:rPr>
                <w:sz w:val="17"/>
                <w:szCs w:val="17"/>
                <w:color w:val="auto"/>
              </w:rPr>
            </w:pPr>
          </w:p>
        </w:tc>
        <w:tc>
          <w:tcPr>
            <w:tcW w:w="480" w:type="dxa"/>
            <w:vAlign w:val="bottom"/>
            <w:tcBorders>
              <w:bottom w:val="single" w:sz="8" w:color="auto"/>
            </w:tcBorders>
            <w:shd w:val="clear" w:color="auto" w:fill="D5EAEA"/>
          </w:tcPr>
          <w:p>
            <w:pPr>
              <w:spacing w:after="0"/>
              <w:rPr>
                <w:sz w:val="17"/>
                <w:szCs w:val="17"/>
                <w:color w:val="auto"/>
              </w:rPr>
            </w:pPr>
          </w:p>
        </w:tc>
        <w:tc>
          <w:tcPr>
            <w:tcW w:w="86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26,808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238,740</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299,250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5980" w:type="dxa"/>
            <w:vAlign w:val="bottom"/>
          </w:tcPr>
          <w:p>
            <w:pPr>
              <w:spacing w:after="0"/>
              <w:rPr>
                <w:sz w:val="20"/>
                <w:szCs w:val="20"/>
                <w:color w:val="auto"/>
              </w:rPr>
            </w:pPr>
            <w:r>
              <w:rPr>
                <w:rFonts w:ascii="Arial" w:cs="Arial" w:eastAsia="Arial" w:hAnsi="Arial"/>
                <w:sz w:val="18"/>
                <w:szCs w:val="18"/>
                <w:b w:val="1"/>
                <w:bCs w:val="1"/>
                <w:color w:val="auto"/>
              </w:rPr>
              <w:t>AC Immune SA</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Statements of Income/(Loss)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CHF thousands, except for per-share data)</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Note</w:t>
            </w: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9"/>
                <w:szCs w:val="19"/>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15,431</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110,456</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revenue</w:t>
            </w:r>
          </w:p>
        </w:tc>
        <w:tc>
          <w:tcPr>
            <w:tcW w:w="9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110,456</w:t>
            </w:r>
          </w:p>
        </w:tc>
        <w:tc>
          <w:tcPr>
            <w:tcW w:w="100" w:type="dxa"/>
            <w:vAlign w:val="bottom"/>
            <w:tcBorders>
              <w:bottom w:val="single" w:sz="8" w:color="D5EAEA"/>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197"/>
        </w:trPr>
        <w:tc>
          <w:tcPr>
            <w:tcW w:w="598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2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0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(59,487)</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(50,432)</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(44,277)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(18,557)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(16,058)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29"/>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Other operating income/(expense)</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12.2</w:t>
            </w:r>
          </w:p>
        </w:tc>
        <w:tc>
          <w:tcPr>
            <w:tcW w:w="120" w:type="dxa"/>
            <w:vAlign w:val="bottom"/>
            <w:shd w:val="clear" w:color="auto" w:fill="D5EAEA"/>
          </w:tcPr>
          <w:p>
            <w:pPr>
              <w:spacing w:after="0"/>
              <w:rPr>
                <w:sz w:val="19"/>
                <w:szCs w:val="19"/>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1,353</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(76,691)</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(65,920)</w:t>
            </w:r>
          </w:p>
        </w:tc>
        <w:tc>
          <w:tcPr>
            <w:tcW w:w="100" w:type="dxa"/>
            <w:vAlign w:val="bottom"/>
            <w:shd w:val="clear" w:color="auto" w:fill="D5EAEA"/>
          </w:tcPr>
          <w:p>
            <w:pPr>
              <w:spacing w:after="0"/>
              <w:rPr>
                <w:sz w:val="21"/>
                <w:szCs w:val="21"/>
                <w:color w:val="auto"/>
              </w:rPr>
            </w:pPr>
          </w:p>
        </w:tc>
        <w:tc>
          <w:tcPr>
            <w:tcW w:w="260" w:type="dxa"/>
            <w:vAlign w:val="bottom"/>
            <w:shd w:val="clear" w:color="auto" w:fill="D5EAEA"/>
          </w:tcPr>
          <w:p>
            <w:pPr>
              <w:spacing w:after="0"/>
              <w:rPr>
                <w:sz w:val="21"/>
                <w:szCs w:val="21"/>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(56,462)</w:t>
            </w:r>
          </w:p>
        </w:tc>
        <w:tc>
          <w:tcPr>
            <w:tcW w:w="0" w:type="dxa"/>
            <w:vAlign w:val="bottom"/>
          </w:tcPr>
          <w:p>
            <w:pPr>
              <w:spacing w:after="0"/>
              <w:rPr>
                <w:sz w:val="1"/>
                <w:szCs w:val="1"/>
                <w:color w:val="auto"/>
              </w:rPr>
            </w:pPr>
          </w:p>
        </w:tc>
      </w:tr>
      <w:tr>
        <w:trPr>
          <w:trHeight w:val="20"/>
        </w:trPr>
        <w:tc>
          <w:tcPr>
            <w:tcW w:w="5980" w:type="dxa"/>
            <w:vAlign w:val="bottom"/>
            <w:tcBorders>
              <w:top w:val="single" w:sz="8" w:color="D5EAEA"/>
            </w:tcBorders>
          </w:tcPr>
          <w:p>
            <w:pPr>
              <w:spacing w:after="0" w:line="20" w:lineRule="exact"/>
              <w:rPr>
                <w:sz w:val="1"/>
                <w:szCs w:val="1"/>
                <w:color w:val="auto"/>
              </w:rPr>
            </w:pPr>
          </w:p>
        </w:tc>
        <w:tc>
          <w:tcPr>
            <w:tcW w:w="900" w:type="dxa"/>
            <w:vAlign w:val="bottom"/>
            <w:tcBorders>
              <w:top w:val="single" w:sz="8" w:color="D5EAEA"/>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income/(loss)</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(61,260)</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44,536</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(49,550)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Financial expense</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(184)</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conversion feature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9"/>
                <w:szCs w:val="19"/>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(555)</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9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D5EAEA"/>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197"/>
        </w:trPr>
        <w:tc>
          <w:tcPr>
            <w:tcW w:w="598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Income/(loss) before tax</w:t>
            </w:r>
          </w:p>
        </w:tc>
        <w:tc>
          <w:tcPr>
            <w:tcW w:w="9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2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(61,921)</w:t>
            </w:r>
          </w:p>
        </w:tc>
        <w:tc>
          <w:tcPr>
            <w:tcW w:w="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45,442</w:t>
            </w:r>
          </w:p>
        </w:tc>
        <w:tc>
          <w:tcPr>
            <w:tcW w:w="10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08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(50,951)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Income/(loss) for the period</w:t>
            </w:r>
          </w:p>
        </w:tc>
        <w:tc>
          <w:tcPr>
            <w:tcW w:w="9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(61,921)</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60" w:type="dxa"/>
            <w:vAlign w:val="bottom"/>
            <w:tcBorders>
              <w:top w:val="single" w:sz="8" w:color="auto"/>
              <w:bottom w:val="single" w:sz="8" w:color="auto"/>
            </w:tcBorders>
            <w:shd w:val="clear" w:color="auto" w:fill="D5EAEA"/>
          </w:tcPr>
          <w:p>
            <w:pPr>
              <w:spacing w:after="0"/>
              <w:rPr>
                <w:sz w:val="19"/>
                <w:szCs w:val="19"/>
                <w:color w:val="auto"/>
              </w:rPr>
            </w:pPr>
          </w:p>
        </w:tc>
        <w:tc>
          <w:tcPr>
            <w:tcW w:w="10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Earnings/(loss) per share:</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shd w:val="clear" w:color="auto" w:fill="D5EAEA"/>
          </w:tcPr>
          <w:p>
            <w:pPr>
              <w:spacing w:after="0"/>
              <w:rPr>
                <w:sz w:val="18"/>
                <w:szCs w:val="18"/>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(0.86)</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(0.86)</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399"/>
        </w:trPr>
        <w:tc>
          <w:tcPr>
            <w:tcW w:w="598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For the Years Ended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59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Income/(loss) for the period</w:t>
            </w:r>
          </w:p>
        </w:tc>
        <w:tc>
          <w:tcPr>
            <w:tcW w:w="9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(61,921)</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auto"/>
            </w:tcBorders>
            <w:shd w:val="clear" w:color="auto" w:fill="D5EAEA"/>
          </w:tcPr>
          <w:p>
            <w:pPr>
              <w:spacing w:after="0"/>
              <w:rPr>
                <w:sz w:val="18"/>
                <w:szCs w:val="18"/>
                <w:color w:val="auto"/>
              </w:rPr>
            </w:pPr>
          </w:p>
        </w:tc>
        <w:tc>
          <w:tcPr>
            <w:tcW w:w="10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Other comprehensive income/(loss) not to be reclassified to income or loss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 subsequent periods (net of tax)</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Remeasurement income/(losses) on defined benefit plans (net of tax)</w:t>
            </w:r>
          </w:p>
        </w:tc>
        <w:tc>
          <w:tcPr>
            <w:tcW w:w="900" w:type="dxa"/>
            <w:vAlign w:val="bottom"/>
            <w:shd w:val="clear" w:color="auto" w:fill="D5EAEA"/>
          </w:tcPr>
          <w:p>
            <w:pPr>
              <w:jc w:val="right"/>
              <w:ind w:right="49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5EAEA"/>
          </w:tcPr>
          <w:p>
            <w:pPr>
              <w:spacing w:after="0"/>
              <w:rPr>
                <w:sz w:val="19"/>
                <w:szCs w:val="19"/>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726</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comprehensive income/(loss), net of tax</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(61,195)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b w:val="1"/>
                <w:bCs w:val="1"/>
                <w:color w:val="auto"/>
              </w:rPr>
              <w:t>AC Immune SA</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Statements of Changes in 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4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Treasury</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r>
      <w:tr>
        <w:trPr>
          <w:trHeight w:val="234"/>
        </w:trPr>
        <w:tc>
          <w:tcPr>
            <w:tcW w:w="440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w:t>
            </w: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 capital</w:t>
            </w:r>
          </w:p>
        </w:tc>
        <w:tc>
          <w:tcPr>
            <w:tcW w:w="2440" w:type="dxa"/>
            <w:vAlign w:val="bottom"/>
            <w:gridSpan w:val="4"/>
          </w:tcPr>
          <w:p>
            <w:pPr>
              <w:ind w:left="560"/>
              <w:spacing w:after="0"/>
              <w:rPr>
                <w:sz w:val="20"/>
                <w:szCs w:val="20"/>
                <w:color w:val="auto"/>
              </w:rPr>
            </w:pPr>
            <w:r>
              <w:rPr>
                <w:rFonts w:ascii="Arial" w:cs="Arial" w:eastAsia="Arial" w:hAnsi="Arial"/>
                <w:sz w:val="18"/>
                <w:szCs w:val="18"/>
                <w:b w:val="1"/>
                <w:bCs w:val="1"/>
                <w:color w:val="auto"/>
              </w:rPr>
              <w:t>Share premium</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74"/>
              </w:rPr>
              <w:t>losses</w:t>
            </w:r>
          </w:p>
        </w:tc>
      </w:tr>
      <w:tr>
        <w:trPr>
          <w:trHeight w:val="209"/>
        </w:trPr>
        <w:tc>
          <w:tcPr>
            <w:tcW w:w="44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2018</w:t>
            </w:r>
          </w:p>
        </w:tc>
        <w:tc>
          <w:tcPr>
            <w:tcW w:w="6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1,147</w:t>
            </w: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188,299</w:t>
            </w:r>
          </w:p>
        </w:tc>
        <w:tc>
          <w:tcPr>
            <w:tcW w:w="10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(72,607)</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116,839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(50,951)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(50,951)</w:t>
            </w:r>
          </w:p>
        </w:tc>
      </w:tr>
      <w:tr>
        <w:trPr>
          <w:trHeight w:val="230"/>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6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D5EAEA"/>
          </w:tcPr>
          <w:p>
            <w:pPr>
              <w:spacing w:after="0"/>
              <w:rPr>
                <w:sz w:val="19"/>
                <w:szCs w:val="19"/>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(302)</w:t>
            </w:r>
          </w:p>
        </w:tc>
      </w:tr>
      <w:tr>
        <w:trPr>
          <w:trHeight w:val="263"/>
        </w:trPr>
        <w:tc>
          <w:tcPr>
            <w:tcW w:w="44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6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12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r>
      <w:tr>
        <w:trPr>
          <w:trHeight w:val="197"/>
        </w:trPr>
        <w:tc>
          <w:tcPr>
            <w:tcW w:w="4400" w:type="dxa"/>
            <w:vAlign w:val="bottom"/>
            <w:shd w:val="clear" w:color="auto" w:fill="D5EAEA"/>
          </w:tcPr>
          <w:p>
            <w:pPr>
              <w:spacing w:after="0"/>
              <w:rPr>
                <w:sz w:val="17"/>
                <w:szCs w:val="17"/>
                <w:color w:val="auto"/>
              </w:rPr>
            </w:pPr>
          </w:p>
        </w:tc>
        <w:tc>
          <w:tcPr>
            <w:tcW w:w="6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99"/>
              </w:rPr>
              <w:t>Proceeds from public offerings, net of underwriting fees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111,329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111,529</w:t>
            </w:r>
          </w:p>
        </w:tc>
      </w:tr>
      <w:tr>
        <w:trPr>
          <w:trHeight w:val="216"/>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Transaction offering costs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(2,015)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Share-based payments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2,518</w:t>
            </w:r>
          </w:p>
        </w:tc>
      </w:tr>
      <w:tr>
        <w:trPr>
          <w:trHeight w:val="216"/>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Restricted share awards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Exercise of options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shd w:val="clear" w:color="auto" w:fill="D5EAEA"/>
          </w:tcPr>
          <w:p>
            <w:pPr>
              <w:spacing w:after="0"/>
              <w:rPr>
                <w:sz w:val="19"/>
                <w:szCs w:val="19"/>
                <w:color w:val="auto"/>
              </w:rPr>
            </w:pP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D5EAEA"/>
          </w:tcPr>
          <w:p>
            <w:pPr>
              <w:spacing w:after="0"/>
              <w:rPr>
                <w:sz w:val="19"/>
                <w:szCs w:val="19"/>
                <w:color w:val="auto"/>
              </w:rPr>
            </w:pP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9"/>
                <w:szCs w:val="19"/>
                <w:color w:val="auto"/>
              </w:rPr>
            </w:pP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w:t>
            </w: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298,149</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(121,877)</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177,623</w:t>
            </w:r>
          </w:p>
        </w:tc>
      </w:tr>
      <w:tr>
        <w:trPr>
          <w:trHeight w:val="20"/>
        </w:trPr>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37"/>
        </w:trPr>
        <w:tc>
          <w:tcPr>
            <w:tcW w:w="4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24"/>
                <w:szCs w:val="24"/>
                <w:color w:val="auto"/>
              </w:rPr>
            </w:pPr>
          </w:p>
        </w:tc>
      </w:tr>
      <w:tr>
        <w:trPr>
          <w:trHeight w:val="234"/>
        </w:trPr>
        <w:tc>
          <w:tcPr>
            <w:tcW w:w="4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 capital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premium</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4"/>
              </w:rPr>
              <w:t>losses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09"/>
        </w:trPr>
        <w:tc>
          <w:tcPr>
            <w:tcW w:w="44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2019</w:t>
            </w:r>
          </w:p>
        </w:tc>
        <w:tc>
          <w:tcPr>
            <w:tcW w:w="68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1,351</w:t>
            </w: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298,149</w:t>
            </w:r>
          </w:p>
        </w:tc>
        <w:tc>
          <w:tcPr>
            <w:tcW w:w="10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(121,877)</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177,623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45,442</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45,442</w:t>
            </w:r>
          </w:p>
        </w:tc>
      </w:tr>
      <w:tr>
        <w:trPr>
          <w:trHeight w:val="230"/>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6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D5EAEA"/>
          </w:tcPr>
          <w:p>
            <w:pPr>
              <w:spacing w:after="0"/>
              <w:rPr>
                <w:sz w:val="19"/>
                <w:szCs w:val="19"/>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(1,304)</w:t>
            </w:r>
          </w:p>
        </w:tc>
      </w:tr>
      <w:tr>
        <w:trPr>
          <w:trHeight w:val="263"/>
        </w:trPr>
        <w:tc>
          <w:tcPr>
            <w:tcW w:w="44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income</w:t>
            </w:r>
          </w:p>
        </w:tc>
        <w:tc>
          <w:tcPr>
            <w:tcW w:w="6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44,138</w:t>
            </w:r>
          </w:p>
        </w:tc>
        <w:tc>
          <w:tcPr>
            <w:tcW w:w="12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44,138</w:t>
            </w:r>
          </w:p>
        </w:tc>
      </w:tr>
      <w:tr>
        <w:trPr>
          <w:trHeight w:val="197"/>
        </w:trPr>
        <w:tc>
          <w:tcPr>
            <w:tcW w:w="4400" w:type="dxa"/>
            <w:vAlign w:val="bottom"/>
            <w:shd w:val="clear" w:color="auto" w:fill="D5EAEA"/>
          </w:tcPr>
          <w:p>
            <w:pPr>
              <w:spacing w:after="0"/>
              <w:rPr>
                <w:sz w:val="17"/>
                <w:szCs w:val="17"/>
                <w:color w:val="auto"/>
              </w:rPr>
            </w:pPr>
          </w:p>
        </w:tc>
        <w:tc>
          <w:tcPr>
            <w:tcW w:w="6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Share-based payments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2,834</w:t>
            </w:r>
          </w:p>
        </w:tc>
      </w:tr>
      <w:tr>
        <w:trPr>
          <w:trHeight w:val="216"/>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Conversion note agreement, net of transaction costs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47,705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47,778</w:t>
            </w:r>
          </w:p>
        </w:tc>
      </w:tr>
      <w:tr>
        <w:trPr>
          <w:trHeight w:val="216"/>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Restricted share awards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Exercise of options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23"/>
        </w:trPr>
        <w:tc>
          <w:tcPr>
            <w:tcW w:w="44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2019</w:t>
            </w:r>
          </w:p>
        </w:tc>
        <w:tc>
          <w:tcPr>
            <w:tcW w:w="68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346,526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272,442</w:t>
            </w:r>
          </w:p>
        </w:tc>
      </w:tr>
      <w:tr>
        <w:trPr>
          <w:trHeight w:val="20"/>
        </w:trPr>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1"/>
        </w:trPr>
        <w:tc>
          <w:tcPr>
            <w:tcW w:w="4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24"/>
                <w:szCs w:val="24"/>
                <w:color w:val="auto"/>
              </w:rPr>
            </w:pPr>
          </w:p>
        </w:tc>
      </w:tr>
      <w:tr>
        <w:trPr>
          <w:trHeight w:val="234"/>
        </w:trPr>
        <w:tc>
          <w:tcPr>
            <w:tcW w:w="4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 capital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premium</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4"/>
              </w:rPr>
              <w:t>losses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10"/>
        </w:trPr>
        <w:tc>
          <w:tcPr>
            <w:tcW w:w="44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2020</w:t>
            </w:r>
          </w:p>
        </w:tc>
        <w:tc>
          <w:tcPr>
            <w:tcW w:w="68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346,526</w:t>
            </w:r>
          </w:p>
        </w:tc>
        <w:tc>
          <w:tcPr>
            <w:tcW w:w="10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272,442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(61,921)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(61,921)</w:t>
            </w:r>
          </w:p>
        </w:tc>
      </w:tr>
      <w:tr>
        <w:trPr>
          <w:trHeight w:val="229"/>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D5EAEA"/>
          </w:tcPr>
          <w:p>
            <w:pPr>
              <w:spacing w:after="0"/>
              <w:rPr>
                <w:sz w:val="19"/>
                <w:szCs w:val="19"/>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726</w:t>
            </w:r>
          </w:p>
        </w:tc>
      </w:tr>
      <w:tr>
        <w:trPr>
          <w:trHeight w:val="263"/>
        </w:trPr>
        <w:tc>
          <w:tcPr>
            <w:tcW w:w="44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6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(61,195)</w:t>
            </w:r>
          </w:p>
        </w:tc>
        <w:tc>
          <w:tcPr>
            <w:tcW w:w="12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(61,195)</w:t>
            </w:r>
          </w:p>
        </w:tc>
      </w:tr>
      <w:tr>
        <w:trPr>
          <w:trHeight w:val="196"/>
        </w:trPr>
        <w:tc>
          <w:tcPr>
            <w:tcW w:w="4400" w:type="dxa"/>
            <w:vAlign w:val="bottom"/>
            <w:shd w:val="clear" w:color="auto" w:fill="D5EAEA"/>
          </w:tcPr>
          <w:p>
            <w:pPr>
              <w:spacing w:after="0"/>
              <w:rPr>
                <w:sz w:val="17"/>
                <w:szCs w:val="17"/>
                <w:color w:val="auto"/>
              </w:rPr>
            </w:pPr>
          </w:p>
        </w:tc>
        <w:tc>
          <w:tcPr>
            <w:tcW w:w="6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Share-based payments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4,088</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4,088</w:t>
            </w:r>
          </w:p>
        </w:tc>
      </w:tr>
      <w:tr>
        <w:trPr>
          <w:trHeight w:val="216"/>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Held as treasury shares, net of transaction costs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D5EAEA"/>
          </w:tcPr>
          <w:p>
            <w:pPr>
              <w:spacing w:after="0"/>
              <w:rPr>
                <w:sz w:val="20"/>
                <w:szCs w:val="20"/>
                <w:color w:val="auto"/>
              </w:rPr>
            </w:pPr>
            <w:r>
              <w:rPr>
                <w:rFonts w:ascii="Arial" w:cs="Arial" w:eastAsia="Arial" w:hAnsi="Arial"/>
                <w:sz w:val="18"/>
                <w:szCs w:val="18"/>
                <w:color w:val="auto"/>
              </w:rPr>
              <w:t>Restricted share awards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Exercise of options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23"/>
        </w:trPr>
        <w:tc>
          <w:tcPr>
            <w:tcW w:w="44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2020</w:t>
            </w:r>
          </w:p>
        </w:tc>
        <w:tc>
          <w:tcPr>
            <w:tcW w:w="68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1,538</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346,890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(132,850)</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215,478</w:t>
            </w:r>
          </w:p>
        </w:tc>
      </w:tr>
      <w:tr>
        <w:trPr>
          <w:trHeight w:val="20"/>
        </w:trPr>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6420" w:type="dxa"/>
            <w:vAlign w:val="bottom"/>
          </w:tcPr>
          <w:p>
            <w:pPr>
              <w:spacing w:after="0"/>
              <w:rPr>
                <w:sz w:val="20"/>
                <w:szCs w:val="20"/>
                <w:color w:val="auto"/>
              </w:rPr>
            </w:pPr>
            <w:r>
              <w:rPr>
                <w:rFonts w:ascii="Arial" w:cs="Arial" w:eastAsia="Arial" w:hAnsi="Arial"/>
                <w:sz w:val="18"/>
                <w:szCs w:val="18"/>
                <w:b w:val="1"/>
                <w:bCs w:val="1"/>
                <w:color w:val="auto"/>
              </w:rPr>
              <w:t>AC Immune SA</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4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income/(loss) for the period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(61,921)</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45,442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(50,951)</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w w:val="99"/>
              </w:rPr>
              <w:t>Adjustments to reconcile net income/(loss) for the period to net cash flows: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Finance result, net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4,088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Changes in net employee defined benefit liability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(4,542)</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5/11/13</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(Gain)/loss on sale of fixed assets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(Increase) in prepaid expenses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(Increase)/decrease in accrued income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other current receivables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(Decrease)/increase in accrued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deferred income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(4,157)</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4,126</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Decrease in financing obligation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trade and other payables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2,177</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b w:val="1"/>
                <w:bCs w:val="1"/>
                <w:color w:val="auto"/>
              </w:rPr>
              <w:t>Cash (used in)/provided by operating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(59,247)</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55,227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(43,772)</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Interest paid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5/11/13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in)/provided by operating activities</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(59,517)</w:t>
            </w:r>
          </w:p>
        </w:tc>
        <w:tc>
          <w:tcPr>
            <w:tcW w:w="120" w:type="dxa"/>
            <w:vAlign w:val="bottom"/>
            <w:tcBorders>
              <w:bottom w:val="single" w:sz="8" w:color="D5EAEA"/>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55,220</w:t>
            </w:r>
          </w:p>
        </w:tc>
        <w:tc>
          <w:tcPr>
            <w:tcW w:w="120" w:type="dxa"/>
            <w:vAlign w:val="bottom"/>
            <w:tcBorders>
              <w:bottom w:val="single" w:sz="8" w:color="D5EAEA"/>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(44,078)</w:t>
            </w:r>
          </w:p>
        </w:tc>
        <w:tc>
          <w:tcPr>
            <w:tcW w:w="0" w:type="dxa"/>
            <w:vAlign w:val="bottom"/>
          </w:tcPr>
          <w:p>
            <w:pPr>
              <w:spacing w:after="0"/>
              <w:rPr>
                <w:sz w:val="1"/>
                <w:szCs w:val="1"/>
                <w:color w:val="auto"/>
              </w:rPr>
            </w:pPr>
          </w:p>
        </w:tc>
      </w:tr>
      <w:tr>
        <w:trPr>
          <w:trHeight w:val="197"/>
        </w:trPr>
        <w:tc>
          <w:tcPr>
            <w:tcW w:w="64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sale of property, plant and equipment</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Rental deposits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64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provided by/(used in) investing activities</w:t>
            </w:r>
          </w:p>
        </w:tc>
        <w:tc>
          <w:tcPr>
            <w:tcW w:w="114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28,329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(66,885)</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(32,036)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Repayment of short-term financing obligation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Principal payments of lease obligations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Proceeds from issuance of common shares – option plan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treasury shares, net of transaction costs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Payment for the issuance of treasury shares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convertible loan</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50,278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Transaction costs on issuance of shares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public offerings of common shares, net of underwriting fees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111,529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Transaction costs on public offerings of common shares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long-term financing obligation</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5EAEA"/>
          </w:tcPr>
          <w:p>
            <w:pPr>
              <w:spacing w:after="0"/>
              <w:rPr>
                <w:sz w:val="19"/>
                <w:szCs w:val="19"/>
                <w:color w:val="auto"/>
              </w:rPr>
            </w:pPr>
          </w:p>
        </w:tc>
        <w:tc>
          <w:tcPr>
            <w:tcW w:w="12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D5EAEA"/>
          </w:tcPr>
          <w:p>
            <w:pPr>
              <w:spacing w:after="0"/>
              <w:rPr>
                <w:sz w:val="19"/>
                <w:szCs w:val="19"/>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in)/provided by financing activities</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49,616</w:t>
            </w:r>
          </w:p>
        </w:tc>
        <w:tc>
          <w:tcPr>
            <w:tcW w:w="12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109,378</w:t>
            </w:r>
          </w:p>
        </w:tc>
        <w:tc>
          <w:tcPr>
            <w:tcW w:w="0" w:type="dxa"/>
            <w:vAlign w:val="bottom"/>
          </w:tcPr>
          <w:p>
            <w:pPr>
              <w:spacing w:after="0"/>
              <w:rPr>
                <w:sz w:val="1"/>
                <w:szCs w:val="1"/>
                <w:color w:val="auto"/>
              </w:rPr>
            </w:pPr>
          </w:p>
        </w:tc>
      </w:tr>
      <w:tr>
        <w:trPr>
          <w:trHeight w:val="196"/>
        </w:trPr>
        <w:tc>
          <w:tcPr>
            <w:tcW w:w="64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4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140" w:type="dxa"/>
            <w:vAlign w:val="bottom"/>
            <w:tcBorders>
              <w:bottom w:val="single" w:sz="8" w:color="D5EAEA"/>
            </w:tcBorders>
          </w:tcPr>
          <w:p>
            <w:pPr>
              <w:spacing w:after="0"/>
              <w:rPr>
                <w:sz w:val="24"/>
                <w:szCs w:val="24"/>
                <w:color w:val="auto"/>
              </w:rPr>
            </w:pPr>
          </w:p>
        </w:tc>
        <w:tc>
          <w:tcPr>
            <w:tcW w:w="120" w:type="dxa"/>
            <w:vAlign w:val="bottom"/>
            <w:tcBorders>
              <w:bottom w:val="single" w:sz="8" w:color="D5EAEA"/>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(31,991)</w:t>
            </w:r>
          </w:p>
        </w:tc>
        <w:tc>
          <w:tcPr>
            <w:tcW w:w="120" w:type="dxa"/>
            <w:vAlign w:val="bottom"/>
            <w:tcBorders>
              <w:bottom w:val="single" w:sz="8" w:color="D5EAEA"/>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37,951</w:t>
            </w:r>
          </w:p>
        </w:tc>
        <w:tc>
          <w:tcPr>
            <w:tcW w:w="120" w:type="dxa"/>
            <w:vAlign w:val="bottom"/>
            <w:tcBorders>
              <w:bottom w:val="single" w:sz="8" w:color="D5EAEA"/>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33,264</w:t>
            </w:r>
          </w:p>
        </w:tc>
        <w:tc>
          <w:tcPr>
            <w:tcW w:w="0" w:type="dxa"/>
            <w:vAlign w:val="bottom"/>
          </w:tcPr>
          <w:p>
            <w:pPr>
              <w:spacing w:after="0"/>
              <w:rPr>
                <w:sz w:val="1"/>
                <w:szCs w:val="1"/>
                <w:color w:val="auto"/>
              </w:rPr>
            </w:pPr>
          </w:p>
        </w:tc>
      </w:tr>
      <w:tr>
        <w:trPr>
          <w:trHeight w:val="196"/>
        </w:trPr>
        <w:tc>
          <w:tcPr>
            <w:tcW w:w="642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Cash and cash equivalents at January 1</w:t>
            </w: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193,587</w:t>
            </w: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156,462</w:t>
            </w: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3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 at December 31</w:t>
            </w:r>
          </w:p>
        </w:tc>
        <w:tc>
          <w:tcPr>
            <w:tcW w:w="114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160,893</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156,462</w:t>
            </w: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140" w:type="dxa"/>
            <w:vAlign w:val="bottom"/>
            <w:tcBorders>
              <w:bottom w:val="single" w:sz="8" w:color="D5EAEA"/>
            </w:tcBorders>
            <w:shd w:val="clear" w:color="auto" w:fill="D5EAEA"/>
          </w:tcPr>
          <w:p>
            <w:pPr>
              <w:spacing w:after="0"/>
              <w:rPr>
                <w:sz w:val="21"/>
                <w:szCs w:val="21"/>
                <w:color w:val="auto"/>
              </w:rPr>
            </w:pPr>
          </w:p>
        </w:tc>
        <w:tc>
          <w:tcPr>
            <w:tcW w:w="120" w:type="dxa"/>
            <w:vAlign w:val="bottom"/>
            <w:tcBorders>
              <w:bottom w:val="single" w:sz="8" w:color="D5EAEA"/>
            </w:tcBorders>
            <w:shd w:val="clear" w:color="auto" w:fill="D5EAEA"/>
          </w:tcPr>
          <w:p>
            <w:pPr>
              <w:spacing w:after="0"/>
              <w:rPr>
                <w:sz w:val="21"/>
                <w:szCs w:val="21"/>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(31,991)</w:t>
            </w:r>
          </w:p>
        </w:tc>
        <w:tc>
          <w:tcPr>
            <w:tcW w:w="120" w:type="dxa"/>
            <w:vAlign w:val="bottom"/>
            <w:tcBorders>
              <w:bottom w:val="single" w:sz="8" w:color="D5EAEA"/>
            </w:tcBorders>
            <w:shd w:val="clear" w:color="auto" w:fill="D5EAEA"/>
          </w:tcPr>
          <w:p>
            <w:pPr>
              <w:spacing w:after="0"/>
              <w:rPr>
                <w:sz w:val="21"/>
                <w:szCs w:val="21"/>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37,951</w:t>
            </w:r>
          </w:p>
        </w:tc>
        <w:tc>
          <w:tcPr>
            <w:tcW w:w="120" w:type="dxa"/>
            <w:vAlign w:val="bottom"/>
            <w:tcBorders>
              <w:bottom w:val="single" w:sz="8" w:color="D5EAEA"/>
            </w:tcBorders>
            <w:shd w:val="clear" w:color="auto" w:fill="D5EAEA"/>
          </w:tcPr>
          <w:p>
            <w:pPr>
              <w:spacing w:after="0"/>
              <w:rPr>
                <w:sz w:val="21"/>
                <w:szCs w:val="21"/>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33,264</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non-cash activity includes the following:</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For the year ended December 31, 2020, the acquisition of CHF 0.3 million of property, plant and equipment was non-cash. For the year ended December 31, 2019, the Company settled its convertible loan via equity for CHF 48.3 million, gross of CHF 0.5 million for transaction costs.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592"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7"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TDP-43. Our corporate strategy is founded upon a three-pillar approach that targets (i) AD, (ii) focused non-Alzheimer’s neurodegenerative diseases including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1015 Lausanne, Switzerland.</w:t>
      </w:r>
    </w:p>
    <w:p>
      <w:pPr>
        <w:spacing w:after="0" w:line="120"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160.9 million and short-term financial assets of CHF 65 million as of December 31, 2020. This total derives from multiple capital raising efforts and revenues from license and collaboration agreements (LCAs). In 2020, the Company received CHF 10 million for a development milestone from its licensing agreement with Lilly. In 2019, the Company received CHF 80 million for an upfront payment, CHF 30 million for a development milestone and USD 50 (CHF 50.3) million from a convertible loan with Lilly. In 2018, the Company completed three offerings, raising USD 117.5 (CHF 116.3) million in gross proceeds before underwriting discounts and expenses.</w:t>
      </w:r>
    </w:p>
    <w:p>
      <w:pPr>
        <w:spacing w:after="0" w:line="19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To date, the Company has financed its cash requirements primarily from its public offerings, share issuances, contract revenues from license and collaboration agreements and grants.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19, 2021.</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statements have been prepared under the historical cost convention except for items that are required to be accounted for at fair value.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w:t>
      </w:r>
    </w:p>
    <w:p>
      <w:pPr>
        <w:spacing w:after="0" w:line="180"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income/(loss) in the period in which they arise.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has adopted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2"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Company enters into LCAs which are within the scope of IFRS 15, under which it licenses certain rights to its product candidates and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statements of income/(loss).</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Licenses of intellectual property</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25"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The Company has certain arrangements with our collaboration partners that 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Sublicense revenues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complete discussion of accounting for contract revenue, see “Note 12. Contract revenues.”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Given the stage of development of the Company’s products, all research expenditure is expensed as incurred. Research and development expenditures include:</w:t>
      </w:r>
    </w:p>
    <w:p>
      <w:pPr>
        <w:spacing w:after="0" w:line="170" w:lineRule="exact"/>
        <w:rPr>
          <w:sz w:val="20"/>
          <w:szCs w:val="20"/>
          <w:color w:val="auto"/>
        </w:rPr>
      </w:pPr>
    </w:p>
    <w:p>
      <w:pPr>
        <w:ind w:left="660" w:right="30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right="360" w:hanging="328"/>
        <w:spacing w:after="0" w:line="342"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share-based compensation expenses.</w:t>
      </w:r>
    </w:p>
    <w:p>
      <w:pPr>
        <w:spacing w:after="0" w:line="225" w:lineRule="exact"/>
        <w:rPr>
          <w:sz w:val="20"/>
          <w:szCs w:val="20"/>
          <w:color w:val="auto"/>
        </w:rPr>
      </w:pPr>
    </w:p>
    <w:p>
      <w:pPr>
        <w:ind w:firstLine="321"/>
        <w:spacing w:after="0" w:line="257" w:lineRule="auto"/>
        <w:rPr>
          <w:sz w:val="20"/>
          <w:szCs w:val="20"/>
          <w:color w:val="auto"/>
        </w:rPr>
      </w:pPr>
      <w:r>
        <w:rPr>
          <w:rFonts w:ascii="Arial" w:cs="Arial" w:eastAsia="Arial" w:hAnsi="Arial"/>
          <w:sz w:val="18"/>
          <w:szCs w:val="18"/>
          <w:color w:val="auto"/>
        </w:rPr>
        <w:t>For external research contracts, expenses include those associated with contract research organizations, or CROs, or contract manufacturing organizations, or CMOs. The invoicing from CROs or CMOs for services rendered do not always align with work performed. We accrue the cost of services rendered in connection with CRO or CMO activities based on our estimate of the “stage of completion” for such contracted services. We maintain regular communication with our CRO or CMO vendors to gauge the reasonableness of our estimates and accrue expenses as of the balance sheet date in the financial statements based on facts and circumstances known at the time.</w:t>
      </w:r>
    </w:p>
    <w:p>
      <w:pPr>
        <w:spacing w:after="0" w:line="188"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229"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The Company has received grants, from time to time, from the Michael J. Fox Foundation (MJFF) and other institutions to support certain research projects. Grants are recorded at their fair value in the statements of income/(loss) within other operating income/(expenses)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Effective January 1, 2019, the Company adopted IFRS 16 (</w:t>
      </w:r>
      <w:r>
        <w:rPr>
          <w:rFonts w:ascii="Arial" w:cs="Arial" w:eastAsia="Arial" w:hAnsi="Arial"/>
          <w:sz w:val="17"/>
          <w:szCs w:val="17"/>
          <w:i w:val="1"/>
          <w:iCs w:val="1"/>
          <w:color w:val="auto"/>
        </w:rPr>
        <w:t>Leases</w:t>
      </w:r>
      <w:r>
        <w:rPr>
          <w:rFonts w:ascii="Arial" w:cs="Arial" w:eastAsia="Arial" w:hAnsi="Arial"/>
          <w:sz w:val="17"/>
          <w:szCs w:val="17"/>
          <w:color w:val="auto"/>
        </w:rPr>
        <w:t>), which provides a new model for lessee accounting in which all leases, other than short-term and low-value leases, are accounted for by the recognition on the balance sheet of a right-of-use asset and a lease liability, and the subsequent amortization of the right-of-use asset over the earlier of the end of the useful life or the lease term. The Company applied the modified retrospective approach, which required the recognition of the cumulative effect of initially applying IFRS 16 as of January 1, 2019 to accumulated losses and not restating previous years. As the Company recognized the right-of-use assets at the amount equal to the lease liabilities there was no impact to accumulated losses. For a complete discussion of accounting, see “Note 5. Right-of-use assets and lease liabilities.”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Right-of-use assets and lease liabilities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At inception of a leasing contract, the Company assesses whether a contract is, or contains, a lease based on whether the contract conveys the right to control the use of an identified asset for a period of time in exchange for consideration. 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lease liabilities are classified as current or non-current based on the due dates of the underlying principal payments.</w:t>
      </w:r>
    </w:p>
    <w:p>
      <w:pPr>
        <w:spacing w:after="0" w:line="17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Lease payments generally are fixed for the contract term. The lease liability is measured at amortized cost using the effective interest method. The lease liability is re-measured if there is a change in the estimated lease term, a change in future lease payments arising from a change in an index or rate, a change in the Company’s estimate of</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amount expected to be payable under a residual value guarantee or a change in assessment of whether it will exercise a purchase, extension or termination option.</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When the lease liability is re-measured, a corresponding adjustment is made to the carrying amount of the right-of-use asset or is recorded in profit or loss if the carrying amount of the right-of-use asset has been reduced to zero.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The estimated lease term by right-of-use asset categories are as follows:</w:t>
            </w: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Buildings</w:t>
            </w:r>
          </w:p>
        </w:tc>
        <w:tc>
          <w:tcPr>
            <w:tcW w:w="2660" w:type="dxa"/>
            <w:vAlign w:val="bottom"/>
            <w:shd w:val="clear" w:color="auto" w:fill="D5EAEA"/>
          </w:tcPr>
          <w:p>
            <w:pPr>
              <w:ind w:left="2140"/>
              <w:spacing w:after="0"/>
              <w:rPr>
                <w:sz w:val="20"/>
                <w:szCs w:val="20"/>
                <w:color w:val="auto"/>
              </w:rPr>
            </w:pPr>
            <w:r>
              <w:rPr>
                <w:rFonts w:ascii="Arial" w:cs="Arial" w:eastAsia="Arial" w:hAnsi="Arial"/>
                <w:sz w:val="18"/>
                <w:szCs w:val="18"/>
                <w:color w:val="auto"/>
                <w:w w:val="84"/>
              </w:rPr>
              <w:t>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Office equipment</w:t>
            </w:r>
          </w:p>
        </w:tc>
        <w:tc>
          <w:tcPr>
            <w:tcW w:w="2660" w:type="dxa"/>
            <w:vAlign w:val="bottom"/>
          </w:tcPr>
          <w:p>
            <w:pPr>
              <w:ind w:left="2140"/>
              <w:spacing w:after="0"/>
              <w:rPr>
                <w:sz w:val="20"/>
                <w:szCs w:val="20"/>
                <w:color w:val="auto"/>
              </w:rPr>
            </w:pPr>
            <w:r>
              <w:rPr>
                <w:rFonts w:ascii="Arial" w:cs="Arial" w:eastAsia="Arial" w:hAnsi="Arial"/>
                <w:sz w:val="18"/>
                <w:szCs w:val="18"/>
                <w:color w:val="auto"/>
                <w:w w:val="84"/>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IT equipment</w:t>
            </w:r>
          </w:p>
        </w:tc>
        <w:tc>
          <w:tcPr>
            <w:tcW w:w="2660" w:type="dxa"/>
            <w:vAlign w:val="bottom"/>
            <w:shd w:val="clear" w:color="auto" w:fill="D5EAEA"/>
          </w:tcPr>
          <w:p>
            <w:pPr>
              <w:ind w:left="2140"/>
              <w:spacing w:after="0"/>
              <w:rPr>
                <w:sz w:val="20"/>
                <w:szCs w:val="20"/>
                <w:color w:val="auto"/>
              </w:rPr>
            </w:pPr>
            <w:r>
              <w:rPr>
                <w:rFonts w:ascii="Arial" w:cs="Arial" w:eastAsia="Arial" w:hAnsi="Arial"/>
                <w:sz w:val="18"/>
                <w:szCs w:val="18"/>
                <w:color w:val="auto"/>
                <w:w w:val="84"/>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80" w:type="dxa"/>
            <w:vAlign w:val="bottom"/>
          </w:tcPr>
          <w:p>
            <w:pPr>
              <w:ind w:left="340"/>
              <w:spacing w:after="0"/>
              <w:rPr>
                <w:sz w:val="20"/>
                <w:szCs w:val="20"/>
                <w:color w:val="auto"/>
              </w:rPr>
            </w:pPr>
            <w:r>
              <w:rPr>
                <w:rFonts w:ascii="Arial" w:cs="Arial" w:eastAsia="Arial" w:hAnsi="Arial"/>
                <w:sz w:val="18"/>
                <w:szCs w:val="18"/>
                <w:color w:val="auto"/>
              </w:rPr>
              <w:t>Both the right-of-use-assets and lease liabilities are recognized in the balance sheets.</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IT equipment</w:t>
            </w:r>
          </w:p>
        </w:tc>
        <w:tc>
          <w:tcPr>
            <w:tcW w:w="4620" w:type="dxa"/>
            <w:vAlign w:val="bottom"/>
            <w:shd w:val="clear" w:color="auto" w:fill="D5EAEA"/>
          </w:tcPr>
          <w:p>
            <w:pPr>
              <w:ind w:left="4100"/>
              <w:spacing w:after="0"/>
              <w:rPr>
                <w:sz w:val="20"/>
                <w:szCs w:val="20"/>
                <w:color w:val="auto"/>
              </w:rPr>
            </w:pPr>
            <w:r>
              <w:rPr>
                <w:rFonts w:ascii="Arial" w:cs="Arial" w:eastAsia="Arial" w:hAnsi="Arial"/>
                <w:sz w:val="18"/>
                <w:szCs w:val="18"/>
                <w:color w:val="auto"/>
                <w:w w:val="84"/>
              </w:rPr>
              <w:t>3 years</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Laboratory equipment</w:t>
            </w:r>
          </w:p>
        </w:tc>
        <w:tc>
          <w:tcPr>
            <w:tcW w:w="4620" w:type="dxa"/>
            <w:vAlign w:val="bottom"/>
          </w:tcPr>
          <w:p>
            <w:pPr>
              <w:ind w:left="4100"/>
              <w:spacing w:after="0"/>
              <w:rPr>
                <w:sz w:val="20"/>
                <w:szCs w:val="20"/>
                <w:color w:val="auto"/>
              </w:rPr>
            </w:pPr>
            <w:r>
              <w:rPr>
                <w:rFonts w:ascii="Arial" w:cs="Arial" w:eastAsia="Arial" w:hAnsi="Arial"/>
                <w:sz w:val="18"/>
                <w:szCs w:val="18"/>
                <w:color w:val="auto"/>
                <w:w w:val="84"/>
              </w:rPr>
              <w:t>5 years</w:t>
            </w:r>
          </w:p>
        </w:tc>
      </w:tr>
      <w:tr>
        <w:trPr>
          <w:trHeight w:val="216"/>
        </w:trPr>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Leasehold improvements/furniture</w:t>
            </w:r>
          </w:p>
        </w:tc>
        <w:tc>
          <w:tcPr>
            <w:tcW w:w="4620" w:type="dxa"/>
            <w:vAlign w:val="bottom"/>
            <w:shd w:val="clear" w:color="auto" w:fill="D5EAEA"/>
          </w:tcPr>
          <w:p>
            <w:pPr>
              <w:ind w:left="4100"/>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Gains and losses on disposals are determined by comparing the disposal proceeds with the carrying amount and are included in the statements of income/(loss).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Company’s financial assets and liabilities are comprised of receivables, short-term financial assets, cash and cash equivalents, trade payables and financing obligations. The fair value of these financial instruments approximates their respective carrying values due to the short-term maturity of these instruments and are held at their amortized cost in accordance with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Short-term financial assets</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Short-term financial assets are held with external financial institutions and comprise fixed-term deposits with maturities ranging from more than 3 through 12 months in duration.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assesses at each period whether there is objective evidence that financial assets are impaired.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payables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 are amounts due to third parties in the ordinary course of business.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obligation</w:t>
      </w:r>
    </w:p>
    <w:p>
      <w:pPr>
        <w:spacing w:after="0" w:line="225" w:lineRule="exact"/>
        <w:rPr>
          <w:sz w:val="20"/>
          <w:szCs w:val="20"/>
          <w:color w:val="auto"/>
        </w:rPr>
      </w:pPr>
    </w:p>
    <w:p>
      <w:pPr>
        <w:ind w:right="360" w:firstLine="321"/>
        <w:spacing w:after="0" w:line="277" w:lineRule="auto"/>
        <w:rPr>
          <w:sz w:val="20"/>
          <w:szCs w:val="20"/>
          <w:color w:val="auto"/>
        </w:rPr>
      </w:pPr>
      <w:r>
        <w:rPr>
          <w:rFonts w:ascii="Arial" w:cs="Arial" w:eastAsia="Arial" w:hAnsi="Arial"/>
          <w:sz w:val="18"/>
          <w:szCs w:val="18"/>
          <w:color w:val="auto"/>
        </w:rPr>
        <w:t>The Company’s financing obligation related to its agreement with a third party. This financing obligation has been fully repaid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and public offerings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Common shares are classified as equity. Share issuance costs are capitalized as incurred and will be shown in equity as a deduction, net of tax, from the proceeds received from existing or future offerings. Should a planned equity offering not be assessed as probable, the issuance costs would be expensed immediately. See “Note 9. Share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Post-employment benefits</w:t>
      </w:r>
    </w:p>
    <w:p>
      <w:pPr>
        <w:spacing w:after="0" w:line="225"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84"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61"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Re-measurements of the net defined benefit liability, which comprise actuarial gains and losses and the return on plan assets (excluding interest) are recognized immediately in the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statements of income/(loss).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recognizes the impact of the revision of original estimates, if any, prospectively in the statements of income/(loss), and a corresponding adjustment to equity over the remaining vesting period.</w:t>
      </w:r>
    </w:p>
    <w:p>
      <w:pPr>
        <w:spacing w:after="0" w:line="1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Stock options granted under the Company’s stock option plans A, B, C and the 2016 Stock Option and Incentive Plan are valued using the Black-Scholes option-pricing model (see “Note 17. Share-based compensation”). This valuation model as well as parameters used such as expected volatility and expected term of the stock options are partially based on management’s estimates.</w:t>
      </w:r>
    </w:p>
    <w:p>
      <w:pPr>
        <w:spacing w:after="0" w:line="18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170"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capital and share premium as the awards vest.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5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5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as the probability for use is low.</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As disclosed in “Note 15. Income taxes,”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are calculated by dividing the earnings of the period by the weighted-average number of shares outstanding during the period. Diluted earnings per share reflect the potential dilution that could occur if dilutive securities such as share options or non-vested restricted share units were vested or exercised into common shares or resulted in the issuance of common shares that would participate in net income. Anti-dilutive shares are excluded from basic and dilutive earnings per share calculation.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areas where AC Immune has had to make judgments, estimates and assumptions relate to (i) revenue recognition on LCAs, (ii) clinical development accruals, (iii) net employee defined 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w:t>
      </w:r>
    </w:p>
    <w:p>
      <w:pPr>
        <w:spacing w:after="0" w:line="17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Company is managed and operated as one business. A single management team that reports to the chief operating decision maker comprehensively manages the entire business. Accordingly, the Company views its business and manages its operations as one operating segment. Non-current assets are located in and revenue is attributable to the Company’s country of domicile,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2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tables show the movements in the net book values of property, plant and equipment for the years ended December 31, 2020 and 2019,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Laboratory</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Leasehold</w:t>
            </w:r>
          </w:p>
        </w:tc>
        <w:tc>
          <w:tcPr>
            <w:tcW w:w="1340" w:type="dxa"/>
            <w:vAlign w:val="bottom"/>
          </w:tcPr>
          <w:p>
            <w:pPr>
              <w:spacing w:after="0"/>
              <w:rPr>
                <w:sz w:val="18"/>
                <w:szCs w:val="18"/>
                <w:color w:val="auto"/>
              </w:rPr>
            </w:pPr>
          </w:p>
        </w:tc>
      </w:tr>
      <w:tr>
        <w:trPr>
          <w:trHeight w:val="234"/>
        </w:trPr>
        <w:tc>
          <w:tcPr>
            <w:tcW w:w="408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 CHF thousands</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Furniture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IT equipment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equipment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improvements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4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spacing w:after="0"/>
              <w:rPr>
                <w:sz w:val="18"/>
                <w:szCs w:val="18"/>
                <w:color w:val="auto"/>
              </w:rPr>
            </w:pPr>
          </w:p>
        </w:tc>
        <w:tc>
          <w:tcPr>
            <w:tcW w:w="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1320" w:type="dxa"/>
            <w:vAlign w:val="bottom"/>
          </w:tcPr>
          <w:p>
            <w:pPr>
              <w:jc w:val="right"/>
              <w:spacing w:after="0"/>
              <w:rPr>
                <w:sz w:val="20"/>
                <w:szCs w:val="20"/>
                <w:color w:val="auto"/>
              </w:rPr>
            </w:pPr>
            <w:r>
              <w:rPr>
                <w:rFonts w:ascii="Arial" w:cs="Arial" w:eastAsia="Arial" w:hAnsi="Arial"/>
                <w:sz w:val="18"/>
                <w:szCs w:val="18"/>
                <w:color w:val="auto"/>
              </w:rPr>
              <w:t>158</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8,445</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Acquisitions</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96</w:t>
            </w:r>
          </w:p>
        </w:tc>
        <w:tc>
          <w:tcPr>
            <w:tcW w:w="150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2,034</w:t>
            </w:r>
          </w:p>
        </w:tc>
      </w:tr>
      <w:tr>
        <w:trPr>
          <w:trHeight w:val="229"/>
        </w:trPr>
        <w:tc>
          <w:tcPr>
            <w:tcW w:w="40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10"/>
        </w:trPr>
        <w:tc>
          <w:tcPr>
            <w:tcW w:w="408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2020</w:t>
            </w:r>
          </w:p>
        </w:tc>
        <w:tc>
          <w:tcPr>
            <w:tcW w:w="13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214</w:t>
            </w:r>
          </w:p>
        </w:tc>
        <w:tc>
          <w:tcPr>
            <w:tcW w:w="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1,497</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7,958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10,133</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(4,528)</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expenses</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(1,535)</w:t>
            </w:r>
          </w:p>
        </w:tc>
      </w:tr>
      <w:tr>
        <w:trPr>
          <w:trHeight w:val="229"/>
        </w:trPr>
        <w:tc>
          <w:tcPr>
            <w:tcW w:w="40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10"/>
        </w:trPr>
        <w:tc>
          <w:tcPr>
            <w:tcW w:w="408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2020</w:t>
            </w:r>
          </w:p>
        </w:tc>
        <w:tc>
          <w:tcPr>
            <w:tcW w:w="13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w:t>
            </w:r>
          </w:p>
        </w:tc>
        <w:tc>
          <w:tcPr>
            <w:tcW w:w="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(5,717)</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3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3,917</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December 31, 2020</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153</w:t>
            </w:r>
          </w:p>
        </w:tc>
        <w:tc>
          <w:tcPr>
            <w:tcW w:w="150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4,416</w:t>
            </w:r>
          </w:p>
        </w:tc>
      </w:tr>
      <w:tr>
        <w:trPr>
          <w:trHeight w:val="324"/>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F-14</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gridSpan w:val="2"/>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439"/>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Laboratory</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Leasehold</w:t>
            </w:r>
          </w:p>
        </w:tc>
        <w:tc>
          <w:tcPr>
            <w:tcW w:w="1340" w:type="dxa"/>
            <w:vAlign w:val="bottom"/>
          </w:tcPr>
          <w:p>
            <w:pPr>
              <w:spacing w:after="0"/>
              <w:rPr>
                <w:sz w:val="24"/>
                <w:szCs w:val="24"/>
                <w:color w:val="auto"/>
              </w:rPr>
            </w:pPr>
          </w:p>
        </w:tc>
      </w:tr>
      <w:tr>
        <w:trPr>
          <w:trHeight w:val="234"/>
        </w:trPr>
        <w:tc>
          <w:tcPr>
            <w:tcW w:w="408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Furniture</w:t>
            </w: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IT equipment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equipment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improvements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4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6,868</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Acquisitions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1,885</w:t>
            </w:r>
          </w:p>
        </w:tc>
      </w:tr>
      <w:tr>
        <w:trPr>
          <w:trHeight w:val="230"/>
        </w:trPr>
        <w:tc>
          <w:tcPr>
            <w:tcW w:w="40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Disposals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09"/>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2019</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6,698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8,445</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13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(3,544)</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expenses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(1,274)</w:t>
            </w:r>
          </w:p>
        </w:tc>
      </w:tr>
      <w:tr>
        <w:trPr>
          <w:trHeight w:val="229"/>
        </w:trPr>
        <w:tc>
          <w:tcPr>
            <w:tcW w:w="40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Disposals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r>
      <w:tr>
        <w:trPr>
          <w:trHeight w:val="209"/>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2019</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(3,619)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(4,528)</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3,324</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December 31, 2019</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3,917</w:t>
            </w: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For the years ended December 31, 2020, 2019 and 2018, the Company incurred CHF 1.5 million, 1.3 million and CHF 1.0 million in depreciation expenses, respectively.</w:t>
      </w:r>
    </w:p>
    <w:p>
      <w:pPr>
        <w:spacing w:after="0" w:line="166"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recognized additions of right-of-use of leased assets for buildings or for office equipment totaling CHF 0.4 and CHF 0.5 million for the years ended December 31, 2020 and 2019, respectively.</w:t>
      </w:r>
    </w:p>
    <w:p>
      <w:pPr>
        <w:spacing w:after="0" w:line="170"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as of December 31, 2020 are 2.5% for buildings, 4.2% for office equipment and 2.6% for IT equipment.</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show the movements in the net book values of right-of-use of leased assets for the years ended December 31, 2020 and 2019,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ind w:left="340"/>
              <w:spacing w:after="0"/>
              <w:rPr>
                <w:sz w:val="20"/>
                <w:szCs w:val="20"/>
                <w:color w:val="auto"/>
              </w:rPr>
            </w:pPr>
            <w:r>
              <w:rPr>
                <w:rFonts w:ascii="Arial" w:cs="Arial" w:eastAsia="Arial" w:hAnsi="Arial"/>
                <w:sz w:val="18"/>
                <w:szCs w:val="18"/>
                <w:b w:val="1"/>
                <w:bCs w:val="1"/>
                <w:color w:val="auto"/>
              </w:rPr>
              <w:t>Buildings</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96"/>
              </w:rPr>
              <w:t>Office equipment</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IT equipment</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2,106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2,255</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Disposals</w:t>
            </w:r>
          </w:p>
        </w:tc>
        <w:tc>
          <w:tcPr>
            <w:tcW w:w="150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Depreciation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10"/>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2020</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2,223</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ind w:left="340"/>
              <w:spacing w:after="0"/>
              <w:rPr>
                <w:sz w:val="20"/>
                <w:szCs w:val="20"/>
                <w:color w:val="auto"/>
              </w:rPr>
            </w:pPr>
            <w:r>
              <w:rPr>
                <w:rFonts w:ascii="Arial" w:cs="Arial" w:eastAsia="Arial" w:hAnsi="Arial"/>
                <w:sz w:val="18"/>
                <w:szCs w:val="18"/>
                <w:b w:val="1"/>
                <w:bCs w:val="1"/>
                <w:color w:val="auto"/>
              </w:rPr>
              <w:t>Buildings</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96"/>
              </w:rPr>
              <w:t>Office equipment</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IT equipment</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2019</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2,106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2,185</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Disposals</w:t>
            </w:r>
          </w:p>
        </w:tc>
        <w:tc>
          <w:tcPr>
            <w:tcW w:w="150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Depreciation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210"/>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2019</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2,255</w:t>
            </w: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are no variable lease payments which are not included in the measurement of lease obligations. All extension options have been included in the measurement of lease obligations.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years ended December 31, 2020, and 2019, the impact on the Company’s statements of income/(loss) and statements of cash flows is detailed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Years Ended</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83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Statements of income/(loss)</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420</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Interest expense on lease liabilities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30"/>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565</w:t>
            </w:r>
          </w:p>
        </w:tc>
      </w:tr>
      <w:tr>
        <w:trPr>
          <w:trHeight w:val="209"/>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w:t>
            </w:r>
          </w:p>
        </w:tc>
      </w:tr>
      <w:tr>
        <w:trPr>
          <w:trHeight w:val="196"/>
        </w:trPr>
        <w:tc>
          <w:tcPr>
            <w:tcW w:w="844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i w:val="1"/>
                <w:iCs w:val="1"/>
                <w:color w:val="auto"/>
              </w:rPr>
              <w:t>Statements of cash flows</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60" w:type="dxa"/>
            <w:vAlign w:val="bottom"/>
            <w:shd w:val="clear" w:color="auto" w:fill="D5EAEA"/>
          </w:tcPr>
          <w:p>
            <w:pPr>
              <w:spacing w:after="0"/>
              <w:rPr>
                <w:sz w:val="17"/>
                <w:szCs w:val="17"/>
                <w:color w:val="auto"/>
              </w:rPr>
            </w:pPr>
          </w:p>
        </w:tc>
      </w:tr>
      <w:tr>
        <w:trPr>
          <w:trHeight w:val="24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cash outflow for leases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liabilities as of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18"/>
                <w:szCs w:val="18"/>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485</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Between 1 and 3 years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970</w:t>
            </w:r>
          </w:p>
        </w:tc>
      </w:tr>
      <w:tr>
        <w:trPr>
          <w:trHeight w:val="229"/>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Between 3 and 5 years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948</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cash and cash equivalents are maintained in the following respective currencies as of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18"/>
                <w:szCs w:val="18"/>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tcBorders>
              <w:top w:val="single" w:sz="8" w:color="D5EAEA"/>
            </w:tcBorders>
            <w:shd w:val="clear" w:color="auto" w:fill="D5EAEA"/>
          </w:tcPr>
          <w:p>
            <w:pPr>
              <w:spacing w:after="0"/>
              <w:rPr>
                <w:sz w:val="19"/>
                <w:szCs w:val="19"/>
                <w:color w:val="auto"/>
              </w:rPr>
            </w:pPr>
          </w:p>
        </w:tc>
        <w:tc>
          <w:tcPr>
            <w:tcW w:w="480" w:type="dxa"/>
            <w:vAlign w:val="bottom"/>
            <w:tcBorders>
              <w:top w:val="single" w:sz="8" w:color="auto"/>
              <w:bottom w:val="single" w:sz="8" w:color="auto"/>
            </w:tcBorders>
            <w:shd w:val="clear" w:color="auto" w:fill="D5EAEA"/>
          </w:tcPr>
          <w:p>
            <w:pPr>
              <w:spacing w:after="0"/>
              <w:rPr>
                <w:sz w:val="19"/>
                <w:szCs w:val="19"/>
                <w:color w:val="auto"/>
              </w:rPr>
            </w:pPr>
          </w:p>
        </w:tc>
        <w:tc>
          <w:tcPr>
            <w:tcW w:w="8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r>
      <w:tr>
        <w:trPr>
          <w:trHeight w:val="263"/>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D5EAEA"/>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193,587</w:t>
            </w:r>
          </w:p>
        </w:tc>
      </w:tr>
      <w:tr>
        <w:trPr>
          <w:trHeight w:val="197"/>
        </w:trPr>
        <w:tc>
          <w:tcPr>
            <w:tcW w:w="844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By currency</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60" w:type="dxa"/>
            <w:vAlign w:val="bottom"/>
            <w:shd w:val="clear" w:color="auto" w:fill="D5EAEA"/>
          </w:tcPr>
          <w:p>
            <w:pPr>
              <w:spacing w:after="0"/>
              <w:rPr>
                <w:sz w:val="17"/>
                <w:szCs w:val="17"/>
                <w:color w:val="auto"/>
              </w:rPr>
            </w:pPr>
          </w:p>
        </w:tc>
      </w:tr>
      <w:tr>
        <w:trPr>
          <w:trHeight w:val="216"/>
        </w:trPr>
        <w:tc>
          <w:tcPr>
            <w:tcW w:w="8440" w:type="dxa"/>
            <w:vAlign w:val="bottom"/>
            <w:gridSpan w:val="2"/>
          </w:tcPr>
          <w:p>
            <w:pPr>
              <w:ind w:left="160"/>
              <w:spacing w:after="0"/>
              <w:rPr>
                <w:sz w:val="20"/>
                <w:szCs w:val="20"/>
                <w:color w:val="auto"/>
              </w:rPr>
            </w:pPr>
            <w:r>
              <w:rPr>
                <w:rFonts w:ascii="Arial" w:cs="Arial" w:eastAsia="Arial" w:hAnsi="Arial"/>
                <w:sz w:val="18"/>
                <w:szCs w:val="18"/>
                <w:color w:val="auto"/>
              </w:rPr>
              <w:t>CHF</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152,537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158,173</w:t>
            </w:r>
          </w:p>
        </w:tc>
      </w:tr>
      <w:tr>
        <w:trPr>
          <w:trHeight w:val="216"/>
        </w:trPr>
        <w:tc>
          <w:tcPr>
            <w:tcW w:w="844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EUR</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4,215</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10,169</w:t>
            </w:r>
          </w:p>
        </w:tc>
      </w:tr>
      <w:tr>
        <w:trPr>
          <w:trHeight w:val="230"/>
        </w:trPr>
        <w:tc>
          <w:tcPr>
            <w:tcW w:w="8440" w:type="dxa"/>
            <w:vAlign w:val="bottom"/>
            <w:tcBorders>
              <w:bottom w:val="single" w:sz="8" w:color="D5EAEA"/>
            </w:tcBorders>
            <w:gridSpan w:val="2"/>
          </w:tcPr>
          <w:p>
            <w:pPr>
              <w:ind w:left="160"/>
              <w:spacing w:after="0"/>
              <w:rPr>
                <w:sz w:val="20"/>
                <w:szCs w:val="20"/>
                <w:color w:val="auto"/>
              </w:rPr>
            </w:pPr>
            <w:r>
              <w:rPr>
                <w:rFonts w:ascii="Arial" w:cs="Arial" w:eastAsia="Arial" w:hAnsi="Arial"/>
                <w:sz w:val="18"/>
                <w:szCs w:val="18"/>
                <w:color w:val="auto"/>
              </w:rPr>
              <w:t>USD</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25,245</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At the balance sheet dates, Company funds were held in CHF, EUR and USD currencies. As of December 31, 2020 and 2019, funds in EUR and USD were translated into CHF at a rate of 1.095 and 0.891 and 1.096 and 0.978, respectively, for each currency and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ind w:left="340"/>
              <w:spacing w:after="0"/>
              <w:rPr>
                <w:sz w:val="20"/>
                <w:szCs w:val="20"/>
                <w:color w:val="auto"/>
              </w:rPr>
            </w:pPr>
            <w:r>
              <w:rPr>
                <w:rFonts w:ascii="Arial" w:cs="Arial" w:eastAsia="Arial" w:hAnsi="Arial"/>
                <w:sz w:val="18"/>
                <w:szCs w:val="18"/>
                <w:color w:val="auto"/>
                <w:w w:val="91"/>
              </w:rPr>
              <w:t>The following table summarizes the Company’s short-term financial assets as of December 31, 2020 and 2019:</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24"/>
                <w:szCs w:val="24"/>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Short-term financial assets due in 1 year or less</w:t>
            </w: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D5EAEA"/>
            </w:tcBorders>
            <w:shd w:val="clear" w:color="auto" w:fill="D5EAEA"/>
          </w:tcPr>
          <w:p>
            <w:pPr>
              <w:spacing w:after="0"/>
              <w:rPr>
                <w:sz w:val="19"/>
                <w:szCs w:val="19"/>
                <w:color w:val="auto"/>
              </w:rPr>
            </w:pPr>
          </w:p>
        </w:tc>
        <w:tc>
          <w:tcPr>
            <w:tcW w:w="480" w:type="dxa"/>
            <w:vAlign w:val="bottom"/>
            <w:tcBorders>
              <w:top w:val="single" w:sz="8" w:color="auto"/>
              <w:bottom w:val="single" w:sz="8" w:color="auto"/>
            </w:tcBorders>
            <w:shd w:val="clear" w:color="auto" w:fill="D5EAEA"/>
          </w:tcPr>
          <w:p>
            <w:pPr>
              <w:spacing w:after="0"/>
              <w:rPr>
                <w:sz w:val="19"/>
                <w:szCs w:val="19"/>
                <w:color w:val="auto"/>
              </w:rPr>
            </w:pPr>
          </w:p>
        </w:tc>
        <w:tc>
          <w:tcPr>
            <w:tcW w:w="8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95,000</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95,000</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0.3 million and CHF 0.3 million for the lease of the Company’s premises as of December 31, 2020 and 2019, respectively.</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86"/>
        </w:trPr>
        <w:tc>
          <w:tcPr>
            <w:tcW w:w="8440" w:type="dxa"/>
            <w:vAlign w:val="bottom"/>
            <w:gridSpan w:val="2"/>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58"/>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7.  Prepaid expenses and accrued income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24"/>
                <w:szCs w:val="24"/>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3,954</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2,788</w:t>
            </w:r>
          </w:p>
        </w:tc>
      </w:tr>
      <w:tr>
        <w:trPr>
          <w:trHeight w:val="229"/>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Accrued income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3,883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The prepaid expenses relate mainly to research contracts with down-payments at contract signature and the related activities will start or continue into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Accrued income consists of CHF 1.1 million as of December 31, 2020 associated with our Janssen collaboration (see “Note 12. Contract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amount represents 68.1% of our total accrued income as of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8.  Other current receivables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24"/>
                <w:szCs w:val="24"/>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Swiss VAT</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234</w:t>
            </w:r>
          </w:p>
        </w:tc>
      </w:tr>
      <w:tr>
        <w:trPr>
          <w:trHeight w:val="230"/>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Withholding tax</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maturity of these assets is less than 3 months. The Company considers the counterparty risk as low and the carrying amount of these receivables is considered to approximate their fair value.</w:t>
      </w:r>
    </w:p>
    <w:p>
      <w:pPr>
        <w:spacing w:after="0" w:line="166"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 of December 31, 2020 and 2019, the issued share capital amounted to CHF 1,538,896 and CHF 1,437,351, respectively, and is composed of common shares of 71,936,738 and 71,859,431, respectively, and treasury shares of 5,000,000 and nil,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Company’s capital structure: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In CHF thousands</w:t>
            </w:r>
          </w:p>
        </w:tc>
        <w:tc>
          <w:tcPr>
            <w:tcW w:w="122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Treasury</w:t>
            </w:r>
          </w:p>
        </w:tc>
      </w:tr>
      <w:tr>
        <w:trPr>
          <w:trHeight w:val="234"/>
        </w:trPr>
        <w:tc>
          <w:tcPr>
            <w:tcW w:w="46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Common shares</w:t>
            </w: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Treasury shares</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Share capital</w:t>
            </w:r>
          </w:p>
        </w:tc>
        <w:tc>
          <w:tcPr>
            <w:tcW w:w="10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Share premium</w:t>
            </w: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r>
      <w:tr>
        <w:trPr>
          <w:trHeight w:val="209"/>
        </w:trPr>
        <w:tc>
          <w:tcPr>
            <w:tcW w:w="4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December 31, 2018</w:t>
            </w:r>
          </w:p>
        </w:tc>
        <w:tc>
          <w:tcPr>
            <w:tcW w:w="12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67,562,333</w:t>
            </w:r>
          </w:p>
        </w:tc>
        <w:tc>
          <w:tcPr>
            <w:tcW w:w="12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1,351</w:t>
            </w: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298,149</w:t>
            </w: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shares – incentive plans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681,770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Conversion of note agreement, net of transaction costs</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3,615,328</w:t>
            </w:r>
          </w:p>
        </w:tc>
        <w:tc>
          <w:tcPr>
            <w:tcW w:w="120" w:type="dxa"/>
            <w:vAlign w:val="bottom"/>
            <w:shd w:val="clear" w:color="auto" w:fill="D5EAEA"/>
          </w:tcPr>
          <w:p>
            <w:pPr>
              <w:spacing w:after="0"/>
              <w:rPr>
                <w:sz w:val="18"/>
                <w:szCs w:val="18"/>
                <w:color w:val="auto"/>
              </w:rPr>
            </w:pPr>
          </w:p>
        </w:tc>
        <w:tc>
          <w:tcPr>
            <w:tcW w:w="13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73</w:t>
            </w:r>
          </w:p>
        </w:tc>
        <w:tc>
          <w:tcPr>
            <w:tcW w:w="13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47,705</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 2019</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71,859,431</w:t>
            </w:r>
          </w:p>
        </w:tc>
        <w:tc>
          <w:tcPr>
            <w:tcW w:w="120" w:type="dxa"/>
            <w:vAlign w:val="bottom"/>
            <w:shd w:val="clear" w:color="auto" w:fill="D5EAEA"/>
          </w:tcPr>
          <w:p>
            <w:pPr>
              <w:spacing w:after="0"/>
              <w:rPr>
                <w:sz w:val="18"/>
                <w:szCs w:val="18"/>
                <w:color w:val="auto"/>
              </w:rPr>
            </w:pPr>
          </w:p>
        </w:tc>
        <w:tc>
          <w:tcPr>
            <w:tcW w:w="13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1,437</w:t>
            </w:r>
          </w:p>
        </w:tc>
        <w:tc>
          <w:tcPr>
            <w:tcW w:w="13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346,526</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Issuance of shares – incentive plans, net of RSU expiration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and forfeiture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77,307</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Issuance of shares to be held as treasury shares, net of</w:t>
            </w:r>
          </w:p>
        </w:tc>
        <w:tc>
          <w:tcPr>
            <w:tcW w:w="12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r>
      <w:tr>
        <w:trPr>
          <w:trHeight w:val="244"/>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D5EAEA"/>
          </w:tcPr>
          <w:p>
            <w:pPr>
              <w:spacing w:after="0"/>
              <w:rPr>
                <w:sz w:val="21"/>
                <w:szCs w:val="21"/>
                <w:color w:val="auto"/>
              </w:rPr>
            </w:pP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D5EAEA"/>
          </w:tcPr>
          <w:p>
            <w:pPr>
              <w:spacing w:after="0"/>
              <w:rPr>
                <w:sz w:val="21"/>
                <w:szCs w:val="21"/>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5EAEA"/>
          </w:tcPr>
          <w:p>
            <w:pPr>
              <w:spacing w:after="0"/>
              <w:rPr>
                <w:sz w:val="21"/>
                <w:szCs w:val="21"/>
                <w:color w:val="auto"/>
              </w:rPr>
            </w:pPr>
          </w:p>
        </w:tc>
        <w:tc>
          <w:tcPr>
            <w:tcW w:w="13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76,936,738</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346,890</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48"/>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F-17</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common shares and treasury shares have nominal values of CHF 0.02 per share. All shares have been fully paid. These treasury shares are held by the Company and are not considered outstanding shares as of December 31, 2020. Finally, as of December 31, 2020 the Company has an additional 9,500,000 authorized shares for issuance which have not been issued nor are outstanding. Additionally, 19,632 RSUs either expired or were forfeited in 2020.</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At the market equity offering</w:t>
      </w:r>
    </w:p>
    <w:p>
      <w:pPr>
        <w:spacing w:after="0" w:line="225" w:lineRule="exact"/>
        <w:rPr>
          <w:sz w:val="20"/>
          <w:szCs w:val="20"/>
          <w:color w:val="auto"/>
        </w:rPr>
      </w:pPr>
    </w:p>
    <w:p>
      <w:pPr>
        <w:ind w:right="240" w:firstLine="321"/>
        <w:spacing w:after="0" w:line="259" w:lineRule="auto"/>
        <w:rPr>
          <w:sz w:val="20"/>
          <w:szCs w:val="20"/>
          <w:color w:val="auto"/>
        </w:rPr>
      </w:pPr>
      <w:r>
        <w:rPr>
          <w:rFonts w:ascii="Arial" w:cs="Arial" w:eastAsia="Arial" w:hAnsi="Arial"/>
          <w:sz w:val="18"/>
          <w:szCs w:val="18"/>
          <w:color w:val="auto"/>
        </w:rPr>
        <w:t>In September 2020, the Company established an “at the market offering program” for the sale of up to USD 80 (CHF 71.3) million worth of our common shares issued from time to time by entering into an Open Market Sale Agreement (Sales Agreement) with Jefferies LLC (Jefferies) as the sales agent. Issuance costs incurred in connection with establishing this facility and execution of the Sales Agreement with Jefferies primarily consist of legal, printing and accounting fees.</w:t>
      </w:r>
    </w:p>
    <w:p>
      <w:pPr>
        <w:spacing w:after="0" w:line="187" w:lineRule="exact"/>
        <w:rPr>
          <w:sz w:val="20"/>
          <w:szCs w:val="20"/>
          <w:color w:val="auto"/>
        </w:rPr>
      </w:pPr>
    </w:p>
    <w:p>
      <w:pPr>
        <w:ind w:firstLine="321"/>
        <w:spacing w:after="0" w:line="308" w:lineRule="auto"/>
        <w:rPr>
          <w:sz w:val="20"/>
          <w:szCs w:val="20"/>
          <w:color w:val="auto"/>
        </w:rPr>
      </w:pPr>
      <w:r>
        <w:rPr>
          <w:rFonts w:ascii="Arial" w:cs="Arial" w:eastAsia="Arial" w:hAnsi="Arial"/>
          <w:sz w:val="17"/>
          <w:szCs w:val="17"/>
          <w:color w:val="auto"/>
        </w:rPr>
        <w:t>No common shares have been sold pursuant to the Sales Agreement as of December 31, 2020. For the years ended December 31, 2020, 2019 and 2018, the Company has expensed issuance costs of CHF 0.5 million, nil and nil, respectively, in the statement of income/(loss).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Convertible note agreement</w:t>
      </w:r>
    </w:p>
    <w:p>
      <w:pPr>
        <w:spacing w:after="0" w:line="225" w:lineRule="exact"/>
        <w:rPr>
          <w:sz w:val="20"/>
          <w:szCs w:val="20"/>
          <w:color w:val="auto"/>
        </w:rPr>
      </w:pPr>
    </w:p>
    <w:p>
      <w:pPr>
        <w:jc w:val="both"/>
        <w:ind w:right="420" w:firstLine="383"/>
        <w:spacing w:after="0" w:line="311" w:lineRule="auto"/>
        <w:rPr>
          <w:sz w:val="20"/>
          <w:szCs w:val="20"/>
          <w:color w:val="auto"/>
        </w:rPr>
      </w:pPr>
      <w:r>
        <w:rPr>
          <w:rFonts w:ascii="Arial" w:cs="Arial" w:eastAsia="Arial" w:hAnsi="Arial"/>
          <w:sz w:val="16"/>
          <w:szCs w:val="16"/>
          <w:color w:val="auto"/>
        </w:rPr>
        <w:t>The Company and Lilly entered into a convertible note agreement effective January 23, 2019 for USD 50 (CHF 50.3) million. In April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Follow-on offerings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July 24, 2018, the Company announced that it had closed the first subscription rights offering and underwritten the primary offering of its common shares, and that the underwriters had exercised in full their option to purchase an additional 1,108,695 shares at a price per share of USD 11.75. The underwriters’ exercise of the option to purchase additional shares brought the total number of common shares sold by the Company to 8,500,000 shares, resulting in total gross proceeds raised in these offerings, before underwriting discounts and estimated expenses of the offering, to approximately USD 99.9 (CHF 98.9) million. On July 20, 2018, the Company commenced a second subscription rights offering of up to 1,500,000 shares. At closing of the second subscription rights offering on July 31, 2018, the Company issued 1,500,000 additional common shares, resulting in gross proceeds of approximately USD 17.6 (CHF 17.4) million.</w:t>
      </w:r>
    </w:p>
    <w:p>
      <w:pPr>
        <w:spacing w:after="0" w:line="19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At the conclusion of these three offerings, the Company raised gross proceeds of USD 117.5 (CHF 116.3) million. Net underwriting fees and transaction costs totaled CHF 6.8 million for a net total of CHF 109.5 million. Transaction costs associated with these offerings and related to the issuance of new shares were charged directly against the share premium account thereby reducing the total equity reported.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4, 2018, the Company filed a Shelf Registration Statement on Form F-3 (Reg. No. 333-2246694) (the “Shelf Registration Statement”) with the SEC. The Shelf Registration Statement was declared effective by the SEC on June 8, 2018.</w:t>
      </w:r>
    </w:p>
    <w:p>
      <w:pPr>
        <w:spacing w:after="0" w:line="170" w:lineRule="exact"/>
        <w:rPr>
          <w:sz w:val="20"/>
          <w:szCs w:val="20"/>
          <w:color w:val="auto"/>
        </w:rPr>
      </w:pPr>
    </w:p>
    <w:p>
      <w:pPr>
        <w:jc w:val="both"/>
        <w:ind w:right="120" w:firstLine="324"/>
        <w:spacing w:after="0" w:line="287" w:lineRule="auto"/>
        <w:rPr>
          <w:sz w:val="20"/>
          <w:szCs w:val="20"/>
          <w:color w:val="auto"/>
        </w:rPr>
      </w:pPr>
      <w:r>
        <w:rPr>
          <w:rFonts w:ascii="Arial" w:cs="Arial" w:eastAsia="Arial" w:hAnsi="Arial"/>
          <w:sz w:val="16"/>
          <w:szCs w:val="16"/>
          <w:color w:val="auto"/>
        </w:rPr>
        <w:t>The Shelf Registration Statement allows the Company to offer and sell, from time to time, up to USD 350,000,000 of common stock,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Any offering of securities covered by the Shelf Registration Statement will be made only by means of a written prospectus and prospectus supplement authorized and filed by the Company.</w:t>
      </w:r>
    </w:p>
    <w:p>
      <w:pPr>
        <w:spacing w:after="0" w:line="18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the Company raised USD 117.5 (CHF 116.3) million in its three offerings completed in July 2018, the Company may execute one or more future offering of securities covered by the Shelf Registration Statement up to USD 232.5 million.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86"/>
        </w:trPr>
        <w:tc>
          <w:tcPr>
            <w:tcW w:w="8440" w:type="dxa"/>
            <w:vAlign w:val="bottom"/>
            <w:gridSpan w:val="2"/>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58"/>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10. Trade payables and accrued liabilities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24"/>
                <w:szCs w:val="24"/>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tcBorders>
              <w:top w:val="single" w:sz="8" w:color="D5EAEA"/>
            </w:tcBorders>
            <w:shd w:val="clear" w:color="auto" w:fill="D5EAEA"/>
          </w:tcPr>
          <w:p>
            <w:pPr>
              <w:spacing w:after="0"/>
              <w:rPr>
                <w:sz w:val="19"/>
                <w:szCs w:val="19"/>
                <w:color w:val="auto"/>
              </w:rPr>
            </w:pPr>
          </w:p>
        </w:tc>
        <w:tc>
          <w:tcPr>
            <w:tcW w:w="480" w:type="dxa"/>
            <w:vAlign w:val="bottom"/>
            <w:tcBorders>
              <w:top w:val="single" w:sz="8" w:color="auto"/>
              <w:bottom w:val="single" w:sz="8" w:color="auto"/>
            </w:tcBorders>
            <w:shd w:val="clear" w:color="auto" w:fill="D5EAEA"/>
          </w:tcPr>
          <w:p>
            <w:pPr>
              <w:spacing w:after="0"/>
              <w:rPr>
                <w:sz w:val="19"/>
                <w:szCs w:val="19"/>
                <w:color w:val="auto"/>
              </w:rPr>
            </w:pPr>
          </w:p>
        </w:tc>
        <w:tc>
          <w:tcPr>
            <w:tcW w:w="8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142</w:t>
            </w:r>
          </w:p>
        </w:tc>
      </w:tr>
      <w:tr>
        <w:trPr>
          <w:trHeight w:val="263"/>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trade and other payables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D5EAEA"/>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r>
      <w:tr>
        <w:trPr>
          <w:trHeight w:val="197"/>
        </w:trPr>
        <w:tc>
          <w:tcPr>
            <w:tcW w:w="83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60" w:type="dxa"/>
            <w:vAlign w:val="bottom"/>
            <w:shd w:val="clear" w:color="auto" w:fill="D5EAEA"/>
          </w:tcPr>
          <w:p>
            <w:pPr>
              <w:spacing w:after="0"/>
              <w:rPr>
                <w:sz w:val="17"/>
                <w:szCs w:val="17"/>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Accrued research and development costs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7,228</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payroll expenses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2,896</w:t>
            </w:r>
          </w:p>
        </w:tc>
      </w:tr>
      <w:tr>
        <w:trPr>
          <w:trHeight w:val="229"/>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Other accrued expenses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1,673</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accrued expenses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11,797</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An accrual of CHF 2.1 million and CHF 1.8 million was recognized for performance-related remuneration within accrued payroll expenses for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obligation</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the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On October 31,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plus the additional 25% interest.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 has fully repaid this financing obligation.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Contract revenues</w:t>
      </w:r>
    </w:p>
    <w:p>
      <w:pPr>
        <w:spacing w:after="0" w:line="22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For the years ended December 31, 2020, 2019 and 2018, AC Immune generated contract revenues of CHF 15.4 million, CHF 110.5 million and CHF 6.9 million, respectively. For comparability, the Company reclassified CHF 0.3 million, CHF 0.6 million and CHF 0.3 million from contract revenues to other income/(expense) for the years ended December 31, 2020, 2019 and 2018, respectively for prior grants from the MJFF.</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provide contract revenue amounts from its LCAs for the years ended December 31, 2020, 2019 and 2018,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For the years ended</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Lilly</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14,348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105,662</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Genentech</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Janssen</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1,083</w:t>
            </w:r>
          </w:p>
        </w:tc>
        <w:tc>
          <w:tcPr>
            <w:tcW w:w="144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2,157</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Life Molecular Imaging</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Biogen</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4,024</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15,431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110,456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6,912</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Lilly accounted for 93% and 96% of our contract revenues in 2020 and 2019, respectively. Biogen and Janssen accounted for 58% and 31% of our contract revenues in 2018, respectively.</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years ended December 31, 2020 and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Balance at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beginning of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r>
      <w:tr>
        <w:trPr>
          <w:trHeight w:val="234"/>
        </w:trPr>
        <w:tc>
          <w:tcPr>
            <w:tcW w:w="5520" w:type="dxa"/>
            <w:vAlign w:val="bottom"/>
            <w:gridSpan w:val="2"/>
          </w:tcPr>
          <w:p>
            <w:pPr>
              <w:ind w:left="196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reporting period</w:t>
            </w: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Additions</w:t>
            </w: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reporting period</w:t>
            </w:r>
          </w:p>
        </w:tc>
      </w:tr>
      <w:tr>
        <w:trPr>
          <w:trHeight w:val="210"/>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Twelve months ended December 31, 2020:</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Accrued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1,591</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(5,638)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306</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Twelve months ended December 31, 2019:</w:t>
            </w: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Accrued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3,667</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1,095</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7,686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4,477</w:t>
            </w:r>
          </w:p>
        </w:tc>
      </w:tr>
    </w:tbl>
    <w:p>
      <w:pPr>
        <w:spacing w:after="0" w:line="20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years ended December 31, 2020, 2019 and 2018, the Company recognized the following contract revenues as a result of changes in the contract asset and the contract liability balances in the respective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For the years ended</w:t>
            </w:r>
          </w:p>
        </w:tc>
        <w:tc>
          <w:tcPr>
            <w:tcW w:w="134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tcBorders>
              <w:bottom w:val="single" w:sz="8" w:color="auto"/>
            </w:tcBorders>
          </w:tcPr>
          <w:p>
            <w:pPr>
              <w:spacing w:after="0"/>
              <w:rPr>
                <w:sz w:val="20"/>
                <w:szCs w:val="20"/>
                <w:color w:val="auto"/>
              </w:rPr>
            </w:pPr>
          </w:p>
        </w:tc>
      </w:tr>
      <w:tr>
        <w:trPr>
          <w:trHeight w:val="223"/>
        </w:trPr>
        <w:tc>
          <w:tcPr>
            <w:tcW w:w="480" w:type="dxa"/>
            <w:vAlign w:val="bottom"/>
          </w:tcPr>
          <w:p>
            <w:pPr>
              <w:spacing w:after="0"/>
              <w:rPr>
                <w:sz w:val="19"/>
                <w:szCs w:val="19"/>
                <w:color w:val="auto"/>
              </w:rPr>
            </w:pPr>
          </w:p>
        </w:tc>
        <w:tc>
          <w:tcPr>
            <w:tcW w:w="6500" w:type="dxa"/>
            <w:vAlign w:val="bottom"/>
            <w:gridSpan w:val="2"/>
          </w:tcPr>
          <w:p>
            <w:pPr>
              <w:ind w:left="22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68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Revenues recognized in the period from:</w:t>
            </w: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69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4,477</w:t>
            </w:r>
          </w:p>
        </w:tc>
        <w:tc>
          <w:tcPr>
            <w:tcW w:w="144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1,551</w:t>
            </w: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80" w:type="dxa"/>
            <w:vAlign w:val="bottom"/>
          </w:tcPr>
          <w:p>
            <w:pPr>
              <w:spacing w:after="0"/>
              <w:rPr>
                <w:sz w:val="20"/>
                <w:szCs w:val="20"/>
                <w:color w:val="auto"/>
              </w:rPr>
            </w:pPr>
            <w:r>
              <w:rPr>
                <w:rFonts w:ascii="Arial" w:cs="Arial" w:eastAsia="Arial" w:hAnsi="Arial"/>
                <w:sz w:val="18"/>
                <w:szCs w:val="18"/>
                <w:b w:val="1"/>
                <w:bCs w:val="1"/>
                <w:color w:val="auto"/>
              </w:rPr>
              <w:t>12.1</w:t>
            </w:r>
          </w:p>
        </w:tc>
        <w:tc>
          <w:tcPr>
            <w:tcW w:w="6500" w:type="dxa"/>
            <w:vAlign w:val="bottom"/>
            <w:gridSpan w:val="2"/>
          </w:tcPr>
          <w:p>
            <w:pPr>
              <w:ind w:left="160"/>
              <w:spacing w:after="0"/>
              <w:rPr>
                <w:sz w:val="20"/>
                <w:szCs w:val="20"/>
                <w:color w:val="auto"/>
              </w:rPr>
            </w:pPr>
            <w:r>
              <w:rPr>
                <w:rFonts w:ascii="Arial" w:cs="Arial" w:eastAsia="Arial" w:hAnsi="Arial"/>
                <w:sz w:val="18"/>
                <w:szCs w:val="18"/>
                <w:b w:val="1"/>
                <w:bCs w:val="1"/>
                <w:color w:val="auto"/>
              </w:rPr>
              <w:t>Licensing and collaboration agreements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Morphomer Tau small molecule – 2018 license agreement with Eli Lilly and Company</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Q1 2019 for the rights granted by the Company to Lilly. To date, the Company has completed a Phase 1 clinical study with ACI-3024. The program will be expanded to NeuroOrphan indications and ACI-3024 will be further evaluated for efficacy in models of rare Tauopathies.</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Lilly is responsible for leading and funding further clinical development and will retain global commercialization rights for all indications.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 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18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Company’s preclinical and Phase 1 activities did not represent integrated services with the licensed IP for which Lilly contracted. Lilly purchased a license to the Company’s Tau therapeutic small-molecule program, which was delivered at commencement of the agreement, and AC Immune’s preclinical and Phase 1 activities did not affect the form or functionality of this license. The Company’s objective for the Phase 1 activity was to assess safety and tolerability and did not modify or customize ACI-3024. The completion of these preclinical and Phase 1 activities does not affect the licensed IP.</w:t>
      </w:r>
    </w:p>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 (iii) 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valuation of each performance obligation involves estimates and assumptions with revenue recognition timing to be determined by either delivery or the provision of services.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As of December 31, 2020, the Company has cumulatively recognized CHF 6.9 million in contract revenue, resulting in no deferred income (contract liability) on the balance sheets. The remaining CHF 73.1 million from the upfront payment was allocated to the right-of-use license and recognized on the effective date.</w:t>
      </w:r>
    </w:p>
    <w:p>
      <w:pPr>
        <w:spacing w:after="0" w:line="16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At inception of the agreement, none of the clinical, regulatory or commercial milestones had been included in the transaction price, as all milestone amounts were fully constrained. Through December 31, 2020, the Company has recognized CHF 40 million from milestone payments triggered in Q3 2019 and Q1 2020 related to the right-of-</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use license for IP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years ended December 31, 2020, 2019 and 2018, we have recognized CHF 14.3 million, CHF 105.7 million and nil, respectively from this arrangement.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 a member of the Roche Group</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non-AD indication based on the same intellectual property and anti-Abeta antibody compound. The value of this partnership is potentially greater than USD 340 (CHF 303) million.</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8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Genentech commenced a first Phase 3 clinical study in March 2016 for crenezumab (CREAD). In March 2017, Genentech started a second Phase 3 clinical trial (CREAD 2). Since 2013, crenezumab has also been studied in a Phase 2 trial in individuals who carry the PSEN1 E280A autosomal-dominant mutation and do not meet the criteria for mild cognitive impairment due to AD or dementia due to AD and are, thus, in a preclinical phase</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of AD (autosomal dominant AD (ADAD)). In 2019, Genentech initiated a Tau Positron Emission Tomography (PET) substudy to the ongoing Phase 2 trial in ADAD to evaluate the effect of crenezumab on Tau burden, which may also increase the understanding of disease progression in the preclinical stage of ADAD.</w:t>
      </w:r>
    </w:p>
    <w:p>
      <w:pPr>
        <w:spacing w:after="0" w:line="19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crenezumab receives regulatory approval, we will be entitled to receive royalties that are tied to annual sales volumes with different royalty rates applicable in the US and Europe ranging from the mid-single digits to mid-teens. To date, we have received total milestone payments of USD 65 million (CHF 70.1 million) comprised of an upfront payment of USD 25 (CHF 31.6) million and of USD 40 (CHF 38.2) million for clinical development milestones achieved all-in prior to January 1, 2017. Genentech may terminate the agreement at any time by providing 3 months’ notice to us. In such event all costs incurred are still refundable.</w:t>
      </w:r>
    </w:p>
    <w:p>
      <w:pPr>
        <w:spacing w:after="0" w:line="188" w:lineRule="exact"/>
        <w:rPr>
          <w:sz w:val="20"/>
          <w:szCs w:val="20"/>
          <w:color w:val="auto"/>
        </w:rPr>
      </w:pPr>
    </w:p>
    <w:p>
      <w:pPr>
        <w:ind w:right="380"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conducting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At execution of the agreement, the transaction price included the upfront consideration received of USD 25 (CHF 31.6) million.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245)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transaction price. The Company will re-evaluate the transaction price in each reporting period and as uncertain events are resolved or other changes in circumstances occur.</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January 30, 2019, we announced that Roche, the parent of Genentech, is discontinuing the CREAD and CREAD 2 (BN29552 and BN29553) Phase 3 studies of crenezumab in people with prodromal-to-mild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Crenezumab continues to be studied in the Phase 2 preventive trial, which began in 2013 in Columbia, of cognitively healthy individuals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2020, 2019 and 2018,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 a member of the Roche Group</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low-double digits. The agreement also provides for collaboration on at least one additional therapeutic indication outside of AD built on the same anti-Tau antibody program as well an anti-Tau diagnostic product for AD.</w:t>
      </w:r>
    </w:p>
    <w:p>
      <w:pPr>
        <w:spacing w:after="0" w:line="16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 As we met all performance obligations on reaching these milestones, we have recognized revenue in the respective periods. Genentech may terminate the agreement at any time by providing 3 months’ notice to us.</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At execution of the agreement, the transaction price included an upfront consideration received of CHF 17 million.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7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On September 23, 2020, the Company reported that Genentech informed us of top line results from a Phase 2 trial of the anti-Tau antibody, semorinemab, in early (prodromal to mild) Alzheimer’s disease (AD) which show that semorinemab did not meet its primary efficacy endpoint of reducing decline on Clinical Dementia Rating-Sum of Boxes (CDR-SB) compared to placebo. The primary safety endpoint was however met. Two secondary endpoints, Alzheimer’s Disease Assessment Scale-Cognitive Subscale 13 (ADAS-Cog13) and Alzheimer’s Disease Cooperative Study Group – Activities of Daily Living Inventory (ADCS-ADL), were not met. A second Phase 2 study of semorinemab in patients with moderate AD remains ongoing.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2020, 2019 and 2018, we have recognized no revenues from this arrangement,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 Inc.</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are co-developing the second-generation lead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second-generation vaccines.</w:t>
      </w:r>
    </w:p>
    <w:p>
      <w:pPr>
        <w:spacing w:after="0" w:line="166"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 received an upfront, non-refundable license fee of CHF 25.9 million, which we recognized as revenue in 2014. In May 2016, we received a payment of CHF 4.9 million for reaching a clinical milestone in the first Phase 1b study. As we met all performance obligations on reaching the milestone, we have recognized this income as revenue.</w:t>
      </w:r>
    </w:p>
    <w:p>
      <w:pPr>
        <w:spacing w:after="0" w:line="18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The Company did receive a payment of CHF 4.9 million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6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For the years ended December 31, 2020, 2019 and 2018, we have recognized revenues totaling CHF 1.1 million, CHF 1.2 million and CHF 2.2 million, respectively from this arrangement.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–2014 agreement with Life Molecular Imaging (LMI) (formerly Piramal Imaging SA)</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May 2014,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159 (CHF 175) million, plus royalties on sales at a percentage rate ranging from mid-single digits to low-teens. LMI may terminate the LCA at any time by providing 3 months’ notice to us.</w:t>
      </w:r>
    </w:p>
    <w:p>
      <w:pPr>
        <w:spacing w:after="0" w:line="18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connection with this agreement, AC Immune received a payment of EUR 500 (CHF 664) thousand, which was fully recognized in 2015. In Q1 2017, we recorded a milestone payment of EUR 1 (CHF 1.1) million related to the initiation of “Part B” of the first-in-man Phase 1 study. In Q3 2019, the Company recognized EUR 2 (CHF 2.2) million in connection with the initiation of a Phase 2 trial of Tau-PET tracer in patients with mild cognitive impairment and mild–to-moderate AD in comparison with non-demented control participants. The Company is eligible to receive variable consideration related to the achievement of certain clinical milestones totaling EUR 8 (CHF 9) million should the compound make it through Phase 3 clinical studies. We are also eligible to receive potential regulatory and sales-based milestones totaling EUR 148 (CHF 162) million. Finally, the Company is eligible for royalties from the mid-single digits to low-double digits.</w:t>
      </w:r>
    </w:p>
    <w:p>
      <w:pPr>
        <w:spacing w:after="0" w:line="19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8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For the years ended December 31, 2020, 2019 and 2018, the Company has recognized nil, CHF 2.2 million and nil, respectively, from this arrangement.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A-syn and TDP-43 PET tracers – 2016 agreement with Biogen</w:t>
      </w:r>
    </w:p>
    <w:p>
      <w:pPr>
        <w:spacing w:after="0" w:line="22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On April 13, 2016, we entered into a non-exclusive research collaboration agreement with Biogen International GmbH, (Biogen). Under the agreement, we and Biogen have agreed to collaborate in the research and early clinical</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development of our a-syn PET tracer program for PD and other synucleinopathies, and a second program for the identification, research and development of novel PET ligands against TDP-43, a protein recently linked to neurodegeneration in diseases such as amyotrophic lateral sclerosis (ALS). In addition, we have agreed to share the costs of the collaboration, with Biogen primarily funding the majority of research costs, subject to a cap, which includes an upfront technology access fee and funding toward research and development personnel. We own all intellectual property rights to any invention relating to a-syn or TDP-43 PET tracers.</w:t>
      </w:r>
    </w:p>
    <w:p>
      <w:pPr>
        <w:spacing w:after="0" w:line="18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CROs,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the years ended December 31, 2020, 2019 and 2018, the Company has recognized nil, CHF 1.1 million and CHF 4.0 million, respectively, from this arrangement. This collaboration ended in April 2019.</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Grant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Q3 2017, we formally signed a grant continuation with the MJFF. This grant provides funds for the development of PET tracers for pathological forms of the protein alpha-synuclein, to support the early diagnosis and clinical management of Parkinson’s disease. We subsequently signed two additional grants which facilitated the execution of a first-in-human study for a potential alpha-synuclein-PET tracer (PET tracer) with the current lead compound and to further develop the PET tracer. The Company retains its intellectual property rights for these alpha-synuclein-PET tracers. These grants concluded in Q2 2020.</w:t>
      </w:r>
    </w:p>
    <w:p>
      <w:pPr>
        <w:spacing w:after="0" w:line="18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May 2020, the Company, as part of a joint arrangement with Skåne University Hospital (Skåne) in Sweden, was awarded a USD 3.2 (CHF 2.9) million grant from the MJFF’s Ken Griffin Alpha-synuclein Imaging Competition. As part of this grant, AC Immune is eligible to receive USD 2.5 (CHF</w:t>
      </w:r>
    </w:p>
    <w:p>
      <w:pPr>
        <w:ind w:right="40"/>
        <w:spacing w:after="0" w:line="260" w:lineRule="auto"/>
        <w:rPr>
          <w:sz w:val="20"/>
          <w:szCs w:val="20"/>
          <w:color w:val="auto"/>
        </w:rPr>
      </w:pPr>
      <w:r>
        <w:rPr>
          <w:rFonts w:ascii="Arial" w:cs="Arial" w:eastAsia="Arial" w:hAnsi="Arial"/>
          <w:sz w:val="18"/>
          <w:szCs w:val="18"/>
          <w:color w:val="auto"/>
        </w:rPr>
        <w:t>2.2) million directly from the MJFF. Skåne will receive USD 0.7 (CHF 0.7) million of the total grant directly from the MJFF over two years to conduct and support the clinical arm of the project.</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MJFF expects that AC Immune and Skåne will complete tasks according to the agreed timelines. AC Immune’s funding is variable depending on the satisfactory achievement of these specific tasks within a specific period of time.</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For the years ended December 31, 2020, 2019 and 2018, the Company has recognized CHF 1.3 million, CHF 0.6 million and CHF 0.3 million, respectively, from these grants.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Expenses by category</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47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Research and Development</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4"/>
        </w:trPr>
        <w:tc>
          <w:tcPr>
            <w:tcW w:w="4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4360" w:type="dxa"/>
            <w:vAlign w:val="bottom"/>
          </w:tcPr>
          <w:p>
            <w:pPr>
              <w:ind w:left="2300"/>
              <w:spacing w:after="0"/>
              <w:rPr>
                <w:sz w:val="20"/>
                <w:szCs w:val="20"/>
                <w:color w:val="auto"/>
              </w:rPr>
            </w:pPr>
            <w:r>
              <w:rPr>
                <w:rFonts w:ascii="Arial" w:cs="Arial" w:eastAsia="Arial" w:hAnsi="Arial"/>
                <w:sz w:val="18"/>
                <w:szCs w:val="18"/>
                <w:b w:val="1"/>
                <w:bCs w:val="1"/>
                <w:color w:val="auto"/>
              </w:rPr>
              <w:t>In CHF thousands</w:t>
            </w:r>
          </w:p>
        </w:tc>
        <w:tc>
          <w:tcPr>
            <w:tcW w:w="2200" w:type="dxa"/>
            <w:vAlign w:val="bottom"/>
            <w:gridSpan w:val="2"/>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5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4780" w:type="dxa"/>
            <w:vAlign w:val="bottom"/>
            <w:tcBorders>
              <w:top w:val="single" w:sz="8" w:color="auto"/>
            </w:tcBorders>
            <w:gridSpan w:val="2"/>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43,787</w:t>
            </w:r>
          </w:p>
        </w:tc>
        <w:tc>
          <w:tcPr>
            <w:tcW w:w="8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37,465</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32,921</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Payroll expenses</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14,424</w:t>
            </w: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12,382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10,662</w:t>
            </w:r>
          </w:p>
        </w:tc>
      </w:tr>
      <w:tr>
        <w:trPr>
          <w:trHeight w:val="230"/>
        </w:trPr>
        <w:tc>
          <w:tcPr>
            <w:tcW w:w="4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Share-based compensation</w:t>
            </w:r>
          </w:p>
        </w:tc>
        <w:tc>
          <w:tcPr>
            <w:tcW w:w="35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1,276</w:t>
            </w:r>
          </w:p>
        </w:tc>
        <w:tc>
          <w:tcPr>
            <w:tcW w:w="152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694</w:t>
            </w: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59,487</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50,432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44,277</w:t>
            </w:r>
          </w:p>
        </w:tc>
      </w:tr>
      <w:tr>
        <w:trPr>
          <w:trHeight w:val="20"/>
        </w:trPr>
        <w:tc>
          <w:tcPr>
            <w:tcW w:w="4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48"/>
        </w:trPr>
        <w:tc>
          <w:tcPr>
            <w:tcW w:w="4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
          </w:tcPr>
          <w:p>
            <w:pPr>
              <w:jc w:val="right"/>
              <w:ind w:right="2410"/>
              <w:spacing w:after="0"/>
              <w:rPr>
                <w:sz w:val="20"/>
                <w:szCs w:val="20"/>
                <w:color w:val="auto"/>
              </w:rPr>
            </w:pPr>
            <w:r>
              <w:rPr>
                <w:rFonts w:ascii="Arial" w:cs="Arial" w:eastAsia="Arial" w:hAnsi="Arial"/>
                <w:sz w:val="18"/>
                <w:szCs w:val="18"/>
                <w:color w:val="auto"/>
              </w:rPr>
              <w:t>F-26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For the year ended December 31, 2020, 2019 and 2018, the Company incurred CHF 59.5 million, CHF 50.4 million and CHF 44.3 million in research and development expenses, respectively. These increases are predominantly driven by increases in investments in our research and development projects and full-time equivalents (FTEs).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years ended December 31, 2020, 2019 and 2018, the Company had 115.3, 102.7 and 87 FTEs in research and development.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5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D5EAEA"/>
            </w:tcBorders>
            <w:shd w:val="clear" w:color="auto" w:fill="D5EAEA"/>
          </w:tcPr>
          <w:p>
            <w:pPr>
              <w:spacing w:after="0"/>
              <w:rPr>
                <w:sz w:val="18"/>
                <w:szCs w:val="18"/>
                <w:color w:val="auto"/>
              </w:rPr>
            </w:pPr>
          </w:p>
        </w:tc>
        <w:tc>
          <w:tcPr>
            <w:tcW w:w="13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7,471</w:t>
            </w:r>
          </w:p>
        </w:tc>
        <w:tc>
          <w:tcPr>
            <w:tcW w:w="8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6,637</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4,903</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Payroll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8,274</w:t>
            </w: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5,740</w:t>
            </w:r>
          </w:p>
        </w:tc>
      </w:tr>
      <w:tr>
        <w:trPr>
          <w:trHeight w:val="23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Share-based compensation</w:t>
            </w:r>
          </w:p>
        </w:tc>
        <w:tc>
          <w:tcPr>
            <w:tcW w:w="13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2,812</w:t>
            </w:r>
          </w:p>
        </w:tc>
        <w:tc>
          <w:tcPr>
            <w:tcW w:w="152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1,824</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18,557</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12,467</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For the year ended December 31, 2020, 2019 and 2018, the Company incurred CHF 18.6 million, CHF 16.1 million and CHF 12.5 million in general and administrative expenses, respectively. These increases are predominantly driven by increases in full-time equivalents (FTEs).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years ended December 31, 2020, 2019 and 2018, the Company had 26.7, 24.1 and 17 FTEs general and administrative functions.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Financial result, net</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127</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1340" w:type="dxa"/>
            <w:vAlign w:val="bottom"/>
          </w:tcPr>
          <w:p>
            <w:pPr>
              <w:jc w:val="right"/>
              <w:spacing w:after="0"/>
              <w:rPr>
                <w:sz w:val="20"/>
                <w:szCs w:val="20"/>
                <w:color w:val="auto"/>
              </w:rPr>
            </w:pPr>
            <w:r>
              <w:rPr>
                <w:rFonts w:ascii="Arial" w:cs="Arial" w:eastAsia="Arial" w:hAnsi="Arial"/>
                <w:sz w:val="18"/>
                <w:szCs w:val="18"/>
                <w:color w:val="auto"/>
              </w:rPr>
              <w:t>(555)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(661)</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(1,401)</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329"/>
        <w:spacing w:after="0" w:line="277" w:lineRule="auto"/>
        <w:rPr>
          <w:sz w:val="20"/>
          <w:szCs w:val="20"/>
          <w:color w:val="auto"/>
        </w:rPr>
      </w:pPr>
      <w:r>
        <w:rPr>
          <w:rFonts w:ascii="Arial" w:cs="Arial" w:eastAsia="Arial" w:hAnsi="Arial"/>
          <w:sz w:val="18"/>
          <w:szCs w:val="18"/>
          <w:color w:val="auto"/>
        </w:rPr>
        <w:t>Our financial income and expense primarily consist of interest income and interest expense associated with our lease liabilities and prior convertible debt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the following items from 2019 did not repeat:</w:t>
      </w:r>
    </w:p>
    <w:p>
      <w:pPr>
        <w:spacing w:after="0" w:line="225" w:lineRule="exact"/>
        <w:rPr>
          <w:sz w:val="20"/>
          <w:szCs w:val="20"/>
          <w:color w:val="auto"/>
        </w:rPr>
      </w:pPr>
    </w:p>
    <w:p>
      <w:pPr>
        <w:ind w:left="660" w:hanging="328"/>
        <w:spacing w:after="0"/>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CHF 4.5 million gain on the conversion feature related to the Company’s convertible loan due to Lilly in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CHF 1.4 million in interest expenses related to effective interest recorded to amortize the host debt per the convertible loan due to Lilly;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CHF 1.2 million remeasurement loss related to the settlement of the convertible loan.</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For key management, including the board of directors (seven individuals excluding the CEO) and the executive management (five individuals including the CEO), compensation was as follows.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In CHF thousands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Post-employment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195"/>
        </w:trPr>
        <w:tc>
          <w:tcPr>
            <w:tcW w:w="13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3,497</w:t>
            </w:r>
          </w:p>
        </w:tc>
        <w:tc>
          <w:tcPr>
            <w:tcW w:w="100" w:type="dxa"/>
            <w:vAlign w:val="bottom"/>
          </w:tcPr>
          <w:p>
            <w:pPr>
              <w:spacing w:after="0"/>
              <w:rPr>
                <w:sz w:val="16"/>
                <w:szCs w:val="16"/>
                <w:color w:val="auto"/>
              </w:rPr>
            </w:pPr>
          </w:p>
        </w:tc>
        <w:tc>
          <w:tcPr>
            <w:tcW w:w="13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3,526</w:t>
            </w:r>
          </w:p>
        </w:tc>
        <w:tc>
          <w:tcPr>
            <w:tcW w:w="100" w:type="dxa"/>
            <w:vAlign w:val="bottom"/>
          </w:tcPr>
          <w:p>
            <w:pPr>
              <w:spacing w:after="0"/>
              <w:rPr>
                <w:sz w:val="16"/>
                <w:szCs w:val="16"/>
                <w:color w:val="auto"/>
              </w:rPr>
            </w:pPr>
          </w:p>
        </w:tc>
        <w:tc>
          <w:tcPr>
            <w:tcW w:w="1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2,681</w:t>
            </w:r>
          </w:p>
        </w:tc>
      </w:tr>
      <w:tr>
        <w:trPr>
          <w:trHeight w:val="229"/>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1,683</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4,524</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-325120</wp:posOffset>
            </wp:positionV>
            <wp:extent cx="713232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225" w:right="339" w:bottom="1440" w:gutter="0" w:footer="0" w:header="0"/>
        </w:sectPr>
      </w:pPr>
    </w:p>
    <w:p>
      <w:pPr>
        <w:spacing w:after="0" w:line="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2018, as part of the Company’s subscription rights offering, a major shareholder and members of the board and executive management purchased an aggregate of 614,147 of the Company’s common shares on the same basis and otherwise on the same terms as the other participants in such rights offering.</w:t>
      </w:r>
    </w:p>
    <w:p>
      <w:pPr>
        <w:spacing w:after="0" w:line="120"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recognized no income tax expense or deferred tax asset or liability positions for the years ended December 31, 2020,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ind w:left="340"/>
              <w:spacing w:after="0"/>
              <w:rPr>
                <w:sz w:val="20"/>
                <w:szCs w:val="20"/>
                <w:color w:val="auto"/>
              </w:rPr>
            </w:pPr>
            <w:r>
              <w:rPr>
                <w:rFonts w:ascii="Arial" w:cs="Arial" w:eastAsia="Arial" w:hAnsi="Arial"/>
                <w:sz w:val="18"/>
                <w:szCs w:val="18"/>
                <w:color w:val="auto"/>
                <w:w w:val="96"/>
              </w:rPr>
              <w:t>The income tax expense for each year can be reconciled to loss before tax as follows:</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Income/(loss) before income tax</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(61,921)</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w w:val="93"/>
              </w:rPr>
              <w:t>Tax expense/(benefit) calculated at the statutory rate of 13.6% (13.6% for 2019 and 20.6% for</w:t>
            </w: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(8,441)</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6,194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(10,507)</w:t>
            </w: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Income not subject to tax/(expenses) not deductible for tax purposes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462</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334</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Effect of unused tax losses and tax offsets not recognized as deferred tax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7,979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10,173</w:t>
            </w: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Effective income tax rate benefit/(expense)</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tax rate used for the 2020 reconciliations above is the corporate tax rate of 13.6% (13.6% in 2019 and 20.6% in 2018) payable by corporate entities in the Canton of Vaud, Switzerland on taxable profits under tax law in that jurisdiction.</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Unrecognized deductible temporary differences, unused tax losses and unused tax credits </w:t>
      </w:r>
      <w:r>
        <w:rPr>
          <w:rFonts w:ascii="Arial" w:cs="Arial" w:eastAsia="Arial" w:hAnsi="Arial"/>
          <w:sz w:val="17"/>
          <w:szCs w:val="17"/>
          <w:color w:val="auto"/>
        </w:rPr>
        <w:t>Deductible temporary differences, unused tax losses and unused tax credits for which no deferred tax assets have been recognized are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Tax losses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Deductible temporary differences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Right-of-use assets and lease liabilities,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Retirement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858"/>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121,948</w:t>
            </w:r>
          </w:p>
        </w:tc>
        <w:tc>
          <w:tcPr>
            <w:tcW w:w="10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64,125</w:t>
            </w:r>
          </w:p>
        </w:tc>
        <w:tc>
          <w:tcPr>
            <w:tcW w:w="1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109,294</w:t>
            </w:r>
          </w:p>
        </w:tc>
      </w:tr>
      <w:tr>
        <w:trPr>
          <w:trHeight w:val="431"/>
        </w:trPr>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5,665</w:t>
            </w:r>
          </w:p>
        </w:tc>
      </w:tr>
      <w:tr>
        <w:trPr>
          <w:trHeight w:val="45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129,412</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71,610</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114,959</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140"/>
            <w:col w:w="4260"/>
          </w:cols>
          <w:pgMar w:left="320" w:top="225" w:right="339" w:bottom="1440" w:gutter="0" w:footer="0" w:header="0"/>
          <w:type w:val="continuous"/>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85" w:name="page186"/>
    <w:bookmarkEnd w:id="1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jc w:val="right"/>
              <w:ind w:right="2820"/>
              <w:spacing w:after="0"/>
              <w:rPr>
                <w:sz w:val="20"/>
                <w:szCs w:val="20"/>
                <w:color w:val="auto"/>
              </w:rPr>
            </w:pPr>
            <w:r>
              <w:rPr>
                <w:rFonts w:ascii="Arial" w:cs="Arial" w:eastAsia="Arial" w:hAnsi="Arial"/>
                <w:sz w:val="18"/>
                <w:szCs w:val="18"/>
                <w:color w:val="auto"/>
                <w:w w:val="97"/>
              </w:rPr>
              <w:t>Tax losses expiry dates are shown in the table below:</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1"/>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of</w:t>
            </w:r>
          </w:p>
        </w:tc>
        <w:tc>
          <w:tcPr>
            <w:tcW w:w="1340" w:type="dxa"/>
            <w:vAlign w:val="bottom"/>
          </w:tcPr>
          <w:p>
            <w:pPr>
              <w:spacing w:after="0"/>
              <w:rPr>
                <w:sz w:val="24"/>
                <w:szCs w:val="24"/>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980" w:type="dxa"/>
            <w:vAlign w:val="bottom"/>
            <w:gridSpan w:val="2"/>
          </w:tcPr>
          <w:p>
            <w:pPr>
              <w:jc w:val="right"/>
              <w:ind w:right="28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Tax losses split by expiry date: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December 31, 2019</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16,566</w:t>
            </w:r>
          </w:p>
        </w:tc>
      </w:tr>
      <w:tr>
        <w:trPr>
          <w:trHeight w:val="216"/>
        </w:trPr>
        <w:tc>
          <w:tcPr>
            <w:tcW w:w="698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December 31, 2020</w:t>
            </w:r>
          </w:p>
        </w:tc>
        <w:tc>
          <w:tcPr>
            <w:tcW w:w="148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10,338</w:t>
            </w:r>
          </w:p>
        </w:tc>
      </w:tr>
      <w:tr>
        <w:trPr>
          <w:trHeight w:val="216"/>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December 31, 2021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December 31, 2022</w:t>
            </w:r>
          </w:p>
        </w:tc>
        <w:tc>
          <w:tcPr>
            <w:tcW w:w="148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December 31, 2023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7,628</w:t>
            </w:r>
          </w:p>
        </w:tc>
      </w:tr>
      <w:tr>
        <w:trPr>
          <w:trHeight w:val="216"/>
        </w:trPr>
        <w:tc>
          <w:tcPr>
            <w:tcW w:w="698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December 31, 2024</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15,231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15,231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25,868</w:t>
            </w:r>
          </w:p>
        </w:tc>
      </w:tr>
      <w:tr>
        <w:trPr>
          <w:trHeight w:val="216"/>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December 31, 2025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48,894</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48,894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48,894</w:t>
            </w:r>
          </w:p>
        </w:tc>
      </w:tr>
      <w:tr>
        <w:trPr>
          <w:trHeight w:val="216"/>
        </w:trPr>
        <w:tc>
          <w:tcPr>
            <w:tcW w:w="698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December 31, 2026</w:t>
            </w:r>
          </w:p>
        </w:tc>
        <w:tc>
          <w:tcPr>
            <w:tcW w:w="148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December 31, 2027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57,824</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121,948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64,125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109,294</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tax losses available for future offset against taxable profits have increased by CHF 57.8 million from 2019, representing the amount of tax losses that are additionally available as an offset, subject to expiration as disclosed in the table above, against future taxable income.</w:t>
      </w:r>
    </w:p>
    <w:p>
      <w:pPr>
        <w:spacing w:after="0" w:line="14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were not met at the balance sheet date.</w:t>
      </w:r>
    </w:p>
    <w:p>
      <w:pPr>
        <w:spacing w:after="0" w:line="166"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47% and 53% by employee and employer, respectively.</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 and employee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6"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as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 For accounting purposes under IFRS, the plan is treated as a defined benefit plan.</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As of January 1, 2019 the Company changed from a fully insured plan to a plan for which the Company now bears investment and old age risks. The new plan has a higher statutory coverage ratio, which led to an increase in plan assets of 10% (CHF 1.2 million) for the year ended December 31, 2019. The increase is presented in Table B as part of the line “Return on plan assets excluding interest income.”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is recognized in the balance sheet: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86"/>
        </w:trPr>
        <w:tc>
          <w:tcPr>
            <w:tcW w:w="6980" w:type="dxa"/>
            <w:vAlign w:val="bottom"/>
            <w:gridSpan w:val="2"/>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Defined benefit obligation</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(30,213)</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29"/>
        </w:trPr>
        <w:tc>
          <w:tcPr>
            <w:tcW w:w="698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22,749</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19,139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liability</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(7,464)</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ind w:left="340"/>
              <w:spacing w:after="0"/>
              <w:rPr>
                <w:sz w:val="20"/>
                <w:szCs w:val="20"/>
                <w:color w:val="auto"/>
              </w:rPr>
            </w:pPr>
            <w:r>
              <w:rPr>
                <w:rFonts w:ascii="Arial" w:cs="Arial" w:eastAsia="Arial" w:hAnsi="Arial"/>
                <w:sz w:val="18"/>
                <w:szCs w:val="18"/>
                <w:color w:val="auto"/>
                <w:w w:val="91"/>
              </w:rPr>
              <w:t>The following amounts have been recorded as net pension cost in the statement of income:</w:t>
            </w: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1,626</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Net pension cost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defined benefit obligation, fair value of plan assets and unrecognized gains/(losses)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A.  Change in defined benefit obligation</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Defined benefit obligation as of January 1</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(26,624)</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(14,278)</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340" w:type="dxa"/>
            <w:vAlign w:val="bottom"/>
          </w:tcPr>
          <w:p>
            <w:pPr>
              <w:jc w:val="right"/>
              <w:spacing w:after="0"/>
              <w:rPr>
                <w:sz w:val="20"/>
                <w:szCs w:val="20"/>
                <w:color w:val="auto"/>
              </w:rPr>
            </w:pPr>
            <w:r>
              <w:rPr>
                <w:rFonts w:ascii="Arial" w:cs="Arial" w:eastAsia="Arial" w:hAnsi="Arial"/>
                <w:sz w:val="18"/>
                <w:szCs w:val="18"/>
                <w:color w:val="auto"/>
              </w:rPr>
              <w:t>(1,626)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cost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Change in demographic assumptions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1,428</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Change in financial assumptions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Change in experience assumptions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(931)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Benefits deposited</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(1,467)</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Employees’ contributions</w:t>
            </w:r>
          </w:p>
        </w:tc>
        <w:tc>
          <w:tcPr>
            <w:tcW w:w="1340" w:type="dxa"/>
            <w:vAlign w:val="bottom"/>
          </w:tcPr>
          <w:p>
            <w:pPr>
              <w:jc w:val="right"/>
              <w:spacing w:after="0"/>
              <w:rPr>
                <w:sz w:val="20"/>
                <w:szCs w:val="20"/>
                <w:color w:val="auto"/>
              </w:rPr>
            </w:pPr>
            <w:r>
              <w:rPr>
                <w:rFonts w:ascii="Arial" w:cs="Arial" w:eastAsia="Arial" w:hAnsi="Arial"/>
                <w:sz w:val="18"/>
                <w:szCs w:val="18"/>
                <w:color w:val="auto"/>
              </w:rPr>
              <w:t>(851)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Defined benefit obligation as of December 31</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(30,213)</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  Change in fair value of plan assets</w:t>
            </w: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Fair value of plan assets as of January 1</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19,139</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12,277</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Employees’ contributions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851</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1340" w:type="dxa"/>
            <w:vAlign w:val="bottom"/>
          </w:tcPr>
          <w:p>
            <w:pPr>
              <w:jc w:val="right"/>
              <w:spacing w:after="0"/>
              <w:rPr>
                <w:sz w:val="20"/>
                <w:szCs w:val="20"/>
                <w:color w:val="auto"/>
              </w:rPr>
            </w:pPr>
            <w:r>
              <w:rPr>
                <w:rFonts w:ascii="Arial" w:cs="Arial" w:eastAsia="Arial" w:hAnsi="Arial"/>
                <w:sz w:val="18"/>
                <w:szCs w:val="18"/>
                <w:color w:val="auto"/>
              </w:rPr>
              <w:t>950</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Benefits deposited</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1,467</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Return on plan assets excluding interest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22,749</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19,139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Expected contributions by the employer to be paid to the post-employment benefit plans during the annual period beginning after the end of the reporting period amount to approximately CHF 1.1 million.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Net defined benefit liabilities as of January 1</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7,485</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5,665</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Net pension cost through statement of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1,655</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Remeasurement through other comprehensive loss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(726)</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6980" w:type="dxa"/>
            <w:vAlign w:val="bottom"/>
            <w:gridSpan w:val="2"/>
          </w:tcPr>
          <w:p>
            <w:pPr>
              <w:spacing w:after="0"/>
              <w:rPr>
                <w:sz w:val="20"/>
                <w:szCs w:val="20"/>
                <w:color w:val="auto"/>
              </w:rPr>
            </w:pPr>
            <w:r>
              <w:rPr>
                <w:rFonts w:ascii="Arial" w:cs="Arial" w:eastAsia="Arial" w:hAnsi="Arial"/>
                <w:sz w:val="18"/>
                <w:szCs w:val="18"/>
                <w:color w:val="auto"/>
              </w:rPr>
              <w:t>Employer’s contribution</w:t>
            </w:r>
          </w:p>
        </w:tc>
        <w:tc>
          <w:tcPr>
            <w:tcW w:w="1340" w:type="dxa"/>
            <w:vAlign w:val="bottom"/>
          </w:tcPr>
          <w:p>
            <w:pPr>
              <w:jc w:val="right"/>
              <w:spacing w:after="0"/>
              <w:rPr>
                <w:sz w:val="20"/>
                <w:szCs w:val="20"/>
                <w:color w:val="auto"/>
              </w:rPr>
            </w:pPr>
            <w:r>
              <w:rPr>
                <w:rFonts w:ascii="Arial" w:cs="Arial" w:eastAsia="Arial" w:hAnsi="Arial"/>
                <w:sz w:val="18"/>
                <w:szCs w:val="18"/>
                <w:color w:val="auto"/>
              </w:rPr>
              <w:t>(950)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7,464</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7,485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  Change in other comprehensive loss</w:t>
            </w: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Other comprehensive loss as of January 1</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(5,587)</w:t>
            </w:r>
          </w:p>
        </w:tc>
        <w:tc>
          <w:tcPr>
            <w:tcW w:w="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Effect of changes in demographic assumptions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1,428</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Effect of changes in financial assumptions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w:t>
            </w:r>
          </w:p>
        </w:tc>
        <w:tc>
          <w:tcPr>
            <w:tcW w:w="14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Effect of changes in experience assumptions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(931)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Return on plan assets excluding interest income</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300</w:t>
            </w:r>
          </w:p>
        </w:tc>
        <w:tc>
          <w:tcPr>
            <w:tcW w:w="148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as of December 31</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the insurance company (AXA). The investment strategy defined by the board of trustees follows a conservative profile.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real estate and mortgages.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duration of the defined benefit obligation is 17.6 years and 19.3 years as of December 31, 2020 and 2019, respectively.</w:t>
      </w:r>
    </w:p>
    <w:p>
      <w:pPr>
        <w:spacing w:after="0" w:line="23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years ended December 31, 2020, 2019 and 2018, respectively,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14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400" w:type="dxa"/>
            <w:vAlign w:val="bottom"/>
            <w:tcBorders>
              <w:bottom w:val="single" w:sz="8" w:color="auto"/>
            </w:tcBorders>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380" w:type="dxa"/>
            <w:vAlign w:val="bottom"/>
          </w:tcPr>
          <w:p>
            <w:pPr>
              <w:ind w:left="500"/>
              <w:spacing w:after="0"/>
              <w:rPr>
                <w:sz w:val="20"/>
                <w:szCs w:val="20"/>
                <w:color w:val="auto"/>
              </w:rPr>
            </w:pPr>
            <w:r>
              <w:rPr>
                <w:rFonts w:ascii="Arial" w:cs="Arial" w:eastAsia="Arial" w:hAnsi="Arial"/>
                <w:sz w:val="18"/>
                <w:szCs w:val="18"/>
                <w:b w:val="1"/>
                <w:bCs w:val="1"/>
                <w:color w:val="auto"/>
              </w:rPr>
              <w:t>2020</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10"/>
        </w:trPr>
        <w:tc>
          <w:tcPr>
            <w:tcW w:w="68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Discount rate</w:t>
            </w:r>
          </w:p>
        </w:tc>
        <w:tc>
          <w:tcPr>
            <w:tcW w:w="1380" w:type="dxa"/>
            <w:vAlign w:val="bottom"/>
            <w:tcBorders>
              <w:top w:val="single" w:sz="8" w:color="auto"/>
            </w:tcBorders>
            <w:shd w:val="clear" w:color="auto" w:fill="D5EAEA"/>
          </w:tcPr>
          <w:p>
            <w:pPr>
              <w:ind w:left="900"/>
              <w:spacing w:after="0"/>
              <w:rPr>
                <w:sz w:val="20"/>
                <w:szCs w:val="20"/>
                <w:color w:val="auto"/>
              </w:rPr>
            </w:pPr>
            <w:r>
              <w:rPr>
                <w:rFonts w:ascii="Arial" w:cs="Arial" w:eastAsia="Arial" w:hAnsi="Arial"/>
                <w:sz w:val="18"/>
                <w:szCs w:val="18"/>
                <w:color w:val="auto"/>
                <w:w w:val="90"/>
              </w:rPr>
              <w:t>0.20%</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ind w:left="900"/>
              <w:spacing w:after="0"/>
              <w:rPr>
                <w:sz w:val="20"/>
                <w:szCs w:val="20"/>
                <w:color w:val="auto"/>
              </w:rPr>
            </w:pPr>
            <w:r>
              <w:rPr>
                <w:rFonts w:ascii="Arial" w:cs="Arial" w:eastAsia="Arial" w:hAnsi="Arial"/>
                <w:sz w:val="18"/>
                <w:szCs w:val="18"/>
                <w:color w:val="auto"/>
                <w:w w:val="90"/>
              </w:rPr>
              <w:t>0.20%</w:t>
            </w:r>
          </w:p>
        </w:tc>
        <w:tc>
          <w:tcPr>
            <w:tcW w:w="100" w:type="dxa"/>
            <w:vAlign w:val="bottom"/>
            <w:tcBorders>
              <w:top w:val="single" w:sz="8" w:color="D5EAEA"/>
            </w:tcBorders>
            <w:shd w:val="clear" w:color="auto" w:fill="D5EAEA"/>
          </w:tcPr>
          <w:p>
            <w:pPr>
              <w:spacing w:after="0"/>
              <w:rPr>
                <w:sz w:val="18"/>
                <w:szCs w:val="18"/>
                <w:color w:val="auto"/>
              </w:rPr>
            </w:pPr>
          </w:p>
        </w:tc>
        <w:tc>
          <w:tcPr>
            <w:tcW w:w="14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0.90%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380" w:type="dxa"/>
            <w:vAlign w:val="bottom"/>
          </w:tcPr>
          <w:p>
            <w:pPr>
              <w:ind w:left="900"/>
              <w:spacing w:after="0"/>
              <w:rPr>
                <w:sz w:val="20"/>
                <w:szCs w:val="20"/>
                <w:color w:val="auto"/>
              </w:rPr>
            </w:pPr>
            <w:r>
              <w:rPr>
                <w:rFonts w:ascii="Arial" w:cs="Arial" w:eastAsia="Arial" w:hAnsi="Arial"/>
                <w:sz w:val="18"/>
                <w:szCs w:val="18"/>
                <w:color w:val="auto"/>
                <w:w w:val="90"/>
              </w:rPr>
              <w:t>1.75%</w:t>
            </w: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w w:val="90"/>
              </w:rPr>
              <w:t>1.75%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Rate of future increase in current pensions</w:t>
            </w:r>
          </w:p>
        </w:tc>
        <w:tc>
          <w:tcPr>
            <w:tcW w:w="1380" w:type="dxa"/>
            <w:vAlign w:val="bottom"/>
            <w:shd w:val="clear" w:color="auto" w:fill="D5EAEA"/>
          </w:tcPr>
          <w:p>
            <w:pPr>
              <w:ind w:left="900"/>
              <w:spacing w:after="0"/>
              <w:rPr>
                <w:sz w:val="20"/>
                <w:szCs w:val="20"/>
                <w:color w:val="auto"/>
              </w:rPr>
            </w:pPr>
            <w:r>
              <w:rPr>
                <w:rFonts w:ascii="Arial" w:cs="Arial" w:eastAsia="Arial" w:hAnsi="Arial"/>
                <w:sz w:val="18"/>
                <w:szCs w:val="18"/>
                <w:color w:val="auto"/>
                <w:w w:val="90"/>
              </w:rPr>
              <w:t>0.00%</w:t>
            </w:r>
          </w:p>
        </w:tc>
        <w:tc>
          <w:tcPr>
            <w:tcW w:w="1500" w:type="dxa"/>
            <w:vAlign w:val="bottom"/>
            <w:gridSpan w:val="2"/>
            <w:shd w:val="clear" w:color="auto" w:fill="D5EAEA"/>
          </w:tcPr>
          <w:p>
            <w:pPr>
              <w:ind w:left="1020"/>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rate on retirement savings capital</w:t>
            </w:r>
          </w:p>
        </w:tc>
        <w:tc>
          <w:tcPr>
            <w:tcW w:w="1380" w:type="dxa"/>
            <w:vAlign w:val="bottom"/>
          </w:tcPr>
          <w:p>
            <w:pPr>
              <w:ind w:left="900"/>
              <w:spacing w:after="0"/>
              <w:rPr>
                <w:sz w:val="20"/>
                <w:szCs w:val="20"/>
                <w:color w:val="auto"/>
              </w:rPr>
            </w:pPr>
            <w:r>
              <w:rPr>
                <w:rFonts w:ascii="Arial" w:cs="Arial" w:eastAsia="Arial" w:hAnsi="Arial"/>
                <w:sz w:val="18"/>
                <w:szCs w:val="18"/>
                <w:color w:val="auto"/>
                <w:w w:val="90"/>
              </w:rPr>
              <w:t>0.50%</w:t>
            </w: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w w:val="90"/>
              </w:rPr>
              <w:t>0.50%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02"/>
        </w:trPr>
        <w:tc>
          <w:tcPr>
            <w:tcW w:w="6860" w:type="dxa"/>
            <w:vAlign w:val="bottom"/>
            <w:shd w:val="clear" w:color="auto" w:fill="D5EAEA"/>
          </w:tcPr>
          <w:p>
            <w:pPr>
              <w:spacing w:after="0"/>
              <w:rPr>
                <w:sz w:val="17"/>
                <w:szCs w:val="17"/>
                <w:color w:val="auto"/>
              </w:rPr>
            </w:pPr>
          </w:p>
        </w:tc>
        <w:tc>
          <w:tcPr>
            <w:tcW w:w="1380" w:type="dxa"/>
            <w:vAlign w:val="bottom"/>
            <w:shd w:val="clear" w:color="auto" w:fill="D5EAEA"/>
          </w:tcPr>
          <w:p>
            <w:pPr>
              <w:ind w:left="380"/>
              <w:spacing w:after="0" w:line="201" w:lineRule="exact"/>
              <w:rPr>
                <w:sz w:val="20"/>
                <w:szCs w:val="20"/>
                <w:color w:val="auto"/>
              </w:rPr>
            </w:pPr>
            <w:r>
              <w:rPr>
                <w:rFonts w:ascii="Arial" w:cs="Arial" w:eastAsia="Arial" w:hAnsi="Arial"/>
                <w:sz w:val="18"/>
                <w:szCs w:val="18"/>
                <w:color w:val="auto"/>
              </w:rPr>
              <w:t>BVG 2020-</w:t>
            </w:r>
          </w:p>
        </w:tc>
        <w:tc>
          <w:tcPr>
            <w:tcW w:w="120" w:type="dxa"/>
            <w:vAlign w:val="bottom"/>
            <w:shd w:val="clear" w:color="auto" w:fill="D5EAEA"/>
          </w:tcPr>
          <w:p>
            <w:pPr>
              <w:spacing w:after="0"/>
              <w:rPr>
                <w:sz w:val="17"/>
                <w:szCs w:val="17"/>
                <w:color w:val="auto"/>
              </w:rPr>
            </w:pPr>
          </w:p>
        </w:tc>
        <w:tc>
          <w:tcPr>
            <w:tcW w:w="1480" w:type="dxa"/>
            <w:vAlign w:val="bottom"/>
            <w:gridSpan w:val="2"/>
            <w:shd w:val="clear" w:color="auto" w:fill="D5EAEA"/>
          </w:tcPr>
          <w:p>
            <w:pPr>
              <w:ind w:left="380"/>
              <w:spacing w:after="0" w:line="201" w:lineRule="exact"/>
              <w:rPr>
                <w:sz w:val="20"/>
                <w:szCs w:val="20"/>
                <w:color w:val="auto"/>
              </w:rPr>
            </w:pPr>
            <w:r>
              <w:rPr>
                <w:rFonts w:ascii="Arial" w:cs="Arial" w:eastAsia="Arial" w:hAnsi="Arial"/>
                <w:sz w:val="18"/>
                <w:szCs w:val="18"/>
                <w:color w:val="auto"/>
              </w:rPr>
              <w:t>BVG 2015-</w:t>
            </w:r>
          </w:p>
        </w:tc>
        <w:tc>
          <w:tcPr>
            <w:tcW w:w="1400" w:type="dxa"/>
            <w:vAlign w:val="bottom"/>
            <w:shd w:val="clear" w:color="auto" w:fill="D5EAEA"/>
          </w:tcPr>
          <w:p>
            <w:pPr>
              <w:spacing w:after="0"/>
              <w:rPr>
                <w:sz w:val="17"/>
                <w:szCs w:val="17"/>
                <w:color w:val="auto"/>
              </w:rPr>
            </w:pPr>
          </w:p>
        </w:tc>
      </w:tr>
      <w:tr>
        <w:trPr>
          <w:trHeight w:val="230"/>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Mortality and disability rates</w:t>
            </w:r>
          </w:p>
        </w:tc>
        <w:tc>
          <w:tcPr>
            <w:tcW w:w="1380" w:type="dxa"/>
            <w:vAlign w:val="bottom"/>
            <w:shd w:val="clear" w:color="auto" w:fill="D5EAEA"/>
          </w:tcPr>
          <w:p>
            <w:pPr>
              <w:ind w:left="880"/>
              <w:spacing w:after="0"/>
              <w:rPr>
                <w:sz w:val="20"/>
                <w:szCs w:val="20"/>
                <w:color w:val="auto"/>
              </w:rPr>
            </w:pPr>
            <w:r>
              <w:rPr>
                <w:rFonts w:ascii="Arial" w:cs="Arial" w:eastAsia="Arial" w:hAnsi="Arial"/>
                <w:sz w:val="18"/>
                <w:szCs w:val="18"/>
                <w:color w:val="auto"/>
              </w:rPr>
              <w:t>CMI</w:t>
            </w:r>
          </w:p>
        </w:tc>
        <w:tc>
          <w:tcPr>
            <w:tcW w:w="120" w:type="dxa"/>
            <w:vAlign w:val="bottom"/>
            <w:shd w:val="clear" w:color="auto" w:fill="D5EAEA"/>
          </w:tcPr>
          <w:p>
            <w:pPr>
              <w:spacing w:after="0"/>
              <w:rPr>
                <w:sz w:val="20"/>
                <w:szCs w:val="20"/>
                <w:color w:val="auto"/>
              </w:rPr>
            </w:pPr>
          </w:p>
        </w:tc>
        <w:tc>
          <w:tcPr>
            <w:tcW w:w="1480" w:type="dxa"/>
            <w:vAlign w:val="bottom"/>
            <w:gridSpan w:val="2"/>
            <w:shd w:val="clear" w:color="auto" w:fill="D5EAEA"/>
          </w:tcPr>
          <w:p>
            <w:pPr>
              <w:ind w:left="880"/>
              <w:spacing w:after="0"/>
              <w:rPr>
                <w:sz w:val="20"/>
                <w:szCs w:val="20"/>
                <w:color w:val="auto"/>
              </w:rPr>
            </w:pPr>
            <w:r>
              <w:rPr>
                <w:rFonts w:ascii="Arial" w:cs="Arial" w:eastAsia="Arial" w:hAnsi="Arial"/>
                <w:sz w:val="18"/>
                <w:szCs w:val="18"/>
                <w:color w:val="auto"/>
              </w:rPr>
              <w:t>CMI</w:t>
            </w: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BVG 2015G</w:t>
            </w:r>
          </w:p>
        </w:tc>
      </w:tr>
    </w:tbl>
    <w:p>
      <w:pPr>
        <w:spacing w:after="0" w:line="20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 defining the benefits, the minimum requirements of the Swiss BVG and its implementing provisions must be observed. The BVG defines the minimum pensionable salary and the minimum retirement credits.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quantitative sensitivity analysis for significant assumptions as of December 31, 2020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Assumptions</w:t>
            </w:r>
          </w:p>
        </w:tc>
        <w:tc>
          <w:tcPr>
            <w:tcW w:w="120" w:type="dxa"/>
            <w:vAlign w:val="bottom"/>
            <w:vMerge w:val="restart"/>
          </w:tcPr>
          <w:p>
            <w:pPr>
              <w:spacing w:after="0"/>
              <w:rPr>
                <w:sz w:val="14"/>
                <w:szCs w:val="14"/>
                <w:color w:val="auto"/>
              </w:rPr>
            </w:pPr>
          </w:p>
        </w:tc>
        <w:tc>
          <w:tcPr>
            <w:tcW w:w="2320" w:type="dxa"/>
            <w:vAlign w:val="bottom"/>
            <w:gridSpan w:val="3"/>
          </w:tcPr>
          <w:p>
            <w:pPr>
              <w:ind w:left="700"/>
              <w:spacing w:after="0"/>
              <w:rPr>
                <w:sz w:val="20"/>
                <w:szCs w:val="20"/>
                <w:color w:val="auto"/>
              </w:rPr>
            </w:pPr>
            <w:r>
              <w:rPr>
                <w:rFonts w:ascii="Arial" w:cs="Arial" w:eastAsia="Arial" w:hAnsi="Arial"/>
                <w:sz w:val="14"/>
                <w:szCs w:val="14"/>
                <w:b w:val="1"/>
                <w:bCs w:val="1"/>
                <w:color w:val="auto"/>
              </w:rPr>
              <w:t>Discount rate</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Future salary increase</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Future pension cost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rate on savings capital</w:t>
            </w:r>
          </w:p>
        </w:tc>
        <w:tc>
          <w:tcPr>
            <w:tcW w:w="0" w:type="dxa"/>
            <w:vAlign w:val="bottom"/>
          </w:tcPr>
          <w:p>
            <w:pPr>
              <w:spacing w:after="0"/>
              <w:rPr>
                <w:sz w:val="1"/>
                <w:szCs w:val="1"/>
                <w:color w:val="auto"/>
              </w:rPr>
            </w:pPr>
          </w:p>
        </w:tc>
      </w:tr>
      <w:tr>
        <w:trPr>
          <w:trHeight w:val="156"/>
        </w:trPr>
        <w:tc>
          <w:tcPr>
            <w:tcW w:w="22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0.5% increase</w:t>
            </w: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w w:val="97"/>
              </w:rPr>
              <w:t>0.5% decrease</w:t>
            </w:r>
          </w:p>
        </w:tc>
        <w:tc>
          <w:tcPr>
            <w:tcW w:w="120" w:type="dxa"/>
            <w:vAlign w:val="bottom"/>
            <w:tcBorders>
              <w:bottom w:val="single" w:sz="8" w:color="auto"/>
            </w:tcBorders>
          </w:tcPr>
          <w:p>
            <w:pPr>
              <w:spacing w:after="0"/>
              <w:rPr>
                <w:sz w:val="13"/>
                <w:szCs w:val="13"/>
                <w:color w:val="auto"/>
              </w:rPr>
            </w:pPr>
          </w:p>
        </w:tc>
        <w:tc>
          <w:tcPr>
            <w:tcW w:w="2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0.5% increase    0.5% decrease</w:t>
            </w:r>
          </w:p>
        </w:tc>
        <w:tc>
          <w:tcPr>
            <w:tcW w:w="100" w:type="dxa"/>
            <w:vAlign w:val="bottom"/>
            <w:tcBorders>
              <w:bottom w:val="single" w:sz="8" w:color="auto"/>
            </w:tcBorders>
          </w:tcPr>
          <w:p>
            <w:pPr>
              <w:spacing w:after="0"/>
              <w:rPr>
                <w:sz w:val="13"/>
                <w:szCs w:val="13"/>
                <w:color w:val="auto"/>
              </w:rPr>
            </w:pPr>
          </w:p>
        </w:tc>
        <w:tc>
          <w:tcPr>
            <w:tcW w:w="2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0.5% increase    0.5% decrease</w:t>
            </w:r>
          </w:p>
        </w:tc>
        <w:tc>
          <w:tcPr>
            <w:tcW w:w="120" w:type="dxa"/>
            <w:vAlign w:val="bottom"/>
            <w:tcBorders>
              <w:bottom w:val="single" w:sz="8" w:color="auto"/>
            </w:tcBorders>
          </w:tcPr>
          <w:p>
            <w:pPr>
              <w:spacing w:after="0"/>
              <w:rPr>
                <w:sz w:val="13"/>
                <w:szCs w:val="13"/>
                <w:color w:val="auto"/>
              </w:rPr>
            </w:pPr>
          </w:p>
        </w:tc>
        <w:tc>
          <w:tcPr>
            <w:tcW w:w="2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0.5% increase    0.5% decrease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00" w:type="dxa"/>
            <w:vAlign w:val="bottom"/>
            <w:gridSpan w:val="2"/>
          </w:tcPr>
          <w:p>
            <w:pPr>
              <w:jc w:val="right"/>
              <w:ind w:right="668"/>
              <w:spacing w:after="0"/>
              <w:rPr>
                <w:sz w:val="20"/>
                <w:szCs w:val="20"/>
                <w:color w:val="auto"/>
              </w:rPr>
            </w:pPr>
            <w:r>
              <w:rPr>
                <w:rFonts w:ascii="Arial" w:cs="Arial" w:eastAsia="Arial" w:hAnsi="Arial"/>
                <w:sz w:val="16"/>
                <w:szCs w:val="16"/>
                <w:b w:val="1"/>
                <w:bCs w:val="1"/>
                <w:color w:val="auto"/>
              </w:rPr>
              <w:t>In CHF thousands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51"/>
        </w:trPr>
        <w:tc>
          <w:tcPr>
            <w:tcW w:w="2480" w:type="dxa"/>
            <w:vAlign w:val="bottom"/>
            <w:shd w:val="clear" w:color="auto" w:fill="D5EAEA"/>
          </w:tcPr>
          <w:p>
            <w:pPr>
              <w:spacing w:after="0" w:line="151" w:lineRule="exact"/>
              <w:rPr>
                <w:sz w:val="20"/>
                <w:szCs w:val="20"/>
                <w:color w:val="auto"/>
              </w:rPr>
            </w:pPr>
            <w:r>
              <w:rPr>
                <w:rFonts w:ascii="Arial" w:cs="Arial" w:eastAsia="Arial" w:hAnsi="Arial"/>
                <w:sz w:val="14"/>
                <w:szCs w:val="14"/>
                <w:color w:val="auto"/>
              </w:rPr>
              <w:t>Potential defined benefit obligation</w:t>
            </w:r>
          </w:p>
        </w:tc>
        <w:tc>
          <w:tcPr>
            <w:tcW w:w="1200" w:type="dxa"/>
            <w:vAlign w:val="bottom"/>
            <w:shd w:val="clear" w:color="auto" w:fill="D5EAEA"/>
          </w:tcPr>
          <w:p>
            <w:pPr>
              <w:jc w:val="right"/>
              <w:ind w:right="308"/>
              <w:spacing w:after="0" w:line="151" w:lineRule="exact"/>
              <w:rPr>
                <w:sz w:val="20"/>
                <w:szCs w:val="20"/>
                <w:color w:val="auto"/>
              </w:rPr>
            </w:pPr>
            <w:r>
              <w:rPr>
                <w:rFonts w:ascii="Arial" w:cs="Arial" w:eastAsia="Arial" w:hAnsi="Arial"/>
                <w:sz w:val="14"/>
                <w:szCs w:val="14"/>
                <w:color w:val="auto"/>
              </w:rPr>
              <w:t>27,740</w:t>
            </w:r>
          </w:p>
        </w:tc>
        <w:tc>
          <w:tcPr>
            <w:tcW w:w="1180" w:type="dxa"/>
            <w:vAlign w:val="bottom"/>
            <w:shd w:val="clear" w:color="auto" w:fill="D5EAEA"/>
          </w:tcPr>
          <w:p>
            <w:pPr>
              <w:jc w:val="right"/>
              <w:ind w:right="328"/>
              <w:spacing w:after="0" w:line="151" w:lineRule="exact"/>
              <w:rPr>
                <w:sz w:val="20"/>
                <w:szCs w:val="20"/>
                <w:color w:val="auto"/>
              </w:rPr>
            </w:pPr>
            <w:r>
              <w:rPr>
                <w:rFonts w:ascii="Arial" w:cs="Arial" w:eastAsia="Arial" w:hAnsi="Arial"/>
                <w:sz w:val="14"/>
                <w:szCs w:val="14"/>
                <w:color w:val="auto"/>
              </w:rPr>
              <w:t>33,080</w:t>
            </w:r>
          </w:p>
        </w:tc>
        <w:tc>
          <w:tcPr>
            <w:tcW w:w="1040" w:type="dxa"/>
            <w:vAlign w:val="bottom"/>
            <w:shd w:val="clear" w:color="auto" w:fill="D5EAEA"/>
          </w:tcPr>
          <w:p>
            <w:pPr>
              <w:jc w:val="right"/>
              <w:ind w:right="228"/>
              <w:spacing w:after="0" w:line="151" w:lineRule="exact"/>
              <w:rPr>
                <w:sz w:val="20"/>
                <w:szCs w:val="20"/>
                <w:color w:val="auto"/>
              </w:rPr>
            </w:pPr>
            <w:r>
              <w:rPr>
                <w:rFonts w:ascii="Arial" w:cs="Arial" w:eastAsia="Arial" w:hAnsi="Arial"/>
                <w:sz w:val="14"/>
                <w:szCs w:val="14"/>
                <w:color w:val="auto"/>
              </w:rPr>
              <w:t>30,912</w:t>
            </w:r>
          </w:p>
        </w:tc>
        <w:tc>
          <w:tcPr>
            <w:tcW w:w="1160" w:type="dxa"/>
            <w:vAlign w:val="bottom"/>
            <w:shd w:val="clear" w:color="auto" w:fill="D5EAEA"/>
          </w:tcPr>
          <w:p>
            <w:pPr>
              <w:jc w:val="right"/>
              <w:ind w:right="285"/>
              <w:spacing w:after="0" w:line="151" w:lineRule="exact"/>
              <w:rPr>
                <w:sz w:val="20"/>
                <w:szCs w:val="20"/>
                <w:color w:val="auto"/>
              </w:rPr>
            </w:pPr>
            <w:r>
              <w:rPr>
                <w:rFonts w:ascii="Arial" w:cs="Arial" w:eastAsia="Arial" w:hAnsi="Arial"/>
                <w:sz w:val="14"/>
                <w:szCs w:val="14"/>
                <w:color w:val="auto"/>
              </w:rPr>
              <w:t>29,519</w:t>
            </w:r>
          </w:p>
        </w:tc>
        <w:tc>
          <w:tcPr>
            <w:tcW w:w="1140" w:type="dxa"/>
            <w:vAlign w:val="bottom"/>
            <w:shd w:val="clear" w:color="auto" w:fill="D5EAEA"/>
          </w:tcPr>
          <w:p>
            <w:pPr>
              <w:jc w:val="right"/>
              <w:ind w:right="308"/>
              <w:spacing w:after="0" w:line="151" w:lineRule="exact"/>
              <w:rPr>
                <w:sz w:val="20"/>
                <w:szCs w:val="20"/>
                <w:color w:val="auto"/>
              </w:rPr>
            </w:pPr>
            <w:r>
              <w:rPr>
                <w:rFonts w:ascii="Arial" w:cs="Arial" w:eastAsia="Arial" w:hAnsi="Arial"/>
                <w:sz w:val="14"/>
                <w:szCs w:val="14"/>
                <w:color w:val="auto"/>
              </w:rPr>
              <w:t>31,652</w:t>
            </w:r>
          </w:p>
        </w:tc>
        <w:tc>
          <w:tcPr>
            <w:tcW w:w="1080" w:type="dxa"/>
            <w:vAlign w:val="bottom"/>
            <w:shd w:val="clear" w:color="auto" w:fill="D5EAEA"/>
          </w:tcPr>
          <w:p>
            <w:pPr>
              <w:jc w:val="right"/>
              <w:ind w:right="288"/>
              <w:spacing w:after="0" w:line="151" w:lineRule="exact"/>
              <w:rPr>
                <w:sz w:val="20"/>
                <w:szCs w:val="20"/>
                <w:color w:val="auto"/>
              </w:rPr>
            </w:pPr>
            <w:r>
              <w:rPr>
                <w:rFonts w:ascii="Arial" w:cs="Arial" w:eastAsia="Arial" w:hAnsi="Arial"/>
                <w:sz w:val="14"/>
                <w:szCs w:val="14"/>
                <w:color w:val="auto"/>
              </w:rPr>
              <w:t>28,916</w:t>
            </w:r>
          </w:p>
        </w:tc>
        <w:tc>
          <w:tcPr>
            <w:tcW w:w="1120" w:type="dxa"/>
            <w:vAlign w:val="bottom"/>
            <w:shd w:val="clear" w:color="auto" w:fill="D5EAEA"/>
          </w:tcPr>
          <w:p>
            <w:pPr>
              <w:jc w:val="right"/>
              <w:ind w:right="308"/>
              <w:spacing w:after="0" w:line="151" w:lineRule="exact"/>
              <w:rPr>
                <w:sz w:val="20"/>
                <w:szCs w:val="20"/>
                <w:color w:val="auto"/>
              </w:rPr>
            </w:pPr>
            <w:r>
              <w:rPr>
                <w:rFonts w:ascii="Arial" w:cs="Arial" w:eastAsia="Arial" w:hAnsi="Arial"/>
                <w:sz w:val="14"/>
                <w:szCs w:val="14"/>
                <w:color w:val="auto"/>
              </w:rPr>
              <w:t>31,070</w:t>
            </w:r>
          </w:p>
        </w:tc>
        <w:tc>
          <w:tcPr>
            <w:tcW w:w="840" w:type="dxa"/>
            <w:vAlign w:val="bottom"/>
            <w:shd w:val="clear" w:color="auto" w:fill="D5EAEA"/>
          </w:tcPr>
          <w:p>
            <w:pPr>
              <w:jc w:val="right"/>
              <w:ind w:right="28"/>
              <w:spacing w:after="0" w:line="151" w:lineRule="exact"/>
              <w:rPr>
                <w:sz w:val="20"/>
                <w:szCs w:val="20"/>
                <w:color w:val="auto"/>
              </w:rPr>
            </w:pPr>
            <w:r>
              <w:rPr>
                <w:rFonts w:ascii="Arial" w:cs="Arial" w:eastAsia="Arial" w:hAnsi="Arial"/>
                <w:sz w:val="14"/>
                <w:szCs w:val="14"/>
                <w:color w:val="auto"/>
              </w:rPr>
              <w:t>29,405</w:t>
            </w:r>
          </w:p>
        </w:tc>
      </w:tr>
      <w:tr>
        <w:trPr>
          <w:trHeight w:val="130"/>
        </w:trPr>
        <w:tc>
          <w:tcPr>
            <w:tcW w:w="2480" w:type="dxa"/>
            <w:vAlign w:val="bottom"/>
          </w:tcPr>
          <w:p>
            <w:pPr>
              <w:spacing w:after="0" w:line="130" w:lineRule="exact"/>
              <w:rPr>
                <w:sz w:val="20"/>
                <w:szCs w:val="20"/>
                <w:color w:val="auto"/>
              </w:rPr>
            </w:pPr>
            <w:r>
              <w:rPr>
                <w:rFonts w:ascii="Arial" w:cs="Arial" w:eastAsia="Arial" w:hAnsi="Arial"/>
                <w:sz w:val="14"/>
                <w:szCs w:val="14"/>
                <w:color w:val="auto"/>
              </w:rPr>
              <w:t>Decrease/(increase) from actual</w:t>
            </w: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82"/>
        </w:trPr>
        <w:tc>
          <w:tcPr>
            <w:tcW w:w="2480" w:type="dxa"/>
            <w:vAlign w:val="bottom"/>
          </w:tcPr>
          <w:p>
            <w:pPr>
              <w:spacing w:after="0"/>
              <w:rPr>
                <w:sz w:val="20"/>
                <w:szCs w:val="20"/>
                <w:color w:val="auto"/>
              </w:rPr>
            </w:pPr>
            <w:r>
              <w:rPr>
                <w:rFonts w:ascii="Arial" w:cs="Arial" w:eastAsia="Arial" w:hAnsi="Arial"/>
                <w:sz w:val="14"/>
                <w:szCs w:val="14"/>
                <w:color w:val="auto"/>
              </w:rPr>
              <w:t>defined benefit obligation</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2,473</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(2,867)</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(699)</w:t>
            </w:r>
          </w:p>
        </w:tc>
        <w:tc>
          <w:tcPr>
            <w:tcW w:w="1160" w:type="dxa"/>
            <w:vAlign w:val="bottom"/>
          </w:tcPr>
          <w:p>
            <w:pPr>
              <w:jc w:val="right"/>
              <w:ind w:right="285"/>
              <w:spacing w:after="0"/>
              <w:rPr>
                <w:sz w:val="20"/>
                <w:szCs w:val="20"/>
                <w:color w:val="auto"/>
              </w:rPr>
            </w:pPr>
            <w:r>
              <w:rPr>
                <w:rFonts w:ascii="Arial" w:cs="Arial" w:eastAsia="Arial" w:hAnsi="Arial"/>
                <w:sz w:val="14"/>
                <w:szCs w:val="14"/>
                <w:color w:val="auto"/>
              </w:rPr>
              <w:t>694</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(1,439)</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1,297</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(857)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808</w:t>
            </w:r>
          </w:p>
        </w:tc>
      </w:tr>
    </w:tbl>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quantitative sensitivity analysis for significant assumptions as of December 31, 2019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Assumptions</w:t>
            </w:r>
          </w:p>
        </w:tc>
        <w:tc>
          <w:tcPr>
            <w:tcW w:w="2320" w:type="dxa"/>
            <w:vAlign w:val="bottom"/>
            <w:gridSpan w:val="3"/>
          </w:tcPr>
          <w:p>
            <w:pPr>
              <w:ind w:left="700"/>
              <w:spacing w:after="0"/>
              <w:rPr>
                <w:sz w:val="20"/>
                <w:szCs w:val="20"/>
                <w:color w:val="auto"/>
              </w:rPr>
            </w:pPr>
            <w:r>
              <w:rPr>
                <w:rFonts w:ascii="Arial" w:cs="Arial" w:eastAsia="Arial" w:hAnsi="Arial"/>
                <w:sz w:val="14"/>
                <w:szCs w:val="14"/>
                <w:b w:val="1"/>
                <w:bCs w:val="1"/>
                <w:color w:val="auto"/>
              </w:rPr>
              <w:t>Discount rate</w:t>
            </w:r>
          </w:p>
        </w:tc>
        <w:tc>
          <w:tcPr>
            <w:tcW w:w="2220" w:type="dxa"/>
            <w:vAlign w:val="bottom"/>
            <w:gridSpan w:val="3"/>
          </w:tcPr>
          <w:p>
            <w:pPr>
              <w:ind w:left="380"/>
              <w:spacing w:after="0"/>
              <w:rPr>
                <w:sz w:val="20"/>
                <w:szCs w:val="20"/>
                <w:color w:val="auto"/>
              </w:rPr>
            </w:pPr>
            <w:r>
              <w:rPr>
                <w:rFonts w:ascii="Arial" w:cs="Arial" w:eastAsia="Arial" w:hAnsi="Arial"/>
                <w:sz w:val="14"/>
                <w:szCs w:val="14"/>
                <w:b w:val="1"/>
                <w:bCs w:val="1"/>
                <w:color w:val="auto"/>
              </w:rPr>
              <w:t>Future salary increase</w:t>
            </w:r>
          </w:p>
        </w:tc>
        <w:tc>
          <w:tcPr>
            <w:tcW w:w="2220" w:type="dxa"/>
            <w:vAlign w:val="bottom"/>
            <w:gridSpan w:val="3"/>
          </w:tcPr>
          <w:p>
            <w:pPr>
              <w:ind w:left="460"/>
              <w:spacing w:after="0"/>
              <w:rPr>
                <w:sz w:val="20"/>
                <w:szCs w:val="20"/>
                <w:color w:val="auto"/>
              </w:rPr>
            </w:pPr>
            <w:r>
              <w:rPr>
                <w:rFonts w:ascii="Arial" w:cs="Arial" w:eastAsia="Arial" w:hAnsi="Arial"/>
                <w:sz w:val="14"/>
                <w:szCs w:val="14"/>
                <w:b w:val="1"/>
                <w:bCs w:val="1"/>
                <w:color w:val="auto"/>
              </w:rPr>
              <w:t>Future pension cost</w:t>
            </w:r>
          </w:p>
        </w:tc>
        <w:tc>
          <w:tcPr>
            <w:tcW w:w="21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5"/>
              </w:rPr>
              <w:t>Interest rate on savings capital</w:t>
            </w:r>
          </w:p>
        </w:tc>
        <w:tc>
          <w:tcPr>
            <w:tcW w:w="0" w:type="dxa"/>
            <w:vAlign w:val="bottom"/>
          </w:tcPr>
          <w:p>
            <w:pPr>
              <w:spacing w:after="0"/>
              <w:rPr>
                <w:sz w:val="1"/>
                <w:szCs w:val="1"/>
                <w:color w:val="auto"/>
              </w:rPr>
            </w:pPr>
          </w:p>
        </w:tc>
      </w:tr>
      <w:tr>
        <w:trPr>
          <w:trHeight w:val="156"/>
        </w:trPr>
        <w:tc>
          <w:tcPr>
            <w:tcW w:w="2380" w:type="dxa"/>
            <w:vAlign w:val="bottom"/>
            <w:gridSpan w:val="2"/>
            <w:vMerge w:val="continue"/>
          </w:tcPr>
          <w:p>
            <w:pPr>
              <w:spacing w:after="0"/>
              <w:rPr>
                <w:sz w:val="13"/>
                <w:szCs w:val="13"/>
                <w:color w:val="auto"/>
              </w:rPr>
            </w:pPr>
          </w:p>
        </w:tc>
        <w:tc>
          <w:tcPr>
            <w:tcW w:w="11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0.5% increase</w:t>
            </w:r>
          </w:p>
        </w:tc>
        <w:tc>
          <w:tcPr>
            <w:tcW w:w="11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0.5% decrease</w:t>
            </w:r>
          </w:p>
        </w:tc>
        <w:tc>
          <w:tcPr>
            <w:tcW w:w="120" w:type="dxa"/>
            <w:vAlign w:val="bottom"/>
          </w:tcPr>
          <w:p>
            <w:pPr>
              <w:spacing w:after="0"/>
              <w:rPr>
                <w:sz w:val="13"/>
                <w:szCs w:val="13"/>
                <w:color w:val="auto"/>
              </w:rPr>
            </w:pPr>
          </w:p>
        </w:tc>
        <w:tc>
          <w:tcPr>
            <w:tcW w:w="106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9"/>
              </w:rPr>
              <w:t>0.5% increase</w:t>
            </w: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0.5% decrease</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0.5% increase</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0.5% decrease</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0.5% increase</w:t>
            </w: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0.5% decrease</w:t>
            </w: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3"/>
          </w:tcPr>
          <w:p>
            <w:pPr>
              <w:jc w:val="right"/>
              <w:ind w:right="388"/>
              <w:spacing w:after="0"/>
              <w:rPr>
                <w:sz w:val="20"/>
                <w:szCs w:val="20"/>
                <w:color w:val="auto"/>
              </w:rPr>
            </w:pPr>
            <w:r>
              <w:rPr>
                <w:rFonts w:ascii="Arial" w:cs="Arial" w:eastAsia="Arial" w:hAnsi="Arial"/>
                <w:sz w:val="18"/>
                <w:szCs w:val="18"/>
                <w:b w:val="1"/>
                <w:bCs w:val="1"/>
                <w:color w:val="auto"/>
              </w:rPr>
              <w:t>in CHF thousands</w:t>
            </w: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D5EAEA"/>
          </w:tcPr>
          <w:p>
            <w:pPr>
              <w:spacing w:after="0" w:line="149" w:lineRule="exact"/>
              <w:rPr>
                <w:sz w:val="20"/>
                <w:szCs w:val="20"/>
                <w:color w:val="auto"/>
              </w:rPr>
            </w:pPr>
            <w:r>
              <w:rPr>
                <w:rFonts w:ascii="Arial" w:cs="Arial" w:eastAsia="Arial" w:hAnsi="Arial"/>
                <w:sz w:val="14"/>
                <w:szCs w:val="14"/>
                <w:color w:val="auto"/>
              </w:rPr>
              <w:t>Potential defined benefit obligation</w:t>
            </w:r>
          </w:p>
        </w:tc>
        <w:tc>
          <w:tcPr>
            <w:tcW w:w="1100" w:type="dxa"/>
            <w:vAlign w:val="bottom"/>
            <w:shd w:val="clear" w:color="auto" w:fill="D5EAEA"/>
          </w:tcPr>
          <w:p>
            <w:pPr>
              <w:jc w:val="right"/>
              <w:ind w:right="108"/>
              <w:spacing w:after="0" w:line="149" w:lineRule="exact"/>
              <w:rPr>
                <w:sz w:val="20"/>
                <w:szCs w:val="20"/>
                <w:color w:val="auto"/>
              </w:rPr>
            </w:pPr>
            <w:r>
              <w:rPr>
                <w:rFonts w:ascii="Arial" w:cs="Arial" w:eastAsia="Arial" w:hAnsi="Arial"/>
                <w:sz w:val="14"/>
                <w:szCs w:val="14"/>
                <w:color w:val="auto"/>
              </w:rPr>
              <w:t>24,248</w:t>
            </w:r>
          </w:p>
        </w:tc>
        <w:tc>
          <w:tcPr>
            <w:tcW w:w="1100" w:type="dxa"/>
            <w:vAlign w:val="bottom"/>
            <w:shd w:val="clear" w:color="auto" w:fill="D5EAEA"/>
          </w:tcPr>
          <w:p>
            <w:pPr>
              <w:jc w:val="right"/>
              <w:ind w:right="48"/>
              <w:spacing w:after="0" w:line="149" w:lineRule="exact"/>
              <w:rPr>
                <w:sz w:val="20"/>
                <w:szCs w:val="20"/>
                <w:color w:val="auto"/>
              </w:rPr>
            </w:pPr>
            <w:r>
              <w:rPr>
                <w:rFonts w:ascii="Arial" w:cs="Arial" w:eastAsia="Arial" w:hAnsi="Arial"/>
                <w:sz w:val="14"/>
                <w:szCs w:val="14"/>
                <w:color w:val="auto"/>
              </w:rPr>
              <w:t>29,396</w:t>
            </w:r>
          </w:p>
        </w:tc>
        <w:tc>
          <w:tcPr>
            <w:tcW w:w="120" w:type="dxa"/>
            <w:vAlign w:val="bottom"/>
            <w:shd w:val="clear" w:color="auto" w:fill="D5EAEA"/>
          </w:tcPr>
          <w:p>
            <w:pPr>
              <w:spacing w:after="0"/>
              <w:rPr>
                <w:sz w:val="12"/>
                <w:szCs w:val="12"/>
                <w:color w:val="auto"/>
              </w:rPr>
            </w:pPr>
          </w:p>
        </w:tc>
        <w:tc>
          <w:tcPr>
            <w:tcW w:w="1060" w:type="dxa"/>
            <w:vAlign w:val="bottom"/>
            <w:shd w:val="clear" w:color="auto" w:fill="D5EAEA"/>
          </w:tcPr>
          <w:p>
            <w:pPr>
              <w:jc w:val="right"/>
              <w:ind w:right="88"/>
              <w:spacing w:after="0" w:line="149" w:lineRule="exact"/>
              <w:rPr>
                <w:sz w:val="20"/>
                <w:szCs w:val="20"/>
                <w:color w:val="auto"/>
              </w:rPr>
            </w:pPr>
            <w:r>
              <w:rPr>
                <w:rFonts w:ascii="Arial" w:cs="Arial" w:eastAsia="Arial" w:hAnsi="Arial"/>
                <w:sz w:val="14"/>
                <w:szCs w:val="14"/>
                <w:color w:val="auto"/>
              </w:rPr>
              <w:t>27,317</w:t>
            </w:r>
          </w:p>
        </w:tc>
        <w:tc>
          <w:tcPr>
            <w:tcW w:w="1060" w:type="dxa"/>
            <w:vAlign w:val="bottom"/>
            <w:shd w:val="clear" w:color="auto" w:fill="D5EAEA"/>
          </w:tcPr>
          <w:p>
            <w:pPr>
              <w:jc w:val="right"/>
              <w:ind w:right="44"/>
              <w:spacing w:after="0" w:line="149" w:lineRule="exact"/>
              <w:rPr>
                <w:sz w:val="20"/>
                <w:szCs w:val="20"/>
                <w:color w:val="auto"/>
              </w:rPr>
            </w:pPr>
            <w:r>
              <w:rPr>
                <w:rFonts w:ascii="Arial" w:cs="Arial" w:eastAsia="Arial" w:hAnsi="Arial"/>
                <w:sz w:val="14"/>
                <w:szCs w:val="14"/>
                <w:color w:val="auto"/>
              </w:rPr>
              <w:t>25,930</w:t>
            </w:r>
          </w:p>
        </w:tc>
        <w:tc>
          <w:tcPr>
            <w:tcW w:w="100" w:type="dxa"/>
            <w:vAlign w:val="bottom"/>
            <w:shd w:val="clear" w:color="auto" w:fill="D5EAEA"/>
          </w:tcPr>
          <w:p>
            <w:pPr>
              <w:spacing w:after="0"/>
              <w:rPr>
                <w:sz w:val="12"/>
                <w:szCs w:val="12"/>
                <w:color w:val="auto"/>
              </w:rPr>
            </w:pPr>
          </w:p>
        </w:tc>
        <w:tc>
          <w:tcPr>
            <w:tcW w:w="1060" w:type="dxa"/>
            <w:vAlign w:val="bottom"/>
            <w:shd w:val="clear" w:color="auto" w:fill="D5EAEA"/>
          </w:tcPr>
          <w:p>
            <w:pPr>
              <w:jc w:val="right"/>
              <w:ind w:right="88"/>
              <w:spacing w:after="0" w:line="149" w:lineRule="exact"/>
              <w:rPr>
                <w:sz w:val="20"/>
                <w:szCs w:val="20"/>
                <w:color w:val="auto"/>
              </w:rPr>
            </w:pPr>
            <w:r>
              <w:rPr>
                <w:rFonts w:ascii="Arial" w:cs="Arial" w:eastAsia="Arial" w:hAnsi="Arial"/>
                <w:sz w:val="14"/>
                <w:szCs w:val="14"/>
                <w:color w:val="auto"/>
              </w:rPr>
              <w:t>27,993</w:t>
            </w:r>
          </w:p>
        </w:tc>
        <w:tc>
          <w:tcPr>
            <w:tcW w:w="1040" w:type="dxa"/>
            <w:vAlign w:val="bottom"/>
            <w:shd w:val="clear" w:color="auto" w:fill="D5EAEA"/>
          </w:tcPr>
          <w:p>
            <w:pPr>
              <w:jc w:val="right"/>
              <w:ind w:right="28"/>
              <w:spacing w:after="0" w:line="149" w:lineRule="exact"/>
              <w:rPr>
                <w:sz w:val="20"/>
                <w:szCs w:val="20"/>
                <w:color w:val="auto"/>
              </w:rPr>
            </w:pPr>
            <w:r>
              <w:rPr>
                <w:rFonts w:ascii="Arial" w:cs="Arial" w:eastAsia="Arial" w:hAnsi="Arial"/>
                <w:sz w:val="14"/>
                <w:szCs w:val="14"/>
                <w:color w:val="auto"/>
              </w:rPr>
              <w:t>25,393</w:t>
            </w:r>
          </w:p>
        </w:tc>
        <w:tc>
          <w:tcPr>
            <w:tcW w:w="120" w:type="dxa"/>
            <w:vAlign w:val="bottom"/>
            <w:shd w:val="clear" w:color="auto" w:fill="D5EAEA"/>
          </w:tcPr>
          <w:p>
            <w:pPr>
              <w:spacing w:after="0"/>
              <w:rPr>
                <w:sz w:val="12"/>
                <w:szCs w:val="12"/>
                <w:color w:val="auto"/>
              </w:rPr>
            </w:pPr>
          </w:p>
        </w:tc>
        <w:tc>
          <w:tcPr>
            <w:tcW w:w="1040" w:type="dxa"/>
            <w:vAlign w:val="bottom"/>
            <w:shd w:val="clear" w:color="auto" w:fill="D5EAEA"/>
          </w:tcPr>
          <w:p>
            <w:pPr>
              <w:jc w:val="right"/>
              <w:ind w:right="88"/>
              <w:spacing w:after="0" w:line="149" w:lineRule="exact"/>
              <w:rPr>
                <w:sz w:val="20"/>
                <w:szCs w:val="20"/>
                <w:color w:val="auto"/>
              </w:rPr>
            </w:pPr>
            <w:r>
              <w:rPr>
                <w:rFonts w:ascii="Arial" w:cs="Arial" w:eastAsia="Arial" w:hAnsi="Arial"/>
                <w:sz w:val="14"/>
                <w:szCs w:val="14"/>
                <w:color w:val="auto"/>
              </w:rPr>
              <w:t>27,447</w:t>
            </w:r>
          </w:p>
        </w:tc>
        <w:tc>
          <w:tcPr>
            <w:tcW w:w="1060" w:type="dxa"/>
            <w:vAlign w:val="bottom"/>
            <w:shd w:val="clear" w:color="auto" w:fill="D5EAEA"/>
          </w:tcPr>
          <w:p>
            <w:pPr>
              <w:jc w:val="right"/>
              <w:ind w:right="28"/>
              <w:spacing w:after="0" w:line="149" w:lineRule="exact"/>
              <w:rPr>
                <w:sz w:val="20"/>
                <w:szCs w:val="20"/>
                <w:color w:val="auto"/>
              </w:rPr>
            </w:pPr>
            <w:r>
              <w:rPr>
                <w:rFonts w:ascii="Arial" w:cs="Arial" w:eastAsia="Arial" w:hAnsi="Arial"/>
                <w:sz w:val="14"/>
                <w:szCs w:val="14"/>
                <w:color w:val="auto"/>
              </w:rPr>
              <w:t>25,848</w:t>
            </w:r>
          </w:p>
        </w:tc>
        <w:tc>
          <w:tcPr>
            <w:tcW w:w="0" w:type="dxa"/>
            <w:vAlign w:val="bottom"/>
          </w:tcPr>
          <w:p>
            <w:pPr>
              <w:spacing w:after="0"/>
              <w:rPr>
                <w:sz w:val="1"/>
                <w:szCs w:val="1"/>
                <w:color w:val="auto"/>
              </w:rPr>
            </w:pPr>
          </w:p>
        </w:tc>
      </w:tr>
      <w:tr>
        <w:trPr>
          <w:trHeight w:val="130"/>
        </w:trPr>
        <w:tc>
          <w:tcPr>
            <w:tcW w:w="2380" w:type="dxa"/>
            <w:vAlign w:val="bottom"/>
            <w:gridSpan w:val="2"/>
          </w:tcPr>
          <w:p>
            <w:pPr>
              <w:spacing w:after="0" w:line="130" w:lineRule="exact"/>
              <w:rPr>
                <w:sz w:val="20"/>
                <w:szCs w:val="20"/>
                <w:color w:val="auto"/>
              </w:rPr>
            </w:pPr>
            <w:r>
              <w:rPr>
                <w:rFonts w:ascii="Arial" w:cs="Arial" w:eastAsia="Arial" w:hAnsi="Arial"/>
                <w:sz w:val="14"/>
                <w:szCs w:val="14"/>
                <w:color w:val="auto"/>
              </w:rPr>
              <w:t>Decrease/(increase) from actual</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spacing w:after="0"/>
              <w:rPr>
                <w:sz w:val="20"/>
                <w:szCs w:val="20"/>
                <w:color w:val="auto"/>
              </w:rPr>
            </w:pPr>
            <w:r>
              <w:rPr>
                <w:rFonts w:ascii="Arial" w:cs="Arial" w:eastAsia="Arial" w:hAnsi="Arial"/>
                <w:sz w:val="14"/>
                <w:szCs w:val="14"/>
                <w:color w:val="auto"/>
              </w:rPr>
              <w:t>defined benefit obligation</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2,376</w:t>
            </w:r>
          </w:p>
        </w:tc>
        <w:tc>
          <w:tcPr>
            <w:tcW w:w="1100" w:type="dxa"/>
            <w:vAlign w:val="bottom"/>
          </w:tcPr>
          <w:p>
            <w:pPr>
              <w:jc w:val="right"/>
              <w:spacing w:after="0"/>
              <w:rPr>
                <w:sz w:val="20"/>
                <w:szCs w:val="20"/>
                <w:color w:val="auto"/>
              </w:rPr>
            </w:pPr>
            <w:r>
              <w:rPr>
                <w:rFonts w:ascii="Arial" w:cs="Arial" w:eastAsia="Arial" w:hAnsi="Arial"/>
                <w:sz w:val="14"/>
                <w:szCs w:val="14"/>
                <w:color w:val="auto"/>
              </w:rPr>
              <w:t>(2,772)</w:t>
            </w:r>
          </w:p>
        </w:tc>
        <w:tc>
          <w:tcPr>
            <w:tcW w:w="1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(693)</w:t>
            </w:r>
          </w:p>
        </w:tc>
        <w:tc>
          <w:tcPr>
            <w:tcW w:w="1060" w:type="dxa"/>
            <w:vAlign w:val="bottom"/>
          </w:tcPr>
          <w:p>
            <w:pPr>
              <w:jc w:val="right"/>
              <w:ind w:right="44"/>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(1,369)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1,231</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(823)</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The sensitivity analyses above are subject to limitations and have been determined based on a method that extrapolates the impact on net defined benefit obligation as a result of reasonable changes in key assumptions occurring at the end of the reporting period.</w:t>
      </w:r>
    </w:p>
    <w:p>
      <w:pPr>
        <w:spacing w:after="0" w:line="142" w:lineRule="exact"/>
        <w:rPr>
          <w:sz w:val="20"/>
          <w:szCs w:val="20"/>
          <w:color w:val="auto"/>
        </w:rPr>
      </w:pPr>
    </w:p>
    <w:p>
      <w:pPr>
        <w:ind w:left="340" w:right="8860" w:hanging="332"/>
        <w:spacing w:after="0" w:line="603" w:lineRule="auto"/>
        <w:tabs>
          <w:tab w:leader="none" w:pos="340" w:val="left"/>
        </w:tabs>
        <w:numPr>
          <w:ilvl w:val="0"/>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Share-based option awards</w:t>
      </w:r>
    </w:p>
    <w:p>
      <w:pPr>
        <w:spacing w:after="0" w:line="1" w:lineRule="exact"/>
        <w:rPr>
          <w:rFonts w:ascii="Arial" w:cs="Arial" w:eastAsia="Arial" w:hAnsi="Arial"/>
          <w:sz w:val="15"/>
          <w:szCs w:val="15"/>
          <w:b w:val="1"/>
          <w:bCs w:val="1"/>
          <w:color w:val="auto"/>
        </w:rPr>
      </w:pPr>
    </w:p>
    <w:p>
      <w:pPr>
        <w:ind w:left="340"/>
        <w:spacing w:after="0"/>
        <w:rPr>
          <w:rFonts w:ascii="Arial" w:cs="Arial" w:eastAsia="Arial" w:hAnsi="Arial"/>
          <w:sz w:val="15"/>
          <w:szCs w:val="15"/>
          <w:b w:val="1"/>
          <w:bCs w:val="1"/>
          <w:color w:val="auto"/>
        </w:rPr>
      </w:pPr>
      <w:r>
        <w:rPr>
          <w:rFonts w:ascii="Arial" w:cs="Arial" w:eastAsia="Arial" w:hAnsi="Arial"/>
          <w:sz w:val="16"/>
          <w:szCs w:val="16"/>
          <w:color w:val="auto"/>
        </w:rPr>
        <w:t>Through the year ended December 31, 2020, there are equity-based instruments outstanding that the Company has granted under four different plans.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December 31,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equity-settled share option grants since inception under each plan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awarded</w:t>
            </w: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r>
      <w:tr>
        <w:trPr>
          <w:trHeight w:val="234"/>
        </w:trPr>
        <w:tc>
          <w:tcPr>
            <w:tcW w:w="2500" w:type="dxa"/>
            <w:vAlign w:val="bottom"/>
            <w:gridSpan w:val="2"/>
          </w:tcPr>
          <w:p>
            <w:pPr>
              <w:ind w:left="940"/>
              <w:spacing w:after="0"/>
              <w:rPr>
                <w:sz w:val="20"/>
                <w:szCs w:val="20"/>
                <w:color w:val="auto"/>
              </w:rPr>
            </w:pPr>
            <w:r>
              <w:rPr>
                <w:rFonts w:ascii="Arial" w:cs="Arial" w:eastAsia="Arial" w:hAnsi="Arial"/>
                <w:sz w:val="18"/>
                <w:szCs w:val="18"/>
                <w:b w:val="1"/>
                <w:bCs w:val="1"/>
                <w:color w:val="auto"/>
              </w:rPr>
              <w:t>PLAN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(since inception)</w:t>
            </w:r>
          </w:p>
        </w:tc>
        <w:tc>
          <w:tcPr>
            <w:tcW w:w="100" w:type="dxa"/>
            <w:vAlign w:val="bottom"/>
          </w:tcPr>
          <w:p>
            <w:pPr>
              <w:spacing w:after="0"/>
              <w:rPr>
                <w:sz w:val="20"/>
                <w:szCs w:val="20"/>
                <w:color w:val="auto"/>
              </w:rPr>
            </w:pPr>
          </w:p>
        </w:tc>
        <w:tc>
          <w:tcPr>
            <w:tcW w:w="5940" w:type="dxa"/>
            <w:vAlign w:val="bottom"/>
            <w:gridSpan w:val="2"/>
          </w:tcPr>
          <w:p>
            <w:pPr>
              <w:ind w:left="2220"/>
              <w:spacing w:after="0"/>
              <w:rPr>
                <w:sz w:val="20"/>
                <w:szCs w:val="20"/>
                <w:color w:val="auto"/>
              </w:rPr>
            </w:pPr>
            <w:r>
              <w:rPr>
                <w:rFonts w:ascii="Arial" w:cs="Arial" w:eastAsia="Arial" w:hAnsi="Arial"/>
                <w:sz w:val="18"/>
                <w:szCs w:val="18"/>
                <w:b w:val="1"/>
                <w:bCs w:val="1"/>
                <w:color w:val="auto"/>
              </w:rPr>
              <w:t>Vesting conditions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of options</w:t>
            </w:r>
          </w:p>
        </w:tc>
      </w:tr>
      <w:tr>
        <w:trPr>
          <w:trHeight w:val="210"/>
        </w:trPr>
        <w:tc>
          <w:tcPr>
            <w:tcW w:w="23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Share option plan A</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362,750</w:t>
            </w:r>
          </w:p>
        </w:tc>
        <w:tc>
          <w:tcPr>
            <w:tcW w:w="100" w:type="dxa"/>
            <w:vAlign w:val="bottom"/>
            <w:tcBorders>
              <w:top w:val="single" w:sz="8" w:color="D5EAEA"/>
            </w:tcBorders>
            <w:shd w:val="clear" w:color="auto" w:fill="D5EAEA"/>
          </w:tcPr>
          <w:p>
            <w:pPr>
              <w:spacing w:after="0"/>
              <w:rPr>
                <w:sz w:val="18"/>
                <w:szCs w:val="18"/>
                <w:color w:val="auto"/>
              </w:rPr>
            </w:pPr>
          </w:p>
        </w:tc>
        <w:tc>
          <w:tcPr>
            <w:tcW w:w="58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At grant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7"/>
              </w:rPr>
              <w:t>15.5 years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Share option plan B</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819,000</w:t>
            </w:r>
          </w:p>
        </w:tc>
        <w:tc>
          <w:tcPr>
            <w:tcW w:w="6040" w:type="dxa"/>
            <w:vAlign w:val="bottom"/>
            <w:gridSpan w:val="3"/>
          </w:tcPr>
          <w:p>
            <w:pPr>
              <w:ind w:left="100"/>
              <w:spacing w:after="0"/>
              <w:rPr>
                <w:sz w:val="20"/>
                <w:szCs w:val="20"/>
                <w:color w:val="auto"/>
              </w:rPr>
            </w:pPr>
            <w:r>
              <w:rPr>
                <w:rFonts w:ascii="Arial" w:cs="Arial" w:eastAsia="Arial" w:hAnsi="Arial"/>
                <w:sz w:val="18"/>
                <w:szCs w:val="18"/>
                <w:color w:val="auto"/>
              </w:rPr>
              <w:t>At grant</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10.5 years</w:t>
            </w:r>
          </w:p>
        </w:tc>
      </w:tr>
      <w:tr>
        <w:trPr>
          <w:trHeight w:val="216"/>
        </w:trPr>
        <w:tc>
          <w:tcPr>
            <w:tcW w:w="2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Share option plan C1</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6,775,250</w:t>
            </w:r>
          </w:p>
        </w:tc>
        <w:tc>
          <w:tcPr>
            <w:tcW w:w="6040" w:type="dxa"/>
            <w:vAlign w:val="bottom"/>
            <w:gridSpan w:val="3"/>
            <w:shd w:val="clear" w:color="auto" w:fill="D5EAEA"/>
          </w:tcPr>
          <w:p>
            <w:pPr>
              <w:ind w:left="100"/>
              <w:spacing w:after="0"/>
              <w:rPr>
                <w:sz w:val="20"/>
                <w:szCs w:val="20"/>
                <w:color w:val="auto"/>
              </w:rPr>
            </w:pPr>
            <w:r>
              <w:rPr>
                <w:rFonts w:ascii="Arial" w:cs="Arial" w:eastAsia="Arial" w:hAnsi="Arial"/>
                <w:sz w:val="18"/>
                <w:szCs w:val="18"/>
                <w:color w:val="auto"/>
              </w:rPr>
              <w:t>4 years’ service from grant date</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2016 SOIP:</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50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Executives and directors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1,898,222</w:t>
            </w:r>
          </w:p>
        </w:tc>
        <w:tc>
          <w:tcPr>
            <w:tcW w:w="6040" w:type="dxa"/>
            <w:vAlign w:val="bottom"/>
            <w:gridSpan w:val="3"/>
            <w:shd w:val="clear" w:color="auto" w:fill="D5EAEA"/>
          </w:tcPr>
          <w:p>
            <w:pPr>
              <w:ind w:left="100"/>
              <w:spacing w:after="0"/>
              <w:rPr>
                <w:sz w:val="20"/>
                <w:szCs w:val="20"/>
                <w:color w:val="auto"/>
              </w:rPr>
            </w:pPr>
            <w:r>
              <w:rPr>
                <w:rFonts w:ascii="Arial" w:cs="Arial" w:eastAsia="Arial" w:hAnsi="Arial"/>
                <w:sz w:val="18"/>
                <w:szCs w:val="18"/>
                <w:color w:val="auto"/>
                <w:w w:val="92"/>
              </w:rPr>
              <w:t>1 year, 3 year and 4 years’ service from the date of grant, quarterly and annually</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 years</w:t>
            </w:r>
          </w:p>
        </w:tc>
      </w:tr>
      <w:tr>
        <w:trPr>
          <w:trHeight w:val="230"/>
        </w:trPr>
        <w:tc>
          <w:tcPr>
            <w:tcW w:w="2500" w:type="dxa"/>
            <w:vAlign w:val="bottom"/>
            <w:gridSpan w:val="2"/>
          </w:tcPr>
          <w:p>
            <w:pPr>
              <w:ind w:left="160"/>
              <w:spacing w:after="0"/>
              <w:rPr>
                <w:sz w:val="20"/>
                <w:szCs w:val="20"/>
                <w:color w:val="auto"/>
              </w:rPr>
            </w:pPr>
            <w:r>
              <w:rPr>
                <w:rFonts w:ascii="Arial" w:cs="Arial" w:eastAsia="Arial" w:hAnsi="Arial"/>
                <w:sz w:val="18"/>
                <w:szCs w:val="18"/>
                <w:color w:val="auto"/>
              </w:rPr>
              <w:t>Employees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989,279</w:t>
            </w:r>
          </w:p>
        </w:tc>
        <w:tc>
          <w:tcPr>
            <w:tcW w:w="6040" w:type="dxa"/>
            <w:vAlign w:val="bottom"/>
            <w:gridSpan w:val="3"/>
          </w:tcPr>
          <w:p>
            <w:pPr>
              <w:ind w:left="100"/>
              <w:spacing w:after="0"/>
              <w:rPr>
                <w:sz w:val="20"/>
                <w:szCs w:val="20"/>
                <w:color w:val="auto"/>
              </w:rPr>
            </w:pPr>
            <w:r>
              <w:rPr>
                <w:rFonts w:ascii="Arial" w:cs="Arial" w:eastAsia="Arial" w:hAnsi="Arial"/>
                <w:sz w:val="18"/>
                <w:szCs w:val="18"/>
                <w:color w:val="auto"/>
              </w:rPr>
              <w:t>4 years’ service from the date of grant, annually</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 years</w:t>
            </w:r>
          </w:p>
        </w:tc>
      </w:tr>
      <w:tr>
        <w:trPr>
          <w:trHeight w:val="526"/>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F-32</w:t>
            </w: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number and weighted-average exercise prices (in CHF) of options under the share option programs for Plans A, B, C1 and the 2016 SOIP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average 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options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price (CHF)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term (years)</w:t>
            </w:r>
          </w:p>
        </w:tc>
      </w:tr>
      <w:tr>
        <w:trPr>
          <w:trHeight w:val="209"/>
        </w:trPr>
        <w:tc>
          <w:tcPr>
            <w:tcW w:w="69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Outstanding at January 1, 2018</w:t>
            </w: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1,359,891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tcPr>
          <w:p>
            <w:pPr>
              <w:jc w:val="right"/>
              <w:spacing w:after="0"/>
              <w:rPr>
                <w:sz w:val="20"/>
                <w:szCs w:val="20"/>
                <w:color w:val="auto"/>
              </w:rPr>
            </w:pPr>
            <w:r>
              <w:rPr>
                <w:rFonts w:ascii="Arial" w:cs="Arial" w:eastAsia="Arial" w:hAnsi="Arial"/>
                <w:sz w:val="18"/>
                <w:szCs w:val="18"/>
                <w:color w:val="auto"/>
              </w:rPr>
              <w:t>(73,624)</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(151,814)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484,403</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1,618,856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6.3</w:t>
            </w:r>
          </w:p>
        </w:tc>
      </w:tr>
      <w:tr>
        <w:trPr>
          <w:trHeight w:val="263"/>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Exercisable at December 31, 2018</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932,175</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197"/>
        </w:trPr>
        <w:tc>
          <w:tcPr>
            <w:tcW w:w="698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Outstanding at January 1, 2019</w:t>
            </w: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1,618,856</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4.25</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6.3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tcPr>
          <w:p>
            <w:pPr>
              <w:jc w:val="right"/>
              <w:spacing w:after="0"/>
              <w:rPr>
                <w:sz w:val="20"/>
                <w:szCs w:val="20"/>
                <w:color w:val="auto"/>
              </w:rPr>
            </w:pPr>
            <w:r>
              <w:rPr>
                <w:rFonts w:ascii="Arial" w:cs="Arial" w:eastAsia="Arial" w:hAnsi="Arial"/>
                <w:sz w:val="18"/>
                <w:szCs w:val="18"/>
                <w:color w:val="auto"/>
              </w:rPr>
              <w:t>(73,699)</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(616,833)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1,053,305</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Outstanding at December 31, 2019</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1,981,629</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8.3</w:t>
            </w:r>
          </w:p>
        </w:tc>
      </w:tr>
      <w:tr>
        <w:trPr>
          <w:trHeight w:val="263"/>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Exercisable at December 31, 2019</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602,218</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r>
      <w:tr>
        <w:trPr>
          <w:trHeight w:val="197"/>
        </w:trPr>
        <w:tc>
          <w:tcPr>
            <w:tcW w:w="698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Outstanding at January 1, 2019</w:t>
            </w: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1,981,629</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5.93</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8.3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tcPr>
          <w:p>
            <w:pPr>
              <w:jc w:val="right"/>
              <w:spacing w:after="0"/>
              <w:rPr>
                <w:sz w:val="20"/>
                <w:szCs w:val="20"/>
                <w:color w:val="auto"/>
              </w:rPr>
            </w:pPr>
            <w:r>
              <w:rPr>
                <w:rFonts w:ascii="Arial" w:cs="Arial" w:eastAsia="Arial" w:hAnsi="Arial"/>
                <w:sz w:val="18"/>
                <w:szCs w:val="18"/>
                <w:color w:val="auto"/>
              </w:rPr>
              <w:t>(53,591)</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Expired during the year</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(26,729)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tcPr>
          <w:p>
            <w:pPr>
              <w:jc w:val="right"/>
              <w:spacing w:after="0"/>
              <w:rPr>
                <w:sz w:val="20"/>
                <w:szCs w:val="20"/>
                <w:color w:val="auto"/>
              </w:rPr>
            </w:pPr>
            <w:r>
              <w:rPr>
                <w:rFonts w:ascii="Arial" w:cs="Arial" w:eastAsia="Arial" w:hAnsi="Arial"/>
                <w:sz w:val="18"/>
                <w:szCs w:val="18"/>
                <w:color w:val="auto"/>
              </w:rPr>
              <w:t>(73,669)</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1,073,027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Outstanding at December 31, 2020</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2,900,667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23"/>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Exercisable at December 31, 2020</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1,099,015</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7.0</w:t>
            </w:r>
          </w:p>
        </w:tc>
      </w:tr>
      <w:tr>
        <w:trPr>
          <w:trHeight w:val="20"/>
        </w:trPr>
        <w:tc>
          <w:tcPr>
            <w:tcW w:w="6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 outstanding stock options as of December 31, 2020 have the following range of exercise prices. In fiscal year 2018, we began to grant awards solely with USD denominated exercise prices and discontinued granting awards with a CHF denominated exercise price.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Range of</w:t>
            </w:r>
          </w:p>
        </w:tc>
      </w:tr>
      <w:tr>
        <w:trPr>
          <w:trHeight w:val="234"/>
        </w:trPr>
        <w:tc>
          <w:tcPr>
            <w:tcW w:w="844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options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1"/>
              </w:rPr>
              <w:t>expiration dates</w:t>
            </w:r>
          </w:p>
        </w:tc>
      </w:tr>
      <w:tr>
        <w:trPr>
          <w:trHeight w:val="209"/>
        </w:trPr>
        <w:tc>
          <w:tcPr>
            <w:tcW w:w="84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Range of exercise prices</w:t>
            </w: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color w:val="auto"/>
              </w:rPr>
              <w:t>CHF 0.15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243,125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2020–2026</w:t>
            </w:r>
          </w:p>
        </w:tc>
      </w:tr>
      <w:tr>
        <w:trPr>
          <w:trHeight w:val="216"/>
        </w:trPr>
        <w:tc>
          <w:tcPr>
            <w:tcW w:w="84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CHF 9.53</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223,646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2027</w:t>
            </w:r>
          </w:p>
        </w:tc>
      </w:tr>
      <w:tr>
        <w:trPr>
          <w:trHeight w:val="230"/>
        </w:trPr>
        <w:tc>
          <w:tcPr>
            <w:tcW w:w="8440" w:type="dxa"/>
            <w:vAlign w:val="bottom"/>
            <w:tcBorders>
              <w:bottom w:val="single" w:sz="8" w:color="D5EAEA"/>
            </w:tcBorders>
          </w:tcPr>
          <w:p>
            <w:pPr>
              <w:ind w:left="160"/>
              <w:spacing w:after="0"/>
              <w:rPr>
                <w:sz w:val="20"/>
                <w:szCs w:val="20"/>
                <w:color w:val="auto"/>
              </w:rPr>
            </w:pPr>
            <w:r>
              <w:rPr>
                <w:rFonts w:ascii="Arial" w:cs="Arial" w:eastAsia="Arial" w:hAnsi="Arial"/>
                <w:sz w:val="18"/>
                <w:szCs w:val="18"/>
                <w:color w:val="auto"/>
              </w:rPr>
              <w:t>USD 5.04 to USD 12.30</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2,433,896</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2028–2030</w:t>
            </w:r>
          </w:p>
        </w:tc>
      </w:tr>
      <w:tr>
        <w:trPr>
          <w:trHeight w:val="223"/>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outstanding options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2,900,667</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weighted-average exercise price for options granted in 2020, 2019 and 2018 is USD 7.11 (CHF 6.29), USD 5.41 (CHF 5.24) and USD 9.97 (CHF 9.79), respectively. The range of exercise prices for outstanding options was CHF 0.15 to CHF 9.53 for awards previously granted in CHF and USD 5.04 to USD 12.30 for awards granted in USD as of December 31, 2020.</w:t>
      </w:r>
    </w:p>
    <w:p>
      <w:pPr>
        <w:spacing w:after="0" w:line="184"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Prior to the IPO, the exercise price was set by the board of directors. The volatility is based on the historical trend of an appropriate sample of companies operating in the pharmaceutical and biopharmaceutical industries. The risk-free interest rate is based on the CHF swap rate for the expected life of the option. The weighted-average share price of common share options exercised in 2020 is USD 6.86 (CHF 6.07).</w:t>
      </w:r>
    </w:p>
    <w:p>
      <w:pPr>
        <w:spacing w:after="0" w:line="16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weighted-average grant date fair values of the options granted in 2020, 2019 and 2018 are USD 5.25 (CHF 4.65), USD 3.71 (CHF 3.59) and USD 6.66 (CHF 6.54), respectively. The following table illustrates the weighted-average assumptions for the Black-Scholes option-pricing model used in determining the fair value of these awards: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vMerge w:val="restart"/>
          </w:tcPr>
          <w:p>
            <w:pPr>
              <w:spacing w:after="0"/>
              <w:rPr>
                <w:sz w:val="20"/>
                <w:szCs w:val="20"/>
                <w:color w:val="auto"/>
              </w:rPr>
            </w:pPr>
            <w:r>
              <w:rPr>
                <w:rFonts w:ascii="Arial" w:cs="Arial" w:eastAsia="Arial" w:hAnsi="Arial"/>
                <w:sz w:val="18"/>
                <w:szCs w:val="18"/>
                <w:color w:val="auto"/>
              </w:rPr>
              <w:t>Exercise price</w:t>
            </w:r>
          </w:p>
        </w:tc>
        <w:tc>
          <w:tcPr>
            <w:tcW w:w="3020" w:type="dxa"/>
            <w:vAlign w:val="bottom"/>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USD 5.04-9.16</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USD 5.15–5.54</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USD 8.33–12.30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D5EAEA"/>
          </w:tcPr>
          <w:p>
            <w:pPr>
              <w:spacing w:after="0"/>
              <w:rPr>
                <w:sz w:val="20"/>
                <w:szCs w:val="20"/>
                <w:color w:val="auto"/>
              </w:rPr>
            </w:pPr>
            <w:r>
              <w:rPr>
                <w:rFonts w:ascii="Arial" w:cs="Arial" w:eastAsia="Arial" w:hAnsi="Arial"/>
                <w:sz w:val="18"/>
                <w:szCs w:val="18"/>
                <w:color w:val="auto"/>
              </w:rPr>
              <w:t>Share price (weighted average)</w:t>
            </w:r>
          </w:p>
        </w:tc>
        <w:tc>
          <w:tcPr>
            <w:tcW w:w="4400" w:type="dxa"/>
            <w:vAlign w:val="bottom"/>
            <w:gridSpan w:val="2"/>
            <w:shd w:val="clear" w:color="auto" w:fill="D5EAEA"/>
          </w:tcPr>
          <w:p>
            <w:pPr>
              <w:jc w:val="right"/>
              <w:ind w:right="70"/>
              <w:spacing w:after="0"/>
              <w:rPr>
                <w:sz w:val="20"/>
                <w:szCs w:val="20"/>
                <w:color w:val="auto"/>
              </w:rPr>
            </w:pPr>
            <w:r>
              <w:rPr>
                <w:rFonts w:ascii="Arial" w:cs="Arial" w:eastAsia="Arial" w:hAnsi="Arial"/>
                <w:sz w:val="18"/>
                <w:szCs w:val="18"/>
                <w:color w:val="auto"/>
              </w:rPr>
              <w:t>7.11</w:t>
            </w:r>
          </w:p>
        </w:tc>
        <w:tc>
          <w:tcPr>
            <w:tcW w:w="1500" w:type="dxa"/>
            <w:vAlign w:val="bottom"/>
            <w:gridSpan w:val="2"/>
            <w:shd w:val="clear" w:color="auto" w:fill="D5EAEA"/>
          </w:tcPr>
          <w:p>
            <w:pPr>
              <w:jc w:val="right"/>
              <w:ind w:right="7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D5EAEA"/>
          </w:tcPr>
          <w:p>
            <w:pPr>
              <w:spacing w:after="0"/>
              <w:rPr>
                <w:sz w:val="20"/>
                <w:szCs w:val="20"/>
                <w:color w:val="auto"/>
              </w:rPr>
            </w:pPr>
            <w:r>
              <w:rPr>
                <w:rFonts w:ascii="Arial" w:cs="Arial" w:eastAsia="Arial" w:hAnsi="Arial"/>
                <w:sz w:val="18"/>
                <w:szCs w:val="18"/>
                <w:color w:val="auto"/>
              </w:rPr>
              <w:t>Expected volatility</w:t>
            </w:r>
          </w:p>
        </w:tc>
        <w:tc>
          <w:tcPr>
            <w:tcW w:w="44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80%</w:t>
            </w:r>
          </w:p>
        </w:tc>
        <w:tc>
          <w:tcPr>
            <w:tcW w:w="15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Expected term</w:t>
            </w:r>
          </w:p>
        </w:tc>
        <w:tc>
          <w:tcPr>
            <w:tcW w:w="30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 years</w:t>
            </w:r>
          </w:p>
        </w:tc>
        <w:tc>
          <w:tcPr>
            <w:tcW w:w="120" w:type="dxa"/>
            <w:vAlign w:val="bottom"/>
          </w:tcPr>
          <w:p>
            <w:pPr>
              <w:spacing w:after="0"/>
              <w:rPr>
                <w:sz w:val="18"/>
                <w:szCs w:val="18"/>
                <w:color w:val="auto"/>
              </w:rPr>
            </w:pP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6 years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D5EAEA"/>
          </w:tcPr>
          <w:p>
            <w:pPr>
              <w:spacing w:after="0"/>
              <w:rPr>
                <w:sz w:val="20"/>
                <w:szCs w:val="20"/>
                <w:color w:val="auto"/>
              </w:rPr>
            </w:pPr>
            <w:r>
              <w:rPr>
                <w:rFonts w:ascii="Arial" w:cs="Arial" w:eastAsia="Arial" w:hAnsi="Arial"/>
                <w:sz w:val="18"/>
                <w:szCs w:val="18"/>
                <w:color w:val="auto"/>
              </w:rPr>
              <w:t>Dividend yield</w:t>
            </w:r>
          </w:p>
        </w:tc>
        <w:tc>
          <w:tcPr>
            <w:tcW w:w="3020" w:type="dxa"/>
            <w:vAlign w:val="bottom"/>
            <w:shd w:val="clear" w:color="auto" w:fill="D5EAEA"/>
          </w:tcPr>
          <w:p>
            <w:pPr>
              <w:spacing w:after="0"/>
              <w:rPr>
                <w:sz w:val="18"/>
                <w:szCs w:val="18"/>
                <w:color w:val="auto"/>
              </w:rPr>
            </w:pPr>
          </w:p>
        </w:tc>
        <w:tc>
          <w:tcPr>
            <w:tcW w:w="13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8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2370"/>
              <w:spacing w:after="0"/>
              <w:rPr>
                <w:sz w:val="20"/>
                <w:szCs w:val="20"/>
                <w:color w:val="auto"/>
              </w:rPr>
            </w:pPr>
            <w:r>
              <w:rPr>
                <w:rFonts w:ascii="Arial" w:cs="Arial" w:eastAsia="Arial" w:hAnsi="Arial"/>
                <w:sz w:val="18"/>
                <w:szCs w:val="18"/>
                <w:color w:val="auto"/>
              </w:rPr>
              <w:t>F-33</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 awards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summary of non-vested share awards (restricted share and restricted share units) activity as of December 31, 2020 and changes during the year then ended is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 non-</w:t>
            </w:r>
          </w:p>
        </w:tc>
        <w:tc>
          <w:tcPr>
            <w:tcW w:w="3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vested share</w:t>
            </w:r>
          </w:p>
        </w:tc>
        <w:tc>
          <w:tcPr>
            <w:tcW w:w="3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of non-vested</w:t>
            </w:r>
          </w:p>
        </w:tc>
      </w:tr>
      <w:tr>
        <w:trPr>
          <w:trHeight w:val="234"/>
        </w:trPr>
        <w:tc>
          <w:tcPr>
            <w:tcW w:w="3620" w:type="dxa"/>
            <w:vAlign w:val="bottom"/>
            <w:gridSpan w:val="2"/>
          </w:tcPr>
          <w:p>
            <w:pPr>
              <w:ind w:left="1240"/>
              <w:spacing w:after="0"/>
              <w:rPr>
                <w:sz w:val="20"/>
                <w:szCs w:val="20"/>
                <w:color w:val="auto"/>
              </w:rPr>
            </w:pPr>
            <w:r>
              <w:rPr>
                <w:rFonts w:ascii="Arial" w:cs="Arial" w:eastAsia="Arial" w:hAnsi="Arial"/>
                <w:sz w:val="18"/>
                <w:szCs w:val="18"/>
                <w:b w:val="1"/>
                <w:bCs w:val="1"/>
                <w:color w:val="auto"/>
              </w:rPr>
              <w:t>Grantee type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 granted</w:t>
            </w:r>
          </w:p>
        </w:tc>
        <w:tc>
          <w:tcPr>
            <w:tcW w:w="4820" w:type="dxa"/>
            <w:vAlign w:val="bottom"/>
            <w:gridSpan w:val="3"/>
          </w:tcPr>
          <w:p>
            <w:pPr>
              <w:jc w:val="right"/>
              <w:ind w:right="1760"/>
              <w:spacing w:after="0"/>
              <w:rPr>
                <w:sz w:val="20"/>
                <w:szCs w:val="20"/>
                <w:color w:val="auto"/>
              </w:rPr>
            </w:pPr>
            <w:r>
              <w:rPr>
                <w:rFonts w:ascii="Arial" w:cs="Arial" w:eastAsia="Arial" w:hAnsi="Arial"/>
                <w:sz w:val="18"/>
                <w:szCs w:val="18"/>
                <w:b w:val="1"/>
                <w:bCs w:val="1"/>
                <w:color w:val="auto"/>
              </w:rPr>
              <w:t>Vesting conditions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share awards</w:t>
            </w:r>
          </w:p>
        </w:tc>
      </w:tr>
      <w:tr>
        <w:trPr>
          <w:trHeight w:val="209"/>
        </w:trPr>
        <w:tc>
          <w:tcPr>
            <w:tcW w:w="35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Restricted share units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3360" w:type="dxa"/>
            <w:vAlign w:val="bottom"/>
            <w:tcBorders>
              <w:top w:val="single" w:sz="8" w:color="auto"/>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3620" w:type="dxa"/>
            <w:vAlign w:val="bottom"/>
            <w:gridSpan w:val="2"/>
          </w:tcPr>
          <w:p>
            <w:pPr>
              <w:ind w:left="160"/>
              <w:spacing w:after="0"/>
              <w:rPr>
                <w:sz w:val="20"/>
                <w:szCs w:val="20"/>
                <w:color w:val="auto"/>
              </w:rPr>
            </w:pPr>
            <w:r>
              <w:rPr>
                <w:rFonts w:ascii="Arial" w:cs="Arial" w:eastAsia="Arial" w:hAnsi="Arial"/>
                <w:sz w:val="18"/>
                <w:szCs w:val="18"/>
                <w:color w:val="auto"/>
              </w:rPr>
              <w:t>Directors</w:t>
            </w:r>
          </w:p>
        </w:tc>
        <w:tc>
          <w:tcPr>
            <w:tcW w:w="6280" w:type="dxa"/>
            <w:vAlign w:val="bottom"/>
            <w:gridSpan w:val="5"/>
          </w:tcPr>
          <w:p>
            <w:pPr>
              <w:jc w:val="right"/>
              <w:ind w:right="1760"/>
              <w:spacing w:after="0"/>
              <w:rPr>
                <w:sz w:val="20"/>
                <w:szCs w:val="20"/>
                <w:color w:val="auto"/>
              </w:rPr>
            </w:pPr>
            <w:r>
              <w:rPr>
                <w:rFonts w:ascii="Arial" w:cs="Arial" w:eastAsia="Arial" w:hAnsi="Arial"/>
                <w:sz w:val="18"/>
                <w:szCs w:val="18"/>
                <w:color w:val="auto"/>
              </w:rPr>
              <w:t>83,864   1 year service from date of grant, annually</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362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Executives</w:t>
            </w:r>
          </w:p>
        </w:tc>
        <w:tc>
          <w:tcPr>
            <w:tcW w:w="6280" w:type="dxa"/>
            <w:vAlign w:val="bottom"/>
            <w:gridSpan w:val="5"/>
            <w:shd w:val="clear" w:color="auto" w:fill="D5EAEA"/>
          </w:tcPr>
          <w:p>
            <w:pPr>
              <w:ind w:left="680"/>
              <w:spacing w:after="0"/>
              <w:rPr>
                <w:sz w:val="20"/>
                <w:szCs w:val="20"/>
                <w:color w:val="auto"/>
              </w:rPr>
            </w:pPr>
            <w:r>
              <w:rPr>
                <w:rFonts w:ascii="Arial" w:cs="Arial" w:eastAsia="Arial" w:hAnsi="Arial"/>
                <w:sz w:val="18"/>
                <w:szCs w:val="18"/>
                <w:color w:val="auto"/>
              </w:rPr>
              <w:t>110,839   4 years’ service from the date of grant, quarterly</w:t>
            </w:r>
          </w:p>
        </w:tc>
        <w:tc>
          <w:tcPr>
            <w:tcW w:w="13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 years</w:t>
            </w:r>
          </w:p>
        </w:tc>
      </w:t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Restricted share awards</w:t>
            </w:r>
          </w:p>
        </w:tc>
        <w:tc>
          <w:tcPr>
            <w:tcW w:w="6280" w:type="dxa"/>
            <w:vAlign w:val="bottom"/>
            <w:gridSpan w:val="5"/>
          </w:tcPr>
          <w:p>
            <w:pPr>
              <w:ind w:left="840"/>
              <w:spacing w:after="0"/>
              <w:rPr>
                <w:sz w:val="20"/>
                <w:szCs w:val="20"/>
                <w:color w:val="auto"/>
              </w:rPr>
            </w:pPr>
            <w:r>
              <w:rPr>
                <w:rFonts w:ascii="Arial" w:cs="Arial" w:eastAsia="Arial" w:hAnsi="Arial"/>
                <w:sz w:val="18"/>
                <w:szCs w:val="18"/>
                <w:color w:val="auto"/>
              </w:rPr>
              <w:t>4,023   2.75 years’ service from date of grant, quarterly</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 years</w:t>
            </w:r>
          </w:p>
        </w:tc>
      </w:tr>
      <w:tr>
        <w:trPr>
          <w:trHeight w:val="422"/>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non-vested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value (CHF)</w:t>
            </w:r>
          </w:p>
        </w:tc>
      </w:tr>
      <w:tr>
        <w:trPr>
          <w:trHeight w:val="209"/>
        </w:trPr>
        <w:tc>
          <w:tcPr>
            <w:tcW w:w="362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Non-vested at December 31, 2017</w:t>
            </w:r>
          </w:p>
        </w:tc>
        <w:tc>
          <w:tcPr>
            <w:tcW w:w="136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336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122,014</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9.59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(25,673)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16"/>
        </w:trPr>
        <w:tc>
          <w:tcPr>
            <w:tcW w:w="3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7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69,371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9.43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(56,671)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29"/>
        </w:trPr>
        <w:tc>
          <w:tcPr>
            <w:tcW w:w="3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Non-vested at December 31, 2018</w:t>
            </w:r>
          </w:p>
        </w:tc>
        <w:tc>
          <w:tcPr>
            <w:tcW w:w="136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47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109,041</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9.51</w:t>
            </w:r>
          </w:p>
        </w:tc>
      </w:tr>
      <w:tr>
        <w:trPr>
          <w:trHeight w:val="263"/>
        </w:trPr>
        <w:tc>
          <w:tcPr>
            <w:tcW w:w="36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w w:val="92"/>
              </w:rPr>
              <w:t>Vested and exercisable at December 31, 2018</w:t>
            </w:r>
          </w:p>
        </w:tc>
        <w:tc>
          <w:tcPr>
            <w:tcW w:w="136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336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64,012</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9.65</w:t>
            </w:r>
          </w:p>
        </w:tc>
      </w:tr>
      <w:tr>
        <w:trPr>
          <w:trHeight w:val="197"/>
        </w:trPr>
        <w:tc>
          <w:tcPr>
            <w:tcW w:w="362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Non-vested at December 31, 2018</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3360" w:type="dxa"/>
            <w:vAlign w:val="bottom"/>
            <w:shd w:val="clear" w:color="auto" w:fill="D5EAEA"/>
          </w:tcPr>
          <w:p>
            <w:pPr>
              <w:spacing w:after="0"/>
              <w:rPr>
                <w:sz w:val="17"/>
                <w:szCs w:val="17"/>
                <w:color w:val="auto"/>
              </w:rPr>
            </w:pPr>
          </w:p>
        </w:tc>
        <w:tc>
          <w:tcPr>
            <w:tcW w:w="136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109,041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9.51</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36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(66,278)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9.51</w:t>
            </w:r>
          </w:p>
        </w:tc>
      </w:tr>
      <w:tr>
        <w:trPr>
          <w:trHeight w:val="230"/>
        </w:trPr>
        <w:tc>
          <w:tcPr>
            <w:tcW w:w="3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Non-vested at December 31, 2019</w:t>
            </w:r>
          </w:p>
        </w:tc>
        <w:tc>
          <w:tcPr>
            <w:tcW w:w="136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47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42,763</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9.52</w:t>
            </w:r>
          </w:p>
        </w:tc>
      </w:tr>
      <w:tr>
        <w:trPr>
          <w:trHeight w:val="263"/>
        </w:trPr>
        <w:tc>
          <w:tcPr>
            <w:tcW w:w="36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w w:val="92"/>
              </w:rPr>
              <w:t>Vested and exercisable at December 31, 2019</w:t>
            </w:r>
          </w:p>
        </w:tc>
        <w:tc>
          <w:tcPr>
            <w:tcW w:w="136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336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130,290</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9.58</w:t>
            </w:r>
          </w:p>
        </w:tc>
      </w:tr>
      <w:tr>
        <w:trPr>
          <w:trHeight w:val="197"/>
        </w:trPr>
        <w:tc>
          <w:tcPr>
            <w:tcW w:w="362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Non-vested at December 31, 2019</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3360" w:type="dxa"/>
            <w:vAlign w:val="bottom"/>
            <w:shd w:val="clear" w:color="auto" w:fill="D5EAEA"/>
          </w:tcPr>
          <w:p>
            <w:pPr>
              <w:spacing w:after="0"/>
              <w:rPr>
                <w:sz w:val="17"/>
                <w:szCs w:val="17"/>
                <w:color w:val="auto"/>
              </w:rPr>
            </w:pPr>
          </w:p>
        </w:tc>
        <w:tc>
          <w:tcPr>
            <w:tcW w:w="136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42,763</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9.52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16"/>
        </w:trPr>
        <w:tc>
          <w:tcPr>
            <w:tcW w:w="3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Expired during the year</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7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Exercised during the year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(84,638)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9.51</w:t>
            </w:r>
          </w:p>
        </w:tc>
      </w:tr>
      <w:tr>
        <w:trPr>
          <w:trHeight w:val="216"/>
        </w:trPr>
        <w:tc>
          <w:tcPr>
            <w:tcW w:w="3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36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(23,269)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9.52</w:t>
            </w:r>
          </w:p>
        </w:tc>
      </w:tr>
      <w:tr>
        <w:trPr>
          <w:trHeight w:val="229"/>
        </w:trPr>
        <w:tc>
          <w:tcPr>
            <w:tcW w:w="3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Non-vested at December 31, 2020</w:t>
            </w:r>
          </w:p>
        </w:tc>
        <w:tc>
          <w:tcPr>
            <w:tcW w:w="136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47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19,494</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9.51</w:t>
            </w: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w w:val="92"/>
              </w:rPr>
              <w:t>Vested and exercisable at December 31, 2020</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49,289</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9.47</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did not grant restricted share awards in 2020 or 2019, respectively. The weighted-average grant date fair value of the restricted share awards granted (restricted shares and restricted share units) was CHF 9.43 for the year ended December 31, 2018. The weighted-average grant date fair values of the remaining non-vested share awards as of the respective year end (restricted shares and restricted share units) was CHF 9.51, CHF 9.52 and CHF 9.51 for the years ended December 31, 2020, 2019 and 2018, respectively. These fair values of non-vested share awards granted have been determined using a reasonable estimate of market value of the common stock on the date of the award.</w:t>
      </w:r>
    </w:p>
    <w:p>
      <w:pPr>
        <w:spacing w:after="0" w:line="17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expense charged against the income statement was CHF 4.1 million, CHF 2.8 million and CHF 2.5 million for the years ended December 31, 2020, 2019 and 2018, respectively. The expense is revised by the Company based on the number of instruments that are expected to become exercisable.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 As of December 31, 2020, external research projects included in the schedule below for 2021 total CHF 24.7 million that have been committed.</w:t>
      </w:r>
    </w:p>
    <w:p>
      <w:pPr>
        <w:spacing w:after="0" w:line="14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lease our corporate, laboratory and other facilities under multiple leases at the EPFL Innovation Park in Ecublens, near Lausanne, Canton of Vaud, Switzerland. Our lease agreements have no termination clauses longer</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than a 12-month contractual notice period. Since January 1, 2019, the Company has applied IFRS 16 and recognized a right-of-use asset for its leases, except for short-term and low-value leases as indicated in Note 3</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5. Right-of-use assets and lease liabilities” for the contractual undiscounted cash flows for lease obligations.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Within 1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Between 1 and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Between 3 and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More than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share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548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income/(loss) per share (EPS):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480" w:firstLine="158"/>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60" w:right="1360"/>
        <w:spacing w:after="0" w:line="341" w:lineRule="auto"/>
        <w:rPr>
          <w:sz w:val="20"/>
          <w:szCs w:val="20"/>
          <w:color w:val="auto"/>
        </w:rPr>
      </w:pPr>
      <w:r>
        <w:rPr>
          <w:rFonts w:ascii="Arial" w:cs="Arial" w:eastAsia="Arial" w:hAnsi="Arial"/>
          <w:sz w:val="16"/>
          <w:szCs w:val="16"/>
          <w:color w:val="auto"/>
        </w:rPr>
        <w:t>Weighted-average number of shares outstanding to equity holders Basic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income/(loss) per share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right="1480" w:firstLine="158"/>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Weighted-average number of shares outstanding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Effect of dilutive securities from equity incentive plans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Weighted-average number of shares outstanding – diluted to equity holders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Diluted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left="-1119"/>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left="-1119"/>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1460" w:type="dxa"/>
        <w:tblCellMar>
          <w:top w:w="0" w:type="dxa"/>
          <w:left w:w="0" w:type="dxa"/>
          <w:bottom w:w="0" w:type="dxa"/>
          <w:right w:w="0" w:type="dxa"/>
        </w:tblCellMar>
      </w:tblPr>
      <w:tr>
        <w:trPr>
          <w:trHeight w:val="223"/>
        </w:trPr>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195"/>
        </w:trPr>
        <w:tc>
          <w:tcPr>
            <w:tcW w:w="13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25,072</w:t>
            </w:r>
          </w:p>
        </w:tc>
        <w:tc>
          <w:tcPr>
            <w:tcW w:w="100" w:type="dxa"/>
            <w:vAlign w:val="bottom"/>
          </w:tcPr>
          <w:p>
            <w:pPr>
              <w:spacing w:after="0"/>
              <w:rPr>
                <w:sz w:val="16"/>
                <w:szCs w:val="16"/>
                <w:color w:val="auto"/>
              </w:rPr>
            </w:pPr>
          </w:p>
        </w:tc>
        <w:tc>
          <w:tcPr>
            <w:tcW w:w="1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19,907</w:t>
            </w:r>
          </w:p>
        </w:tc>
      </w:tr>
      <w:tr>
        <w:trPr>
          <w:trHeight w:val="216"/>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8,885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12,993</w:t>
            </w:r>
          </w:p>
        </w:tc>
      </w:tr>
      <w:tr>
        <w:trPr>
          <w:trHeight w:val="229"/>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4,816</w:t>
            </w:r>
          </w:p>
        </w:tc>
      </w:tr>
      <w:tr>
        <w:trPr>
          <w:trHeight w:val="230"/>
        </w:trPr>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2,193</w:t>
            </w:r>
          </w:p>
        </w:tc>
      </w:tr>
      <w:tr>
        <w:trPr>
          <w:trHeight w:val="223"/>
        </w:trPr>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34,355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39,909</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642"/>
        </w:trPr>
        <w:tc>
          <w:tcPr>
            <w:tcW w:w="1380" w:type="dxa"/>
            <w:vAlign w:val="bottom"/>
          </w:tcPr>
          <w:p>
            <w:pPr>
              <w:jc w:val="right"/>
              <w:spacing w:after="0"/>
              <w:rPr>
                <w:sz w:val="20"/>
                <w:szCs w:val="20"/>
                <w:color w:val="auto"/>
              </w:rPr>
            </w:pPr>
            <w:r>
              <w:rPr>
                <w:rFonts w:ascii="Arial" w:cs="Arial" w:eastAsia="Arial" w:hAnsi="Arial"/>
                <w:sz w:val="18"/>
                <w:szCs w:val="18"/>
                <w:color w:val="auto"/>
              </w:rPr>
              <w:t>(61,921)</w:t>
            </w:r>
          </w:p>
        </w:tc>
        <w:tc>
          <w:tcPr>
            <w:tcW w:w="10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(50,951)</w:t>
            </w:r>
          </w:p>
        </w:tc>
      </w:tr>
      <w:tr>
        <w:trPr>
          <w:trHeight w:val="446"/>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71,900,212</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70,603,611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61,838,228</w:t>
            </w:r>
          </w:p>
        </w:tc>
      </w:tr>
      <w:tr>
        <w:trPr>
          <w:trHeight w:val="22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45"/>
        </w:trPr>
        <w:tc>
          <w:tcPr>
            <w:tcW w:w="1380" w:type="dxa"/>
            <w:vAlign w:val="bottom"/>
          </w:tcPr>
          <w:p>
            <w:pPr>
              <w:jc w:val="right"/>
              <w:spacing w:after="0"/>
              <w:rPr>
                <w:sz w:val="20"/>
                <w:szCs w:val="20"/>
                <w:color w:val="auto"/>
              </w:rPr>
            </w:pPr>
            <w:r>
              <w:rPr>
                <w:rFonts w:ascii="Arial" w:cs="Arial" w:eastAsia="Arial" w:hAnsi="Arial"/>
                <w:sz w:val="18"/>
                <w:szCs w:val="18"/>
                <w:color w:val="auto"/>
              </w:rPr>
              <w:t>(61,921)</w:t>
            </w:r>
          </w:p>
        </w:tc>
        <w:tc>
          <w:tcPr>
            <w:tcW w:w="10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(50,951)</w:t>
            </w:r>
          </w:p>
        </w:tc>
      </w:tr>
      <w:tr>
        <w:trPr>
          <w:trHeight w:val="418"/>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71,900,212</w:t>
            </w:r>
          </w:p>
        </w:tc>
        <w:tc>
          <w:tcPr>
            <w:tcW w:w="10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70,603,611</w:t>
            </w:r>
          </w:p>
        </w:tc>
        <w:tc>
          <w:tcPr>
            <w:tcW w:w="1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61,838,228</w:t>
            </w:r>
          </w:p>
        </w:tc>
      </w:tr>
      <w:tr>
        <w:trPr>
          <w:trHeight w:val="230"/>
        </w:trPr>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499,730</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71,900,212</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71,103,341</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61,838,228</w:t>
            </w:r>
          </w:p>
        </w:tc>
      </w:tr>
      <w:tr>
        <w:trPr>
          <w:trHeight w:val="22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225" w:right="339" w:bottom="1440" w:gutter="0" w:footer="0" w:header="0"/>
          <w:type w:val="continuous"/>
        </w:sectPr>
      </w:pPr>
    </w:p>
    <w:p>
      <w:pPr>
        <w:spacing w:after="0" w:line="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periods for which we have a loss, basic net loss per share is the same as diluted net loss per share. We have excluded from our calculation of diluted loss per share all potentially dilutive in-the-money (i) share options and (ii) shares that were issued upon conversion of the convertible note as their inclusion would have been anti-dilutive. Potentially dilutive securities that were not included in the diluted per share calculations because they would be anti-dilutive were as follows:</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Share options issued and outstanding (in-the-money)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Restricted share awards subject to future vesting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Convertible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Financial instruments and risk management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195"/>
        </w:trPr>
        <w:tc>
          <w:tcPr>
            <w:tcW w:w="13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412,191</w:t>
            </w:r>
          </w:p>
        </w:tc>
        <w:tc>
          <w:tcPr>
            <w:tcW w:w="100" w:type="dxa"/>
            <w:vAlign w:val="bottom"/>
          </w:tcPr>
          <w:p>
            <w:pPr>
              <w:spacing w:after="0"/>
              <w:rPr>
                <w:sz w:val="16"/>
                <w:szCs w:val="16"/>
                <w:color w:val="auto"/>
              </w:rPr>
            </w:pPr>
          </w:p>
        </w:tc>
        <w:tc>
          <w:tcPr>
            <w:tcW w:w="13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1,081,836</w:t>
            </w:r>
          </w:p>
        </w:tc>
        <w:tc>
          <w:tcPr>
            <w:tcW w:w="100" w:type="dxa"/>
            <w:vAlign w:val="bottom"/>
          </w:tcPr>
          <w:p>
            <w:pPr>
              <w:spacing w:after="0"/>
              <w:rPr>
                <w:sz w:val="16"/>
                <w:szCs w:val="16"/>
                <w:color w:val="auto"/>
              </w:rPr>
            </w:pPr>
          </w:p>
        </w:tc>
        <w:tc>
          <w:tcPr>
            <w:tcW w:w="1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1,472,589</w:t>
            </w:r>
          </w:p>
        </w:tc>
      </w:tr>
      <w:tr>
        <w:trPr>
          <w:trHeight w:val="23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28,418</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109,041</w:t>
            </w:r>
          </w:p>
        </w:tc>
      </w:tr>
      <w:tr>
        <w:trPr>
          <w:trHeight w:val="230"/>
        </w:trPr>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911,261</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440,609</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1,993,097</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1,581,630</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-325120</wp:posOffset>
            </wp:positionV>
            <wp:extent cx="713232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81" w:lineRule="exact"/>
        <w:rPr>
          <w:sz w:val="20"/>
          <w:szCs w:val="20"/>
          <w:color w:val="auto"/>
        </w:rPr>
      </w:pPr>
    </w:p>
    <w:p>
      <w:pPr>
        <w:sectPr>
          <w:pgSz w:w="11900" w:h="16838" w:orient="portrait"/>
          <w:cols w:equalWidth="0" w:num="2">
            <w:col w:w="6260" w:space="720"/>
            <w:col w:w="4260"/>
          </w:cols>
          <w:pgMar w:left="320" w:top="225" w:right="339" w:bottom="1440" w:gutter="0" w:footer="0" w:header="0"/>
          <w:type w:val="continuous"/>
        </w:sectPr>
      </w:pPr>
    </w:p>
    <w:p>
      <w:pPr>
        <w:spacing w:after="0" w:line="5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186"/>
        </w:trPr>
        <w:tc>
          <w:tcPr>
            <w:tcW w:w="8440" w:type="dxa"/>
            <w:vAlign w:val="bottom"/>
            <w:gridSpan w:val="2"/>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58"/>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24"/>
                <w:szCs w:val="24"/>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Long-term financial assets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Short-term financial assets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95,000</w:t>
            </w:r>
          </w:p>
        </w:tc>
      </w:tr>
      <w:tr>
        <w:trPr>
          <w:trHeight w:val="229"/>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226,556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289,195</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21"/>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24"/>
                <w:szCs w:val="24"/>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60" w:type="dxa"/>
            <w:vAlign w:val="bottom"/>
            <w:tcBorders>
              <w:top w:val="single" w:sz="8" w:color="auto"/>
            </w:tcBorders>
            <w:shd w:val="clear" w:color="auto" w:fill="D5EAEA"/>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Long-term lease liabilities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1,813</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142</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11,085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11,797</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1940" w:type="dxa"/>
            <w:vAlign w:val="bottom"/>
            <w:gridSpan w:val="3"/>
            <w:shd w:val="clear" w:color="auto" w:fill="D5EAEA"/>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652</w:t>
            </w:r>
          </w:p>
        </w:tc>
      </w:tr>
      <w:tr>
        <w:trPr>
          <w:trHeight w:val="230"/>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Short-term lease liabilities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financial liabilities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15,492</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14,846</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40" w:firstLine="168"/>
        <w:spacing w:after="0" w:line="257"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with lesser balances of EUR and USD (see “Note 6. Cash and cash equivalents and financial assets”). The Company recognized a loss of CHF 0.7 million, CHF 0.8 million and CHF 1.2 million for the years ended December 31, 2020, 2019 and 2018, respectively, within “Finance result, net.”</w:t>
      </w:r>
    </w:p>
    <w:p>
      <w:pPr>
        <w:spacing w:after="0" w:line="18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of December 31, 2020, if the CHF had strengthened/weakened by 10% against the EUR and the USD with all other variables held constant, the net loss for the period would have been lower/higher by CHF 0.8 million (2019: CHF 3.5 million), mainly as a result of foreign exchange gains/losses on predominantly EUR/USD denominated cash and cash equivalents and short-term financial assets.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Company’s CHF cash holdings (inclusive of those held in short-term financial assets) are subject to negative interest rates at certain counterparty thresholds. As of December 31, 2020 if the interest rates charged by the counterparties had increased/decreased by 10%, the net income for the period would have been higher/lower by less than CHF 0.1 million. Interest income and interest expense are recorded within finance results, net in our statements of income/(loss).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 maintains a formal treasury risk and investment management policy to limit counterparty credit risk. As of December 31, 2020, the Company’s cash and cash equivalents and short-term financial assets are held with four financial institutions, each with a high credit rating assigned by international credit-rating agencies. The maximum amount of credit risk is the carrying amount of the financial assets. Trade and other receivables are fully performing, not past due and not impaired (see “Note 6. Cash and cash equivalents and financial assets” and “Note 8. Other current receivables”).</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 The Company has CHF 2.2 million in trade and other payables, which are due within 12 months from the reporting date. Finally, as it relates to the Company’s lease liabilities please see “Note 5. Right-of-use assets and lease liabilities” for detail of when corresponding lease liabilities are due.</w:t>
      </w:r>
    </w:p>
    <w:p>
      <w:pPr>
        <w:spacing w:after="0" w:line="167" w:lineRule="exact"/>
        <w:rPr>
          <w:sz w:val="20"/>
          <w:szCs w:val="20"/>
          <w:color w:val="auto"/>
        </w:rPr>
      </w:pPr>
    </w:p>
    <w:p>
      <w:pPr>
        <w:ind w:left="540" w:hanging="532"/>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(i) AD, (ii) focused non-Alzheimer’s neurodegenerative diseases including NeuroOrphan indications and (iii) diagnostics.</w:t>
      </w:r>
    </w:p>
    <w:p>
      <w:pPr>
        <w:spacing w:after="0" w:line="180"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financial statements, for appropriate accounting and disclosures. We raised USD 8.8 (CHF 8.0) million, net of sales agent commissions, from the sale 764,977 of our ordinary shares pursuant to our ATM program in February 2021.</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660" w:type="dxa"/>
            <w:vAlign w:val="bottom"/>
            <w:tcBorders>
              <w:top w:val="single" w:sz="8" w:color="auto"/>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ARTICLES OF ASSOCIATION</w:t>
            </w:r>
          </w:p>
        </w:tc>
        <w:tc>
          <w:tcPr>
            <w:tcW w:w="360" w:type="dxa"/>
            <w:vAlign w:val="bottom"/>
            <w:tcBorders>
              <w:top w:val="single" w:sz="8" w:color="auto"/>
            </w:tcBorders>
          </w:tcPr>
          <w:p>
            <w:pPr>
              <w:spacing w:after="0"/>
              <w:rPr>
                <w:sz w:val="24"/>
                <w:szCs w:val="24"/>
                <w:color w:val="auto"/>
              </w:rPr>
            </w:pPr>
          </w:p>
        </w:tc>
        <w:tc>
          <w:tcPr>
            <w:tcW w:w="5220" w:type="dxa"/>
            <w:vAlign w:val="bottom"/>
            <w:tcBorders>
              <w:top w:val="single" w:sz="8" w:color="auto"/>
              <w:right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6"/>
              </w:rPr>
              <w:t>STATUTS</w:t>
            </w:r>
          </w:p>
        </w:tc>
      </w:tr>
      <w:tr>
        <w:trPr>
          <w:trHeight w:val="405"/>
        </w:trPr>
        <w:tc>
          <w:tcPr>
            <w:tcW w:w="56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of</w:t>
            </w:r>
          </w:p>
        </w:tc>
        <w:tc>
          <w:tcPr>
            <w:tcW w:w="360" w:type="dxa"/>
            <w:vAlign w:val="bottom"/>
          </w:tcPr>
          <w:p>
            <w:pPr>
              <w:spacing w:after="0"/>
              <w:rPr>
                <w:sz w:val="24"/>
                <w:szCs w:val="24"/>
                <w:color w:val="auto"/>
              </w:rPr>
            </w:pPr>
          </w:p>
        </w:tc>
        <w:tc>
          <w:tcPr>
            <w:tcW w:w="5220" w:type="dxa"/>
            <w:vAlign w:val="bottom"/>
            <w:tcBorders>
              <w:right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4"/>
              </w:rPr>
              <w:t>de</w:t>
            </w:r>
          </w:p>
        </w:tc>
      </w:tr>
      <w:tr>
        <w:trPr>
          <w:trHeight w:val="369"/>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 Immune SA</w:t>
            </w:r>
          </w:p>
        </w:tc>
        <w:tc>
          <w:tcPr>
            <w:tcW w:w="360" w:type="dxa"/>
            <w:vAlign w:val="bottom"/>
          </w:tcPr>
          <w:p>
            <w:pPr>
              <w:spacing w:after="0"/>
              <w:rPr>
                <w:sz w:val="24"/>
                <w:szCs w:val="24"/>
                <w:color w:val="auto"/>
              </w:rPr>
            </w:pPr>
          </w:p>
        </w:tc>
        <w:tc>
          <w:tcPr>
            <w:tcW w:w="522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9"/>
              </w:rPr>
              <w:t>AC Immune SA</w:t>
            </w:r>
          </w:p>
        </w:tc>
      </w:tr>
      <w:tr>
        <w:trPr>
          <w:trHeight w:val="203"/>
        </w:trPr>
        <w:tc>
          <w:tcPr>
            <w:tcW w:w="5660" w:type="dxa"/>
            <w:vAlign w:val="bottom"/>
            <w:tcBorders>
              <w:left w:val="single" w:sz="8" w:color="auto"/>
              <w:right w:val="single" w:sz="8" w:color="auto"/>
            </w:tcBorders>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(AC Immune AG)</w:t>
            </w:r>
          </w:p>
        </w:tc>
        <w:tc>
          <w:tcPr>
            <w:tcW w:w="360" w:type="dxa"/>
            <w:vAlign w:val="bottom"/>
          </w:tcPr>
          <w:p>
            <w:pPr>
              <w:spacing w:after="0"/>
              <w:rPr>
                <w:sz w:val="17"/>
                <w:szCs w:val="17"/>
                <w:color w:val="auto"/>
              </w:rPr>
            </w:pPr>
          </w:p>
        </w:tc>
        <w:tc>
          <w:tcPr>
            <w:tcW w:w="5220" w:type="dxa"/>
            <w:vAlign w:val="bottom"/>
            <w:tcBorders>
              <w:right w:val="single" w:sz="8" w:color="auto"/>
            </w:tcBorders>
          </w:tcPr>
          <w:p>
            <w:pPr>
              <w:jc w:val="center"/>
              <w:ind w:right="410"/>
              <w:spacing w:after="0" w:line="202" w:lineRule="exact"/>
              <w:rPr>
                <w:sz w:val="20"/>
                <w:szCs w:val="20"/>
                <w:color w:val="auto"/>
              </w:rPr>
            </w:pPr>
            <w:r>
              <w:rPr>
                <w:rFonts w:ascii="Arial" w:cs="Arial" w:eastAsia="Arial" w:hAnsi="Arial"/>
                <w:sz w:val="18"/>
                <w:szCs w:val="18"/>
                <w:b w:val="1"/>
                <w:bCs w:val="1"/>
                <w:color w:val="auto"/>
                <w:w w:val="99"/>
              </w:rPr>
              <w:t>(AC Immune AG)</w:t>
            </w:r>
          </w:p>
        </w:tc>
      </w:tr>
      <w:tr>
        <w:trPr>
          <w:trHeight w:val="239"/>
        </w:trPr>
        <w:tc>
          <w:tcPr>
            <w:tcW w:w="56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(AC Immune Ltd)</w:t>
            </w:r>
          </w:p>
        </w:tc>
        <w:tc>
          <w:tcPr>
            <w:tcW w:w="360" w:type="dxa"/>
            <w:vAlign w:val="bottom"/>
          </w:tcPr>
          <w:p>
            <w:pPr>
              <w:spacing w:after="0"/>
              <w:rPr>
                <w:sz w:val="20"/>
                <w:szCs w:val="20"/>
                <w:color w:val="auto"/>
              </w:rPr>
            </w:pPr>
          </w:p>
        </w:tc>
        <w:tc>
          <w:tcPr>
            <w:tcW w:w="5220" w:type="dxa"/>
            <w:vAlign w:val="bottom"/>
            <w:tcBorders>
              <w:right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9"/>
              </w:rPr>
              <w:t>(AC Immune Ltd)</w:t>
            </w:r>
          </w:p>
        </w:tc>
      </w:tr>
      <w:tr>
        <w:trPr>
          <w:trHeight w:val="405"/>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with registered office in</w:t>
            </w:r>
          </w:p>
        </w:tc>
        <w:tc>
          <w:tcPr>
            <w:tcW w:w="360" w:type="dxa"/>
            <w:vAlign w:val="bottom"/>
          </w:tcPr>
          <w:p>
            <w:pPr>
              <w:spacing w:after="0"/>
              <w:rPr>
                <w:sz w:val="24"/>
                <w:szCs w:val="24"/>
                <w:color w:val="auto"/>
              </w:rPr>
            </w:pPr>
          </w:p>
        </w:tc>
        <w:tc>
          <w:tcPr>
            <w:tcW w:w="522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9"/>
              </w:rPr>
              <w:t>avec siège à</w:t>
            </w:r>
          </w:p>
        </w:tc>
      </w:tr>
      <w:tr>
        <w:trPr>
          <w:trHeight w:val="405"/>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Ecublens (VD)</w:t>
            </w:r>
          </w:p>
        </w:tc>
        <w:tc>
          <w:tcPr>
            <w:tcW w:w="360" w:type="dxa"/>
            <w:vAlign w:val="bottom"/>
          </w:tcPr>
          <w:p>
            <w:pPr>
              <w:spacing w:after="0"/>
              <w:rPr>
                <w:sz w:val="24"/>
                <w:szCs w:val="24"/>
                <w:color w:val="auto"/>
              </w:rPr>
            </w:pPr>
          </w:p>
        </w:tc>
        <w:tc>
          <w:tcPr>
            <w:tcW w:w="522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9"/>
              </w:rPr>
              <w:t>Ecublens (VD)</w:t>
            </w:r>
          </w:p>
        </w:tc>
      </w:tr>
      <w:tr>
        <w:trPr>
          <w:trHeight w:val="405"/>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French version of these articles of association shall prevail.</w:t>
            </w:r>
          </w:p>
        </w:tc>
        <w:tc>
          <w:tcPr>
            <w:tcW w:w="360" w:type="dxa"/>
            <w:vAlign w:val="bottom"/>
          </w:tcPr>
          <w:p>
            <w:pPr>
              <w:spacing w:after="0"/>
              <w:rPr>
                <w:sz w:val="24"/>
                <w:szCs w:val="24"/>
                <w:color w:val="auto"/>
              </w:rPr>
            </w:pPr>
          </w:p>
        </w:tc>
        <w:tc>
          <w:tcPr>
            <w:tcW w:w="52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9"/>
              </w:rPr>
              <w:t>La version française de ces statuts fait foi.</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20" w:type="dxa"/>
            <w:vAlign w:val="bottom"/>
            <w:tcBorders>
              <w:bottom w:val="single" w:sz="8" w:color="auto"/>
              <w:right w:val="single" w:sz="8" w:color="auto"/>
            </w:tcBorders>
          </w:tcPr>
          <w:p>
            <w:pPr>
              <w:spacing w:after="0"/>
              <w:rPr>
                <w:sz w:val="4"/>
                <w:szCs w:val="4"/>
                <w:color w:val="auto"/>
              </w:rPr>
            </w:pPr>
          </w:p>
        </w:tc>
      </w:tr>
      <w:tr>
        <w:trPr>
          <w:trHeight w:val="241"/>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I.  CORPORATE NAME, PRINCIPAL OFFICE, DURATION AND</w:t>
            </w: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I.</w:t>
            </w: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RAISON SOCIALE, SIÈGE,</w:t>
            </w:r>
          </w:p>
        </w:tc>
      </w:tr>
      <w:tr>
        <w:trPr>
          <w:trHeight w:val="239"/>
        </w:trPr>
        <w:tc>
          <w:tcPr>
            <w:tcW w:w="56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PURPOSE OF THE COMPANY</w:t>
            </w:r>
          </w:p>
        </w:tc>
        <w:tc>
          <w:tcPr>
            <w:tcW w:w="360" w:type="dxa"/>
            <w:vAlign w:val="bottom"/>
          </w:tcPr>
          <w:p>
            <w:pPr>
              <w:spacing w:after="0"/>
              <w:rPr>
                <w:sz w:val="20"/>
                <w:szCs w:val="20"/>
                <w:color w:val="auto"/>
              </w:rPr>
            </w:pP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DURÉE ET BUT DE LA SOCIÉTÉ</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1 Corporate Name and Duration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 Raison sociale et durée</w:t>
            </w:r>
          </w:p>
        </w:tc>
      </w:tr>
      <w:tr>
        <w:trPr>
          <w:trHeight w:val="405"/>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Under the name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Sous la raison sociale</w:t>
            </w:r>
          </w:p>
        </w:tc>
      </w:tr>
      <w:tr>
        <w:trPr>
          <w:trHeight w:val="391"/>
        </w:trPr>
        <w:tc>
          <w:tcPr>
            <w:tcW w:w="56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AC Immune SA</w:t>
            </w:r>
          </w:p>
        </w:tc>
        <w:tc>
          <w:tcPr>
            <w:tcW w:w="360" w:type="dxa"/>
            <w:vAlign w:val="bottom"/>
          </w:tcPr>
          <w:p>
            <w:pPr>
              <w:spacing w:after="0"/>
              <w:rPr>
                <w:sz w:val="24"/>
                <w:szCs w:val="24"/>
                <w:color w:val="auto"/>
              </w:rPr>
            </w:pPr>
          </w:p>
        </w:tc>
        <w:tc>
          <w:tcPr>
            <w:tcW w:w="5220" w:type="dxa"/>
            <w:vAlign w:val="bottom"/>
            <w:tcBorders>
              <w:right w:val="single" w:sz="8" w:color="auto"/>
            </w:tcBorders>
          </w:tcPr>
          <w:p>
            <w:pPr>
              <w:jc w:val="center"/>
              <w:ind w:right="410"/>
              <w:spacing w:after="0"/>
              <w:rPr>
                <w:sz w:val="20"/>
                <w:szCs w:val="20"/>
                <w:color w:val="auto"/>
              </w:rPr>
            </w:pPr>
            <w:r>
              <w:rPr>
                <w:rFonts w:ascii="Arial" w:cs="Arial" w:eastAsia="Arial" w:hAnsi="Arial"/>
                <w:sz w:val="18"/>
                <w:szCs w:val="18"/>
                <w:color w:val="auto"/>
                <w:w w:val="99"/>
              </w:rPr>
              <w:t>AC Immune SA</w:t>
            </w:r>
          </w:p>
        </w:tc>
      </w:tr>
      <w:tr>
        <w:trPr>
          <w:trHeight w:val="203"/>
        </w:trPr>
        <w:tc>
          <w:tcPr>
            <w:tcW w:w="56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(AC Immune AG)</w:t>
            </w:r>
          </w:p>
        </w:tc>
        <w:tc>
          <w:tcPr>
            <w:tcW w:w="360" w:type="dxa"/>
            <w:vAlign w:val="bottom"/>
          </w:tcPr>
          <w:p>
            <w:pPr>
              <w:spacing w:after="0"/>
              <w:rPr>
                <w:sz w:val="17"/>
                <w:szCs w:val="17"/>
                <w:color w:val="auto"/>
              </w:rPr>
            </w:pPr>
          </w:p>
        </w:tc>
        <w:tc>
          <w:tcPr>
            <w:tcW w:w="5220" w:type="dxa"/>
            <w:vAlign w:val="bottom"/>
            <w:tcBorders>
              <w:right w:val="single" w:sz="8" w:color="auto"/>
            </w:tcBorders>
          </w:tcPr>
          <w:p>
            <w:pPr>
              <w:jc w:val="center"/>
              <w:ind w:right="430"/>
              <w:spacing w:after="0" w:line="202" w:lineRule="exact"/>
              <w:rPr>
                <w:sz w:val="20"/>
                <w:szCs w:val="20"/>
                <w:color w:val="auto"/>
              </w:rPr>
            </w:pPr>
            <w:r>
              <w:rPr>
                <w:rFonts w:ascii="Arial" w:cs="Arial" w:eastAsia="Arial" w:hAnsi="Arial"/>
                <w:sz w:val="18"/>
                <w:szCs w:val="18"/>
                <w:color w:val="auto"/>
                <w:w w:val="99"/>
              </w:rPr>
              <w:t>(AC Immune AG)</w:t>
            </w:r>
          </w:p>
        </w:tc>
      </w:tr>
      <w:tr>
        <w:trPr>
          <w:trHeight w:val="217"/>
        </w:trPr>
        <w:tc>
          <w:tcPr>
            <w:tcW w:w="56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(AC Immune Ltd)</w:t>
            </w:r>
          </w:p>
        </w:tc>
        <w:tc>
          <w:tcPr>
            <w:tcW w:w="360" w:type="dxa"/>
            <w:vAlign w:val="bottom"/>
          </w:tcPr>
          <w:p>
            <w:pPr>
              <w:spacing w:after="0"/>
              <w:rPr>
                <w:sz w:val="18"/>
                <w:szCs w:val="18"/>
                <w:color w:val="auto"/>
              </w:rPr>
            </w:pPr>
          </w:p>
        </w:tc>
        <w:tc>
          <w:tcPr>
            <w:tcW w:w="5220" w:type="dxa"/>
            <w:vAlign w:val="bottom"/>
            <w:tcBorders>
              <w:right w:val="single" w:sz="8" w:color="auto"/>
            </w:tcBorders>
          </w:tcPr>
          <w:p>
            <w:pPr>
              <w:jc w:val="center"/>
              <w:ind w:right="410"/>
              <w:spacing w:after="0"/>
              <w:rPr>
                <w:sz w:val="20"/>
                <w:szCs w:val="20"/>
                <w:color w:val="auto"/>
              </w:rPr>
            </w:pPr>
            <w:r>
              <w:rPr>
                <w:rFonts w:ascii="Arial" w:cs="Arial" w:eastAsia="Arial" w:hAnsi="Arial"/>
                <w:sz w:val="18"/>
                <w:szCs w:val="18"/>
                <w:color w:val="auto"/>
                <w:w w:val="99"/>
              </w:rPr>
              <w:t>(AC Immune Ltd)</w:t>
            </w:r>
          </w:p>
        </w:tc>
      </w:tr>
      <w:tr>
        <w:trPr>
          <w:trHeight w:val="373"/>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there exists a Company pursuant to the provisions of Articles 620</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il existe une société conformément aux articles 620 ss. du Code</w:t>
            </w:r>
          </w:p>
        </w:tc>
      </w:tr>
      <w:tr>
        <w:trPr>
          <w:trHeight w:val="221"/>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rPr>
              <w:t xml:space="preserve">et seq.  </w:t>
            </w:r>
            <w:r>
              <w:rPr>
                <w:rFonts w:ascii="Arial" w:cs="Arial" w:eastAsia="Arial" w:hAnsi="Arial"/>
                <w:sz w:val="18"/>
                <w:szCs w:val="18"/>
                <w:color w:val="auto"/>
              </w:rPr>
              <w:t>of the Swiss Code of Obligations (CO) with registered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 Obligations suisse (CO) ayant son siège à Ecublens (VD). La</w:t>
            </w:r>
          </w:p>
        </w:tc>
      </w:tr>
      <w:tr>
        <w:trPr>
          <w:trHeight w:val="217"/>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office in Ecublens (VD). The duration of the Company is unlimited.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durée de la société est illimitée.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2 Purpose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 But</w:t>
            </w:r>
          </w:p>
        </w:tc>
      </w:tr>
      <w:tr>
        <w:trPr>
          <w:trHeight w:val="391"/>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purpose of the Company is the research, study, development,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but  de  la  société  est  la  recherche,  les  études,  le</w:t>
            </w:r>
          </w:p>
        </w:tc>
      </w:tr>
      <w:tr>
        <w:trPr>
          <w:trHeight w:val="203"/>
        </w:trPr>
        <w:tc>
          <w:tcPr>
            <w:tcW w:w="56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manufacture, promotion, sale and marketing of products and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développement,  la  fabrication,  la  promotion,  la  vente  et  le</w:t>
            </w:r>
          </w:p>
        </w:tc>
      </w:tr>
      <w:tr>
        <w:trPr>
          <w:trHeight w:val="203"/>
        </w:trPr>
        <w:tc>
          <w:tcPr>
            <w:tcW w:w="5660" w:type="dxa"/>
            <w:vAlign w:val="bottom"/>
            <w:tcBorders>
              <w:left w:val="single" w:sz="8" w:color="auto"/>
              <w:right w:val="single" w:sz="8" w:color="auto"/>
            </w:tcBorders>
          </w:tcPr>
          <w:p>
            <w:pPr>
              <w:jc w:val="center"/>
              <w:ind w:left="10"/>
              <w:spacing w:after="0" w:line="202" w:lineRule="exact"/>
              <w:rPr>
                <w:sz w:val="20"/>
                <w:szCs w:val="20"/>
                <w:color w:val="auto"/>
              </w:rPr>
            </w:pPr>
            <w:r>
              <w:rPr>
                <w:rFonts w:ascii="Arial" w:cs="Arial" w:eastAsia="Arial" w:hAnsi="Arial"/>
                <w:sz w:val="18"/>
                <w:szCs w:val="18"/>
                <w:color w:val="auto"/>
              </w:rPr>
              <w:t>substances within the pharmaceutical and nutrition industry as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marketing des produits et des substances au sein de l'industrie</w:t>
            </w:r>
          </w:p>
        </w:tc>
      </w:tr>
      <w:tr>
        <w:trPr>
          <w:trHeight w:val="203"/>
        </w:trPr>
        <w:tc>
          <w:tcPr>
            <w:tcW w:w="56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well as the purchase, sale and exploitation of patents and licenses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pharmaceutique et de la nutrition ainsi que l'achat, la vente et</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 this field.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l'exploitation de brevets et de licences dans ce domaine.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rPr>
              <w:t>The Company may engage in any activities which are apt to favor</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peut se livrer à des activités qui sont de nature à</w:t>
            </w:r>
          </w:p>
        </w:tc>
      </w:tr>
      <w:tr>
        <w:trPr>
          <w:trHeight w:val="203"/>
        </w:trPr>
        <w:tc>
          <w:tcPr>
            <w:tcW w:w="56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the purpose of the Company directly or indirectly. The Company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favoriser directement ou indirectement le but de la société. La</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may also acquire and sell real estate.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société peut également acquérir et vendre des biens immobiliers.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Company may open branch offices in Switzerland and abroad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peut ouvrir des succursales en Suisse et à l'étranger et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and may also acquire participations in other companies.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peut  également  acquérir  des  participations  dans  d'autres</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sociétés.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20" w:type="dxa"/>
            <w:vAlign w:val="bottom"/>
            <w:tcBorders>
              <w:bottom w:val="single" w:sz="8" w:color="auto"/>
              <w:right w:val="single" w:sz="8" w:color="auto"/>
            </w:tcBorders>
          </w:tcPr>
          <w:p>
            <w:pPr>
              <w:spacing w:after="0"/>
              <w:rPr>
                <w:sz w:val="4"/>
                <w:szCs w:val="4"/>
                <w:color w:val="auto"/>
              </w:rPr>
            </w:pPr>
          </w:p>
        </w:tc>
      </w:tr>
      <w:tr>
        <w:trPr>
          <w:trHeight w:val="101"/>
        </w:trPr>
        <w:tc>
          <w:tcPr>
            <w:tcW w:w="5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18"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6"/>
          <w:szCs w:val="16"/>
          <w:color w:val="auto"/>
        </w:rPr>
        <w:t>2</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Company may provide securities to its subsidiaries and</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 société peut fournir des titres à ses filiales et des garanties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supply guarantees.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d'approvisionnement.</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II.  SHARE CAPITAL AND SHARES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II.  CAPITAL-ACTIONS ET ACTIONS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3 Share Capital and Shares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 Capital-actions et actions</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Share Capital of the Company is CHF 1'537'748.98. It is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capital-actions de la société se monte à CHF 1'537'748.98. 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divided into 76'887'449 registered shares with a nominal value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est  divisé  en  76'887'449  actions  nominatives  d'une  valeur</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CHF 0.02 each, fully paid-in.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nominale de CHF 0.02 chacune, entièrement libérées.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3a Authorized Capital Increase of Share Capital</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3a Augmentation autorisée du capital-actions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Board of Directors is authorized to increase the share capital,</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conseil d'administration est autorisé à augmenter le capital-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 one or several steps until 27 June 2022, by a maximum amount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actions, en une ou plusieurs étapes jusqu'au 27 juin 2022, d'un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CHF 190'000 by issuing a maximum of 9'500'000 registered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montant maximum de CHF 190'000 par l'émission d'un nombre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shares with a par value of CHF 0.02 each, to be fully paid up. An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maximum  de  9'500'000  actions  nominatives  d'une  valeur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increase  of  the  share  capital  (i)  by  means  of  an  offering</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nominale  de  CHF  0.02  chacune,  à  libérer  entièrement.  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underwritten by a financial institution, a syndicate or another third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augmentation de capital (i) par souscription d'actions par 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party or third parties, followed by an offer to the then-existing</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institution financière, un syndicat ou un tiers ou des tiers, suivie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of the Company and (ii) in partial amounts shall also</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 une souscription d'actions par les actionnaires de la société</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be permissible.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alors  existants  et  (ii)  par  montants  partiels,  est  également</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autorisée.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Board of Directors shall determine the time of the issuance,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conseil  d'administration  fixe  la  date  d'émission,  le  prix</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issue price, the manner in which the new registered shares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d'émission,  la  manière  de  libérer  les  nouvelles  actions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have to be paid up, the date from which the registered shares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nominatives, la date à partir de laquelle les actions nominatives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carry the right to dividends, the conditions for the exercise of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donnent droit à un dividende, les conditions pour l'exercice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preemptive rights and the allotment of preemptive rights that have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droits de souscription préférentiels et l'attribution des droits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not  been  exercised.  The  Board  of  Directors  may  allow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souscription préférentiels qui n'ont pas été exercés. Le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preemptive rights that have not been exercised to expire, or it may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peut autoriser que des droits de souscription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place with third parties such rights or registered shares,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préférentiels qui n'ont pas été exercés expirent ou attribuer à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preemptive rights of which have not been exercised, at market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tiers  ces  droits  ou  actions  nominatives,  dont  les  droits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conditions or use them otherwise in the interest of the Company.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souscription préférentiels n'ont pas été exercés, aux conditions du</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marché ou les utiliser autrement dans l'intérêt de la société.</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Board of Directors is authorized to withdraw or limit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conseil d'administration est autorisé à retirer ou de limiter les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preemptive rights of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droits de souscription</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196" w:name="page197"/>
    <w:bookmarkEnd w:id="196"/>
    <w:p>
      <w:pPr>
        <w:ind w:left="10923"/>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85090</wp:posOffset>
            </wp:positionV>
            <wp:extent cx="7132320" cy="54178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32320" cy="5417820"/>
                    </a:xfrm>
                    <a:prstGeom prst="rect">
                      <a:avLst/>
                    </a:prstGeom>
                    <a:noFill/>
                  </pic:spPr>
                </pic:pic>
              </a:graphicData>
            </a:graphic>
          </wp:anchor>
        </w:drawing>
      </w:r>
    </w:p>
    <w:p>
      <w:pPr>
        <w:sectPr>
          <w:pgSz w:w="11900" w:h="16838" w:orient="portrait"/>
          <w:cols w:equalWidth="0" w:num="1">
            <w:col w:w="11003"/>
          </w:cols>
          <w:pgMar w:left="557" w:top="250" w:right="339" w:bottom="1440" w:gutter="0" w:footer="0" w:header="0"/>
        </w:sectPr>
      </w:pPr>
    </w:p>
    <w:p>
      <w:pPr>
        <w:spacing w:after="0" w:line="214" w:lineRule="exact"/>
        <w:rPr>
          <w:sz w:val="20"/>
          <w:szCs w:val="20"/>
          <w:color w:val="auto"/>
        </w:rPr>
      </w:pPr>
    </w:p>
    <w:p>
      <w:pPr>
        <w:ind w:left="3"/>
        <w:spacing w:after="0"/>
        <w:rPr>
          <w:sz w:val="20"/>
          <w:szCs w:val="20"/>
          <w:color w:val="auto"/>
        </w:rPr>
      </w:pPr>
      <w:r>
        <w:rPr>
          <w:rFonts w:ascii="Arial" w:cs="Arial" w:eastAsia="Arial" w:hAnsi="Arial"/>
          <w:sz w:val="18"/>
          <w:szCs w:val="18"/>
          <w:color w:val="auto"/>
        </w:rPr>
        <w:t>shareholders and to allot them to third parties:</w:t>
      </w:r>
    </w:p>
    <w:p>
      <w:pPr>
        <w:spacing w:after="0" w:line="198" w:lineRule="exact"/>
        <w:rPr>
          <w:sz w:val="20"/>
          <w:szCs w:val="20"/>
          <w:color w:val="auto"/>
        </w:rPr>
      </w:pPr>
    </w:p>
    <w:p>
      <w:pPr>
        <w:ind w:left="383" w:right="20" w:hanging="383"/>
        <w:spacing w:after="0" w:line="246" w:lineRule="auto"/>
        <w:tabs>
          <w:tab w:leader="none" w:pos="40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 or</w:t>
      </w:r>
    </w:p>
    <w:p>
      <w:pPr>
        <w:spacing w:after="0" w:line="183" w:lineRule="exact"/>
        <w:rPr>
          <w:rFonts w:ascii="Arial" w:cs="Arial" w:eastAsia="Arial" w:hAnsi="Arial"/>
          <w:sz w:val="18"/>
          <w:szCs w:val="18"/>
          <w:color w:val="auto"/>
        </w:rPr>
      </w:pPr>
    </w:p>
    <w:p>
      <w:pPr>
        <w:jc w:val="both"/>
        <w:ind w:left="383" w:hanging="383"/>
        <w:spacing w:after="0" w:line="238" w:lineRule="auto"/>
        <w:tabs>
          <w:tab w:leader="none" w:pos="4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393" w:lineRule="exact"/>
        <w:rPr>
          <w:rFonts w:ascii="Arial" w:cs="Arial" w:eastAsia="Arial" w:hAnsi="Arial"/>
          <w:sz w:val="18"/>
          <w:szCs w:val="18"/>
          <w:color w:val="auto"/>
        </w:rPr>
      </w:pPr>
    </w:p>
    <w:p>
      <w:pPr>
        <w:jc w:val="both"/>
        <w:ind w:left="383" w:hanging="383"/>
        <w:spacing w:after="0" w:line="238" w:lineRule="auto"/>
        <w:tabs>
          <w:tab w:leader="none" w:pos="42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391" w:lineRule="exact"/>
        <w:rPr>
          <w:rFonts w:ascii="Arial" w:cs="Arial" w:eastAsia="Arial" w:hAnsi="Arial"/>
          <w:sz w:val="18"/>
          <w:szCs w:val="18"/>
          <w:color w:val="auto"/>
        </w:rPr>
      </w:pPr>
    </w:p>
    <w:p>
      <w:pPr>
        <w:jc w:val="both"/>
        <w:ind w:left="383" w:hanging="383"/>
        <w:spacing w:after="0" w:line="238" w:lineRule="auto"/>
        <w:tabs>
          <w:tab w:leader="none" w:pos="7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registered shares in a placement or sale of registered shares to the respective initial purchaser(s) or underwriter(s); or</w:t>
      </w:r>
    </w:p>
    <w:p>
      <w:pPr>
        <w:spacing w:after="0" w:line="393" w:lineRule="exact"/>
        <w:rPr>
          <w:rFonts w:ascii="Arial" w:cs="Arial" w:eastAsia="Arial" w:hAnsi="Arial"/>
          <w:sz w:val="18"/>
          <w:szCs w:val="18"/>
          <w:color w:val="auto"/>
        </w:rPr>
      </w:pPr>
    </w:p>
    <w:p>
      <w:pPr>
        <w:jc w:val="both"/>
        <w:ind w:left="383" w:hanging="383"/>
        <w:spacing w:after="0" w:line="238" w:lineRule="auto"/>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which probably could not be reached without the exclusion of the statutory pre-emptive right of the existing shareholders; or</w:t>
      </w:r>
    </w:p>
    <w:p>
      <w:pPr>
        <w:spacing w:after="0" w:line="393" w:lineRule="exact"/>
        <w:rPr>
          <w:rFonts w:ascii="Arial" w:cs="Arial" w:eastAsia="Arial" w:hAnsi="Arial"/>
          <w:sz w:val="18"/>
          <w:szCs w:val="18"/>
          <w:color w:val="auto"/>
        </w:rPr>
      </w:pPr>
    </w:p>
    <w:p>
      <w:pPr>
        <w:ind w:left="383" w:hanging="383"/>
        <w:spacing w:after="0" w:line="246" w:lineRule="auto"/>
        <w:tabs>
          <w:tab w:leader="none" w:pos="45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CO; or</w:t>
      </w:r>
    </w:p>
    <w:p>
      <w:pPr>
        <w:spacing w:after="0" w:line="183" w:lineRule="exact"/>
        <w:rPr>
          <w:rFonts w:ascii="Arial" w:cs="Arial" w:eastAsia="Arial" w:hAnsi="Arial"/>
          <w:sz w:val="18"/>
          <w:szCs w:val="18"/>
          <w:color w:val="auto"/>
        </w:rPr>
      </w:pPr>
    </w:p>
    <w:p>
      <w:pPr>
        <w:jc w:val="both"/>
        <w:ind w:left="383" w:hanging="383"/>
        <w:spacing w:after="0" w:line="229" w:lineRule="auto"/>
        <w:tabs>
          <w:tab w:leader="none" w:pos="41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following a shareholder or a group of shareholders acting in concert having accumulated shareholdings in excess of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112395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préférentiels des actionnaires et de les attribuer à des tiers:</w:t>
      </w:r>
    </w:p>
    <w:p>
      <w:pPr>
        <w:spacing w:after="0" w:line="198" w:lineRule="exact"/>
        <w:rPr>
          <w:sz w:val="20"/>
          <w:szCs w:val="20"/>
          <w:color w:val="auto"/>
        </w:rPr>
      </w:pPr>
    </w:p>
    <w:p>
      <w:pPr>
        <w:ind w:left="380" w:right="240" w:hanging="375"/>
        <w:spacing w:after="0" w:line="246" w:lineRule="auto"/>
        <w:tabs>
          <w:tab w:leader="none" w:pos="4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si le prix d'émission des nouvelles actions nominatives est déterminé avec une référence au prix de marché; ou</w:t>
      </w:r>
    </w:p>
    <w:p>
      <w:pPr>
        <w:spacing w:after="0" w:line="183" w:lineRule="exact"/>
        <w:rPr>
          <w:rFonts w:ascii="Arial" w:cs="Arial" w:eastAsia="Arial" w:hAnsi="Arial"/>
          <w:sz w:val="18"/>
          <w:szCs w:val="18"/>
          <w:color w:val="auto"/>
        </w:rPr>
      </w:pPr>
    </w:p>
    <w:p>
      <w:pPr>
        <w:jc w:val="both"/>
        <w:ind w:left="380" w:right="240" w:hanging="375"/>
        <w:spacing w:after="0" w:line="238" w:lineRule="auto"/>
        <w:tabs>
          <w:tab w:leader="none" w:pos="58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pour l'acquisition d'une entreprise, part d'entreprise ou participation, ou pour le financement ou le refinancement de ladite acquisition, ou en cas de placement d'actions pour le financement ou le refinancement dudit placement; ou</w:t>
      </w:r>
    </w:p>
    <w:p>
      <w:pPr>
        <w:spacing w:after="0" w:line="191" w:lineRule="exact"/>
        <w:rPr>
          <w:rFonts w:ascii="Arial" w:cs="Arial" w:eastAsia="Arial" w:hAnsi="Arial"/>
          <w:sz w:val="18"/>
          <w:szCs w:val="18"/>
          <w:color w:val="auto"/>
        </w:rPr>
      </w:pPr>
    </w:p>
    <w:p>
      <w:pPr>
        <w:jc w:val="both"/>
        <w:ind w:left="380" w:right="240" w:hanging="375"/>
        <w:spacing w:after="0" w:line="237" w:lineRule="auto"/>
        <w:tabs>
          <w:tab w:leader="none" w:pos="3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pour l'élargissement de la base des actionnaires de la société dans certains marchés financiers ou d'investissement, afin de permettre une participation de partenaires stratégiques, ou dans le cas de cotation ou d'enregistrement de nouvelles actions nominatives aux bourses nationales ou étrangères; ou</w:t>
      </w:r>
    </w:p>
    <w:p>
      <w:pPr>
        <w:spacing w:after="0" w:line="191" w:lineRule="exact"/>
        <w:rPr>
          <w:rFonts w:ascii="Arial" w:cs="Arial" w:eastAsia="Arial" w:hAnsi="Arial"/>
          <w:sz w:val="18"/>
          <w:szCs w:val="18"/>
          <w:color w:val="auto"/>
        </w:rPr>
      </w:pPr>
    </w:p>
    <w:p>
      <w:pPr>
        <w:jc w:val="both"/>
        <w:ind w:left="380" w:right="240" w:hanging="375"/>
        <w:spacing w:after="0" w:line="238" w:lineRule="auto"/>
        <w:tabs>
          <w:tab w:leader="none" w:pos="4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pour octroyer une option de surallocation (Greenshoe) d'un maximum de 20% du nombre total d'actions nominatives dans un placement ou une vente d'actions nominatives à l'/des acheteur(s) initial(s) ou du/des souscripteur(s) respectif(s); ou</w:t>
      </w:r>
    </w:p>
    <w:p>
      <w:pPr>
        <w:spacing w:after="0" w:line="188" w:lineRule="exact"/>
        <w:rPr>
          <w:rFonts w:ascii="Arial" w:cs="Arial" w:eastAsia="Arial" w:hAnsi="Arial"/>
          <w:sz w:val="18"/>
          <w:szCs w:val="18"/>
          <w:color w:val="auto"/>
        </w:rPr>
      </w:pPr>
    </w:p>
    <w:p>
      <w:pPr>
        <w:jc w:val="both"/>
        <w:ind w:left="380" w:right="240" w:hanging="375"/>
        <w:spacing w:after="0" w:line="238" w:lineRule="auto"/>
        <w:tabs>
          <w:tab w:leader="none" w:pos="38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pour lever des capitaux (y compris des placements privés) dans un délai rapide et flexible, ce qui ne pourrait probablement pas être réalisé sans l'exclusion du droit préférentiel de souscription statuaire des actionnaires existants; ou</w:t>
      </w:r>
    </w:p>
    <w:p>
      <w:pPr>
        <w:spacing w:after="0" w:line="188" w:lineRule="exact"/>
        <w:rPr>
          <w:rFonts w:ascii="Arial" w:cs="Arial" w:eastAsia="Arial" w:hAnsi="Arial"/>
          <w:sz w:val="18"/>
          <w:szCs w:val="18"/>
          <w:color w:val="auto"/>
        </w:rPr>
      </w:pPr>
    </w:p>
    <w:p>
      <w:pPr>
        <w:ind w:left="380" w:right="240" w:hanging="375"/>
        <w:spacing w:after="0" w:line="246" w:lineRule="auto"/>
        <w:tabs>
          <w:tab w:leader="none" w:pos="4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pour d'autres motifs valables au sens de l'article 652b al. 2 CO; ou</w:t>
      </w:r>
    </w:p>
    <w:p>
      <w:pPr>
        <w:spacing w:after="0" w:line="183" w:lineRule="exact"/>
        <w:rPr>
          <w:rFonts w:ascii="Arial" w:cs="Arial" w:eastAsia="Arial" w:hAnsi="Arial"/>
          <w:sz w:val="18"/>
          <w:szCs w:val="18"/>
          <w:color w:val="auto"/>
        </w:rPr>
      </w:pPr>
    </w:p>
    <w:p>
      <w:pPr>
        <w:jc w:val="both"/>
        <w:ind w:left="380" w:right="240" w:hanging="375"/>
        <w:spacing w:after="0" w:line="229" w:lineRule="auto"/>
        <w:tabs>
          <w:tab w:leader="none" w:pos="5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suite à l'accumulation par un actionnaire ou un groupe d'actionnaires agissant de concert de participations supérieures à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du capital-actions inscrit au registre du commerce sans avoir soumis aux autres actionnaires une offre publique d'achat recommandée par le conseil d'administration, ou pour la défense d'une offre publique d'achat réelle, imminente ou potentielle, pour laquelle le conseil d'administration, après consultation avec un conseiller financier</w:t>
      </w:r>
    </w:p>
    <w:p>
      <w:pPr>
        <w:sectPr>
          <w:pgSz w:w="11900" w:h="16838" w:orient="portrait"/>
          <w:cols w:equalWidth="0" w:num="2">
            <w:col w:w="5283" w:space="220"/>
            <w:col w:w="5500"/>
          </w:cols>
          <w:pgMar w:left="557" w:top="250" w:right="339" w:bottom="1440" w:gutter="0" w:footer="0" w:header="0"/>
          <w:type w:val="continuous"/>
        </w:sectPr>
      </w:pPr>
    </w:p>
    <w:bookmarkStart w:id="197" w:name="page198"/>
    <w:bookmarkEnd w:id="197"/>
    <w:p>
      <w:pPr>
        <w:jc w:val="right"/>
        <w:spacing w:after="0"/>
        <w:rPr>
          <w:sz w:val="20"/>
          <w:szCs w:val="20"/>
          <w:color w:val="auto"/>
        </w:rPr>
      </w:pPr>
      <w:r>
        <w:rPr>
          <w:rFonts w:ascii="Arial" w:cs="Arial" w:eastAsia="Arial" w:hAnsi="Arial"/>
          <w:sz w:val="16"/>
          <w:szCs w:val="16"/>
          <w:color w:val="auto"/>
        </w:rPr>
        <w:t>4</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retained by it, has not recommended to the shareholders</w:t>
            </w:r>
          </w:p>
        </w:tc>
        <w:tc>
          <w:tcPr>
            <w:tcW w:w="55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indépendant retenu par lui, n'a pas recommandé l'acceptation</w:t>
            </w:r>
          </w:p>
        </w:tc>
      </w:tr>
      <w:tr>
        <w:trPr>
          <w:trHeight w:val="203"/>
        </w:trPr>
        <w:tc>
          <w:tcPr>
            <w:tcW w:w="5660" w:type="dxa"/>
            <w:vAlign w:val="bottom"/>
            <w:tcBorders>
              <w:left w:val="single" w:sz="8" w:color="auto"/>
              <w:right w:val="single" w:sz="8" w:color="auto"/>
            </w:tcBorders>
          </w:tcPr>
          <w:p>
            <w:pPr>
              <w:ind w:left="560"/>
              <w:spacing w:after="0" w:line="202" w:lineRule="exact"/>
              <w:rPr>
                <w:sz w:val="20"/>
                <w:szCs w:val="20"/>
                <w:color w:val="auto"/>
              </w:rPr>
            </w:pPr>
            <w:r>
              <w:rPr>
                <w:rFonts w:ascii="Arial" w:cs="Arial" w:eastAsia="Arial" w:hAnsi="Arial"/>
                <w:sz w:val="18"/>
                <w:szCs w:val="18"/>
                <w:color w:val="auto"/>
              </w:rPr>
              <w:t>acceptance on the basis that the Board of Directors has not</w:t>
            </w:r>
          </w:p>
        </w:tc>
        <w:tc>
          <w:tcPr>
            <w:tcW w:w="558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aux actionnaires car il a estimé que l'offre publique d'achat</w:t>
            </w:r>
          </w:p>
        </w:tc>
      </w:tr>
      <w:tr>
        <w:trPr>
          <w:trHeight w:val="203"/>
        </w:trPr>
        <w:tc>
          <w:tcPr>
            <w:tcW w:w="5660" w:type="dxa"/>
            <w:vAlign w:val="bottom"/>
            <w:tcBorders>
              <w:left w:val="single" w:sz="8" w:color="auto"/>
              <w:right w:val="single" w:sz="8" w:color="auto"/>
            </w:tcBorders>
          </w:tcPr>
          <w:p>
            <w:pPr>
              <w:ind w:left="560"/>
              <w:spacing w:after="0" w:line="202" w:lineRule="exact"/>
              <w:rPr>
                <w:sz w:val="20"/>
                <w:szCs w:val="20"/>
                <w:color w:val="auto"/>
              </w:rPr>
            </w:pPr>
            <w:r>
              <w:rPr>
                <w:rFonts w:ascii="Arial" w:cs="Arial" w:eastAsia="Arial" w:hAnsi="Arial"/>
                <w:sz w:val="18"/>
                <w:szCs w:val="18"/>
                <w:color w:val="auto"/>
              </w:rPr>
              <w:t>found  the  takeover  bid  to  be  financially  fair  to  the</w:t>
            </w:r>
          </w:p>
        </w:tc>
        <w:tc>
          <w:tcPr>
            <w:tcW w:w="558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n'était pas financièrement équitable pour les actionnaires.</w:t>
            </w:r>
          </w:p>
        </w:tc>
      </w:tr>
      <w:tr>
        <w:trPr>
          <w:trHeight w:val="217"/>
        </w:trPr>
        <w:tc>
          <w:tcPr>
            <w:tcW w:w="56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shareholders.</w:t>
            </w:r>
          </w:p>
        </w:tc>
        <w:tc>
          <w:tcPr>
            <w:tcW w:w="5580" w:type="dxa"/>
            <w:vAlign w:val="bottom"/>
            <w:tcBorders>
              <w:right w:val="single" w:sz="8" w:color="auto"/>
            </w:tcBorders>
          </w:tcPr>
          <w:p>
            <w:pPr>
              <w:spacing w:after="0"/>
              <w:rPr>
                <w:sz w:val="18"/>
                <w:szCs w:val="18"/>
                <w:color w:val="auto"/>
              </w:rPr>
            </w:pP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acquisition of registered shares out of authorized capital</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L'acquisition  d'actions  nominatives  dans  le  cadre  d'une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increase of share capital for general purposes and any transfers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augmentation autorisée du capital-actions à des fins générales et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registered shares shall be subject to the restrictions specified in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les transferts d'actions nominatives sont soumis aux restrictions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Article 4 of the Articles of Association.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prévues à l'article 4 des statuts.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4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3b   Conditional Capital Increase for Bonds and Similar</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3b Augmentation conditionnelle du capital-actions pour</w:t>
            </w:r>
          </w:p>
        </w:tc>
      </w:tr>
      <w:tr>
        <w:trPr>
          <w:trHeight w:val="239"/>
        </w:trPr>
        <w:tc>
          <w:tcPr>
            <w:tcW w:w="5660" w:type="dxa"/>
            <w:vAlign w:val="bottom"/>
            <w:tcBorders>
              <w:left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Debt Instruments</w:t>
            </w:r>
          </w:p>
        </w:tc>
        <w:tc>
          <w:tcPr>
            <w:tcW w:w="5580" w:type="dxa"/>
            <w:vAlign w:val="bottom"/>
            <w:tcBorders>
              <w:right w:val="single" w:sz="8" w:color="auto"/>
            </w:tcBorders>
          </w:tcPr>
          <w:p>
            <w:pPr>
              <w:ind w:left="920"/>
              <w:spacing w:after="0"/>
              <w:rPr>
                <w:sz w:val="20"/>
                <w:szCs w:val="20"/>
                <w:color w:val="auto"/>
              </w:rPr>
            </w:pPr>
            <w:r>
              <w:rPr>
                <w:rFonts w:ascii="Arial" w:cs="Arial" w:eastAsia="Arial" w:hAnsi="Arial"/>
                <w:sz w:val="18"/>
                <w:szCs w:val="18"/>
                <w:b w:val="1"/>
                <w:bCs w:val="1"/>
                <w:color w:val="auto"/>
              </w:rPr>
              <w:t>les obligations et instruments de dettes similaire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share capital of the Company shall be increased by a</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capital-actions de la société peut être augmenté d'un montant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maximum amount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maximum de CHF 91'560.94 par l'émission d'un maximum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CHF 91'560.94 through the issue of a maximum of 4'578'047</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4'578'047  actions  nominatives,  d'une  valeur  nominale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registered shares, payable in full, each with a nominal value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CHF 0.02 chacune, à libérer entièrement, suite à l'exercice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CHF 0.02 through the exercise of conversion and/or option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droits de conversion et/ou d'option ou de bons de souscription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warrant  rights  granted  in  connection  with  bonds  or  similar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accordés  en  relation  avec  des  obligations  ou  d'instruments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instruments, issued or to be issued by the Company or by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similaires, émis ou devant être émis par la société ou par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subsidiaries  of  the  Company,  including  convertible  debt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filiales  de  la  société,  y  compris  les  instruments  d'emprunt</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instruments.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convertibles.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Shareholders'  subscription  rights  are  excluded.  Shareholders'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droit de souscription préférentiel des actionnaires est exclu.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advance subscription rights with regard to the new bonds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Les  droits  de  souscription  préférentiels  préalables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similar instruments may be restricted or excluded by decision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actionnaires à l'égard des nouvelles obligations ou instruments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Board of Directors in order to finance or re-finance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similaires peuvent être limités ou exclus par décision du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acquisition of companies, parts of companies or holdings, or new</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afin de financer ou de refinancer l'acquisition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investments  planned  by  the  Company,  or  in  order  to  issue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d'entreprises, parts d'entreprises ou de holdings, ou de nouveaux</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convertible  bonds  and  warrants  on  the  international  capital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investissements prévus par la société, ou en vue d'émettre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markets or through private placement. If advance subscription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obligations  convertibles  et  des  bons  de  souscription  sur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rights are excluded, then (1) the instruments are to be placed at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marchés internationaux de capitaux ou par placement privé. Si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market conditions, (2) the exercise period is not to exceed ten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droits de souscription préférentiels préalables sont exclus, (1)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years from the date of issue for warrants and twenty years for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instruments doivent être attribués aux conditions du marché, (2)</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conversion rights and (3) the conversion or exercise price for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période d'exercice ne doit pas dépasser dix ans à</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new shares is to be set at least in line</w:t>
            </w:r>
          </w:p>
        </w:tc>
        <w:tc>
          <w:tcPr>
            <w:tcW w:w="5580" w:type="dxa"/>
            <w:vAlign w:val="bottom"/>
            <w:tcBorders>
              <w:right w:val="single" w:sz="8" w:color="auto"/>
            </w:tcBorders>
          </w:tcPr>
          <w:p>
            <w:pPr>
              <w:spacing w:after="0"/>
              <w:rPr>
                <w:sz w:val="18"/>
                <w:szCs w:val="18"/>
                <w:color w:val="auto"/>
              </w:rPr>
            </w:pP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1"/>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6"/>
          <w:szCs w:val="16"/>
          <w:color w:val="auto"/>
        </w:rPr>
        <w:t>5</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with the market conditions prevailing at the date on which the</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partir de la date d'émission des bons de souscription et vingt ans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instruments are issued. The respective holders of conversion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pour les droits de conversion et (3) le prix de conversion ou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and/or option or warrant rights are entitled to subscribe the new</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d'exercice des actions nouvelles doit être fixé au moins aux</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conditions  du  marché  prévalant  à  la  date  à  laquelle  les</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instruments sont émis. Les détenteurs respectifs de droits de</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conversion et/ou option ou de bons de souscription ont le droit de</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souscrire les nouvelles actions.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acquisition of registered shares through the exercise of</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L'acquisition d'actions nominatives par l'exercice de droits ou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conversion rights or warrants and any transfers of registered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bons de conversion et les transferts d'actions nominatives sont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shares shall be subject to the restrictions specified in Article 4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assujetties aux restrictions prévues par l'article 4 des statuts.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Articles of Association.</w:t>
            </w:r>
          </w:p>
        </w:tc>
        <w:tc>
          <w:tcPr>
            <w:tcW w:w="5580" w:type="dxa"/>
            <w:vAlign w:val="bottom"/>
            <w:tcBorders>
              <w:right w:val="single" w:sz="8" w:color="auto"/>
            </w:tcBorders>
          </w:tcPr>
          <w:p>
            <w:pPr>
              <w:spacing w:after="0"/>
              <w:rPr>
                <w:sz w:val="18"/>
                <w:szCs w:val="18"/>
                <w:color w:val="auto"/>
              </w:rPr>
            </w:pP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4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3c Conditional Share Capital Increase for Employee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3c Augmentation conditionnelle du capital-actions pour</w:t>
            </w:r>
          </w:p>
        </w:tc>
      </w:tr>
      <w:tr>
        <w:trPr>
          <w:trHeight w:val="239"/>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Benefit Plans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les plans d'avantages sociaux</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share capital of the Company shall be increased by an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capital social de la société sera augmenté d'un montant 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amount not exceeding CHF 65'954.32 through the issue of a</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dépassant pas CHF 65'954.32 par l'émission d'un maximum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maximum of 3'297'716  registered shares, payable in full, each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3'297'716  actions  nominatives,  entièrement  libérées,  chacune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with a nominal value of CHF 0.02, in connection with the exercise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avec  une  valeur  nominale  de  CHF  0.02,  dans  le  cadre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option rights granted to any employee of the Company or a</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l'exercice de droits d'option accordés à tout employé de la Société</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subsidiary,  and  any  consultant,  members  of  the  Board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ou d'une succursale, et à tout consultant, aux membres du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Directors, or other person providing services to the Company or a</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ou à d'autres personnes fournissant des services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subsidiary.</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 faveur de la Société ou d'une filiale.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Shareholders' subscription rights shall be excluded with regard to</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droit de souscription préférentiel des actionnaires est exclu à</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these shares. These new registered shares may be issued at a</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l'égard  de  ces  actions.  Ces  nouvelles  actions  nominatives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price below the current market price. The Board of Directors shall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peuvent être émises à un prix inférieur au prix du marché actuel.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specify the precise conditions of issue including the issue price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 conseil d'administration doit préciser les conditions précises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shares.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d'émission, y compris le prix d'émission des actions.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acquisition of registered shares in connection with employee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L'acquisition  d'actions  nominatives  dans  le  cadre  de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participation and any further transfers of registered shares shall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participation  des  employés  et  d'autres  transferts  d'actions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be subject to the restrictions specified in Article 4 of the Articles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nominatives sont soumis aux restrictions prévues à l'article 4 des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Association.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statuts.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6"/>
          <w:szCs w:val="16"/>
          <w:color w:val="auto"/>
        </w:rPr>
        <w:t>6</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4 Share Register</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 Registre des actions</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Company shall maintain a share register in which it shall</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société tient un registre des actions nominatives, dans lequel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register the name, first name and place of residence (in case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sont inscrits le nom, le prénom et l'adresse (dans le cas d'une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legal persons the place of incorporation) of the owners and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morale, le siège) des propriétaires et des usufruitiers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usufructuaries of its registered shares. Natural and legal persons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des actions. Les personnes physiques et morales ainsi que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as well as legal representatives of minors etc. entitled by law to</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représentants légaux des mineurs etc. autorisés par la loi à voter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voting rights of a share which they do not own will be noted in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alors qu'ils ne sont pas propriétaires des actions seront, sur</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share register upon request.</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demande, inscrits dans le registre des actions.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Upon request, acquirers of shares will be registered in the share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Sur demande, les acquéreurs d'actions seront inscrits dans 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register without limitation as shareholders if they expressly certify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registre  des  actions  sans  limitation  comme  actionnaires  s'ils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that they acquired the shares in their own name and for their own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attestent expressément qu'ils ont acquis les actions en leur propre</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account.</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nom et pour leur propre compte.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Persons  who  do  not  expressly  declare  in  the  registration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personnes  qui  ne  déclarent  pas  expressément  dans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application that they are holding the shares on their own account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demande  d'inscription  qu'ils  détiennent  les  actions  pour  leur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(thereafter: nominees) shall forthwith be entered on the share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propre   compte   (par   la   suite:   les   candidats)   doivent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register as shareholders with voting rights up to a maximum of 3</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immédiatement être inscrits dans le registre des actions comme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percent of the share capital. Beyond that limit, registered shares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actionnaires avec droit de vote pour un maximum de 3 pour cent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nominees shall only be entered as voting if the nominees in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 capital-actions. Au-delà de cette limite, les actions nominatives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question confirm in writing that they are willing to disclose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des candidats ne sont inscrites avec droit de vote que si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names, addresses and shareholdings of the persons on whose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candidats en question confirment par écrit qu'ils sont prêts à</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account they hold 0.5 percent or more of the share capital.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divulguer les noms, adresses et participations des personnes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Board of Directors concludes agreements with nominees that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pour le compte desquelles ils détiennent 0,5 pour cent ou plus du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among other things govern the representation of shareholders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capital-actions. Le conseil d'administration conclut des accords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and the voting rights.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avec  les  candidats  qui,  entre  autres  choses,  régissent  la</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représentation des actionnaires et des droits de vote.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After hearing the registered shareholder or nominee, the Board of</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Après avoir entendu l'actionnaire enregistré ou le candidat, 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Directors may remove entries in the share register with retroactive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conseil d'administration peut supprimer des inscriptions dans 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effect as per the date of entry, if such entry was based on false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registre des actions avec effet rétroactif à la date d'inscription, si</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information. The party affected must be informed of such removal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cette inscription était basée sur de fausses informations. La partie</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immediately.</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touchée doit être immédiatement informée de cette suppression.</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6"/>
          <w:szCs w:val="16"/>
          <w:color w:val="auto"/>
        </w:rPr>
        <w:t>7</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No individual or legal entity may, directly or indirectly, formally,</w:t>
            </w:r>
          </w:p>
        </w:tc>
        <w:tc>
          <w:tcPr>
            <w:tcW w:w="5580" w:type="dxa"/>
            <w:vAlign w:val="bottom"/>
            <w:tcBorders>
              <w:top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Aucune personne physique ou morale ne peut, directement ou</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constructively  or  beneficially  own  (as  defined  in  the  next</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indirectement, formellement ou implicitement détenir à son profit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paragraph below) or otherwise control voting rights ("Controlled</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(comme défini dans le paragraphe ci-dessous) ou, d'une autre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3" w:lineRule="exact"/>
              <w:rPr>
                <w:sz w:val="20"/>
                <w:szCs w:val="20"/>
                <w:color w:val="auto"/>
              </w:rPr>
            </w:pPr>
            <w:r>
              <w:rPr>
                <w:rFonts w:ascii="Arial" w:cs="Arial" w:eastAsia="Arial" w:hAnsi="Arial"/>
                <w:sz w:val="15"/>
                <w:szCs w:val="15"/>
                <w:color w:val="auto"/>
              </w:rPr>
              <w:t xml:space="preserve">Shares") with respect to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or more of the registered share</w:t>
            </w:r>
          </w:p>
        </w:tc>
        <w:tc>
          <w:tcPr>
            <w:tcW w:w="5580" w:type="dxa"/>
            <w:vAlign w:val="bottom"/>
            <w:tcBorders>
              <w:right w:val="single" w:sz="8" w:color="auto"/>
            </w:tcBorders>
            <w:gridSpan w:val="6"/>
          </w:tcPr>
          <w:p>
            <w:pPr>
              <w:ind w:left="80"/>
              <w:spacing w:after="0" w:line="203" w:lineRule="exact"/>
              <w:rPr>
                <w:sz w:val="20"/>
                <w:szCs w:val="20"/>
                <w:color w:val="auto"/>
              </w:rPr>
            </w:pPr>
            <w:r>
              <w:rPr>
                <w:rFonts w:ascii="Arial" w:cs="Arial" w:eastAsia="Arial" w:hAnsi="Arial"/>
                <w:sz w:val="18"/>
                <w:szCs w:val="18"/>
                <w:color w:val="auto"/>
              </w:rPr>
              <w:t>manière, contrôler le droit de vote (les "Actions Contrôlées") de</w:t>
            </w:r>
          </w:p>
        </w:tc>
        <w:tc>
          <w:tcPr>
            <w:tcW w:w="0" w:type="dxa"/>
            <w:vAlign w:val="bottom"/>
          </w:tcPr>
          <w:p>
            <w:pPr>
              <w:spacing w:after="0"/>
              <w:rPr>
                <w:sz w:val="1"/>
                <w:szCs w:val="1"/>
                <w:color w:val="auto"/>
              </w:rPr>
            </w:pPr>
          </w:p>
        </w:tc>
      </w:tr>
      <w:tr>
        <w:trPr>
          <w:trHeight w:val="269"/>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capital  recorded  in  the  Commercial  Register  except  if  such</w:t>
            </w:r>
          </w:p>
        </w:tc>
        <w:tc>
          <w:tcPr>
            <w:tcW w:w="5580" w:type="dxa"/>
            <w:vAlign w:val="bottom"/>
            <w:tcBorders>
              <w:right w:val="single" w:sz="8" w:color="auto"/>
            </w:tcBorders>
            <w:gridSpan w:val="6"/>
          </w:tcPr>
          <w:p>
            <w:pPr>
              <w:ind w:left="80"/>
              <w:spacing w:after="0" w:line="269"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ou plus du capital-actions nominatif tel qu'inscrit au</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individual or legal entity has submitted prior to the acquisition of</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registre du commerce sauf si cette personne physique ou morale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such Controlled Shares an orderly tender offer to all shareholders</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a présenté avant l'acquisition de ces Actions Contrôlée une offre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with a minimum price of the higher of (i) the volume weighted</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publique d'achat en bonne et due forme à tous les actionnaires à</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average price of the last 60 trading days prior to the publication of</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un prix minimum équivalent au montant le plus élevé entre (i) le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tender offer or (ii) the highest price paid by such individual or</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cours moyen pondéré en fonction du volume des 60 derniers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legal entity in the 12 months preceding to the publication of the</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jours  de  bourse  précédant  la  publication  de  l'offre  publique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tender offer. Those associated through capital, voting power, joint</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d'achat et (ii) le plus haut prix payé par cette personne physique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management or in any other way, or joining for the acquisition of</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ou morale dans les 12 mois précédant la publication de l'offre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shares, shall be regarded as one person. The registered shares</w:t>
            </w: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publique d'achat. Les personnes associées par le capital, les</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tcBorders>
          </w:tcPr>
          <w:p>
            <w:pPr>
              <w:ind w:left="240"/>
              <w:spacing w:after="0" w:line="203" w:lineRule="exact"/>
              <w:rPr>
                <w:sz w:val="20"/>
                <w:szCs w:val="20"/>
                <w:color w:val="auto"/>
              </w:rPr>
            </w:pPr>
            <w:r>
              <w:rPr>
                <w:rFonts w:ascii="Arial" w:cs="Arial" w:eastAsia="Arial" w:hAnsi="Arial"/>
                <w:sz w:val="18"/>
                <w:szCs w:val="18"/>
                <w:color w:val="auto"/>
              </w:rPr>
              <w:t>exceeding</w:t>
            </w:r>
          </w:p>
        </w:tc>
        <w:tc>
          <w:tcPr>
            <w:tcW w:w="4540" w:type="dxa"/>
            <w:vAlign w:val="bottom"/>
            <w:tcBorders>
              <w:right w:val="single" w:sz="8" w:color="auto"/>
            </w:tcBorders>
          </w:tcPr>
          <w:p>
            <w:pPr>
              <w:ind w:left="40"/>
              <w:spacing w:after="0" w:line="203" w:lineRule="exact"/>
              <w:rPr>
                <w:sz w:val="20"/>
                <w:szCs w:val="20"/>
                <w:color w:val="auto"/>
              </w:rPr>
            </w:pPr>
            <w:r>
              <w:rPr>
                <w:rFonts w:ascii="Arial" w:cs="Arial" w:eastAsia="Arial" w:hAnsi="Arial"/>
                <w:sz w:val="15"/>
                <w:szCs w:val="15"/>
                <w:color w:val="auto"/>
              </w:rPr>
              <w:t xml:space="preserve">the limit 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and not benefiting from the</w:t>
            </w:r>
          </w:p>
        </w:tc>
        <w:tc>
          <w:tcPr>
            <w:tcW w:w="5580" w:type="dxa"/>
            <w:vAlign w:val="bottom"/>
            <w:tcBorders>
              <w:right w:val="single" w:sz="8" w:color="auto"/>
            </w:tcBorders>
            <w:gridSpan w:val="6"/>
          </w:tcPr>
          <w:p>
            <w:pPr>
              <w:ind w:left="80"/>
              <w:spacing w:after="0" w:line="203" w:lineRule="exact"/>
              <w:rPr>
                <w:sz w:val="20"/>
                <w:szCs w:val="20"/>
                <w:color w:val="auto"/>
              </w:rPr>
            </w:pPr>
            <w:r>
              <w:rPr>
                <w:rFonts w:ascii="Arial" w:cs="Arial" w:eastAsia="Arial" w:hAnsi="Arial"/>
                <w:sz w:val="18"/>
                <w:szCs w:val="18"/>
                <w:color w:val="auto"/>
              </w:rPr>
              <w:t>droits de vote, une gestion commune ou de toute autre manière,</w:t>
            </w:r>
          </w:p>
        </w:tc>
        <w:tc>
          <w:tcPr>
            <w:tcW w:w="0" w:type="dxa"/>
            <w:vAlign w:val="bottom"/>
          </w:tcPr>
          <w:p>
            <w:pPr>
              <w:spacing w:after="0"/>
              <w:rPr>
                <w:sz w:val="1"/>
                <w:szCs w:val="1"/>
                <w:color w:val="auto"/>
              </w:rPr>
            </w:pPr>
          </w:p>
        </w:tc>
      </w:tr>
      <w:tr>
        <w:trPr>
          <w:trHeight w:val="202"/>
        </w:trPr>
        <w:tc>
          <w:tcPr>
            <w:tcW w:w="566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exemption regarding a tender offer shall be entered in the share</w:t>
            </w:r>
          </w:p>
        </w:tc>
        <w:tc>
          <w:tcPr>
            <w:tcW w:w="1180" w:type="dxa"/>
            <w:vAlign w:val="bottom"/>
          </w:tcPr>
          <w:p>
            <w:pPr>
              <w:ind w:left="80"/>
              <w:spacing w:after="0" w:line="201" w:lineRule="exact"/>
              <w:rPr>
                <w:sz w:val="20"/>
                <w:szCs w:val="20"/>
                <w:color w:val="auto"/>
              </w:rPr>
            </w:pPr>
            <w:r>
              <w:rPr>
                <w:rFonts w:ascii="Arial" w:cs="Arial" w:eastAsia="Arial" w:hAnsi="Arial"/>
                <w:sz w:val="18"/>
                <w:szCs w:val="18"/>
                <w:color w:val="auto"/>
              </w:rPr>
              <w:t>ou  qui  se</w:t>
            </w:r>
          </w:p>
        </w:tc>
        <w:tc>
          <w:tcPr>
            <w:tcW w:w="700" w:type="dxa"/>
            <w:vAlign w:val="bottom"/>
          </w:tcPr>
          <w:p>
            <w:pPr>
              <w:ind w:left="60"/>
              <w:spacing w:after="0" w:line="201" w:lineRule="exact"/>
              <w:rPr>
                <w:sz w:val="20"/>
                <w:szCs w:val="20"/>
                <w:color w:val="auto"/>
              </w:rPr>
            </w:pPr>
            <w:r>
              <w:rPr>
                <w:rFonts w:ascii="Arial" w:cs="Arial" w:eastAsia="Arial" w:hAnsi="Arial"/>
                <w:sz w:val="18"/>
                <w:szCs w:val="18"/>
                <w:color w:val="auto"/>
                <w:w w:val="98"/>
              </w:rPr>
              <w:t>joignent</w:t>
            </w:r>
          </w:p>
        </w:tc>
        <w:tc>
          <w:tcPr>
            <w:tcW w:w="580" w:type="dxa"/>
            <w:vAlign w:val="bottom"/>
          </w:tcPr>
          <w:p>
            <w:pPr>
              <w:ind w:left="160"/>
              <w:spacing w:after="0" w:line="201" w:lineRule="exact"/>
              <w:rPr>
                <w:sz w:val="20"/>
                <w:szCs w:val="20"/>
                <w:color w:val="auto"/>
              </w:rPr>
            </w:pPr>
            <w:r>
              <w:rPr>
                <w:rFonts w:ascii="Arial" w:cs="Arial" w:eastAsia="Arial" w:hAnsi="Arial"/>
                <w:sz w:val="18"/>
                <w:szCs w:val="18"/>
                <w:color w:val="auto"/>
              </w:rPr>
              <w:t>pour</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une</w:t>
            </w:r>
          </w:p>
        </w:tc>
        <w:tc>
          <w:tcPr>
            <w:tcW w:w="2540" w:type="dxa"/>
            <w:vAlign w:val="bottom"/>
            <w:tcBorders>
              <w:right w:val="single" w:sz="8" w:color="auto"/>
            </w:tcBorders>
            <w:gridSpan w:val="2"/>
          </w:tcPr>
          <w:p>
            <w:pPr>
              <w:jc w:val="right"/>
              <w:ind w:right="130"/>
              <w:spacing w:after="0" w:line="201" w:lineRule="exact"/>
              <w:rPr>
                <w:sz w:val="20"/>
                <w:szCs w:val="20"/>
                <w:color w:val="auto"/>
              </w:rPr>
            </w:pPr>
            <w:r>
              <w:rPr>
                <w:rFonts w:ascii="Arial" w:cs="Arial" w:eastAsia="Arial" w:hAnsi="Arial"/>
                <w:sz w:val="18"/>
                <w:szCs w:val="18"/>
                <w:color w:val="auto"/>
              </w:rPr>
              <w:t>acquisition  d'actions,  sont</w:t>
            </w:r>
          </w:p>
        </w:tc>
        <w:tc>
          <w:tcPr>
            <w:tcW w:w="0" w:type="dxa"/>
            <w:vAlign w:val="bottom"/>
          </w:tcPr>
          <w:p>
            <w:pPr>
              <w:spacing w:after="0"/>
              <w:rPr>
                <w:sz w:val="1"/>
                <w:szCs w:val="1"/>
                <w:color w:val="auto"/>
              </w:rPr>
            </w:pPr>
          </w:p>
        </w:tc>
      </w:tr>
      <w:tr>
        <w:trPr>
          <w:trHeight w:val="68"/>
        </w:trPr>
        <w:tc>
          <w:tcPr>
            <w:tcW w:w="5660" w:type="dxa"/>
            <w:vAlign w:val="bottom"/>
            <w:tcBorders>
              <w:left w:val="single" w:sz="8" w:color="auto"/>
              <w:right w:val="single" w:sz="8" w:color="auto"/>
            </w:tcBorders>
            <w:gridSpan w:val="2"/>
            <w:vMerge w:val="continue"/>
          </w:tcPr>
          <w:p>
            <w:pPr>
              <w:spacing w:after="0"/>
              <w:rPr>
                <w:sz w:val="5"/>
                <w:szCs w:val="5"/>
                <w:color w:val="auto"/>
              </w:rPr>
            </w:pPr>
          </w:p>
        </w:tc>
        <w:tc>
          <w:tcPr>
            <w:tcW w:w="1180" w:type="dxa"/>
            <w:vAlign w:val="bottom"/>
            <w:vMerge w:val="restart"/>
          </w:tcPr>
          <w:p>
            <w:pPr>
              <w:ind w:left="80"/>
              <w:spacing w:after="0" w:line="202" w:lineRule="exact"/>
              <w:rPr>
                <w:sz w:val="20"/>
                <w:szCs w:val="20"/>
                <w:color w:val="auto"/>
              </w:rPr>
            </w:pPr>
            <w:r>
              <w:rPr>
                <w:rFonts w:ascii="Arial" w:cs="Arial" w:eastAsia="Arial" w:hAnsi="Arial"/>
                <w:sz w:val="18"/>
                <w:szCs w:val="18"/>
                <w:color w:val="auto"/>
              </w:rPr>
              <w:t>considérées</w:t>
            </w:r>
          </w:p>
        </w:tc>
        <w:tc>
          <w:tcPr>
            <w:tcW w:w="700" w:type="dxa"/>
            <w:vAlign w:val="bottom"/>
            <w:vMerge w:val="restart"/>
          </w:tcPr>
          <w:p>
            <w:pPr>
              <w:spacing w:after="0" w:line="202" w:lineRule="exact"/>
              <w:rPr>
                <w:sz w:val="20"/>
                <w:szCs w:val="20"/>
                <w:color w:val="auto"/>
              </w:rPr>
            </w:pPr>
            <w:r>
              <w:rPr>
                <w:rFonts w:ascii="Arial" w:cs="Arial" w:eastAsia="Arial" w:hAnsi="Arial"/>
                <w:sz w:val="18"/>
                <w:szCs w:val="18"/>
                <w:color w:val="auto"/>
              </w:rPr>
              <w:t>comme</w:t>
            </w:r>
          </w:p>
        </w:tc>
        <w:tc>
          <w:tcPr>
            <w:tcW w:w="1760" w:type="dxa"/>
            <w:vAlign w:val="bottom"/>
            <w:gridSpan w:val="3"/>
            <w:vMerge w:val="restart"/>
          </w:tcPr>
          <w:p>
            <w:pPr>
              <w:jc w:val="center"/>
              <w:spacing w:after="0" w:line="202" w:lineRule="exact"/>
              <w:rPr>
                <w:sz w:val="20"/>
                <w:szCs w:val="20"/>
                <w:color w:val="auto"/>
              </w:rPr>
            </w:pPr>
            <w:r>
              <w:rPr>
                <w:rFonts w:ascii="Arial" w:cs="Arial" w:eastAsia="Arial" w:hAnsi="Arial"/>
                <w:sz w:val="18"/>
                <w:szCs w:val="18"/>
                <w:color w:val="auto"/>
              </w:rPr>
              <w:t>une  personne.  Les</w:t>
            </w:r>
          </w:p>
        </w:tc>
        <w:tc>
          <w:tcPr>
            <w:tcW w:w="1940" w:type="dxa"/>
            <w:vAlign w:val="bottom"/>
            <w:tcBorders>
              <w:right w:val="single" w:sz="8" w:color="auto"/>
            </w:tcBorders>
            <w:vMerge w:val="restart"/>
          </w:tcPr>
          <w:p>
            <w:pPr>
              <w:jc w:val="right"/>
              <w:ind w:right="150"/>
              <w:spacing w:after="0" w:line="202" w:lineRule="exact"/>
              <w:rPr>
                <w:sz w:val="20"/>
                <w:szCs w:val="20"/>
                <w:color w:val="auto"/>
              </w:rPr>
            </w:pPr>
            <w:r>
              <w:rPr>
                <w:rFonts w:ascii="Arial" w:cs="Arial" w:eastAsia="Arial" w:hAnsi="Arial"/>
                <w:sz w:val="18"/>
                <w:szCs w:val="18"/>
                <w:color w:val="auto"/>
              </w:rPr>
              <w:t>actions  nominatives</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register as shares without voting rights.</w:t>
            </w:r>
          </w:p>
        </w:tc>
        <w:tc>
          <w:tcPr>
            <w:tcW w:w="11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660" w:type="dxa"/>
            <w:vAlign w:val="bottom"/>
            <w:tcBorders>
              <w:left w:val="single" w:sz="8" w:color="auto"/>
              <w:right w:val="single" w:sz="8" w:color="auto"/>
            </w:tcBorders>
            <w:gridSpan w:val="2"/>
            <w:vMerge w:val="continue"/>
          </w:tcPr>
          <w:p>
            <w:pPr>
              <w:spacing w:after="0"/>
              <w:rPr>
                <w:sz w:val="7"/>
                <w:szCs w:val="7"/>
                <w:color w:val="auto"/>
              </w:rPr>
            </w:pPr>
          </w:p>
        </w:tc>
        <w:tc>
          <w:tcPr>
            <w:tcW w:w="1180" w:type="dxa"/>
            <w:vAlign w:val="bottom"/>
            <w:vMerge w:val="restart"/>
          </w:tcPr>
          <w:p>
            <w:pPr>
              <w:ind w:left="80"/>
              <w:spacing w:after="0" w:line="203" w:lineRule="exact"/>
              <w:rPr>
                <w:sz w:val="20"/>
                <w:szCs w:val="20"/>
                <w:color w:val="auto"/>
              </w:rPr>
            </w:pPr>
            <w:r>
              <w:rPr>
                <w:rFonts w:ascii="Arial" w:cs="Arial" w:eastAsia="Arial" w:hAnsi="Arial"/>
                <w:sz w:val="18"/>
                <w:szCs w:val="18"/>
                <w:color w:val="auto"/>
              </w:rPr>
              <w:t>dépassant  la</w:t>
            </w:r>
          </w:p>
        </w:tc>
        <w:tc>
          <w:tcPr>
            <w:tcW w:w="1280" w:type="dxa"/>
            <w:vAlign w:val="bottom"/>
            <w:gridSpan w:val="2"/>
            <w:vMerge w:val="restart"/>
          </w:tcPr>
          <w:p>
            <w:pPr>
              <w:ind w:left="120"/>
              <w:spacing w:after="0" w:line="203" w:lineRule="exact"/>
              <w:rPr>
                <w:sz w:val="20"/>
                <w:szCs w:val="20"/>
                <w:color w:val="auto"/>
              </w:rPr>
            </w:pPr>
            <w:r>
              <w:rPr>
                <w:rFonts w:ascii="Arial" w:cs="Arial" w:eastAsia="Arial" w:hAnsi="Arial"/>
                <w:sz w:val="18"/>
                <w:szCs w:val="18"/>
                <w:color w:val="auto"/>
              </w:rPr>
              <w:t>limite  de  33</w:t>
            </w:r>
          </w:p>
        </w:tc>
        <w:tc>
          <w:tcPr>
            <w:tcW w:w="580" w:type="dxa"/>
            <w:vAlign w:val="bottom"/>
            <w:vMerge w:val="restart"/>
          </w:tcPr>
          <w:p>
            <w:pPr>
              <w:jc w:val="right"/>
              <w:spacing w:after="0" w:line="203"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5"/>
                <w:szCs w:val="15"/>
                <w:color w:val="auto"/>
              </w:rPr>
              <w:t>/  %</w:t>
            </w:r>
          </w:p>
        </w:tc>
        <w:tc>
          <w:tcPr>
            <w:tcW w:w="600" w:type="dxa"/>
            <w:vAlign w:val="bottom"/>
            <w:vMerge w:val="restart"/>
          </w:tcPr>
          <w:p>
            <w:pPr>
              <w:ind w:left="100"/>
              <w:spacing w:after="0" w:line="203" w:lineRule="exact"/>
              <w:rPr>
                <w:sz w:val="20"/>
                <w:szCs w:val="20"/>
                <w:color w:val="auto"/>
              </w:rPr>
            </w:pPr>
            <w:r>
              <w:rPr>
                <w:rFonts w:ascii="Arial" w:cs="Arial" w:eastAsia="Arial" w:hAnsi="Arial"/>
                <w:sz w:val="18"/>
                <w:szCs w:val="18"/>
                <w:color w:val="auto"/>
              </w:rPr>
              <w:t>et  ne</w:t>
            </w:r>
          </w:p>
        </w:tc>
        <w:tc>
          <w:tcPr>
            <w:tcW w:w="1940" w:type="dxa"/>
            <w:vAlign w:val="bottom"/>
            <w:tcBorders>
              <w:right w:val="single" w:sz="8" w:color="auto"/>
            </w:tcBorders>
            <w:vMerge w:val="restart"/>
          </w:tcPr>
          <w:p>
            <w:pPr>
              <w:jc w:val="right"/>
              <w:ind w:right="130"/>
              <w:spacing w:after="0" w:line="203" w:lineRule="exact"/>
              <w:rPr>
                <w:sz w:val="20"/>
                <w:szCs w:val="20"/>
                <w:color w:val="auto"/>
              </w:rPr>
            </w:pPr>
            <w:r>
              <w:rPr>
                <w:rFonts w:ascii="Arial" w:cs="Arial" w:eastAsia="Arial" w:hAnsi="Arial"/>
                <w:sz w:val="18"/>
                <w:szCs w:val="18"/>
                <w:color w:val="auto"/>
              </w:rPr>
              <w:t>bénéficiant  pas  de</w:t>
            </w: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spacing w:after="0"/>
              <w:rPr>
                <w:sz w:val="10"/>
                <w:szCs w:val="10"/>
                <w:color w:val="auto"/>
              </w:rPr>
            </w:pPr>
          </w:p>
        </w:tc>
        <w:tc>
          <w:tcPr>
            <w:tcW w:w="4540" w:type="dxa"/>
            <w:vAlign w:val="bottom"/>
            <w:tcBorders>
              <w:right w:val="single" w:sz="8" w:color="auto"/>
            </w:tcBorders>
          </w:tcPr>
          <w:p>
            <w:pPr>
              <w:spacing w:after="0"/>
              <w:rPr>
                <w:sz w:val="10"/>
                <w:szCs w:val="10"/>
                <w:color w:val="auto"/>
              </w:rPr>
            </w:pPr>
          </w:p>
        </w:tc>
        <w:tc>
          <w:tcPr>
            <w:tcW w:w="118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120" w:type="dxa"/>
            <w:vAlign w:val="bottom"/>
            <w:tcBorders>
              <w:left w:val="single" w:sz="8" w:color="auto"/>
            </w:tcBorders>
          </w:tcPr>
          <w:p>
            <w:pPr>
              <w:spacing w:after="0"/>
              <w:rPr>
                <w:sz w:val="5"/>
                <w:szCs w:val="5"/>
                <w:color w:val="auto"/>
              </w:rPr>
            </w:pPr>
          </w:p>
        </w:tc>
        <w:tc>
          <w:tcPr>
            <w:tcW w:w="4540" w:type="dxa"/>
            <w:vAlign w:val="bottom"/>
            <w:tcBorders>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jc w:val="right"/>
              <w:ind w:right="253"/>
              <w:spacing w:after="0" w:line="67" w:lineRule="exact"/>
              <w:rPr>
                <w:sz w:val="20"/>
                <w:szCs w:val="20"/>
                <w:color w:val="auto"/>
              </w:rPr>
            </w:pPr>
            <w:r>
              <w:rPr>
                <w:rFonts w:ascii="Arial" w:cs="Arial" w:eastAsia="Arial" w:hAnsi="Arial"/>
                <w:sz w:val="7"/>
                <w:szCs w:val="7"/>
                <w:color w:val="auto"/>
              </w:rPr>
              <w:t>3</w:t>
            </w:r>
          </w:p>
        </w:tc>
        <w:tc>
          <w:tcPr>
            <w:tcW w:w="60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tcBorders>
          </w:tcPr>
          <w:p>
            <w:pPr>
              <w:spacing w:after="0"/>
              <w:rPr>
                <w:sz w:val="17"/>
                <w:szCs w:val="17"/>
                <w:color w:val="auto"/>
              </w:rPr>
            </w:pPr>
          </w:p>
        </w:tc>
        <w:tc>
          <w:tcPr>
            <w:tcW w:w="454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l'exemption relative à une offre publique d'achat sont inscrites</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tcBorders>
          </w:tcPr>
          <w:p>
            <w:pPr>
              <w:spacing w:after="0"/>
              <w:rPr>
                <w:sz w:val="17"/>
                <w:szCs w:val="17"/>
                <w:color w:val="auto"/>
              </w:rPr>
            </w:pPr>
          </w:p>
        </w:tc>
        <w:tc>
          <w:tcPr>
            <w:tcW w:w="454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dans le registre des actions comme des actions sans droit de</w:t>
            </w:r>
          </w:p>
        </w:tc>
        <w:tc>
          <w:tcPr>
            <w:tcW w:w="0" w:type="dxa"/>
            <w:vAlign w:val="bottom"/>
          </w:tcPr>
          <w:p>
            <w:pPr>
              <w:spacing w:after="0"/>
              <w:rPr>
                <w:sz w:val="1"/>
                <w:szCs w:val="1"/>
                <w:color w:val="auto"/>
              </w:rPr>
            </w:pPr>
          </w:p>
        </w:tc>
      </w:tr>
      <w:tr>
        <w:trPr>
          <w:trHeight w:val="217"/>
        </w:trPr>
        <w:tc>
          <w:tcPr>
            <w:tcW w:w="1120" w:type="dxa"/>
            <w:vAlign w:val="bottom"/>
            <w:tcBorders>
              <w:left w:val="single" w:sz="8" w:color="auto"/>
            </w:tcBorders>
          </w:tcPr>
          <w:p>
            <w:pPr>
              <w:spacing w:after="0"/>
              <w:rPr>
                <w:sz w:val="18"/>
                <w:szCs w:val="18"/>
                <w:color w:val="auto"/>
              </w:rPr>
            </w:pPr>
          </w:p>
        </w:tc>
        <w:tc>
          <w:tcPr>
            <w:tcW w:w="4540" w:type="dxa"/>
            <w:vAlign w:val="bottom"/>
            <w:tcBorders>
              <w:right w:val="single" w:sz="8" w:color="auto"/>
            </w:tcBorders>
          </w:tcPr>
          <w:p>
            <w:pPr>
              <w:spacing w:after="0"/>
              <w:rPr>
                <w:sz w:val="18"/>
                <w:szCs w:val="18"/>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vote.</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For the purposes of this Article 4, "Controlled Shares" in reference</w:t>
            </w:r>
          </w:p>
        </w:tc>
        <w:tc>
          <w:tcPr>
            <w:tcW w:w="55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Aux fins du présent article 4, Actions Contrôlées signifie en</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to any individual or entity means:</w:t>
            </w:r>
          </w:p>
        </w:tc>
        <w:tc>
          <w:tcPr>
            <w:tcW w:w="55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référence à toute personne physique ou morale:</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  all shares of the Company directly, indirectly or constructively</w:t>
            </w:r>
          </w:p>
        </w:tc>
        <w:tc>
          <w:tcPr>
            <w:tcW w:w="55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   toutes actions directement, indirectement ou implicitement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620"/>
              <w:spacing w:after="0" w:line="202" w:lineRule="exact"/>
              <w:rPr>
                <w:sz w:val="20"/>
                <w:szCs w:val="20"/>
                <w:color w:val="auto"/>
              </w:rPr>
            </w:pPr>
            <w:r>
              <w:rPr>
                <w:rFonts w:ascii="Arial" w:cs="Arial" w:eastAsia="Arial" w:hAnsi="Arial"/>
                <w:sz w:val="18"/>
                <w:szCs w:val="18"/>
                <w:color w:val="auto"/>
              </w:rPr>
              <w:t>owned by such individual or entity; provided that</w:t>
            </w:r>
          </w:p>
        </w:tc>
        <w:tc>
          <w:tcPr>
            <w:tcW w:w="5580" w:type="dxa"/>
            <w:vAlign w:val="bottom"/>
            <w:tcBorders>
              <w:right w:val="single" w:sz="8" w:color="auto"/>
            </w:tcBorders>
            <w:gridSpan w:val="6"/>
          </w:tcPr>
          <w:p>
            <w:pPr>
              <w:jc w:val="right"/>
              <w:ind w:right="150"/>
              <w:spacing w:after="0" w:line="202" w:lineRule="exact"/>
              <w:rPr>
                <w:sz w:val="20"/>
                <w:szCs w:val="20"/>
                <w:color w:val="auto"/>
              </w:rPr>
            </w:pPr>
            <w:r>
              <w:rPr>
                <w:rFonts w:ascii="Arial" w:cs="Arial" w:eastAsia="Arial" w:hAnsi="Arial"/>
                <w:sz w:val="18"/>
                <w:szCs w:val="18"/>
                <w:color w:val="auto"/>
              </w:rPr>
              <w:t>détenues par cette personne physique ou morale, à condition</w:t>
            </w:r>
          </w:p>
        </w:tc>
        <w:tc>
          <w:tcPr>
            <w:tcW w:w="0" w:type="dxa"/>
            <w:vAlign w:val="bottom"/>
          </w:tcPr>
          <w:p>
            <w:pPr>
              <w:spacing w:after="0"/>
              <w:rPr>
                <w:sz w:val="1"/>
                <w:szCs w:val="1"/>
                <w:color w:val="auto"/>
              </w:rPr>
            </w:pPr>
          </w:p>
        </w:tc>
      </w:tr>
      <w:tr>
        <w:trPr>
          <w:trHeight w:val="217"/>
        </w:trPr>
        <w:tc>
          <w:tcPr>
            <w:tcW w:w="1120" w:type="dxa"/>
            <w:vAlign w:val="bottom"/>
            <w:tcBorders>
              <w:left w:val="single" w:sz="8" w:color="auto"/>
            </w:tcBorders>
            <w:vMerge w:val="restart"/>
          </w:tcPr>
          <w:p>
            <w:pPr>
              <w:ind w:left="620"/>
              <w:spacing w:after="0"/>
              <w:rPr>
                <w:sz w:val="20"/>
                <w:szCs w:val="20"/>
                <w:color w:val="auto"/>
              </w:rPr>
            </w:pPr>
            <w:r>
              <w:rPr>
                <w:rFonts w:ascii="Arial" w:cs="Arial" w:eastAsia="Arial" w:hAnsi="Arial"/>
                <w:sz w:val="18"/>
                <w:szCs w:val="18"/>
                <w:color w:val="auto"/>
              </w:rPr>
              <w:t>(i)</w:t>
            </w:r>
          </w:p>
        </w:tc>
        <w:tc>
          <w:tcPr>
            <w:tcW w:w="4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shares  owned,  directly  or  indirectly,  by  or  for  a</w:t>
            </w:r>
          </w:p>
        </w:tc>
        <w:tc>
          <w:tcPr>
            <w:tcW w:w="1180" w:type="dxa"/>
            <w:vAlign w:val="bottom"/>
          </w:tcPr>
          <w:p>
            <w:pPr>
              <w:ind w:left="460"/>
              <w:spacing w:after="0"/>
              <w:rPr>
                <w:sz w:val="20"/>
                <w:szCs w:val="20"/>
                <w:color w:val="auto"/>
              </w:rPr>
            </w:pPr>
            <w:r>
              <w:rPr>
                <w:rFonts w:ascii="Arial" w:cs="Arial" w:eastAsia="Arial" w:hAnsi="Arial"/>
                <w:sz w:val="18"/>
                <w:szCs w:val="18"/>
                <w:color w:val="auto"/>
              </w:rPr>
              <w:t>que</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20" w:type="dxa"/>
            <w:vAlign w:val="bottom"/>
            <w:tcBorders>
              <w:left w:val="single" w:sz="8" w:color="auto"/>
            </w:tcBorders>
            <w:vMerge w:val="continue"/>
          </w:tcPr>
          <w:p>
            <w:pPr>
              <w:spacing w:after="0"/>
              <w:rPr>
                <w:sz w:val="16"/>
                <w:szCs w:val="16"/>
                <w:color w:val="auto"/>
              </w:rPr>
            </w:pPr>
          </w:p>
        </w:tc>
        <w:tc>
          <w:tcPr>
            <w:tcW w:w="4540" w:type="dxa"/>
            <w:vAlign w:val="bottom"/>
            <w:tcBorders>
              <w:right w:val="single" w:sz="8" w:color="auto"/>
            </w:tcBorders>
            <w:vMerge w:val="continue"/>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1000"/>
              <w:spacing w:after="0" w:line="202" w:lineRule="exact"/>
              <w:rPr>
                <w:sz w:val="20"/>
                <w:szCs w:val="20"/>
                <w:color w:val="auto"/>
              </w:rPr>
            </w:pPr>
            <w:r>
              <w:rPr>
                <w:rFonts w:ascii="Arial" w:cs="Arial" w:eastAsia="Arial" w:hAnsi="Arial"/>
                <w:sz w:val="18"/>
                <w:szCs w:val="18"/>
                <w:color w:val="auto"/>
              </w:rPr>
              <w:t>partnership, or trust or estate will be considered as</w:t>
            </w:r>
          </w:p>
        </w:tc>
        <w:tc>
          <w:tcPr>
            <w:tcW w:w="5580" w:type="dxa"/>
            <w:vAlign w:val="bottom"/>
            <w:tcBorders>
              <w:right w:val="single" w:sz="8" w:color="auto"/>
            </w:tcBorders>
            <w:gridSpan w:val="6"/>
          </w:tcPr>
          <w:p>
            <w:pPr>
              <w:jc w:val="right"/>
              <w:ind w:right="150"/>
              <w:spacing w:after="0" w:line="202" w:lineRule="exact"/>
              <w:rPr>
                <w:sz w:val="20"/>
                <w:szCs w:val="20"/>
                <w:color w:val="auto"/>
              </w:rPr>
            </w:pPr>
            <w:r>
              <w:rPr>
                <w:rFonts w:ascii="Arial" w:cs="Arial" w:eastAsia="Arial" w:hAnsi="Arial"/>
                <w:sz w:val="18"/>
                <w:szCs w:val="18"/>
                <w:color w:val="auto"/>
              </w:rPr>
              <w:t>(i)   les actions détenues, directement ou indirectement, par</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1000"/>
              <w:spacing w:after="0" w:line="202" w:lineRule="exact"/>
              <w:rPr>
                <w:sz w:val="20"/>
                <w:szCs w:val="20"/>
                <w:color w:val="auto"/>
              </w:rPr>
            </w:pPr>
            <w:r>
              <w:rPr>
                <w:rFonts w:ascii="Arial" w:cs="Arial" w:eastAsia="Arial" w:hAnsi="Arial"/>
                <w:sz w:val="18"/>
                <w:szCs w:val="18"/>
                <w:color w:val="auto"/>
              </w:rPr>
              <w:t>being  owned  proportionately  by  its  partners,  or</w:t>
            </w:r>
          </w:p>
        </w:tc>
        <w:tc>
          <w:tcPr>
            <w:tcW w:w="5580" w:type="dxa"/>
            <w:vAlign w:val="bottom"/>
            <w:tcBorders>
              <w:right w:val="single" w:sz="8" w:color="auto"/>
            </w:tcBorders>
            <w:gridSpan w:val="6"/>
          </w:tcPr>
          <w:p>
            <w:pPr>
              <w:jc w:val="right"/>
              <w:ind w:right="150"/>
              <w:spacing w:after="0" w:line="202" w:lineRule="exact"/>
              <w:rPr>
                <w:sz w:val="20"/>
                <w:szCs w:val="20"/>
                <w:color w:val="auto"/>
              </w:rPr>
            </w:pPr>
            <w:r>
              <w:rPr>
                <w:rFonts w:ascii="Arial" w:cs="Arial" w:eastAsia="Arial" w:hAnsi="Arial"/>
                <w:sz w:val="18"/>
                <w:szCs w:val="18"/>
                <w:color w:val="auto"/>
              </w:rPr>
              <w:t>ou pour un partenariat, une fiducie ou une communauté</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1000"/>
              <w:spacing w:after="0" w:line="202" w:lineRule="exact"/>
              <w:rPr>
                <w:sz w:val="20"/>
                <w:szCs w:val="20"/>
                <w:color w:val="auto"/>
              </w:rPr>
            </w:pPr>
            <w:r>
              <w:rPr>
                <w:rFonts w:ascii="Arial" w:cs="Arial" w:eastAsia="Arial" w:hAnsi="Arial"/>
                <w:sz w:val="18"/>
                <w:szCs w:val="18"/>
                <w:color w:val="auto"/>
              </w:rPr>
              <w:t>beneficiaries; and</w:t>
            </w:r>
          </w:p>
        </w:tc>
        <w:tc>
          <w:tcPr>
            <w:tcW w:w="5580" w:type="dxa"/>
            <w:vAlign w:val="bottom"/>
            <w:tcBorders>
              <w:right w:val="single" w:sz="8" w:color="auto"/>
            </w:tcBorders>
            <w:gridSpan w:val="6"/>
          </w:tcPr>
          <w:p>
            <w:pPr>
              <w:jc w:val="right"/>
              <w:ind w:right="150"/>
              <w:spacing w:after="0" w:line="202" w:lineRule="exact"/>
              <w:rPr>
                <w:sz w:val="20"/>
                <w:szCs w:val="20"/>
                <w:color w:val="auto"/>
              </w:rPr>
            </w:pPr>
            <w:r>
              <w:rPr>
                <w:rFonts w:ascii="Arial" w:cs="Arial" w:eastAsia="Arial" w:hAnsi="Arial"/>
                <w:sz w:val="18"/>
                <w:szCs w:val="18"/>
                <w:color w:val="auto"/>
              </w:rPr>
              <w:t>d'héritiers  sont  considérées  comme  étant  détenues</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tcBorders>
          </w:tcPr>
          <w:p>
            <w:pPr>
              <w:spacing w:after="0"/>
              <w:rPr>
                <w:sz w:val="17"/>
                <w:szCs w:val="17"/>
                <w:color w:val="auto"/>
              </w:rPr>
            </w:pPr>
          </w:p>
        </w:tc>
        <w:tc>
          <w:tcPr>
            <w:tcW w:w="454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6"/>
          </w:tcPr>
          <w:p>
            <w:pPr>
              <w:jc w:val="right"/>
              <w:ind w:right="150"/>
              <w:spacing w:after="0" w:line="202" w:lineRule="exact"/>
              <w:rPr>
                <w:sz w:val="20"/>
                <w:szCs w:val="20"/>
                <w:color w:val="auto"/>
              </w:rPr>
            </w:pPr>
            <w:r>
              <w:rPr>
                <w:rFonts w:ascii="Arial" w:cs="Arial" w:eastAsia="Arial" w:hAnsi="Arial"/>
                <w:sz w:val="18"/>
                <w:szCs w:val="18"/>
                <w:color w:val="auto"/>
              </w:rPr>
              <w:t>proportionnellement   par   leurs   partenaires   ou</w:t>
            </w:r>
          </w:p>
        </w:tc>
        <w:tc>
          <w:tcPr>
            <w:tcW w:w="0" w:type="dxa"/>
            <w:vAlign w:val="bottom"/>
          </w:tcPr>
          <w:p>
            <w:pPr>
              <w:spacing w:after="0"/>
              <w:rPr>
                <w:sz w:val="1"/>
                <w:szCs w:val="1"/>
                <w:color w:val="auto"/>
              </w:rPr>
            </w:pPr>
          </w:p>
        </w:tc>
      </w:tr>
      <w:tr>
        <w:trPr>
          <w:trHeight w:val="217"/>
        </w:trPr>
        <w:tc>
          <w:tcPr>
            <w:tcW w:w="1120" w:type="dxa"/>
            <w:vAlign w:val="bottom"/>
            <w:tcBorders>
              <w:left w:val="single" w:sz="8" w:color="auto"/>
            </w:tcBorders>
            <w:vMerge w:val="restart"/>
          </w:tcPr>
          <w:p>
            <w:pPr>
              <w:ind w:left="620"/>
              <w:spacing w:after="0"/>
              <w:rPr>
                <w:sz w:val="20"/>
                <w:szCs w:val="20"/>
                <w:color w:val="auto"/>
              </w:rPr>
            </w:pPr>
            <w:r>
              <w:rPr>
                <w:rFonts w:ascii="Arial" w:cs="Arial" w:eastAsia="Arial" w:hAnsi="Arial"/>
                <w:sz w:val="18"/>
                <w:szCs w:val="18"/>
                <w:color w:val="auto"/>
              </w:rPr>
              <w:t>(ii)</w:t>
            </w:r>
          </w:p>
        </w:tc>
        <w:tc>
          <w:tcPr>
            <w:tcW w:w="45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shares owned,  directly  or  indirectly,  by  or  for  a</w:t>
            </w:r>
          </w:p>
        </w:tc>
        <w:tc>
          <w:tcPr>
            <w:tcW w:w="2460" w:type="dxa"/>
            <w:vAlign w:val="bottom"/>
            <w:gridSpan w:val="3"/>
          </w:tcPr>
          <w:p>
            <w:pPr>
              <w:ind w:left="860"/>
              <w:spacing w:after="0"/>
              <w:rPr>
                <w:sz w:val="20"/>
                <w:szCs w:val="20"/>
                <w:color w:val="auto"/>
              </w:rPr>
            </w:pPr>
            <w:r>
              <w:rPr>
                <w:rFonts w:ascii="Arial" w:cs="Arial" w:eastAsia="Arial" w:hAnsi="Arial"/>
                <w:sz w:val="18"/>
                <w:szCs w:val="18"/>
                <w:color w:val="auto"/>
              </w:rPr>
              <w:t>bénéficiaires; et</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20" w:type="dxa"/>
            <w:vAlign w:val="bottom"/>
            <w:tcBorders>
              <w:left w:val="single" w:sz="8" w:color="auto"/>
            </w:tcBorders>
            <w:vMerge w:val="continue"/>
          </w:tcPr>
          <w:p>
            <w:pPr>
              <w:spacing w:after="0"/>
              <w:rPr>
                <w:sz w:val="16"/>
                <w:szCs w:val="16"/>
                <w:color w:val="auto"/>
              </w:rPr>
            </w:pPr>
          </w:p>
        </w:tc>
        <w:tc>
          <w:tcPr>
            <w:tcW w:w="4540" w:type="dxa"/>
            <w:vAlign w:val="bottom"/>
            <w:tcBorders>
              <w:right w:val="single" w:sz="8" w:color="auto"/>
            </w:tcBorders>
            <w:vMerge w:val="continue"/>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1000"/>
              <w:spacing w:after="0" w:line="202" w:lineRule="exact"/>
              <w:rPr>
                <w:sz w:val="20"/>
                <w:szCs w:val="20"/>
                <w:color w:val="auto"/>
              </w:rPr>
            </w:pPr>
            <w:r>
              <w:rPr>
                <w:rFonts w:ascii="Arial" w:cs="Arial" w:eastAsia="Arial" w:hAnsi="Arial"/>
                <w:sz w:val="18"/>
                <w:szCs w:val="18"/>
                <w:color w:val="auto"/>
              </w:rPr>
              <w:t>corporation  will  be  considered  as  being  owned</w:t>
            </w:r>
          </w:p>
        </w:tc>
        <w:tc>
          <w:tcPr>
            <w:tcW w:w="5580" w:type="dxa"/>
            <w:vAlign w:val="bottom"/>
            <w:tcBorders>
              <w:right w:val="single" w:sz="8" w:color="auto"/>
            </w:tcBorders>
            <w:gridSpan w:val="6"/>
          </w:tcPr>
          <w:p>
            <w:pPr>
              <w:jc w:val="right"/>
              <w:ind w:right="150"/>
              <w:spacing w:after="0" w:line="202" w:lineRule="exact"/>
              <w:rPr>
                <w:sz w:val="20"/>
                <w:szCs w:val="20"/>
                <w:color w:val="auto"/>
              </w:rPr>
            </w:pPr>
            <w:r>
              <w:rPr>
                <w:rFonts w:ascii="Arial" w:cs="Arial" w:eastAsia="Arial" w:hAnsi="Arial"/>
                <w:sz w:val="18"/>
                <w:szCs w:val="18"/>
                <w:color w:val="auto"/>
              </w:rPr>
              <w:t>(ii)   les actions détenues, directement ou indirectement, par</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1000"/>
              <w:spacing w:after="0" w:line="202" w:lineRule="exact"/>
              <w:rPr>
                <w:sz w:val="20"/>
                <w:szCs w:val="20"/>
                <w:color w:val="auto"/>
              </w:rPr>
            </w:pPr>
            <w:r>
              <w:rPr>
                <w:rFonts w:ascii="Arial" w:cs="Arial" w:eastAsia="Arial" w:hAnsi="Arial"/>
                <w:sz w:val="18"/>
                <w:szCs w:val="18"/>
                <w:color w:val="auto"/>
              </w:rPr>
              <w:t>proportionately by any shareholder</w:t>
            </w:r>
          </w:p>
        </w:tc>
        <w:tc>
          <w:tcPr>
            <w:tcW w:w="5580" w:type="dxa"/>
            <w:vAlign w:val="bottom"/>
            <w:tcBorders>
              <w:right w:val="single" w:sz="8" w:color="auto"/>
            </w:tcBorders>
            <w:gridSpan w:val="6"/>
          </w:tcPr>
          <w:p>
            <w:pPr>
              <w:jc w:val="right"/>
              <w:ind w:right="150"/>
              <w:spacing w:after="0" w:line="202" w:lineRule="exact"/>
              <w:rPr>
                <w:sz w:val="20"/>
                <w:szCs w:val="20"/>
                <w:color w:val="auto"/>
              </w:rPr>
            </w:pPr>
            <w:r>
              <w:rPr>
                <w:rFonts w:ascii="Arial" w:cs="Arial" w:eastAsia="Arial" w:hAnsi="Arial"/>
                <w:sz w:val="18"/>
                <w:szCs w:val="18"/>
                <w:color w:val="auto"/>
              </w:rPr>
              <w:t>ou pour une société seront considérées comme étant</w:t>
            </w:r>
          </w:p>
        </w:tc>
        <w:tc>
          <w:tcPr>
            <w:tcW w:w="0" w:type="dxa"/>
            <w:vAlign w:val="bottom"/>
          </w:tcPr>
          <w:p>
            <w:pPr>
              <w:spacing w:after="0"/>
              <w:rPr>
                <w:sz w:val="1"/>
                <w:szCs w:val="1"/>
                <w:color w:val="auto"/>
              </w:rPr>
            </w:pPr>
          </w:p>
        </w:tc>
      </w:tr>
      <w:tr>
        <w:trPr>
          <w:trHeight w:val="217"/>
        </w:trPr>
        <w:tc>
          <w:tcPr>
            <w:tcW w:w="1120" w:type="dxa"/>
            <w:vAlign w:val="bottom"/>
            <w:tcBorders>
              <w:left w:val="single" w:sz="8" w:color="auto"/>
            </w:tcBorders>
          </w:tcPr>
          <w:p>
            <w:pPr>
              <w:spacing w:after="0"/>
              <w:rPr>
                <w:sz w:val="18"/>
                <w:szCs w:val="18"/>
                <w:color w:val="auto"/>
              </w:rPr>
            </w:pPr>
          </w:p>
        </w:tc>
        <w:tc>
          <w:tcPr>
            <w:tcW w:w="4540" w:type="dxa"/>
            <w:vAlign w:val="bottom"/>
            <w:tcBorders>
              <w:right w:val="single" w:sz="8" w:color="auto"/>
            </w:tcBorders>
          </w:tcPr>
          <w:p>
            <w:pPr>
              <w:spacing w:after="0"/>
              <w:rPr>
                <w:sz w:val="18"/>
                <w:szCs w:val="18"/>
                <w:color w:val="auto"/>
              </w:rPr>
            </w:pPr>
          </w:p>
        </w:tc>
        <w:tc>
          <w:tcPr>
            <w:tcW w:w="3640" w:type="dxa"/>
            <w:vAlign w:val="bottom"/>
            <w:gridSpan w:val="5"/>
          </w:tcPr>
          <w:p>
            <w:pPr>
              <w:ind w:left="860"/>
              <w:spacing w:after="0"/>
              <w:rPr>
                <w:sz w:val="20"/>
                <w:szCs w:val="20"/>
                <w:color w:val="auto"/>
              </w:rPr>
            </w:pPr>
            <w:r>
              <w:rPr>
                <w:rFonts w:ascii="Arial" w:cs="Arial" w:eastAsia="Arial" w:hAnsi="Arial"/>
                <w:sz w:val="18"/>
                <w:szCs w:val="18"/>
                <w:color w:val="auto"/>
              </w:rPr>
              <w:t>détenues proportionnellement</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120" w:type="dxa"/>
            <w:vAlign w:val="bottom"/>
            <w:tcBorders>
              <w:left w:val="single" w:sz="8" w:color="auto"/>
              <w:bottom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01" w:name="page202"/>
    <w:bookmarkEnd w:id="201"/>
    <w:p>
      <w:pPr>
        <w:ind w:left="10923"/>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85090</wp:posOffset>
            </wp:positionV>
            <wp:extent cx="7132320" cy="511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32320" cy="5117465"/>
                    </a:xfrm>
                    <a:prstGeom prst="rect">
                      <a:avLst/>
                    </a:prstGeom>
                    <a:noFill/>
                  </pic:spPr>
                </pic:pic>
              </a:graphicData>
            </a:graphic>
          </wp:anchor>
        </w:drawing>
      </w:r>
    </w:p>
    <w:p>
      <w:pPr>
        <w:sectPr>
          <w:pgSz w:w="11900" w:h="16838" w:orient="portrait"/>
          <w:cols w:equalWidth="0" w:num="1">
            <w:col w:w="11003"/>
          </w:cols>
          <w:pgMar w:left="557" w:top="250" w:right="339" w:bottom="1440" w:gutter="0" w:footer="0" w:header="0"/>
        </w:sectPr>
      </w:pPr>
    </w:p>
    <w:p>
      <w:pPr>
        <w:spacing w:after="0" w:line="214" w:lineRule="exact"/>
        <w:rPr>
          <w:sz w:val="20"/>
          <w:szCs w:val="20"/>
          <w:color w:val="auto"/>
        </w:rPr>
      </w:pPr>
    </w:p>
    <w:p>
      <w:pPr>
        <w:ind w:left="763" w:firstLine="3"/>
        <w:spacing w:after="0" w:line="246" w:lineRule="auto"/>
        <w:rPr>
          <w:sz w:val="20"/>
          <w:szCs w:val="20"/>
          <w:color w:val="auto"/>
        </w:rPr>
      </w:pPr>
      <w:r>
        <w:rPr>
          <w:rFonts w:ascii="Arial" w:cs="Arial" w:eastAsia="Arial" w:hAnsi="Arial"/>
          <w:sz w:val="18"/>
          <w:szCs w:val="18"/>
          <w:color w:val="auto"/>
        </w:rPr>
        <w:t>owning 50% or more of the outstanding voting shares of such corporation; and</w:t>
      </w:r>
    </w:p>
    <w:p>
      <w:pPr>
        <w:spacing w:after="0" w:line="183" w:lineRule="exact"/>
        <w:rPr>
          <w:sz w:val="20"/>
          <w:szCs w:val="20"/>
          <w:color w:val="auto"/>
        </w:rPr>
      </w:pPr>
    </w:p>
    <w:p>
      <w:pPr>
        <w:ind w:left="763" w:hanging="380"/>
        <w:spacing w:after="0" w:line="246" w:lineRule="auto"/>
        <w:tabs>
          <w:tab w:leader="none" w:pos="91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385" w:lineRule="exact"/>
        <w:rPr>
          <w:rFonts w:ascii="Arial" w:cs="Arial" w:eastAsia="Arial" w:hAnsi="Arial"/>
          <w:sz w:val="18"/>
          <w:szCs w:val="18"/>
          <w:color w:val="auto"/>
        </w:rPr>
      </w:pPr>
    </w:p>
    <w:p>
      <w:pPr>
        <w:ind w:left="383" w:hanging="383"/>
        <w:spacing w:after="0" w:line="246" w:lineRule="auto"/>
        <w:tabs>
          <w:tab w:leader="none" w:pos="50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shares of the Company directly, indirectly beneficially owned by such individual or entity; provided that</w:t>
      </w:r>
    </w:p>
    <w:p>
      <w:pPr>
        <w:spacing w:after="0" w:line="183" w:lineRule="exact"/>
        <w:rPr>
          <w:rFonts w:ascii="Arial" w:cs="Arial" w:eastAsia="Arial" w:hAnsi="Arial"/>
          <w:sz w:val="18"/>
          <w:szCs w:val="18"/>
          <w:color w:val="auto"/>
        </w:rPr>
      </w:pPr>
    </w:p>
    <w:p>
      <w:pPr>
        <w:ind w:left="763" w:hanging="380"/>
        <w:spacing w:after="0" w:line="238" w:lineRule="auto"/>
        <w:tabs>
          <w:tab w:leader="none" w:pos="69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191" w:lineRule="exact"/>
        <w:rPr>
          <w:rFonts w:ascii="Arial" w:cs="Arial" w:eastAsia="Arial" w:hAnsi="Arial"/>
          <w:sz w:val="18"/>
          <w:szCs w:val="18"/>
          <w:color w:val="auto"/>
        </w:rPr>
      </w:pPr>
    </w:p>
    <w:p>
      <w:pPr>
        <w:ind w:left="1143" w:right="20" w:hanging="377"/>
        <w:spacing w:after="0" w:line="246" w:lineRule="auto"/>
        <w:tabs>
          <w:tab w:leader="none" w:pos="113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183" w:lineRule="exact"/>
        <w:rPr>
          <w:rFonts w:ascii="Arial" w:cs="Arial" w:eastAsia="Arial" w:hAnsi="Arial"/>
          <w:sz w:val="18"/>
          <w:szCs w:val="18"/>
          <w:color w:val="auto"/>
        </w:rPr>
      </w:pPr>
    </w:p>
    <w:p>
      <w:pPr>
        <w:jc w:val="both"/>
        <w:ind w:left="1143" w:hanging="377"/>
        <w:spacing w:after="0"/>
        <w:tabs>
          <w:tab w:leader="none" w:pos="128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189" w:lineRule="exact"/>
        <w:rPr>
          <w:sz w:val="20"/>
          <w:szCs w:val="20"/>
          <w:color w:val="auto"/>
        </w:rPr>
      </w:pPr>
    </w:p>
    <w:p>
      <w:pPr>
        <w:jc w:val="both"/>
        <w:ind w:left="763" w:hanging="380"/>
        <w:spacing w:after="0" w:line="236" w:lineRule="auto"/>
        <w:tabs>
          <w:tab w:leader="none" w:pos="75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93" w:lineRule="exact"/>
        <w:rPr>
          <w:rFonts w:ascii="Arial" w:cs="Arial" w:eastAsia="Arial" w:hAnsi="Arial"/>
          <w:sz w:val="18"/>
          <w:szCs w:val="18"/>
          <w:color w:val="auto"/>
        </w:rPr>
      </w:pPr>
    </w:p>
    <w:p>
      <w:pPr>
        <w:jc w:val="both"/>
        <w:ind w:left="763" w:hanging="380"/>
        <w:spacing w:after="0" w:line="238" w:lineRule="auto"/>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368935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775" w:right="240" w:firstLine="72"/>
        <w:spacing w:after="0" w:line="246" w:lineRule="auto"/>
        <w:rPr>
          <w:sz w:val="20"/>
          <w:szCs w:val="20"/>
          <w:color w:val="auto"/>
        </w:rPr>
      </w:pPr>
      <w:r>
        <w:rPr>
          <w:rFonts w:ascii="Arial" w:cs="Arial" w:eastAsia="Arial" w:hAnsi="Arial"/>
          <w:sz w:val="18"/>
          <w:szCs w:val="18"/>
          <w:color w:val="auto"/>
        </w:rPr>
        <w:t>par tout actionnaire détenant 50% ou plus des actions avec droit de vote en circulation de cette société; et</w:t>
      </w:r>
    </w:p>
    <w:p>
      <w:pPr>
        <w:spacing w:after="0" w:line="183" w:lineRule="exact"/>
        <w:rPr>
          <w:sz w:val="20"/>
          <w:szCs w:val="20"/>
          <w:color w:val="auto"/>
        </w:rPr>
      </w:pPr>
    </w:p>
    <w:p>
      <w:pPr>
        <w:jc w:val="both"/>
        <w:ind w:left="775" w:right="240" w:hanging="392"/>
        <w:spacing w:after="0"/>
        <w:tabs>
          <w:tab w:leader="none" w:pos="98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les actions sujettes à des options, des bons de souscription ou autres droits semblables sont réputées être détenues; et</w:t>
      </w:r>
    </w:p>
    <w:p>
      <w:pPr>
        <w:spacing w:after="0" w:line="391" w:lineRule="exact"/>
        <w:rPr>
          <w:rFonts w:ascii="Arial" w:cs="Arial" w:eastAsia="Arial" w:hAnsi="Arial"/>
          <w:sz w:val="18"/>
          <w:szCs w:val="18"/>
          <w:color w:val="auto"/>
        </w:rPr>
      </w:pPr>
    </w:p>
    <w:p>
      <w:pPr>
        <w:jc w:val="both"/>
        <w:ind w:left="375" w:right="240" w:hanging="375"/>
        <w:spacing w:after="0"/>
        <w:tabs>
          <w:tab w:leader="none" w:pos="65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toutes actions de la société détenues directement, indirectement ou à son profit par cette personne physique ou morale, à condition que</w:t>
      </w:r>
    </w:p>
    <w:p>
      <w:pPr>
        <w:spacing w:after="0" w:line="189" w:lineRule="exact"/>
        <w:rPr>
          <w:rFonts w:ascii="Arial" w:cs="Arial" w:eastAsia="Arial" w:hAnsi="Arial"/>
          <w:sz w:val="18"/>
          <w:szCs w:val="18"/>
          <w:color w:val="auto"/>
        </w:rPr>
      </w:pPr>
    </w:p>
    <w:p>
      <w:pPr>
        <w:jc w:val="both"/>
        <w:ind w:left="775" w:right="240" w:hanging="392"/>
        <w:spacing w:after="0" w:line="238" w:lineRule="auto"/>
        <w:tabs>
          <w:tab w:leader="none" w:pos="104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un bénéficiaire effectif d'un titre comprend toute personne qui, directement ou indirectement, par le biais d'un contrat, d'un accord, d'une entente, d'une relation, ou autrement, seul ou avec d'autres personnes a ou partage:</w:t>
      </w:r>
    </w:p>
    <w:p>
      <w:pPr>
        <w:spacing w:after="0" w:line="188" w:lineRule="exact"/>
        <w:rPr>
          <w:rFonts w:ascii="Arial" w:cs="Arial" w:eastAsia="Arial" w:hAnsi="Arial"/>
          <w:sz w:val="18"/>
          <w:szCs w:val="18"/>
          <w:color w:val="auto"/>
        </w:rPr>
      </w:pPr>
    </w:p>
    <w:p>
      <w:pPr>
        <w:ind w:left="1155" w:right="240" w:hanging="389"/>
        <w:spacing w:after="0" w:line="246" w:lineRule="auto"/>
        <w:tabs>
          <w:tab w:leader="none" w:pos="1142" w:val="left"/>
        </w:tabs>
        <w:numPr>
          <w:ilvl w:val="2"/>
          <w:numId w:val="129"/>
        </w:numPr>
        <w:rPr>
          <w:rFonts w:ascii="Arial" w:cs="Arial" w:eastAsia="Arial" w:hAnsi="Arial"/>
          <w:sz w:val="18"/>
          <w:szCs w:val="18"/>
          <w:color w:val="auto"/>
        </w:rPr>
      </w:pPr>
      <w:r>
        <w:rPr>
          <w:rFonts w:ascii="Arial" w:cs="Arial" w:eastAsia="Arial" w:hAnsi="Arial"/>
          <w:sz w:val="18"/>
          <w:szCs w:val="18"/>
          <w:color w:val="auto"/>
        </w:rPr>
        <w:t>le pouvoir de voter, y compris le pouvoir de voter ou de diriger le vote d'un tel titre; et/ou</w:t>
      </w:r>
    </w:p>
    <w:p>
      <w:pPr>
        <w:spacing w:after="0" w:line="183" w:lineRule="exact"/>
        <w:rPr>
          <w:rFonts w:ascii="Arial" w:cs="Arial" w:eastAsia="Arial" w:hAnsi="Arial"/>
          <w:sz w:val="18"/>
          <w:szCs w:val="18"/>
          <w:color w:val="auto"/>
        </w:rPr>
      </w:pPr>
    </w:p>
    <w:p>
      <w:pPr>
        <w:ind w:left="1155" w:right="240" w:hanging="389"/>
        <w:spacing w:after="0" w:line="246" w:lineRule="auto"/>
        <w:tabs>
          <w:tab w:leader="none" w:pos="1334" w:val="left"/>
        </w:tabs>
        <w:numPr>
          <w:ilvl w:val="2"/>
          <w:numId w:val="129"/>
        </w:numPr>
        <w:rPr>
          <w:rFonts w:ascii="Arial" w:cs="Arial" w:eastAsia="Arial" w:hAnsi="Arial"/>
          <w:sz w:val="18"/>
          <w:szCs w:val="18"/>
          <w:color w:val="auto"/>
        </w:rPr>
      </w:pPr>
      <w:r>
        <w:rPr>
          <w:rFonts w:ascii="Arial" w:cs="Arial" w:eastAsia="Arial" w:hAnsi="Arial"/>
          <w:sz w:val="18"/>
          <w:szCs w:val="18"/>
          <w:color w:val="auto"/>
        </w:rPr>
        <w:t>le pouvoir d'investir, y compris le pouvoir de disposer ou de diriger la disposition d'un tel titre.</w:t>
      </w:r>
    </w:p>
    <w:p>
      <w:pPr>
        <w:spacing w:after="0" w:line="183" w:lineRule="exact"/>
        <w:rPr>
          <w:sz w:val="20"/>
          <w:szCs w:val="20"/>
          <w:color w:val="auto"/>
        </w:rPr>
      </w:pPr>
    </w:p>
    <w:p>
      <w:pPr>
        <w:jc w:val="both"/>
        <w:ind w:left="775" w:right="220" w:hanging="392"/>
        <w:spacing w:after="0" w:line="236" w:lineRule="auto"/>
        <w:tabs>
          <w:tab w:leader="none" w:pos="7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193" w:lineRule="exact"/>
        <w:rPr>
          <w:rFonts w:ascii="Arial" w:cs="Arial" w:eastAsia="Arial" w:hAnsi="Arial"/>
          <w:sz w:val="18"/>
          <w:szCs w:val="18"/>
          <w:color w:val="auto"/>
        </w:rPr>
      </w:pPr>
    </w:p>
    <w:p>
      <w:pPr>
        <w:jc w:val="both"/>
        <w:ind w:left="775" w:right="240" w:hanging="392"/>
        <w:spacing w:after="0" w:line="238" w:lineRule="auto"/>
        <w:tabs>
          <w:tab w:leader="none" w:pos="90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w:t>
      </w:r>
    </w:p>
    <w:p>
      <w:pPr>
        <w:sectPr>
          <w:pgSz w:w="11900" w:h="16838" w:orient="portrait"/>
          <w:cols w:equalWidth="0" w:num="2">
            <w:col w:w="5283" w:space="225"/>
            <w:col w:w="5495"/>
          </w:cols>
          <w:pgMar w:left="557" w:top="250" w:right="339" w:bottom="1440" w:gutter="0" w:footer="0" w:header="0"/>
          <w:type w:val="continuous"/>
        </w:sectPr>
      </w:pPr>
    </w:p>
    <w:bookmarkStart w:id="202" w:name="page203"/>
    <w:bookmarkEnd w:id="202"/>
    <w:p>
      <w:pPr>
        <w:jc w:val="right"/>
        <w:spacing w:after="0"/>
        <w:rPr>
          <w:sz w:val="20"/>
          <w:szCs w:val="20"/>
          <w:color w:val="auto"/>
        </w:rPr>
      </w:pPr>
      <w:r>
        <w:rPr>
          <w:rFonts w:ascii="Arial" w:cs="Arial" w:eastAsia="Arial" w:hAnsi="Arial"/>
          <w:sz w:val="16"/>
          <w:szCs w:val="16"/>
          <w:color w:val="auto"/>
        </w:rPr>
        <w:t>9</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940" w:type="dxa"/>
            <w:vAlign w:val="bottom"/>
            <w:tcBorders>
              <w:top w:val="single" w:sz="8" w:color="auto"/>
              <w:left w:val="single" w:sz="8" w:color="auto"/>
            </w:tcBorders>
          </w:tcPr>
          <w:p>
            <w:pPr>
              <w:spacing w:after="0"/>
              <w:rPr>
                <w:sz w:val="24"/>
                <w:szCs w:val="24"/>
                <w:color w:val="auto"/>
              </w:rPr>
            </w:pPr>
          </w:p>
        </w:tc>
        <w:tc>
          <w:tcPr>
            <w:tcW w:w="4720" w:type="dxa"/>
            <w:vAlign w:val="bottom"/>
            <w:tcBorders>
              <w:top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conversion of a security; (C) pursuant to the power to</w:t>
            </w:r>
          </w:p>
        </w:tc>
        <w:tc>
          <w:tcPr>
            <w:tcW w:w="820" w:type="dxa"/>
            <w:vAlign w:val="bottom"/>
            <w:tcBorders>
              <w:top w:val="single" w:sz="8" w:color="auto"/>
            </w:tcBorders>
          </w:tcPr>
          <w:p>
            <w:pPr>
              <w:spacing w:after="0"/>
              <w:rPr>
                <w:sz w:val="24"/>
                <w:szCs w:val="24"/>
                <w:color w:val="auto"/>
              </w:rPr>
            </w:pPr>
          </w:p>
        </w:tc>
        <w:tc>
          <w:tcPr>
            <w:tcW w:w="4760" w:type="dxa"/>
            <w:vAlign w:val="bottom"/>
            <w:tcBorders>
              <w:top w:val="single" w:sz="8" w:color="auto"/>
              <w:right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9"/>
              </w:rPr>
              <w:t>souscription; (B) par la conversion d'un titre; (C) en vertu</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revoke  a  trust,  discretionary  account,  or  similar</w:t>
            </w:r>
          </w:p>
        </w:tc>
        <w:tc>
          <w:tcPr>
            <w:tcW w:w="820" w:type="dxa"/>
            <w:vAlign w:val="bottom"/>
          </w:tcPr>
          <w:p>
            <w:pPr>
              <w:spacing w:after="0"/>
              <w:rPr>
                <w:sz w:val="17"/>
                <w:szCs w:val="17"/>
                <w:color w:val="auto"/>
              </w:rPr>
            </w:pPr>
          </w:p>
        </w:tc>
        <w:tc>
          <w:tcPr>
            <w:tcW w:w="4760" w:type="dxa"/>
            <w:vAlign w:val="bottom"/>
            <w:tcBorders>
              <w:right w:val="single" w:sz="8" w:color="auto"/>
            </w:tcBorders>
            <w:gridSpan w:val="4"/>
          </w:tcPr>
          <w:p>
            <w:pPr>
              <w:jc w:val="right"/>
              <w:ind w:right="130"/>
              <w:spacing w:after="0" w:line="202" w:lineRule="exact"/>
              <w:rPr>
                <w:sz w:val="20"/>
                <w:szCs w:val="20"/>
                <w:color w:val="auto"/>
              </w:rPr>
            </w:pPr>
            <w:r>
              <w:rPr>
                <w:rFonts w:ascii="Arial" w:cs="Arial" w:eastAsia="Arial" w:hAnsi="Arial"/>
                <w:sz w:val="18"/>
                <w:szCs w:val="18"/>
                <w:color w:val="auto"/>
              </w:rPr>
              <w:t>du   pouvoir   de   révoquer   une   fiducie,   compte</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jc w:val="right"/>
              <w:ind w:right="57"/>
              <w:spacing w:after="0" w:line="202" w:lineRule="exact"/>
              <w:rPr>
                <w:sz w:val="20"/>
                <w:szCs w:val="20"/>
                <w:color w:val="auto"/>
              </w:rPr>
            </w:pPr>
            <w:r>
              <w:rPr>
                <w:rFonts w:ascii="Arial" w:cs="Arial" w:eastAsia="Arial" w:hAnsi="Arial"/>
                <w:sz w:val="18"/>
                <w:szCs w:val="18"/>
                <w:color w:val="auto"/>
              </w:rPr>
              <w:t>arrangement;  or  (D)  pursuant  to  the  automatic</w:t>
            </w:r>
          </w:p>
        </w:tc>
        <w:tc>
          <w:tcPr>
            <w:tcW w:w="820" w:type="dxa"/>
            <w:vAlign w:val="bottom"/>
          </w:tcPr>
          <w:p>
            <w:pPr>
              <w:spacing w:after="0"/>
              <w:rPr>
                <w:sz w:val="17"/>
                <w:szCs w:val="17"/>
                <w:color w:val="auto"/>
              </w:rPr>
            </w:pPr>
          </w:p>
        </w:tc>
        <w:tc>
          <w:tcPr>
            <w:tcW w:w="4760" w:type="dxa"/>
            <w:vAlign w:val="bottom"/>
            <w:tcBorders>
              <w:right w:val="single" w:sz="8" w:color="auto"/>
            </w:tcBorders>
            <w:gridSpan w:val="4"/>
          </w:tcPr>
          <w:p>
            <w:pPr>
              <w:jc w:val="right"/>
              <w:ind w:right="150"/>
              <w:spacing w:after="0" w:line="202" w:lineRule="exact"/>
              <w:rPr>
                <w:sz w:val="20"/>
                <w:szCs w:val="20"/>
                <w:color w:val="auto"/>
              </w:rPr>
            </w:pPr>
            <w:r>
              <w:rPr>
                <w:rFonts w:ascii="Arial" w:cs="Arial" w:eastAsia="Arial" w:hAnsi="Arial"/>
                <w:sz w:val="18"/>
                <w:szCs w:val="18"/>
                <w:color w:val="auto"/>
              </w:rPr>
              <w:t>discrétionnaire   ou   accord   semblable;   ou   (D)</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termination of a trust, discretionary account or similar</w:t>
            </w:r>
          </w:p>
        </w:tc>
        <w:tc>
          <w:tcPr>
            <w:tcW w:w="820" w:type="dxa"/>
            <w:vAlign w:val="bottom"/>
          </w:tcPr>
          <w:p>
            <w:pPr>
              <w:spacing w:after="0"/>
              <w:rPr>
                <w:sz w:val="17"/>
                <w:szCs w:val="17"/>
                <w:color w:val="auto"/>
              </w:rPr>
            </w:pPr>
          </w:p>
        </w:tc>
        <w:tc>
          <w:tcPr>
            <w:tcW w:w="4760" w:type="dxa"/>
            <w:vAlign w:val="bottom"/>
            <w:tcBorders>
              <w:right w:val="single" w:sz="8" w:color="auto"/>
            </w:tcBorders>
            <w:gridSpan w:val="4"/>
          </w:tcPr>
          <w:p>
            <w:pPr>
              <w:jc w:val="right"/>
              <w:ind w:right="150"/>
              <w:spacing w:after="0" w:line="202" w:lineRule="exact"/>
              <w:rPr>
                <w:sz w:val="20"/>
                <w:szCs w:val="20"/>
                <w:color w:val="auto"/>
              </w:rPr>
            </w:pPr>
            <w:r>
              <w:rPr>
                <w:rFonts w:ascii="Arial" w:cs="Arial" w:eastAsia="Arial" w:hAnsi="Arial"/>
                <w:sz w:val="18"/>
                <w:szCs w:val="18"/>
                <w:color w:val="auto"/>
              </w:rPr>
              <w:t>conformément à la résiliation automatique d'une fiducie,</w:t>
            </w:r>
          </w:p>
        </w:tc>
        <w:tc>
          <w:tcPr>
            <w:tcW w:w="0" w:type="dxa"/>
            <w:vAlign w:val="bottom"/>
          </w:tcPr>
          <w:p>
            <w:pPr>
              <w:spacing w:after="0"/>
              <w:rPr>
                <w:sz w:val="1"/>
                <w:szCs w:val="1"/>
                <w:color w:val="auto"/>
              </w:rPr>
            </w:pPr>
          </w:p>
        </w:tc>
      </w:tr>
      <w:tr>
        <w:trPr>
          <w:trHeight w:val="217"/>
        </w:trPr>
        <w:tc>
          <w:tcPr>
            <w:tcW w:w="940" w:type="dxa"/>
            <w:vAlign w:val="bottom"/>
            <w:tcBorders>
              <w:left w:val="single" w:sz="8" w:color="auto"/>
            </w:tcBorders>
          </w:tcPr>
          <w:p>
            <w:pPr>
              <w:spacing w:after="0"/>
              <w:rPr>
                <w:sz w:val="18"/>
                <w:szCs w:val="18"/>
                <w:color w:val="auto"/>
              </w:rPr>
            </w:pPr>
          </w:p>
        </w:tc>
        <w:tc>
          <w:tcPr>
            <w:tcW w:w="4720" w:type="dxa"/>
            <w:vAlign w:val="bottom"/>
            <w:tcBorders>
              <w:right w:val="single" w:sz="8" w:color="auto"/>
            </w:tcBorders>
          </w:tcPr>
          <w:p>
            <w:pPr>
              <w:jc w:val="right"/>
              <w:ind w:right="3497"/>
              <w:spacing w:after="0"/>
              <w:rPr>
                <w:sz w:val="20"/>
                <w:szCs w:val="20"/>
                <w:color w:val="auto"/>
              </w:rPr>
            </w:pPr>
            <w:r>
              <w:rPr>
                <w:rFonts w:ascii="Arial" w:cs="Arial" w:eastAsia="Arial" w:hAnsi="Arial"/>
                <w:sz w:val="18"/>
                <w:szCs w:val="18"/>
                <w:color w:val="auto"/>
              </w:rPr>
              <w:t>arrangement.</w:t>
            </w:r>
          </w:p>
        </w:tc>
        <w:tc>
          <w:tcPr>
            <w:tcW w:w="820" w:type="dxa"/>
            <w:vAlign w:val="bottom"/>
          </w:tcPr>
          <w:p>
            <w:pPr>
              <w:spacing w:after="0"/>
              <w:rPr>
                <w:sz w:val="18"/>
                <w:szCs w:val="18"/>
                <w:color w:val="auto"/>
              </w:rPr>
            </w:pPr>
          </w:p>
        </w:tc>
        <w:tc>
          <w:tcPr>
            <w:tcW w:w="4760" w:type="dxa"/>
            <w:vAlign w:val="bottom"/>
            <w:tcBorders>
              <w:right w:val="single" w:sz="8" w:color="auto"/>
            </w:tcBorders>
            <w:gridSpan w:val="4"/>
          </w:tcPr>
          <w:p>
            <w:pPr>
              <w:jc w:val="right"/>
              <w:ind w:right="1070"/>
              <w:spacing w:after="0"/>
              <w:rPr>
                <w:sz w:val="20"/>
                <w:szCs w:val="20"/>
                <w:color w:val="auto"/>
              </w:rPr>
            </w:pPr>
            <w:r>
              <w:rPr>
                <w:rFonts w:ascii="Arial" w:cs="Arial" w:eastAsia="Arial" w:hAnsi="Arial"/>
                <w:sz w:val="18"/>
                <w:szCs w:val="18"/>
                <w:color w:val="auto"/>
              </w:rPr>
              <w:t>compte discrétionnaire ou accord semblable.</w:t>
            </w:r>
          </w:p>
        </w:tc>
        <w:tc>
          <w:tcPr>
            <w:tcW w:w="0" w:type="dxa"/>
            <w:vAlign w:val="bottom"/>
          </w:tcPr>
          <w:p>
            <w:pPr>
              <w:spacing w:after="0"/>
              <w:rPr>
                <w:sz w:val="1"/>
                <w:szCs w:val="1"/>
                <w:color w:val="auto"/>
              </w:rPr>
            </w:pPr>
          </w:p>
        </w:tc>
      </w:tr>
      <w:tr>
        <w:trPr>
          <w:trHeight w:val="392"/>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 xml:space="preserve">The limit of 33 </w:t>
            </w:r>
            <w:r>
              <w:rPr>
                <w:rFonts w:ascii="Arial" w:cs="Arial" w:eastAsia="Arial" w:hAnsi="Arial"/>
                <w:sz w:val="29"/>
                <w:szCs w:val="29"/>
                <w:color w:val="auto"/>
                <w:vertAlign w:val="superscript"/>
              </w:rPr>
              <w:t>1</w:t>
            </w:r>
            <w:r>
              <w:rPr>
                <w:rFonts w:ascii="Arial" w:cs="Arial" w:eastAsia="Arial" w:hAnsi="Arial"/>
                <w:sz w:val="18"/>
                <w:szCs w:val="18"/>
                <w:color w:val="auto"/>
              </w:rPr>
              <w:t>/  % of the registered share capital also applies to</w:t>
            </w:r>
          </w:p>
        </w:tc>
        <w:tc>
          <w:tcPr>
            <w:tcW w:w="820" w:type="dxa"/>
            <w:vAlign w:val="bottom"/>
          </w:tcPr>
          <w:p>
            <w:pPr>
              <w:ind w:left="80"/>
              <w:spacing w:after="0"/>
              <w:rPr>
                <w:sz w:val="20"/>
                <w:szCs w:val="20"/>
                <w:color w:val="auto"/>
              </w:rPr>
            </w:pPr>
            <w:r>
              <w:rPr>
                <w:rFonts w:ascii="Arial" w:cs="Arial" w:eastAsia="Arial" w:hAnsi="Arial"/>
                <w:sz w:val="18"/>
                <w:szCs w:val="18"/>
                <w:color w:val="auto"/>
              </w:rPr>
              <w:t>La limite</w:t>
            </w:r>
          </w:p>
        </w:tc>
        <w:tc>
          <w:tcPr>
            <w:tcW w:w="640" w:type="dxa"/>
            <w:vAlign w:val="bottom"/>
          </w:tcPr>
          <w:p>
            <w:pPr>
              <w:ind w:left="100"/>
              <w:spacing w:after="0"/>
              <w:rPr>
                <w:sz w:val="20"/>
                <w:szCs w:val="20"/>
                <w:color w:val="auto"/>
              </w:rPr>
            </w:pPr>
            <w:r>
              <w:rPr>
                <w:rFonts w:ascii="Arial" w:cs="Arial" w:eastAsia="Arial" w:hAnsi="Arial"/>
                <w:sz w:val="18"/>
                <w:szCs w:val="18"/>
                <w:color w:val="auto"/>
              </w:rPr>
              <w:t>de 33</w:t>
            </w:r>
          </w:p>
        </w:tc>
        <w:tc>
          <w:tcPr>
            <w:tcW w:w="200" w:type="dxa"/>
            <w:vAlign w:val="bottom"/>
          </w:tcPr>
          <w:p>
            <w:pPr>
              <w:jc w:val="right"/>
              <w:spacing w:after="0" w:line="391" w:lineRule="exact"/>
              <w:rPr>
                <w:sz w:val="20"/>
                <w:szCs w:val="20"/>
                <w:color w:val="auto"/>
              </w:rPr>
            </w:pPr>
            <w:r>
              <w:rPr>
                <w:rFonts w:ascii="Arial" w:cs="Arial" w:eastAsia="Arial" w:hAnsi="Arial"/>
                <w:sz w:val="15"/>
                <w:szCs w:val="15"/>
                <w:color w:val="auto"/>
              </w:rPr>
              <w:t>1</w:t>
            </w:r>
            <w:r>
              <w:rPr>
                <w:rFonts w:ascii="Arial" w:cs="Arial" w:eastAsia="Arial" w:hAnsi="Arial"/>
                <w:sz w:val="35"/>
                <w:szCs w:val="35"/>
                <w:color w:val="auto"/>
                <w:vertAlign w:val="subscript"/>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3</w:t>
            </w:r>
          </w:p>
        </w:tc>
        <w:tc>
          <w:tcPr>
            <w:tcW w:w="38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 du capital-actions nominatif s'applique</w:t>
            </w:r>
          </w:p>
        </w:tc>
        <w:tc>
          <w:tcPr>
            <w:tcW w:w="0" w:type="dxa"/>
            <w:vAlign w:val="bottom"/>
          </w:tcPr>
          <w:p>
            <w:pPr>
              <w:spacing w:after="0"/>
              <w:rPr>
                <w:sz w:val="1"/>
                <w:szCs w:val="1"/>
                <w:color w:val="auto"/>
              </w:rPr>
            </w:pPr>
          </w:p>
        </w:tc>
      </w:tr>
      <w:tr>
        <w:trPr>
          <w:trHeight w:val="67"/>
        </w:trPr>
        <w:tc>
          <w:tcPr>
            <w:tcW w:w="940" w:type="dxa"/>
            <w:vAlign w:val="bottom"/>
            <w:tcBorders>
              <w:left w:val="single" w:sz="8" w:color="auto"/>
            </w:tcBorders>
          </w:tcPr>
          <w:p>
            <w:pPr>
              <w:spacing w:after="0"/>
              <w:rPr>
                <w:sz w:val="5"/>
                <w:szCs w:val="5"/>
                <w:color w:val="auto"/>
              </w:rPr>
            </w:pPr>
          </w:p>
        </w:tc>
        <w:tc>
          <w:tcPr>
            <w:tcW w:w="4720" w:type="dxa"/>
            <w:vAlign w:val="bottom"/>
            <w:tcBorders>
              <w:right w:val="single" w:sz="8" w:color="auto"/>
            </w:tcBorders>
          </w:tcPr>
          <w:p>
            <w:pPr>
              <w:jc w:val="right"/>
              <w:ind w:right="3937"/>
              <w:spacing w:after="0" w:line="67" w:lineRule="exact"/>
              <w:rPr>
                <w:sz w:val="20"/>
                <w:szCs w:val="20"/>
                <w:color w:val="auto"/>
              </w:rPr>
            </w:pPr>
            <w:r>
              <w:rPr>
                <w:rFonts w:ascii="Arial" w:cs="Arial" w:eastAsia="Arial" w:hAnsi="Arial"/>
                <w:sz w:val="7"/>
                <w:szCs w:val="7"/>
                <w:color w:val="auto"/>
              </w:rPr>
              <w:t>3</w:t>
            </w: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3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subscription  for,  or  acquisition  of,  registered  shares  by</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également à la souscription ou l'acquisition d'actions nominatives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exercising option or convertible rights arising from registered or</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par l'exercice d'options ou de droits convertibles découlant de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bearer securities or any other securities issued by the Company</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titres nominatifs ou au porteur ou d'autres titres émis par la</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or third parties, as well as by means of exercising purchased</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société ou par des tiers, ainsi que par le biais de l'exercice de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preemptive rights arising from either registered or bearer shares.</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droits de souscription préférentiels achetés découlant d'actions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3" w:lineRule="exact"/>
              <w:rPr>
                <w:sz w:val="20"/>
                <w:szCs w:val="20"/>
                <w:color w:val="auto"/>
              </w:rPr>
            </w:pPr>
            <w:r>
              <w:rPr>
                <w:rFonts w:ascii="Arial" w:cs="Arial" w:eastAsia="Arial" w:hAnsi="Arial"/>
                <w:sz w:val="15"/>
                <w:szCs w:val="15"/>
                <w:color w:val="auto"/>
              </w:rPr>
              <w:t xml:space="preserve">The registered shares exceeding the limit 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shall be</w:t>
            </w:r>
          </w:p>
        </w:tc>
        <w:tc>
          <w:tcPr>
            <w:tcW w:w="5580" w:type="dxa"/>
            <w:vAlign w:val="bottom"/>
            <w:tcBorders>
              <w:right w:val="single" w:sz="8" w:color="auto"/>
            </w:tcBorders>
            <w:gridSpan w:val="5"/>
          </w:tcPr>
          <w:p>
            <w:pPr>
              <w:ind w:left="80"/>
              <w:spacing w:after="0" w:line="203" w:lineRule="exact"/>
              <w:rPr>
                <w:sz w:val="20"/>
                <w:szCs w:val="20"/>
                <w:color w:val="auto"/>
              </w:rPr>
            </w:pPr>
            <w:r>
              <w:rPr>
                <w:rFonts w:ascii="Arial" w:cs="Arial" w:eastAsia="Arial" w:hAnsi="Arial"/>
                <w:sz w:val="18"/>
                <w:szCs w:val="18"/>
                <w:color w:val="auto"/>
              </w:rPr>
              <w:t>nominatives ou au porteur. Les actions nominatives dépassant la</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entered in the share register as shares without voting rights.</w:t>
            </w:r>
          </w:p>
        </w:tc>
        <w:tc>
          <w:tcPr>
            <w:tcW w:w="820" w:type="dxa"/>
            <w:vAlign w:val="bottom"/>
          </w:tcPr>
          <w:p>
            <w:pPr>
              <w:ind w:left="80"/>
              <w:spacing w:after="0" w:line="202" w:lineRule="exact"/>
              <w:rPr>
                <w:sz w:val="20"/>
                <w:szCs w:val="20"/>
                <w:color w:val="auto"/>
              </w:rPr>
            </w:pPr>
            <w:r>
              <w:rPr>
                <w:rFonts w:ascii="Arial" w:cs="Arial" w:eastAsia="Arial" w:hAnsi="Arial"/>
                <w:sz w:val="18"/>
                <w:szCs w:val="18"/>
                <w:color w:val="auto"/>
              </w:rPr>
              <w:t>limite de</w:t>
            </w:r>
          </w:p>
        </w:tc>
        <w:tc>
          <w:tcPr>
            <w:tcW w:w="640" w:type="dxa"/>
            <w:vAlign w:val="bottom"/>
          </w:tcPr>
          <w:p>
            <w:pPr>
              <w:ind w:left="80"/>
              <w:spacing w:after="0" w:line="202" w:lineRule="exact"/>
              <w:rPr>
                <w:sz w:val="20"/>
                <w:szCs w:val="20"/>
                <w:color w:val="auto"/>
              </w:rPr>
            </w:pPr>
            <w:r>
              <w:rPr>
                <w:rFonts w:ascii="Arial" w:cs="Arial" w:eastAsia="Arial" w:hAnsi="Arial"/>
                <w:sz w:val="15"/>
                <w:szCs w:val="15"/>
                <w:color w:val="auto"/>
              </w:rPr>
              <w:t xml:space="preserve">33 </w:t>
            </w:r>
            <w:r>
              <w:rPr>
                <w:rFonts w:ascii="Arial" w:cs="Arial" w:eastAsia="Arial" w:hAnsi="Arial"/>
                <w:sz w:val="23"/>
                <w:szCs w:val="23"/>
                <w:color w:val="auto"/>
                <w:vertAlign w:val="superscript"/>
              </w:rPr>
              <w:t>1</w:t>
            </w:r>
            <w:r>
              <w:rPr>
                <w:rFonts w:ascii="Arial" w:cs="Arial" w:eastAsia="Arial" w:hAnsi="Arial"/>
                <w:sz w:val="15"/>
                <w:szCs w:val="15"/>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82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sont inscrites dans le registre des actions</w:t>
            </w:r>
          </w:p>
        </w:tc>
        <w:tc>
          <w:tcPr>
            <w:tcW w:w="0" w:type="dxa"/>
            <w:vAlign w:val="bottom"/>
          </w:tcPr>
          <w:p>
            <w:pPr>
              <w:spacing w:after="0"/>
              <w:rPr>
                <w:sz w:val="1"/>
                <w:szCs w:val="1"/>
                <w:color w:val="auto"/>
              </w:rPr>
            </w:pPr>
          </w:p>
        </w:tc>
      </w:tr>
      <w:tr>
        <w:trPr>
          <w:trHeight w:val="67"/>
        </w:trPr>
        <w:tc>
          <w:tcPr>
            <w:tcW w:w="5660" w:type="dxa"/>
            <w:vAlign w:val="bottom"/>
            <w:tcBorders>
              <w:left w:val="single" w:sz="8" w:color="auto"/>
              <w:right w:val="single" w:sz="8" w:color="auto"/>
            </w:tcBorders>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ind w:left="500"/>
              <w:spacing w:after="0" w:line="67" w:lineRule="exact"/>
              <w:rPr>
                <w:sz w:val="20"/>
                <w:szCs w:val="20"/>
                <w:color w:val="auto"/>
              </w:rPr>
            </w:pPr>
            <w:r>
              <w:rPr>
                <w:rFonts w:ascii="Arial" w:cs="Arial" w:eastAsia="Arial" w:hAnsi="Arial"/>
                <w:sz w:val="7"/>
                <w:szCs w:val="7"/>
                <w:color w:val="auto"/>
              </w:rPr>
              <w:t>3</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940" w:type="dxa"/>
            <w:vAlign w:val="bottom"/>
            <w:tcBorders>
              <w:lef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comme des actions sans droit de vote.</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Board of Directors may in special cases approve exceptions</w:t>
            </w:r>
          </w:p>
        </w:tc>
        <w:tc>
          <w:tcPr>
            <w:tcW w:w="55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Le  conseil  d'administration  peut  dans  des  cas  particuliers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to the above regulations. The Board of Directors is in addition</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approuver des exceptions aux règles précitées. Il est en outre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authorized, after due consultation with the person concerned, to</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autorisé, après consultation avec la personne concernée, de</w:t>
            </w:r>
          </w:p>
        </w:tc>
        <w:tc>
          <w:tcPr>
            <w:tcW w:w="0" w:type="dxa"/>
            <w:vAlign w:val="bottom"/>
          </w:tcPr>
          <w:p>
            <w:pPr>
              <w:spacing w:after="0"/>
              <w:rPr>
                <w:sz w:val="1"/>
                <w:szCs w:val="1"/>
                <w:color w:val="auto"/>
              </w:rPr>
            </w:pPr>
          </w:p>
        </w:tc>
      </w:tr>
      <w:tr>
        <w:trPr>
          <w:trHeight w:val="202"/>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delete with retroactive effect entries in the share register which</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supprimer avec effet rétroactif des inscriptions du registre des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were effected on the basis of false information.</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actions  qui  ont  été  effectuées  sur  la  base  de  fausses</w:t>
            </w:r>
          </w:p>
        </w:tc>
        <w:tc>
          <w:tcPr>
            <w:tcW w:w="0" w:type="dxa"/>
            <w:vAlign w:val="bottom"/>
          </w:tcPr>
          <w:p>
            <w:pPr>
              <w:spacing w:after="0"/>
              <w:rPr>
                <w:sz w:val="1"/>
                <w:szCs w:val="1"/>
                <w:color w:val="auto"/>
              </w:rPr>
            </w:pPr>
          </w:p>
        </w:tc>
      </w:tr>
      <w:tr>
        <w:trPr>
          <w:trHeight w:val="217"/>
        </w:trPr>
        <w:tc>
          <w:tcPr>
            <w:tcW w:w="940" w:type="dxa"/>
            <w:vAlign w:val="bottom"/>
            <w:tcBorders>
              <w:lef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informations.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7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9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5</w:t>
            </w:r>
          </w:p>
        </w:tc>
        <w:tc>
          <w:tcPr>
            <w:tcW w:w="4720" w:type="dxa"/>
            <w:vAlign w:val="bottom"/>
            <w:tcBorders>
              <w:right w:val="single" w:sz="8" w:color="auto"/>
            </w:tcBorders>
          </w:tcPr>
          <w:p>
            <w:pPr>
              <w:jc w:val="right"/>
              <w:ind w:right="2637"/>
              <w:spacing w:after="0"/>
              <w:rPr>
                <w:sz w:val="20"/>
                <w:szCs w:val="20"/>
                <w:color w:val="auto"/>
              </w:rPr>
            </w:pPr>
            <w:r>
              <w:rPr>
                <w:rFonts w:ascii="Arial" w:cs="Arial" w:eastAsia="Arial" w:hAnsi="Arial"/>
                <w:sz w:val="18"/>
                <w:szCs w:val="18"/>
                <w:b w:val="1"/>
                <w:bCs w:val="1"/>
                <w:color w:val="auto"/>
              </w:rPr>
              <w:t>Share Certificates and</w:t>
            </w: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Art. 5</w:t>
            </w:r>
          </w:p>
        </w:tc>
        <w:tc>
          <w:tcPr>
            <w:tcW w:w="476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Certificats d'actions et titres</w:t>
            </w:r>
          </w:p>
        </w:tc>
        <w:tc>
          <w:tcPr>
            <w:tcW w:w="0" w:type="dxa"/>
            <w:vAlign w:val="bottom"/>
          </w:tcPr>
          <w:p>
            <w:pPr>
              <w:spacing w:after="0"/>
              <w:rPr>
                <w:sz w:val="1"/>
                <w:szCs w:val="1"/>
                <w:color w:val="auto"/>
              </w:rPr>
            </w:pPr>
          </w:p>
        </w:tc>
      </w:tr>
      <w:tr>
        <w:trPr>
          <w:trHeight w:val="239"/>
        </w:trPr>
        <w:tc>
          <w:tcPr>
            <w:tcW w:w="940" w:type="dxa"/>
            <w:vAlign w:val="bottom"/>
            <w:tcBorders>
              <w:left w:val="single" w:sz="8" w:color="auto"/>
            </w:tcBorders>
          </w:tcPr>
          <w:p>
            <w:pPr>
              <w:spacing w:after="0"/>
              <w:rPr>
                <w:sz w:val="20"/>
                <w:szCs w:val="20"/>
                <w:color w:val="auto"/>
              </w:rPr>
            </w:pPr>
          </w:p>
        </w:tc>
        <w:tc>
          <w:tcPr>
            <w:tcW w:w="4720" w:type="dxa"/>
            <w:vAlign w:val="bottom"/>
            <w:tcBorders>
              <w:right w:val="single" w:sz="8" w:color="auto"/>
            </w:tcBorders>
          </w:tcPr>
          <w:p>
            <w:pPr>
              <w:jc w:val="right"/>
              <w:ind w:right="2457"/>
              <w:spacing w:after="0"/>
              <w:rPr>
                <w:sz w:val="20"/>
                <w:szCs w:val="20"/>
                <w:color w:val="auto"/>
              </w:rPr>
            </w:pPr>
            <w:r>
              <w:rPr>
                <w:rFonts w:ascii="Arial" w:cs="Arial" w:eastAsia="Arial" w:hAnsi="Arial"/>
                <w:sz w:val="18"/>
                <w:szCs w:val="18"/>
                <w:b w:val="1"/>
                <w:bCs w:val="1"/>
                <w:color w:val="auto"/>
              </w:rPr>
              <w:t>Intermediated Securities</w:t>
            </w:r>
          </w:p>
        </w:tc>
        <w:tc>
          <w:tcPr>
            <w:tcW w:w="820" w:type="dxa"/>
            <w:vAlign w:val="bottom"/>
          </w:tcPr>
          <w:p>
            <w:pPr>
              <w:spacing w:after="0"/>
              <w:rPr>
                <w:sz w:val="20"/>
                <w:szCs w:val="20"/>
                <w:color w:val="auto"/>
              </w:rPr>
            </w:pPr>
          </w:p>
        </w:tc>
        <w:tc>
          <w:tcPr>
            <w:tcW w:w="4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intermédiés</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Company may issue registered shares in the form of single</w:t>
            </w:r>
          </w:p>
        </w:tc>
        <w:tc>
          <w:tcPr>
            <w:tcW w:w="55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La société peut émettre des actions nominatives sous forme de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certificates, global certificates and uncertificated securities. Under</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certificats  individuels,  de  certificats  globaux  et  de  titres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conditions set forth by statutory law, the Company may</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dématérialisés. Dans les conditions prévues par la loi, la société</w:t>
            </w:r>
          </w:p>
        </w:tc>
        <w:tc>
          <w:tcPr>
            <w:tcW w:w="0" w:type="dxa"/>
            <w:vAlign w:val="bottom"/>
          </w:tcPr>
          <w:p>
            <w:pPr>
              <w:spacing w:after="0"/>
              <w:rPr>
                <w:sz w:val="1"/>
                <w:szCs w:val="1"/>
                <w:color w:val="auto"/>
              </w:rPr>
            </w:pPr>
          </w:p>
        </w:tc>
      </w:tr>
      <w:tr>
        <w:trPr>
          <w:trHeight w:val="202"/>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convert its registered shares from one form into another form at</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peut convertir ses actions nominatives d'une forme en une autre</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any time and without the approval of the shareholders.</w:t>
            </w:r>
          </w:p>
        </w:tc>
        <w:tc>
          <w:tcPr>
            <w:tcW w:w="55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forme, à tout moment et sans l'approbation des actionnaires.</w:t>
            </w:r>
          </w:p>
        </w:tc>
        <w:tc>
          <w:tcPr>
            <w:tcW w:w="0" w:type="dxa"/>
            <w:vAlign w:val="bottom"/>
          </w:tcPr>
          <w:p>
            <w:pPr>
              <w:spacing w:after="0"/>
              <w:rPr>
                <w:sz w:val="1"/>
                <w:szCs w:val="1"/>
                <w:color w:val="auto"/>
              </w:rPr>
            </w:pPr>
          </w:p>
        </w:tc>
      </w:tr>
      <w:tr>
        <w:trPr>
          <w:trHeight w:val="256"/>
        </w:trPr>
        <w:tc>
          <w:tcPr>
            <w:tcW w:w="566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5580" w:type="dxa"/>
            <w:vAlign w:val="bottom"/>
            <w:tcBorders>
              <w:bottom w:val="single" w:sz="8" w:color="auto"/>
              <w:right w:val="single" w:sz="8" w:color="auto"/>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shareholder has no right to demand a conversion of the</w:t>
            </w:r>
          </w:p>
        </w:tc>
        <w:tc>
          <w:tcPr>
            <w:tcW w:w="55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L'actionnaire n'a pas le droit d'exiger une conversion d'actions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registered shares. Each shareholder may, however, at any time</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nominatives. Chaque actionnaire peut toutefois, à tout moment,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request a written confirmation from the Company of the registered</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demander une confirmation écrite de la société du nombres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shares  held  by  such  shareholder,  as  reflected  in  the  share</w:t>
            </w:r>
          </w:p>
        </w:tc>
        <w:tc>
          <w:tcPr>
            <w:tcW w:w="558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d'actions  nominatives  détenues  par  cet  actionnaire  telles</w:t>
            </w:r>
          </w:p>
        </w:tc>
        <w:tc>
          <w:tcPr>
            <w:tcW w:w="0" w:type="dxa"/>
            <w:vAlign w:val="bottom"/>
          </w:tcPr>
          <w:p>
            <w:pPr>
              <w:spacing w:after="0"/>
              <w:rPr>
                <w:sz w:val="1"/>
                <w:szCs w:val="1"/>
                <w:color w:val="auto"/>
              </w:rPr>
            </w:pPr>
          </w:p>
        </w:tc>
      </w:tr>
      <w:tr>
        <w:trPr>
          <w:trHeight w:val="217"/>
        </w:trPr>
        <w:tc>
          <w:tcPr>
            <w:tcW w:w="9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register.</w:t>
            </w:r>
          </w:p>
        </w:tc>
        <w:tc>
          <w:tcPr>
            <w:tcW w:w="47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qu'inscrites au registre du commerce.</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940" w:type="dxa"/>
            <w:vAlign w:val="bottom"/>
            <w:tcBorders>
              <w:bottom w:val="single" w:sz="8" w:color="auto"/>
            </w:tcBorders>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6"/>
          <w:szCs w:val="16"/>
          <w:color w:val="auto"/>
        </w:rPr>
        <w:t>10</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transfer of intermediated securities and the pledging of these</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Le transfert des titres intermédiés et la mise en gage de ces titres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intermediated securities shall be based on the provisions of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intermédiés suivent les dispositions de la Loi fédérale sur les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Swiss Federal Intermediated Securities Act. Transfer of propriety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titres intermédiés. Le transfert de propriété à titre de sûreté par</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as collateral by means of written assignment are not permitted.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cession écrite n'est pas autorisé.</w:t>
            </w:r>
          </w:p>
        </w:tc>
      </w:tr>
      <w:tr>
        <w:trPr>
          <w:trHeight w:val="54"/>
        </w:trPr>
        <w:tc>
          <w:tcPr>
            <w:tcW w:w="72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77"/>
        </w:trPr>
        <w:tc>
          <w:tcPr>
            <w:tcW w:w="7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Art. 6</w:t>
            </w:r>
          </w:p>
        </w:tc>
        <w:tc>
          <w:tcPr>
            <w:tcW w:w="49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Exercise of Shareholders Right</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Art. 6</w:t>
            </w:r>
          </w:p>
        </w:tc>
        <w:tc>
          <w:tcPr>
            <w:tcW w:w="500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Exercice des droits des actionnaires</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shares are indivisible and the Company recognizes only one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actions sont indivisibles et la société ne reconnaît qu'un seul</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single representative per share.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représentant par action.</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right to vote and the other rights pertaining to a registered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droit  de  vote  et  les  autres  droits  relatifs  à  une  action</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share may only be exercised by a shareholder, a usufructuary or a</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nominative  ne  peut  être  exercé  que  par  un  actionnaire,  un</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nominee who is registered with the right to vote in the share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usufruitier ou un candidat qui est inscrit avec le droit de vote dans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register and by persons who are entitled by law to the voting</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le registre des actions et par des personnes autorisées par la loi à</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rights of a share.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exercer les droits de vote d'une action.</w:t>
            </w:r>
          </w:p>
        </w:tc>
      </w:tr>
      <w:tr>
        <w:trPr>
          <w:trHeight w:val="54"/>
        </w:trPr>
        <w:tc>
          <w:tcPr>
            <w:tcW w:w="72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77"/>
        </w:trPr>
        <w:tc>
          <w:tcPr>
            <w:tcW w:w="7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III.</w:t>
            </w:r>
          </w:p>
        </w:tc>
        <w:tc>
          <w:tcPr>
            <w:tcW w:w="49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CORPORATE STRUCTURE</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III.</w:t>
            </w:r>
          </w:p>
        </w:tc>
        <w:tc>
          <w:tcPr>
            <w:tcW w:w="50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STRUCTURE DE LA SOCIÉTÉ</w:t>
            </w:r>
          </w:p>
        </w:tc>
      </w:tr>
      <w:tr>
        <w:trPr>
          <w:trHeight w:val="338"/>
        </w:trPr>
        <w:tc>
          <w:tcPr>
            <w:tcW w:w="7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Art. 7</w:t>
            </w:r>
          </w:p>
        </w:tc>
        <w:tc>
          <w:tcPr>
            <w:tcW w:w="49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Organization</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Art. 7</w:t>
            </w:r>
          </w:p>
        </w:tc>
        <w:tc>
          <w:tcPr>
            <w:tcW w:w="50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Organisation</w:t>
            </w:r>
          </w:p>
        </w:tc>
      </w:tr>
      <w:tr>
        <w:trPr>
          <w:trHeight w:val="405"/>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corporate bodies are: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organes de la société sont:</w:t>
            </w:r>
          </w:p>
        </w:tc>
      </w:tr>
      <w:tr>
        <w:trPr>
          <w:trHeight w:val="405"/>
        </w:trPr>
        <w:tc>
          <w:tcPr>
            <w:tcW w:w="7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A.</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General Meeting;</w:t>
            </w:r>
          </w:p>
        </w:tc>
        <w:tc>
          <w:tcPr>
            <w:tcW w:w="580" w:type="dxa"/>
            <w:vAlign w:val="bottom"/>
          </w:tcPr>
          <w:p>
            <w:pPr>
              <w:ind w:left="80"/>
              <w:spacing w:after="0"/>
              <w:rPr>
                <w:sz w:val="20"/>
                <w:szCs w:val="20"/>
                <w:color w:val="auto"/>
              </w:rPr>
            </w:pPr>
            <w:r>
              <w:rPr>
                <w:rFonts w:ascii="Arial" w:cs="Arial" w:eastAsia="Arial" w:hAnsi="Arial"/>
                <w:sz w:val="18"/>
                <w:szCs w:val="18"/>
                <w:color w:val="auto"/>
              </w:rPr>
              <w:t>A.</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L'assemblé générale;</w:t>
            </w:r>
          </w:p>
        </w:tc>
      </w:tr>
      <w:tr>
        <w:trPr>
          <w:trHeight w:val="405"/>
        </w:trPr>
        <w:tc>
          <w:tcPr>
            <w:tcW w:w="7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B.</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Board of Directors;</w:t>
            </w:r>
          </w:p>
        </w:tc>
        <w:tc>
          <w:tcPr>
            <w:tcW w:w="580" w:type="dxa"/>
            <w:vAlign w:val="bottom"/>
          </w:tcPr>
          <w:p>
            <w:pPr>
              <w:ind w:left="80"/>
              <w:spacing w:after="0"/>
              <w:rPr>
                <w:sz w:val="20"/>
                <w:szCs w:val="20"/>
                <w:color w:val="auto"/>
              </w:rPr>
            </w:pPr>
            <w:r>
              <w:rPr>
                <w:rFonts w:ascii="Arial" w:cs="Arial" w:eastAsia="Arial" w:hAnsi="Arial"/>
                <w:sz w:val="18"/>
                <w:szCs w:val="18"/>
                <w:color w:val="auto"/>
              </w:rPr>
              <w:t>B.</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 conseil d'administration;</w:t>
            </w:r>
          </w:p>
        </w:tc>
      </w:tr>
      <w:tr>
        <w:trPr>
          <w:trHeight w:val="405"/>
        </w:trPr>
        <w:tc>
          <w:tcPr>
            <w:tcW w:w="7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Auditors.</w:t>
            </w:r>
          </w:p>
        </w:tc>
        <w:tc>
          <w:tcPr>
            <w:tcW w:w="580" w:type="dxa"/>
            <w:vAlign w:val="bottom"/>
          </w:tcPr>
          <w:p>
            <w:pPr>
              <w:ind w:left="80"/>
              <w:spacing w:after="0"/>
              <w:rPr>
                <w:sz w:val="20"/>
                <w:szCs w:val="20"/>
                <w:color w:val="auto"/>
              </w:rPr>
            </w:pPr>
            <w:r>
              <w:rPr>
                <w:rFonts w:ascii="Arial" w:cs="Arial" w:eastAsia="Arial" w:hAnsi="Arial"/>
                <w:sz w:val="18"/>
                <w:szCs w:val="18"/>
                <w:color w:val="auto"/>
              </w:rPr>
              <w:t>C.</w:t>
            </w: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l'organe de révision.</w:t>
            </w:r>
          </w:p>
        </w:tc>
      </w:tr>
      <w:tr>
        <w:trPr>
          <w:trHeight w:val="54"/>
        </w:trPr>
        <w:tc>
          <w:tcPr>
            <w:tcW w:w="72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77"/>
        </w:trPr>
        <w:tc>
          <w:tcPr>
            <w:tcW w:w="7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IV.</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THE GENERAL MEETING</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IV.</w:t>
            </w:r>
          </w:p>
        </w:tc>
        <w:tc>
          <w:tcPr>
            <w:tcW w:w="50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L'ASSEMBLÉE GÉNÉRALE</w:t>
            </w:r>
          </w:p>
        </w:tc>
      </w:tr>
      <w:tr>
        <w:trPr>
          <w:trHeight w:val="54"/>
        </w:trPr>
        <w:tc>
          <w:tcPr>
            <w:tcW w:w="72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77"/>
        </w:trPr>
        <w:tc>
          <w:tcPr>
            <w:tcW w:w="7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Art. 8</w:t>
            </w:r>
          </w:p>
        </w:tc>
        <w:tc>
          <w:tcPr>
            <w:tcW w:w="49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Powers</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Art. 8</w:t>
            </w:r>
          </w:p>
        </w:tc>
        <w:tc>
          <w:tcPr>
            <w:tcW w:w="50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Pouvoirs</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General Meeting is the supreme body of the Company. It has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des actionnaires est le pouvoir suprême de</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following non delegable powers: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Elle a les droits intransmissibles suivants:</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195"/>
        </w:trPr>
        <w:tc>
          <w:tcPr>
            <w:tcW w:w="5660" w:type="dxa"/>
            <w:vAlign w:val="bottom"/>
            <w:tcBorders>
              <w:left w:val="single" w:sz="8" w:color="auto"/>
              <w:right w:val="single" w:sz="8" w:color="auto"/>
            </w:tcBorders>
            <w:gridSpan w:val="2"/>
          </w:tcPr>
          <w:p>
            <w:pPr>
              <w:ind w:left="240"/>
              <w:spacing w:after="0" w:line="195" w:lineRule="exact"/>
              <w:rPr>
                <w:sz w:val="20"/>
                <w:szCs w:val="20"/>
                <w:color w:val="auto"/>
              </w:rPr>
            </w:pPr>
            <w:r>
              <w:rPr>
                <w:rFonts w:ascii="Arial" w:cs="Arial" w:eastAsia="Arial" w:hAnsi="Arial"/>
                <w:sz w:val="18"/>
                <w:szCs w:val="18"/>
                <w:color w:val="auto"/>
              </w:rPr>
              <w:t>a)  to adopt and amend the Articles of Association (Articles 651a,</w:t>
            </w:r>
          </w:p>
        </w:tc>
        <w:tc>
          <w:tcPr>
            <w:tcW w:w="55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a)  adapter et modifier les statuts (articles 651a, 652g, 653g et</w:t>
            </w:r>
          </w:p>
        </w:tc>
      </w:tr>
      <w:tr>
        <w:trPr>
          <w:trHeight w:val="203"/>
        </w:trPr>
        <w:tc>
          <w:tcPr>
            <w:tcW w:w="5660" w:type="dxa"/>
            <w:vAlign w:val="bottom"/>
            <w:tcBorders>
              <w:left w:val="single" w:sz="8" w:color="auto"/>
              <w:bottom w:val="single" w:sz="8" w:color="auto"/>
              <w:right w:val="single" w:sz="8" w:color="auto"/>
            </w:tcBorders>
            <w:gridSpan w:val="2"/>
          </w:tcPr>
          <w:p>
            <w:pPr>
              <w:ind w:left="560"/>
              <w:spacing w:after="0" w:line="203" w:lineRule="exact"/>
              <w:rPr>
                <w:sz w:val="20"/>
                <w:szCs w:val="20"/>
                <w:color w:val="auto"/>
              </w:rPr>
            </w:pPr>
            <w:r>
              <w:rPr>
                <w:rFonts w:ascii="Arial" w:cs="Arial" w:eastAsia="Arial" w:hAnsi="Arial"/>
                <w:sz w:val="18"/>
                <w:szCs w:val="18"/>
                <w:color w:val="auto"/>
              </w:rPr>
              <w:t>652g, 653g und 653i CO remain reserved);</w:t>
            </w:r>
          </w:p>
        </w:tc>
        <w:tc>
          <w:tcPr>
            <w:tcW w:w="5580" w:type="dxa"/>
            <w:vAlign w:val="bottom"/>
            <w:tcBorders>
              <w:bottom w:val="single" w:sz="8" w:color="auto"/>
              <w:right w:val="single" w:sz="8" w:color="auto"/>
            </w:tcBorders>
            <w:gridSpan w:val="2"/>
          </w:tcPr>
          <w:p>
            <w:pPr>
              <w:ind w:left="400"/>
              <w:spacing w:after="0" w:line="203" w:lineRule="exact"/>
              <w:rPr>
                <w:sz w:val="20"/>
                <w:szCs w:val="20"/>
                <w:color w:val="auto"/>
              </w:rPr>
            </w:pPr>
            <w:r>
              <w:rPr>
                <w:rFonts w:ascii="Arial" w:cs="Arial" w:eastAsia="Arial" w:hAnsi="Arial"/>
                <w:sz w:val="18"/>
                <w:szCs w:val="18"/>
                <w:color w:val="auto"/>
              </w:rPr>
              <w:t>653i CO sont réservés);</w:t>
            </w:r>
          </w:p>
        </w:tc>
      </w:tr>
      <w:tr>
        <w:trPr>
          <w:trHeight w:val="101"/>
        </w:trPr>
        <w:tc>
          <w:tcPr>
            <w:tcW w:w="72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6"/>
          <w:szCs w:val="16"/>
          <w:color w:val="auto"/>
        </w:rPr>
        <w:t>11</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b)  to elect and remove the members of the Board of Directors,</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  nommer et révoquer les membres du conseil d'administration,</w:t>
            </w:r>
          </w:p>
        </w:tc>
      </w:tr>
      <w:tr>
        <w:trPr>
          <w:trHeight w:val="203"/>
        </w:trPr>
        <w:tc>
          <w:tcPr>
            <w:tcW w:w="5660" w:type="dxa"/>
            <w:vAlign w:val="bottom"/>
            <w:tcBorders>
              <w:left w:val="single" w:sz="8" w:color="auto"/>
              <w:right w:val="single" w:sz="8" w:color="auto"/>
            </w:tcBorders>
            <w:gridSpan w:val="2"/>
          </w:tcPr>
          <w:p>
            <w:pPr>
              <w:ind w:left="560"/>
              <w:spacing w:after="0" w:line="202" w:lineRule="exact"/>
              <w:rPr>
                <w:sz w:val="20"/>
                <w:szCs w:val="20"/>
                <w:color w:val="auto"/>
              </w:rPr>
            </w:pPr>
            <w:r>
              <w:rPr>
                <w:rFonts w:ascii="Arial" w:cs="Arial" w:eastAsia="Arial" w:hAnsi="Arial"/>
                <w:sz w:val="18"/>
                <w:szCs w:val="18"/>
                <w:color w:val="auto"/>
              </w:rPr>
              <w:t>the Chairman of the Board of Directors, the members of the</w:t>
            </w:r>
          </w:p>
        </w:tc>
        <w:tc>
          <w:tcPr>
            <w:tcW w:w="5580" w:type="dxa"/>
            <w:vAlign w:val="bottom"/>
            <w:tcBorders>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le président du conseil d'administration, les membres du</w:t>
            </w:r>
          </w:p>
        </w:tc>
      </w:tr>
      <w:tr>
        <w:trPr>
          <w:trHeight w:val="203"/>
        </w:trPr>
        <w:tc>
          <w:tcPr>
            <w:tcW w:w="5660" w:type="dxa"/>
            <w:vAlign w:val="bottom"/>
            <w:tcBorders>
              <w:left w:val="single" w:sz="8" w:color="auto"/>
              <w:right w:val="single" w:sz="8" w:color="auto"/>
            </w:tcBorders>
            <w:gridSpan w:val="2"/>
          </w:tcPr>
          <w:p>
            <w:pPr>
              <w:ind w:left="560"/>
              <w:spacing w:after="0" w:line="202" w:lineRule="exact"/>
              <w:rPr>
                <w:sz w:val="20"/>
                <w:szCs w:val="20"/>
                <w:color w:val="auto"/>
              </w:rPr>
            </w:pPr>
            <w:r>
              <w:rPr>
                <w:rFonts w:ascii="Arial" w:cs="Arial" w:eastAsia="Arial" w:hAnsi="Arial"/>
                <w:sz w:val="18"/>
                <w:szCs w:val="18"/>
                <w:color w:val="auto"/>
              </w:rPr>
              <w:t>Compensation Committee, the Auditors and the Independent</w:t>
            </w:r>
          </w:p>
        </w:tc>
        <w:tc>
          <w:tcPr>
            <w:tcW w:w="5580" w:type="dxa"/>
            <w:vAlign w:val="bottom"/>
            <w:tcBorders>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comité de rémunération, l'organe de révision et le mandataire</w:t>
            </w:r>
          </w:p>
        </w:tc>
      </w:tr>
      <w:tr>
        <w:trPr>
          <w:trHeight w:val="217"/>
        </w:trPr>
        <w:tc>
          <w:tcPr>
            <w:tcW w:w="56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Proxy;</w:t>
            </w:r>
          </w:p>
        </w:tc>
        <w:tc>
          <w:tcPr>
            <w:tcW w:w="558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indépendant;</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c)  to approve the management report and the annual accounts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  approuver le rapport de gestion et les comptes annuels et</w:t>
            </w:r>
          </w:p>
        </w:tc>
      </w:tr>
      <w:tr>
        <w:trPr>
          <w:trHeight w:val="203"/>
        </w:trPr>
        <w:tc>
          <w:tcPr>
            <w:tcW w:w="5660" w:type="dxa"/>
            <w:vAlign w:val="bottom"/>
            <w:tcBorders>
              <w:left w:val="single" w:sz="8" w:color="auto"/>
              <w:right w:val="single" w:sz="8" w:color="auto"/>
            </w:tcBorders>
            <w:gridSpan w:val="2"/>
          </w:tcPr>
          <w:p>
            <w:pPr>
              <w:ind w:left="560"/>
              <w:spacing w:after="0" w:line="202" w:lineRule="exact"/>
              <w:rPr>
                <w:sz w:val="20"/>
                <w:szCs w:val="20"/>
                <w:color w:val="auto"/>
              </w:rPr>
            </w:pPr>
            <w:r>
              <w:rPr>
                <w:rFonts w:ascii="Arial" w:cs="Arial" w:eastAsia="Arial" w:hAnsi="Arial"/>
                <w:sz w:val="18"/>
                <w:szCs w:val="18"/>
                <w:color w:val="auto"/>
              </w:rPr>
              <w:t>and to determine the allocation of profits, in particular with</w:t>
            </w:r>
          </w:p>
        </w:tc>
        <w:tc>
          <w:tcPr>
            <w:tcW w:w="5580" w:type="dxa"/>
            <w:vAlign w:val="bottom"/>
            <w:tcBorders>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déterminer la répartition des bénéfices, en particulier en ce</w:t>
            </w:r>
          </w:p>
        </w:tc>
      </w:tr>
      <w:tr>
        <w:trPr>
          <w:trHeight w:val="217"/>
        </w:trPr>
        <w:tc>
          <w:tcPr>
            <w:tcW w:w="56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regard to dividends and bonus payments;</w:t>
            </w:r>
          </w:p>
        </w:tc>
        <w:tc>
          <w:tcPr>
            <w:tcW w:w="558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qui concerne les dividendes et les bonus;</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d)  to discharge the members of the Board of Directors and of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  donner décharge aux membres du conseil d'administration et</w:t>
            </w:r>
          </w:p>
        </w:tc>
      </w:tr>
      <w:tr>
        <w:trPr>
          <w:trHeight w:val="217"/>
        </w:trPr>
        <w:tc>
          <w:tcPr>
            <w:tcW w:w="56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Executive Committee;</w:t>
            </w:r>
          </w:p>
        </w:tc>
        <w:tc>
          <w:tcPr>
            <w:tcW w:w="558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au comité exécutif;</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e)  to approve the total compensation paid to the Board of</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e)  approuver la rémunération totale versée au conseil</w:t>
            </w:r>
          </w:p>
        </w:tc>
      </w:tr>
      <w:tr>
        <w:trPr>
          <w:trHeight w:val="203"/>
        </w:trPr>
        <w:tc>
          <w:tcPr>
            <w:tcW w:w="5660" w:type="dxa"/>
            <w:vAlign w:val="bottom"/>
            <w:tcBorders>
              <w:left w:val="single" w:sz="8" w:color="auto"/>
              <w:right w:val="single" w:sz="8" w:color="auto"/>
            </w:tcBorders>
            <w:gridSpan w:val="2"/>
          </w:tcPr>
          <w:p>
            <w:pPr>
              <w:ind w:left="560"/>
              <w:spacing w:after="0" w:line="202" w:lineRule="exact"/>
              <w:rPr>
                <w:sz w:val="20"/>
                <w:szCs w:val="20"/>
                <w:color w:val="auto"/>
              </w:rPr>
            </w:pPr>
            <w:r>
              <w:rPr>
                <w:rFonts w:ascii="Arial" w:cs="Arial" w:eastAsia="Arial" w:hAnsi="Arial"/>
                <w:sz w:val="18"/>
                <w:szCs w:val="18"/>
                <w:color w:val="auto"/>
              </w:rPr>
              <w:t>Directors and the Executive Committee as per Articles 32 and</w:t>
            </w:r>
          </w:p>
        </w:tc>
        <w:tc>
          <w:tcPr>
            <w:tcW w:w="5580" w:type="dxa"/>
            <w:vAlign w:val="bottom"/>
            <w:tcBorders>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d'administration et au comité exécutif conformément aux</w:t>
            </w:r>
          </w:p>
        </w:tc>
      </w:tr>
      <w:tr>
        <w:trPr>
          <w:trHeight w:val="217"/>
        </w:trPr>
        <w:tc>
          <w:tcPr>
            <w:tcW w:w="56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33 below;</w:t>
            </w:r>
          </w:p>
        </w:tc>
        <w:tc>
          <w:tcPr>
            <w:tcW w:w="558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l'articles 32 et 33 ci-dessous;</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f)  to pass resolutions concerning all matters which are reserved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f)  prendre les décisions sur toutes les affaires qui sont</w:t>
            </w:r>
          </w:p>
        </w:tc>
      </w:tr>
      <w:tr>
        <w:trPr>
          <w:trHeight w:val="203"/>
        </w:trPr>
        <w:tc>
          <w:tcPr>
            <w:tcW w:w="5660" w:type="dxa"/>
            <w:vAlign w:val="bottom"/>
            <w:tcBorders>
              <w:left w:val="single" w:sz="8" w:color="auto"/>
              <w:right w:val="single" w:sz="8" w:color="auto"/>
            </w:tcBorders>
            <w:gridSpan w:val="2"/>
          </w:tcPr>
          <w:p>
            <w:pPr>
              <w:ind w:left="560"/>
              <w:spacing w:after="0" w:line="202" w:lineRule="exact"/>
              <w:rPr>
                <w:sz w:val="20"/>
                <w:szCs w:val="20"/>
                <w:color w:val="auto"/>
              </w:rPr>
            </w:pPr>
            <w:r>
              <w:rPr>
                <w:rFonts w:ascii="Arial" w:cs="Arial" w:eastAsia="Arial" w:hAnsi="Arial"/>
                <w:sz w:val="18"/>
                <w:szCs w:val="18"/>
                <w:color w:val="auto"/>
              </w:rPr>
              <w:t>to the authority of the General Meeting by law or by the</w:t>
            </w:r>
          </w:p>
        </w:tc>
        <w:tc>
          <w:tcPr>
            <w:tcW w:w="5580" w:type="dxa"/>
            <w:vAlign w:val="bottom"/>
            <w:tcBorders>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attribuées à l'assemblée générale par la loi ou les statuts.</w:t>
            </w:r>
          </w:p>
        </w:tc>
      </w:tr>
      <w:tr>
        <w:trPr>
          <w:trHeight w:val="217"/>
        </w:trPr>
        <w:tc>
          <w:tcPr>
            <w:tcW w:w="56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Articles of Association.</w:t>
            </w:r>
          </w:p>
        </w:tc>
        <w:tc>
          <w:tcPr>
            <w:tcW w:w="70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r>
      <w:tr>
        <w:trPr>
          <w:trHeight w:val="54"/>
        </w:trPr>
        <w:tc>
          <w:tcPr>
            <w:tcW w:w="840" w:type="dxa"/>
            <w:vAlign w:val="bottom"/>
            <w:tcBorders>
              <w:left w:val="single" w:sz="8" w:color="auto"/>
              <w:bottom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r>
        <w:trPr>
          <w:trHeight w:val="277"/>
        </w:trPr>
        <w:tc>
          <w:tcPr>
            <w:tcW w:w="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9</w:t>
            </w: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Ordinary General Meeting</w:t>
            </w: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Art. 9</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Assemblée générale ordinaire</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Ordinary General Meeting shall be held annually within six</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ordinaire aura lieu chaque année dans les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months after the close of the business year at such time and at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six mois qui suivent la clôture de l'exercice à la date et à l'endroit,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such location, which may be within or outside Switzerland, as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qui peut être en ou hors de la Suisse, tel que déterminé par le</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determined by the Board of Directors.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conseil d'administration.</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10   Extraordinary General Meeting</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10   Assemblée générale extraordinaire</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Extraordinary General Meetings may be called by resolution of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assemblées   générales   extraordinaires  peuvent  être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General Meeting, the Auditors or the Board of Directors, or by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convoquées par décision de l'assemblée générale, l'organe de</w:t>
            </w:r>
          </w:p>
        </w:tc>
      </w:tr>
      <w:tr>
        <w:trPr>
          <w:trHeight w:val="202"/>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shareholders with voting powers, provided they represent at least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révision ou le conseil d'administration, ou par des actionnaires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10% of the share capital and who submit (a)(1) a request signed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avec droit de vote, à condition qu'ils représentent au moins 10%</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by such shareholder(s) that specifies the item(s) to be included on</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du capital-actions et qu'ils soumettent (a) (1) une demande signée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agenda, (2) the respective proposals of the shareholders and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par le(s)dit(s) actionnaire(s) qui spécifie les objets à faire figurer</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(3) evidence of the required shareholdings recorded in the share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sur  l'ordre  du  jour,  (2)  les  propositions  respectives  de  ces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register and (b) such other information as would be required to be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actionnaires et (3) la preuve des participations requises inscrites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included in a proxy statement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dans le registre des actions et (b) les autres</w:t>
            </w:r>
          </w:p>
        </w:tc>
      </w:tr>
      <w:tr>
        <w:trPr>
          <w:trHeight w:val="54"/>
        </w:trPr>
        <w:tc>
          <w:tcPr>
            <w:tcW w:w="840" w:type="dxa"/>
            <w:vAlign w:val="bottom"/>
            <w:tcBorders>
              <w:left w:val="single" w:sz="8" w:color="auto"/>
              <w:bottom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r>
        <w:trPr>
          <w:trHeight w:val="101"/>
        </w:trPr>
        <w:tc>
          <w:tcPr>
            <w:tcW w:w="84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6"/>
          <w:szCs w:val="16"/>
          <w:color w:val="auto"/>
        </w:rPr>
        <w:t>12</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pursuant to the rules of the country where the Company's shares</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informations qui doivent être mentionnées dans une déclaration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are primarily listed.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(proxy statement) conformément aux règles du pays où les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actions de la société sont principalement cotées.</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11  Notice and Agenda of Shareholders' Meetings</w:t>
            </w: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Art. 11</w:t>
            </w:r>
          </w:p>
        </w:tc>
        <w:tc>
          <w:tcPr>
            <w:tcW w:w="470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Convocations et ordres du jour des assemblées</w:t>
            </w:r>
          </w:p>
        </w:tc>
        <w:tc>
          <w:tcPr>
            <w:tcW w:w="0" w:type="dxa"/>
            <w:vAlign w:val="bottom"/>
          </w:tcPr>
          <w:p>
            <w:pPr>
              <w:spacing w:after="0"/>
              <w:rPr>
                <w:sz w:val="1"/>
                <w:szCs w:val="1"/>
                <w:color w:val="auto"/>
              </w:rPr>
            </w:pPr>
          </w:p>
        </w:tc>
      </w:tr>
      <w:tr>
        <w:trPr>
          <w:trHeight w:val="239"/>
        </w:trPr>
        <w:tc>
          <w:tcPr>
            <w:tcW w:w="566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color w:val="auto"/>
              </w:rPr>
              <w:t>Notice of a General Meeting of Shareholders shall be given by the</w:t>
            </w:r>
          </w:p>
        </w:tc>
        <w:tc>
          <w:tcPr>
            <w:tcW w:w="880" w:type="dxa"/>
            <w:vAlign w:val="bottom"/>
          </w:tcPr>
          <w:p>
            <w:pPr>
              <w:spacing w:after="0"/>
              <w:rPr>
                <w:sz w:val="20"/>
                <w:szCs w:val="20"/>
                <w:color w:val="auto"/>
              </w:rPr>
            </w:pPr>
          </w:p>
        </w:tc>
        <w:tc>
          <w:tcPr>
            <w:tcW w:w="47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générales</w:t>
            </w:r>
          </w:p>
        </w:tc>
        <w:tc>
          <w:tcPr>
            <w:tcW w:w="0" w:type="dxa"/>
            <w:vAlign w:val="bottom"/>
          </w:tcPr>
          <w:p>
            <w:pPr>
              <w:spacing w:after="0"/>
              <w:rPr>
                <w:sz w:val="1"/>
                <w:szCs w:val="1"/>
                <w:color w:val="auto"/>
              </w:rPr>
            </w:pPr>
          </w:p>
        </w:tc>
      </w:tr>
      <w:tr>
        <w:trPr>
          <w:trHeight w:val="188"/>
        </w:trPr>
        <w:tc>
          <w:tcPr>
            <w:tcW w:w="5660" w:type="dxa"/>
            <w:vAlign w:val="bottom"/>
            <w:tcBorders>
              <w:left w:val="single" w:sz="8" w:color="auto"/>
              <w:right w:val="single" w:sz="8" w:color="auto"/>
            </w:tcBorders>
            <w:vMerge w:val="continue"/>
          </w:tcPr>
          <w:p>
            <w:pPr>
              <w:spacing w:after="0"/>
              <w:rPr>
                <w:sz w:val="16"/>
                <w:szCs w:val="16"/>
                <w:color w:val="auto"/>
              </w:rPr>
            </w:pPr>
          </w:p>
        </w:tc>
        <w:tc>
          <w:tcPr>
            <w:tcW w:w="880" w:type="dxa"/>
            <w:vAlign w:val="bottom"/>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Board of Directors or, if necessary, by the Auditor, not later than</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L'assemblée générale est convoquée par le conseil</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twenty calendar days prior to the date of the General Meeting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ou, si nécessaire, par l'organe de révision, au</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Notice of the General Meeting of Shareholders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moins 20 jours avant la tenue de l'assemblée générale des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shall be given by way of a one-time announcement in the official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actionnaires. La convocation à l'assemblée générale des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means of publication of the Company pursuant to Article 46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actionnaires doit être faite au moyen d'une seule publication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these Articles of Association. The notice period shall be deemed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conformément à l'article 46 de ces statuts. La période de préavis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to  have  been  observed  if  notice  of  the  General  Meeting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sera réputée avoir été respectée si la convocation à l'assemblée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is published in such official means of publication, it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générale des actionnaires est publiée conformément à l'article 46</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being  understood  that  the  date  of  publication  shall  not  be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 ces statuts, étant entendu que la date de publication ne doit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computed in the notice period. Shareholders of record may in</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pas être calculée dans la période de préavis. Les actionnaires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addition be informed of the General Meeting of Shareholders by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inscrits peuvent en outre être informés de l'assemblée générale</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ordinary mail or e-mail.</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 actionnaires par courrier ordinaire ou par e-mail.</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notice of a General Meeting of Shareholders shall specify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convocation à l'assemblée générale des actionnaires doit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items on the agenda and the proposals of the Board of Directors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préciser les objets de l'ordre du jour et les propositions du conseil</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and the shareholder(s) who requested that a General Meeting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et l'/les actionnaire(s) qui a/ont demandé que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be held or an item be included on the agenda, and,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l'assemblée générale des actionnaires ait lieu ou qu'un objet soit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 the event of elections, the name(s) of the candidate(s) that has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inscrit à l'ordre du jour, et, dans le cas d'élections, le/les nom(s)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or have been put on the ballot for election.</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du/des candidat(s) qui a ou ont été mis sur le bulletin de vote pour</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l'élection.</w:t>
            </w:r>
          </w:p>
        </w:tc>
        <w:tc>
          <w:tcPr>
            <w:tcW w:w="4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Board of Directors shall state the matters on the agenda.</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doit indiquer les objets de l'ordre du</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jour.</w:t>
            </w:r>
          </w:p>
        </w:tc>
        <w:tc>
          <w:tcPr>
            <w:tcW w:w="4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Shareholders who represent an aggregate of at least 10 percent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actionnaires qui représentent un total d'au moins 10 pour</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the  share  capital  or  together  representing  shares  with  a</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cent du capital-actions ou qui représentent ensemble une valeur</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nominal value of 1 million Swiss francs may demand that an item</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nominale de CHF 1 million d'actions peuvent exiger qu'un objet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be placed on the agenda of a General Meeting of Shareholders. A</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soit  inscrit  à  l'ordre  du  jour  d'une  assemblée  générale  des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request for inclusion of an item on the agenda must be requested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actionnaires. Une demande d'inscription d'un objet à l'ordre du</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 writing delivered to or mailed and received at the registered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jour doit être faite par écrit et remise ou envoyée et reçue au</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office of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siège de la société au</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6"/>
          <w:szCs w:val="16"/>
          <w:color w:val="auto"/>
        </w:rPr>
        <w:t>13</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Company at least 120 calendar days before the first anniversary</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moins 120 jours avant le premier anniversaire de la date à</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the date that the Company's proxy statement was released to</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laquelle la déclaration (proxy statement) de la Société a été</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in  connection  with  the  previous  year's  ordinary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communiquée  aux  actionnaires  lors  de  l'assemblée  générale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General  Meeting  of  Shareholders.  However,  if  no  ordinary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ordinaire des actionnaires de l'année précédente. Toutefois, si</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General Meeting of Shareholders was held in the previous year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aucune assemblée générale ordinaire des actionnaires n'a eu lieu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if the date of the ordinary General Meeting of Shareholders has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l'année  précédente  ou  si  la  date  de  l'assemblée  générale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been changed by more than 30 calendar days from the date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ordinaire des actionnaires a été modifiée de plus de 30 jours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contemplated at the time of the previous year's proxy statement,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calendaires à compter de la date prévue au moment de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request for inclusion of an item on the agenda must be requested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déclaration  (proxy  statement)  de  l'année  précédente,  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not fewer than the later of (i) 150 calendar days prior to the date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demande  d'inscription  d'un  objet  à  l'ordre  du  jour  doit  être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the contemplated annual General Meeting or (ii) the date which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demandée au moins à la date la plus tardive entre (i) 150 jours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is  ten  calendar  days  after  the  date  of  the  first  public</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calendaires  avant  la  date  de  l'assemblée  générale  ordinaire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announcement or other notification to the shareholders of the date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envisagée ou (ii) la date qui est dix jours calendaires plus tard</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the contemplated annual General Meeting. To be timely for an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que la date de la première annonce publique ou autre notification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extraordinary  General  Meeting,  a  shareholder's  notice  to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aux actionnaires de la date envisagée de l'assemblée générale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Secretary must be delivered to or mailed and received at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ordinaire. Pour être dans les délais pour une assemblée générale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registered office of the Company not fewer than the later of (i) 120</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extraordinaire, l'avis d'un actionnaire au secrétaire doit être livré</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calendar  days  before  the  date  of  the  extraordinary  General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ou envoyé et reçu au siège de la société au moins à la date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Meeting of Shareholders or (ii) the date which is ten calendar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plus tardive entre (i) 120 jours calendaires avant la date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days after the date of the first public announcement or other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extraordinaire des actionnaires ou (ii)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notification to the shareholders of the date of the contemplated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date qui est dix jours calendaires plus tard que la date de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extraordinary General Meeting of Shareholders.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première annonce publique ou autre notification aux actionnaires</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la date envisagée de l'assemblée générale extraordinaire des</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actionnaires.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Each request for inclusion of an item on the agenda must include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Chaque demande d'inscription d'un objet à l'ordre du jour doit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 a brief description of the business desired to be brought before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inclure (i) une brève description de l'affaire qui sera soumise à</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meeting and the reasons for conducting such business at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l'assemblée  et  les  raisons  pour  lesquelles  cette  affaire  est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meeting; (ii) the name and address, as they appear on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soumise  à  l'assemblée;  (ii)  le  nom  et  l'adresse,  tels  qu'ils</w:t>
            </w:r>
          </w:p>
        </w:tc>
      </w:tr>
      <w:tr>
        <w:trPr>
          <w:trHeight w:val="202"/>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Company's register of shareholders, of the shareholder proposing</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apparaissent dans le registre des actionnaires de la société,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such business; (iii) the number of shares of the Company which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l'/des  actionnaire(s)  proposant  un  tel  objet;  (iii)  le  nombre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are beneficially owned by such shareholder; (iv) the dates upon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d'actions de la société effectivement détenues par (un) tel(s)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which the shareholder acquired such shares; (v) documentary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actionnaire(s); (iv) les dates auxquelles l'/les actionnaire(s) a/ont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support for any claim of beneficial ownership; (vi) any material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acquis  ces  actions;  (v)  l'appui  documentaire  pour  toute</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interest of such shareholder in such</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revendication de propriété effective; (vi) un</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color w:val="auto"/>
        </w:rPr>
        <w:t>14</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business; and (vii) a statement in support of the matter and, for</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intérêt important de cet/ces actionnaire(s) par rapport à cet objet;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proposals  sought  to  be  included  in  the  Company's  proxy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et  (vii)  une  déclaration  à  l'appui  de  cet  objet  et,  pour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statement,  any  other  information  required  by  Securities  and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propositions  devant  être  incluses  dans  la  déclaration  (proxy</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Exchange Commission Rule "14a-8".</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statement) de la société, toute autre information requise par la</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Securities and Exchange Commission règle "14a-8".</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 addition, if the shareholder intends to solicit proxies from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En  outre,  si  un  actionnaire  a  l'intention  de  solliciter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of the Company, such shareholder shall notify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procurations des actionnaires de la société, cet actionnaire doit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Company  of  this  intent  in  accordance  with  Securities  and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en  informer  la  société  conformément  aux  dispositions  de  la</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Exchange Commission Rule "14a-4" and/or Rule "14a-8".</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Securities and Exchange Commission règle "14a-4" et "14a-8".</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No  resolution  may  be  passed  at  a  General  Meeting  of</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Aucune décision ne peut être adoptée lors d'une assemblée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concerning an item in relation to which due notice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générale des actionnaires si un objet n'a pas été inscrit à l'ordre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was not given. Proposals made during a General Meeting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 jour dans le délai de préavis. Les propositions faites au cours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to (i) convene a extraordinary General Meeting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d'une assemblée générale des actionnaires pour (i) convoquer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(ii) initiate a special investigation in accordance with article 697a</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une assemblée générale extraordinaire ou (ii) instituer un contrôle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the Swiss Code of Obligations are not subject to the due notice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spécial au sens de l'article 697a CO ne sont pas soumises à</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requirement set forth herein.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l'obligation d'inscription prévue dans ces statuts.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No advance notice is required to propose motions on duly notified</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Aucun préavis n'est nécessaire pour proposer des motions sur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agenda items and to debate items without passing resolutions.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objets inscrits à l'ordre du jour ou débattre desdits objets sans</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prendre de décisions.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12   Documentation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12   Documents</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annual business report, the compensation report and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 rapport de gestion annuel, le rapport de rémunération et 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Auditor's  report  must  be  submitted  for  examination  by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rapport du réviseur doivent être présentés aux actionnaires pour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at the registered office of the Company at least 20</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examen au siège de la société au moins 20 jours avant la date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days prior to the date of the Ordinary General Meeting. Each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ordinaire.  Chaque  actionnaire  peut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 may request that a copy of this documentation be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demander une copie de ces documents qui doivent lui être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sent to him promptly by e-mail. Such right shall be included in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envoyés promptement par e-mail. Ce droit doit être mentionné</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invitation to the General Meeting.</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l'invitation à l'assemblée générale.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6"/>
          <w:szCs w:val="16"/>
          <w:color w:val="auto"/>
        </w:rPr>
        <w:t>15</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4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13</w:t>
            </w:r>
          </w:p>
        </w:tc>
        <w:tc>
          <w:tcPr>
            <w:tcW w:w="4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Meeting of All Shareholders</w:t>
            </w: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Art. 13</w:t>
            </w:r>
          </w:p>
        </w:tc>
        <w:tc>
          <w:tcPr>
            <w:tcW w:w="47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Assemblée universelle</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Shareholders or their proxies representing all shares issued may</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propriétaires ou les représentants de la totalité des actions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hold a General Meeting without observing the formalities required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peuvent, s'il n'y a pas d'opposition, tenir une assemblée générale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for  calling  a  meeting,  unless  objection  is  raised.  At  such  a</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sans observer les formes prévues pour sa convocation. Aussi</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meeting, discussions may be held and resolutions passed on all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longtemps que les propriétaires ou les représentants de la totalité</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matters within the scope of the powers of a General Meeting for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des actions sont présents, cette assemblée a le droit de délibérer</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so long as the shareholders or proxies representing all shares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et de statuer valablement sur tous les objets qui sont du ressort</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issued are present.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 l'assemblée générale.</w:t>
            </w: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77"/>
        </w:trPr>
        <w:tc>
          <w:tcPr>
            <w:tcW w:w="9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14</w:t>
            </w:r>
          </w:p>
        </w:tc>
        <w:tc>
          <w:tcPr>
            <w:tcW w:w="47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Chairman and Scrutineers</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Art. 14</w:t>
            </w:r>
          </w:p>
        </w:tc>
        <w:tc>
          <w:tcPr>
            <w:tcW w:w="47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Président et scrutateurs</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Chairman of the Board of Directors shall preside over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est présidée par le président du conseil</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General Meeting. In his absence, a member of the Board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En cas d'empêchement, un autre membre du</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Directors or another Chairman of the Meeting designated by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conseil  d'administration  ou  un  président  ad  hoc  nommé  par</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General Meeting shall preside.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préside celle-ci.</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Chairman of the Meeting shall designate a Secretary and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président de l'assemblée générale désigne un secrétaire et les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scrutineers who need not be shareholders.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scrutateurs qui ne doivent pas nécessairement être actionnaires.</w:t>
            </w: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77"/>
        </w:trPr>
        <w:tc>
          <w:tcPr>
            <w:tcW w:w="9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15</w:t>
            </w:r>
          </w:p>
        </w:tc>
        <w:tc>
          <w:tcPr>
            <w:tcW w:w="47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Minutes</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Art. 15</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Procès-verbal</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Board of Directors is responsible for the keeping of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est  responsable  de  la  tenue  du</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minutes of the Meeting, which shall state the number, kind,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procès-verbal de l'assemblée, qui doit indiquer le nombre, le type,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nominal value of shares represented by the shareholders, by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 valeur nominale des actions représentées par les actionnaires,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corporate  bodies  and  by  the  independent  proxy  and  gives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par les organes sociaux et par le représentant indépendant et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information  on  resolutions  passed,  elections,  requests  for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donne des informations sur les décisions adoptées, les élections,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information and information as well as declarations given by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les demandes de renseignements et les informations ainsi que les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shareholders. The minutes shall be signed by the Chairman and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déclarations faites par les actionnaires. Le procès-verbal est</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Secretary.</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signé par le président et le secrétaire.</w:t>
            </w:r>
          </w:p>
        </w:tc>
      </w:tr>
      <w:tr>
        <w:trPr>
          <w:trHeight w:val="257"/>
        </w:trPr>
        <w:tc>
          <w:tcPr>
            <w:tcW w:w="566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5580" w:type="dxa"/>
            <w:vAlign w:val="bottom"/>
            <w:tcBorders>
              <w:bottom w:val="single" w:sz="8" w:color="auto"/>
              <w:right w:val="single" w:sz="8" w:color="auto"/>
            </w:tcBorders>
            <w:gridSpan w:val="2"/>
          </w:tcPr>
          <w:p>
            <w:pPr>
              <w:spacing w:after="0"/>
              <w:rPr>
                <w:sz w:val="22"/>
                <w:szCs w:val="22"/>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shareholders are entitled to inspect the minutes.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actionnaires ont le droit d'examiner le procès-verbal.</w:t>
            </w: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77"/>
        </w:trPr>
        <w:tc>
          <w:tcPr>
            <w:tcW w:w="9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16</w:t>
            </w:r>
          </w:p>
        </w:tc>
        <w:tc>
          <w:tcPr>
            <w:tcW w:w="47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Right to Vote</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Art. 16</w:t>
            </w:r>
          </w:p>
        </w:tc>
        <w:tc>
          <w:tcPr>
            <w:tcW w:w="47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Droit de vote</w:t>
            </w:r>
          </w:p>
        </w:tc>
      </w:tr>
      <w:tr>
        <w:trPr>
          <w:trHeight w:val="405"/>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Each share entitles to one vote.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Chaque action donne droit à une voix.</w:t>
            </w: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101"/>
        </w:trPr>
        <w:tc>
          <w:tcPr>
            <w:tcW w:w="940" w:type="dxa"/>
            <w:vAlign w:val="bottom"/>
            <w:tcBorders>
              <w:bottom w:val="single" w:sz="8" w:color="auto"/>
            </w:tcBorders>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02584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32320" cy="1025842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Each shareholder may be represented at a General Meeting by</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Chaque  actionnaire  peut  se  faire  représenter  à  l'assemblée</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any person who is so authorized by a written proxy. A proxy need</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générale par toute personne qui est autorisée par une procuration</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not be a shareholder.</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écrite.  Le  représentant  ne  doit  pas  nécessairement  être  un</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actionnaire.</w:t>
            </w: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Each shareholder may be represented by the Independent Proxy.</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Chaque actionnaire peut se faire représenter par le représentant</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The  requirements  regarding  proxies  and  instructions  are</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indépendant. Les exigences en matière de procurations et les</w:t>
            </w:r>
          </w:p>
        </w:tc>
        <w:tc>
          <w:tcPr>
            <w:tcW w:w="0" w:type="dxa"/>
            <w:vAlign w:val="bottom"/>
          </w:tcPr>
          <w:p>
            <w:pPr>
              <w:spacing w:after="0"/>
              <w:rPr>
                <w:sz w:val="1"/>
                <w:szCs w:val="1"/>
                <w:color w:val="auto"/>
              </w:rPr>
            </w:pPr>
          </w:p>
        </w:tc>
      </w:tr>
      <w:tr>
        <w:trPr>
          <w:trHeight w:val="217"/>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determined by the Board of Directors.</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instructions sont déterminées par le conseil d'administration.</w:t>
            </w: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40"/>
              <w:spacing w:after="0"/>
              <w:rPr>
                <w:sz w:val="20"/>
                <w:szCs w:val="20"/>
                <w:color w:val="auto"/>
              </w:rPr>
            </w:pPr>
            <w:r>
              <w:rPr>
                <w:rFonts w:ascii="Arial" w:cs="Arial" w:eastAsia="Arial" w:hAnsi="Arial"/>
                <w:sz w:val="18"/>
                <w:szCs w:val="18"/>
                <w:b w:val="1"/>
                <w:bCs w:val="1"/>
                <w:color w:val="auto"/>
              </w:rPr>
              <w:t>Art. 17</w:t>
            </w: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Resolutions and Elections</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Art. 17</w:t>
            </w:r>
          </w:p>
        </w:tc>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Décisions and élections</w:t>
            </w:r>
          </w:p>
        </w:tc>
        <w:tc>
          <w:tcPr>
            <w:tcW w:w="0" w:type="dxa"/>
            <w:vAlign w:val="bottom"/>
          </w:tcPr>
          <w:p>
            <w:pPr>
              <w:spacing w:after="0"/>
              <w:rPr>
                <w:sz w:val="1"/>
                <w:szCs w:val="1"/>
                <w:color w:val="auto"/>
              </w:rPr>
            </w:pPr>
          </w:p>
        </w:tc>
      </w:tr>
      <w:tr>
        <w:trPr>
          <w:trHeight w:val="391"/>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All voting and elections are held openly or electronically. A written</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Tous votes et élections sont tenus ouvertement ou par voie</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voting or election shall be held if instructed so by the Chairman or</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électronique.  Sur  instruction  du  président  ou  de  l'assemblée</w:t>
            </w:r>
          </w:p>
        </w:tc>
        <w:tc>
          <w:tcPr>
            <w:tcW w:w="0" w:type="dxa"/>
            <w:vAlign w:val="bottom"/>
          </w:tcPr>
          <w:p>
            <w:pPr>
              <w:spacing w:after="0"/>
              <w:rPr>
                <w:sz w:val="1"/>
                <w:szCs w:val="1"/>
                <w:color w:val="auto"/>
              </w:rPr>
            </w:pPr>
          </w:p>
        </w:tc>
      </w:tr>
      <w:tr>
        <w:trPr>
          <w:trHeight w:val="217"/>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if decided by the General Meeting.</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générale, un vote ou une élection doit être tenu par écrit.</w:t>
            </w: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The General Meeting shall pass its resolutions and carry out its</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Sous réserve des dispositions impératives de la loi ou des statuts,</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elections with the simple majority of the votes cast regardless of</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l'assemblée  générale  prend  ses  décisions  et  procède  aux</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abstentions and empty or invalid votes, unless statutory law or</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élections à la majorité simple des voix émises. En cas de partage</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articles of association state otherwise. In the event of tie votes,</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égal des voix, la requête sera refusée. Le président n'a pas voix</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the request shall be refused. The Chairman shall not have a</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prépondérante.</w:t>
            </w:r>
          </w:p>
        </w:tc>
        <w:tc>
          <w:tcPr>
            <w:tcW w:w="0" w:type="dxa"/>
            <w:vAlign w:val="bottom"/>
          </w:tcPr>
          <w:p>
            <w:pPr>
              <w:spacing w:after="0"/>
              <w:rPr>
                <w:sz w:val="1"/>
                <w:szCs w:val="1"/>
                <w:color w:val="auto"/>
              </w:rPr>
            </w:pPr>
          </w:p>
        </w:tc>
      </w:tr>
      <w:tr>
        <w:trPr>
          <w:trHeight w:val="217"/>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casting vote.</w:t>
            </w:r>
          </w:p>
        </w:tc>
        <w:tc>
          <w:tcPr>
            <w:tcW w:w="8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A resolution of the General Meeting passed by at least two thirds</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Une décision de l'assemblée générale recueillant au moins les</w:t>
            </w:r>
          </w:p>
        </w:tc>
        <w:tc>
          <w:tcPr>
            <w:tcW w:w="0" w:type="dxa"/>
            <w:vAlign w:val="bottom"/>
          </w:tcPr>
          <w:p>
            <w:pPr>
              <w:spacing w:after="0"/>
              <w:rPr>
                <w:sz w:val="1"/>
                <w:szCs w:val="1"/>
                <w:color w:val="auto"/>
              </w:rPr>
            </w:pPr>
          </w:p>
        </w:tc>
      </w:tr>
      <w:tr>
        <w:trPr>
          <w:trHeight w:val="202"/>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of the represented share votes and the absolute majority of the</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deux tiers des voix attribuées aux actions représentées et la</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represented shares par value is required for:</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majorité  absolue  des  valeurs  nominales  représentées  est</w:t>
            </w:r>
          </w:p>
        </w:tc>
        <w:tc>
          <w:tcPr>
            <w:tcW w:w="0" w:type="dxa"/>
            <w:vAlign w:val="bottom"/>
          </w:tcPr>
          <w:p>
            <w:pPr>
              <w:spacing w:after="0"/>
              <w:rPr>
                <w:sz w:val="1"/>
                <w:szCs w:val="1"/>
                <w:color w:val="auto"/>
              </w:rPr>
            </w:pPr>
          </w:p>
        </w:tc>
      </w:tr>
      <w:tr>
        <w:trPr>
          <w:trHeight w:val="217"/>
        </w:trPr>
        <w:tc>
          <w:tcPr>
            <w:tcW w:w="5640" w:type="dxa"/>
            <w:vAlign w:val="bottom"/>
            <w:gridSpan w:val="2"/>
            <w:vMerge w:val="restart"/>
          </w:tcPr>
          <w:p>
            <w:pPr>
              <w:ind w:left="240"/>
              <w:spacing w:after="0"/>
              <w:rPr>
                <w:sz w:val="20"/>
                <w:szCs w:val="20"/>
                <w:color w:val="auto"/>
              </w:rPr>
            </w:pPr>
            <w:r>
              <w:rPr>
                <w:rFonts w:ascii="Arial" w:cs="Arial" w:eastAsia="Arial" w:hAnsi="Arial"/>
                <w:sz w:val="18"/>
                <w:szCs w:val="18"/>
                <w:color w:val="auto"/>
              </w:rPr>
              <w:t>a)  The cases listed in art. 704 para. 1 CO, i.e.:</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nécessaire pour:</w:t>
            </w:r>
          </w:p>
        </w:tc>
        <w:tc>
          <w:tcPr>
            <w:tcW w:w="0" w:type="dxa"/>
            <w:vAlign w:val="bottom"/>
          </w:tcPr>
          <w:p>
            <w:pPr>
              <w:spacing w:after="0"/>
              <w:rPr>
                <w:sz w:val="1"/>
                <w:szCs w:val="1"/>
                <w:color w:val="auto"/>
              </w:rPr>
            </w:pPr>
          </w:p>
        </w:tc>
      </w:tr>
      <w:tr>
        <w:trPr>
          <w:trHeight w:val="203"/>
        </w:trPr>
        <w:tc>
          <w:tcPr>
            <w:tcW w:w="5640" w:type="dxa"/>
            <w:vAlign w:val="bottom"/>
            <w:gridSpan w:val="2"/>
            <w:vMerge w:val="continue"/>
          </w:tcPr>
          <w:p>
            <w:pPr>
              <w:spacing w:after="0"/>
              <w:rPr>
                <w:sz w:val="17"/>
                <w:szCs w:val="17"/>
                <w:color w:val="auto"/>
              </w:rPr>
            </w:pPr>
          </w:p>
        </w:tc>
        <w:tc>
          <w:tcPr>
            <w:tcW w:w="5600" w:type="dxa"/>
            <w:vAlign w:val="bottom"/>
            <w:gridSpan w:val="2"/>
            <w:vMerge w:val="restart"/>
          </w:tcPr>
          <w:p>
            <w:pPr>
              <w:ind w:left="100"/>
              <w:spacing w:after="0"/>
              <w:rPr>
                <w:sz w:val="20"/>
                <w:szCs w:val="20"/>
                <w:color w:val="auto"/>
              </w:rPr>
            </w:pPr>
            <w:r>
              <w:rPr>
                <w:rFonts w:ascii="Arial" w:cs="Arial" w:eastAsia="Arial" w:hAnsi="Arial"/>
                <w:sz w:val="18"/>
                <w:szCs w:val="18"/>
                <w:color w:val="auto"/>
              </w:rPr>
              <w:t>a)   les cas énumérés dans l'art. 704 al. 1 CO, i.e.:</w:t>
            </w:r>
          </w:p>
        </w:tc>
        <w:tc>
          <w:tcPr>
            <w:tcW w:w="0" w:type="dxa"/>
            <w:vAlign w:val="bottom"/>
          </w:tcPr>
          <w:p>
            <w:pPr>
              <w:spacing w:after="0"/>
              <w:rPr>
                <w:sz w:val="1"/>
                <w:szCs w:val="1"/>
                <w:color w:val="auto"/>
              </w:rPr>
            </w:pPr>
          </w:p>
        </w:tc>
      </w:tr>
      <w:tr>
        <w:trPr>
          <w:trHeight w:val="203"/>
        </w:trPr>
        <w:tc>
          <w:tcPr>
            <w:tcW w:w="940" w:type="dxa"/>
            <w:vAlign w:val="bottom"/>
            <w:vMerge w:val="restart"/>
          </w:tcPr>
          <w:p>
            <w:pPr>
              <w:ind w:left="620"/>
              <w:spacing w:after="0"/>
              <w:rPr>
                <w:sz w:val="20"/>
                <w:szCs w:val="20"/>
                <w:color w:val="auto"/>
              </w:rPr>
            </w:pPr>
            <w:r>
              <w:rPr>
                <w:rFonts w:ascii="Arial" w:cs="Arial" w:eastAsia="Arial" w:hAnsi="Arial"/>
                <w:sz w:val="18"/>
                <w:szCs w:val="18"/>
                <w:color w:val="auto"/>
              </w:rPr>
              <w:t>(i)</w:t>
            </w: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rPr>
              <w:t>the change of the company purpose;</w:t>
            </w:r>
          </w:p>
        </w:tc>
        <w:tc>
          <w:tcPr>
            <w:tcW w:w="5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vMerge w:val="continue"/>
          </w:tcPr>
          <w:p>
            <w:pPr>
              <w:spacing w:after="0"/>
              <w:rPr>
                <w:sz w:val="17"/>
                <w:szCs w:val="17"/>
                <w:color w:val="auto"/>
              </w:rPr>
            </w:pPr>
          </w:p>
        </w:tc>
        <w:tc>
          <w:tcPr>
            <w:tcW w:w="4700" w:type="dxa"/>
            <w:vAlign w:val="bottom"/>
            <w:vMerge w:val="continue"/>
          </w:tcPr>
          <w:p>
            <w:pPr>
              <w:spacing w:after="0"/>
              <w:rPr>
                <w:sz w:val="17"/>
                <w:szCs w:val="17"/>
                <w:color w:val="auto"/>
              </w:rPr>
            </w:pPr>
          </w:p>
        </w:tc>
        <w:tc>
          <w:tcPr>
            <w:tcW w:w="5600" w:type="dxa"/>
            <w:vAlign w:val="bottom"/>
            <w:gridSpan w:val="2"/>
            <w:vMerge w:val="restart"/>
          </w:tcPr>
          <w:p>
            <w:pPr>
              <w:ind w:left="560"/>
              <w:spacing w:after="0"/>
              <w:rPr>
                <w:sz w:val="20"/>
                <w:szCs w:val="20"/>
                <w:color w:val="auto"/>
              </w:rPr>
            </w:pPr>
            <w:r>
              <w:rPr>
                <w:rFonts w:ascii="Arial" w:cs="Arial" w:eastAsia="Arial" w:hAnsi="Arial"/>
                <w:sz w:val="18"/>
                <w:szCs w:val="18"/>
                <w:color w:val="auto"/>
              </w:rPr>
              <w:t>(i)   la modification du but social;</w:t>
            </w:r>
          </w:p>
        </w:tc>
        <w:tc>
          <w:tcPr>
            <w:tcW w:w="0" w:type="dxa"/>
            <w:vAlign w:val="bottom"/>
          </w:tcPr>
          <w:p>
            <w:pPr>
              <w:spacing w:after="0"/>
              <w:rPr>
                <w:sz w:val="1"/>
                <w:szCs w:val="1"/>
                <w:color w:val="auto"/>
              </w:rPr>
            </w:pPr>
          </w:p>
        </w:tc>
      </w:tr>
      <w:tr>
        <w:trPr>
          <w:trHeight w:val="203"/>
        </w:trPr>
        <w:tc>
          <w:tcPr>
            <w:tcW w:w="5640" w:type="dxa"/>
            <w:vAlign w:val="bottom"/>
            <w:gridSpan w:val="2"/>
            <w:vMerge w:val="restart"/>
          </w:tcPr>
          <w:p>
            <w:pPr>
              <w:ind w:left="620"/>
              <w:spacing w:after="0"/>
              <w:rPr>
                <w:sz w:val="20"/>
                <w:szCs w:val="20"/>
                <w:color w:val="auto"/>
              </w:rPr>
            </w:pPr>
            <w:r>
              <w:rPr>
                <w:rFonts w:ascii="Arial" w:cs="Arial" w:eastAsia="Arial" w:hAnsi="Arial"/>
                <w:sz w:val="18"/>
                <w:szCs w:val="18"/>
                <w:color w:val="auto"/>
              </w:rPr>
              <w:t>(ii)   the creation of shares with privileged voting rights;</w:t>
            </w:r>
          </w:p>
        </w:tc>
        <w:tc>
          <w:tcPr>
            <w:tcW w:w="5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gridSpan w:val="2"/>
            <w:vMerge w:val="continue"/>
          </w:tcPr>
          <w:p>
            <w:pPr>
              <w:spacing w:after="0"/>
              <w:rPr>
                <w:sz w:val="17"/>
                <w:szCs w:val="17"/>
                <w:color w:val="auto"/>
              </w:rPr>
            </w:pPr>
          </w:p>
        </w:tc>
        <w:tc>
          <w:tcPr>
            <w:tcW w:w="5600" w:type="dxa"/>
            <w:vAlign w:val="bottom"/>
            <w:gridSpan w:val="2"/>
            <w:vMerge w:val="restart"/>
          </w:tcPr>
          <w:p>
            <w:pPr>
              <w:ind w:left="560"/>
              <w:spacing w:after="0"/>
              <w:rPr>
                <w:sz w:val="20"/>
                <w:szCs w:val="20"/>
                <w:color w:val="auto"/>
              </w:rPr>
            </w:pPr>
            <w:r>
              <w:rPr>
                <w:rFonts w:ascii="Arial" w:cs="Arial" w:eastAsia="Arial" w:hAnsi="Arial"/>
                <w:sz w:val="18"/>
                <w:szCs w:val="18"/>
                <w:color w:val="auto"/>
              </w:rPr>
              <w:t>(ii)  l'introduction d'actions à droit de vote privilégié;</w:t>
            </w:r>
          </w:p>
        </w:tc>
        <w:tc>
          <w:tcPr>
            <w:tcW w:w="0" w:type="dxa"/>
            <w:vAlign w:val="bottom"/>
          </w:tcPr>
          <w:p>
            <w:pPr>
              <w:spacing w:after="0"/>
              <w:rPr>
                <w:sz w:val="1"/>
                <w:szCs w:val="1"/>
                <w:color w:val="auto"/>
              </w:rPr>
            </w:pPr>
          </w:p>
        </w:tc>
      </w:tr>
      <w:tr>
        <w:trPr>
          <w:trHeight w:val="203"/>
        </w:trPr>
        <w:tc>
          <w:tcPr>
            <w:tcW w:w="5640" w:type="dxa"/>
            <w:vAlign w:val="bottom"/>
            <w:gridSpan w:val="2"/>
            <w:vMerge w:val="restart"/>
          </w:tcPr>
          <w:p>
            <w:pPr>
              <w:ind w:left="620"/>
              <w:spacing w:after="0"/>
              <w:rPr>
                <w:sz w:val="20"/>
                <w:szCs w:val="20"/>
                <w:color w:val="auto"/>
              </w:rPr>
            </w:pPr>
            <w:r>
              <w:rPr>
                <w:rFonts w:ascii="Arial" w:cs="Arial" w:eastAsia="Arial" w:hAnsi="Arial"/>
                <w:sz w:val="18"/>
                <w:szCs w:val="18"/>
                <w:color w:val="auto"/>
              </w:rPr>
              <w:t>(iii)  the restriction of the transferability of registered shares;</w:t>
            </w:r>
          </w:p>
        </w:tc>
        <w:tc>
          <w:tcPr>
            <w:tcW w:w="5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vMerge w:val="continue"/>
          </w:tcPr>
          <w:p>
            <w:pPr>
              <w:spacing w:after="0"/>
              <w:rPr>
                <w:sz w:val="17"/>
                <w:szCs w:val="17"/>
                <w:color w:val="auto"/>
              </w:rPr>
            </w:pPr>
          </w:p>
        </w:tc>
        <w:tc>
          <w:tcPr>
            <w:tcW w:w="880" w:type="dxa"/>
            <w:vAlign w:val="bottom"/>
            <w:vMerge w:val="restart"/>
          </w:tcPr>
          <w:p>
            <w:pPr>
              <w:ind w:left="560"/>
              <w:spacing w:after="0"/>
              <w:rPr>
                <w:sz w:val="20"/>
                <w:szCs w:val="20"/>
                <w:color w:val="auto"/>
              </w:rPr>
            </w:pPr>
            <w:r>
              <w:rPr>
                <w:rFonts w:ascii="Arial" w:cs="Arial" w:eastAsia="Arial" w:hAnsi="Arial"/>
                <w:sz w:val="18"/>
                <w:szCs w:val="18"/>
                <w:color w:val="auto"/>
              </w:rPr>
              <w:t>(iii)</w:t>
            </w:r>
          </w:p>
        </w:tc>
        <w:tc>
          <w:tcPr>
            <w:tcW w:w="4720" w:type="dxa"/>
            <w:vAlign w:val="bottom"/>
            <w:vMerge w:val="restart"/>
          </w:tcPr>
          <w:p>
            <w:pPr>
              <w:ind w:left="340"/>
              <w:spacing w:after="0"/>
              <w:rPr>
                <w:sz w:val="20"/>
                <w:szCs w:val="20"/>
                <w:color w:val="auto"/>
              </w:rPr>
            </w:pPr>
            <w:r>
              <w:rPr>
                <w:rFonts w:ascii="Arial" w:cs="Arial" w:eastAsia="Arial" w:hAnsi="Arial"/>
                <w:sz w:val="18"/>
                <w:szCs w:val="18"/>
                <w:color w:val="auto"/>
              </w:rPr>
              <w:t>la  restriction  de  la  transmissibilité  des  actions</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20"/>
              <w:spacing w:after="0" w:line="202" w:lineRule="exact"/>
              <w:rPr>
                <w:sz w:val="20"/>
                <w:szCs w:val="20"/>
                <w:color w:val="auto"/>
              </w:rPr>
            </w:pPr>
            <w:r>
              <w:rPr>
                <w:rFonts w:ascii="Arial" w:cs="Arial" w:eastAsia="Arial" w:hAnsi="Arial"/>
                <w:sz w:val="18"/>
                <w:szCs w:val="18"/>
                <w:color w:val="auto"/>
              </w:rPr>
              <w:t>(iv)</w:t>
            </w:r>
          </w:p>
        </w:tc>
        <w:tc>
          <w:tcPr>
            <w:tcW w:w="4700" w:type="dxa"/>
            <w:vAlign w:val="bottom"/>
          </w:tcPr>
          <w:p>
            <w:pPr>
              <w:ind w:left="340"/>
              <w:spacing w:after="0" w:line="202" w:lineRule="exact"/>
              <w:rPr>
                <w:sz w:val="20"/>
                <w:szCs w:val="20"/>
                <w:color w:val="auto"/>
              </w:rPr>
            </w:pPr>
            <w:r>
              <w:rPr>
                <w:rFonts w:ascii="Arial" w:cs="Arial" w:eastAsia="Arial" w:hAnsi="Arial"/>
                <w:sz w:val="18"/>
                <w:szCs w:val="18"/>
                <w:color w:val="auto"/>
              </w:rPr>
              <w:t>an increase of capital, authorized or subject to a</w:t>
            </w:r>
          </w:p>
        </w:tc>
        <w:tc>
          <w:tcPr>
            <w:tcW w:w="880" w:type="dxa"/>
            <w:vAlign w:val="bottom"/>
          </w:tcPr>
          <w:p>
            <w:pPr>
              <w:spacing w:after="0"/>
              <w:rPr>
                <w:sz w:val="17"/>
                <w:szCs w:val="17"/>
                <w:color w:val="auto"/>
              </w:rPr>
            </w:pPr>
          </w:p>
        </w:tc>
        <w:tc>
          <w:tcPr>
            <w:tcW w:w="4720" w:type="dxa"/>
            <w:vAlign w:val="bottom"/>
          </w:tcPr>
          <w:p>
            <w:pPr>
              <w:ind w:left="60"/>
              <w:spacing w:after="0" w:line="202" w:lineRule="exact"/>
              <w:rPr>
                <w:sz w:val="20"/>
                <w:szCs w:val="20"/>
                <w:color w:val="auto"/>
              </w:rPr>
            </w:pPr>
            <w:r>
              <w:rPr>
                <w:rFonts w:ascii="Arial" w:cs="Arial" w:eastAsia="Arial" w:hAnsi="Arial"/>
                <w:sz w:val="18"/>
                <w:szCs w:val="18"/>
                <w:color w:val="auto"/>
              </w:rPr>
              <w:t>nominatives;</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condition;</w:t>
            </w:r>
          </w:p>
        </w:tc>
        <w:tc>
          <w:tcPr>
            <w:tcW w:w="5600" w:type="dxa"/>
            <w:vAlign w:val="bottom"/>
            <w:gridSpan w:val="2"/>
            <w:vMerge w:val="restart"/>
          </w:tcPr>
          <w:p>
            <w:pPr>
              <w:ind w:left="560"/>
              <w:spacing w:after="0"/>
              <w:rPr>
                <w:sz w:val="20"/>
                <w:szCs w:val="20"/>
                <w:color w:val="auto"/>
              </w:rPr>
            </w:pPr>
            <w:r>
              <w:rPr>
                <w:rFonts w:ascii="Arial" w:cs="Arial" w:eastAsia="Arial" w:hAnsi="Arial"/>
                <w:sz w:val="18"/>
                <w:szCs w:val="18"/>
                <w:color w:val="auto"/>
              </w:rPr>
              <w:t>(iv)  l'augmentation autorisée ou conditionnelle du capital-</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5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(v)   an increase of capital out of equity, against contribution</w:t>
            </w:r>
          </w:p>
        </w:tc>
        <w:tc>
          <w:tcPr>
            <w:tcW w:w="880" w:type="dxa"/>
            <w:vAlign w:val="bottom"/>
          </w:tcPr>
          <w:p>
            <w:pPr>
              <w:spacing w:after="0"/>
              <w:rPr>
                <w:sz w:val="17"/>
                <w:szCs w:val="17"/>
                <w:color w:val="auto"/>
              </w:rPr>
            </w:pPr>
          </w:p>
        </w:tc>
        <w:tc>
          <w:tcPr>
            <w:tcW w:w="4720" w:type="dxa"/>
            <w:vAlign w:val="bottom"/>
          </w:tcPr>
          <w:p>
            <w:pPr>
              <w:ind w:left="60"/>
              <w:spacing w:after="0" w:line="202" w:lineRule="exact"/>
              <w:rPr>
                <w:sz w:val="20"/>
                <w:szCs w:val="20"/>
                <w:color w:val="auto"/>
              </w:rPr>
            </w:pPr>
            <w:r>
              <w:rPr>
                <w:rFonts w:ascii="Arial" w:cs="Arial" w:eastAsia="Arial" w:hAnsi="Arial"/>
                <w:sz w:val="18"/>
                <w:szCs w:val="18"/>
                <w:color w:val="auto"/>
              </w:rPr>
              <w:t>actions;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700" w:type="dxa"/>
            <w:vAlign w:val="bottom"/>
          </w:tcPr>
          <w:p>
            <w:pPr>
              <w:ind w:left="60"/>
              <w:spacing w:after="0" w:line="202" w:lineRule="exact"/>
              <w:rPr>
                <w:sz w:val="20"/>
                <w:szCs w:val="20"/>
                <w:color w:val="auto"/>
              </w:rPr>
            </w:pPr>
            <w:r>
              <w:rPr>
                <w:rFonts w:ascii="Arial" w:cs="Arial" w:eastAsia="Arial" w:hAnsi="Arial"/>
                <w:sz w:val="18"/>
                <w:szCs w:val="18"/>
                <w:color w:val="auto"/>
              </w:rPr>
              <w:t>in kind, or for the purpose of acquisition of assets and</w:t>
            </w:r>
          </w:p>
        </w:tc>
        <w:tc>
          <w:tcPr>
            <w:tcW w:w="8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700" w:type="dxa"/>
            <w:vAlign w:val="bottom"/>
          </w:tcPr>
          <w:p>
            <w:pPr>
              <w:ind w:left="60"/>
              <w:spacing w:after="0" w:line="202" w:lineRule="exact"/>
              <w:rPr>
                <w:sz w:val="20"/>
                <w:szCs w:val="20"/>
                <w:color w:val="auto"/>
              </w:rPr>
            </w:pPr>
            <w:r>
              <w:rPr>
                <w:rFonts w:ascii="Arial" w:cs="Arial" w:eastAsia="Arial" w:hAnsi="Arial"/>
                <w:sz w:val="18"/>
                <w:szCs w:val="18"/>
                <w:color w:val="auto"/>
              </w:rPr>
              <w:t>the granting of special benefits;</w:t>
            </w:r>
          </w:p>
        </w:tc>
        <w:tc>
          <w:tcPr>
            <w:tcW w:w="56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(v)   l'augmentation du capital-actions au moyen des fonds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tcPr>
          <w:p>
            <w:pPr>
              <w:ind w:left="60"/>
              <w:spacing w:after="0" w:line="202" w:lineRule="exact"/>
              <w:rPr>
                <w:sz w:val="20"/>
                <w:szCs w:val="20"/>
                <w:color w:val="auto"/>
              </w:rPr>
            </w:pPr>
            <w:r>
              <w:rPr>
                <w:rFonts w:ascii="Arial" w:cs="Arial" w:eastAsia="Arial" w:hAnsi="Arial"/>
                <w:sz w:val="18"/>
                <w:szCs w:val="18"/>
                <w:color w:val="auto"/>
              </w:rPr>
              <w:t>propres, contre apport en nature ou en vue d'une</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rPr>
              <w:t>reprise de biens et l'octroi d'avantages particuliers;</w:t>
            </w: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Each shareholder may be represented at a General Meeting by</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Chaque  actionnaire  peut  se  faire  représenter  à  l'assemblée</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any person who is so authorized by a written proxy. A proxy need</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générale par toute personne qui est autorisée par une procuration</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not be a shareholder.</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écrite.  Le  représentant  ne  doit  pas  nécessairement  être  un</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actionnaire.</w:t>
            </w: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Each shareholder may be represented by the Independent Proxy.</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Chaque actionnaire peut se faire représenter par le représentant</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The  requirements  regarding  proxies  and  instructions  are</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indépendant. Les exigences en matière de procurations et les</w:t>
            </w:r>
          </w:p>
        </w:tc>
        <w:tc>
          <w:tcPr>
            <w:tcW w:w="0" w:type="dxa"/>
            <w:vAlign w:val="bottom"/>
          </w:tcPr>
          <w:p>
            <w:pPr>
              <w:spacing w:after="0"/>
              <w:rPr>
                <w:sz w:val="1"/>
                <w:szCs w:val="1"/>
                <w:color w:val="auto"/>
              </w:rPr>
            </w:pPr>
          </w:p>
        </w:tc>
      </w:tr>
      <w:tr>
        <w:trPr>
          <w:trHeight w:val="217"/>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determined by the Board of Directors.</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instructions sont déterminées par le conseil d'administration.</w:t>
            </w: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40" w:type="dxa"/>
            <w:vAlign w:val="bottom"/>
          </w:tcPr>
          <w:p>
            <w:pPr>
              <w:ind w:left="240"/>
              <w:spacing w:after="0"/>
              <w:rPr>
                <w:sz w:val="20"/>
                <w:szCs w:val="20"/>
                <w:color w:val="auto"/>
              </w:rPr>
            </w:pPr>
            <w:r>
              <w:rPr>
                <w:rFonts w:ascii="Arial" w:cs="Arial" w:eastAsia="Arial" w:hAnsi="Arial"/>
                <w:sz w:val="18"/>
                <w:szCs w:val="18"/>
                <w:b w:val="1"/>
                <w:bCs w:val="1"/>
                <w:color w:val="auto"/>
              </w:rPr>
              <w:t>Art. 17</w:t>
            </w: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Resolutions and Elections</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Art. 17</w:t>
            </w:r>
          </w:p>
        </w:tc>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Décisions and élections</w:t>
            </w:r>
          </w:p>
        </w:tc>
        <w:tc>
          <w:tcPr>
            <w:tcW w:w="0" w:type="dxa"/>
            <w:vAlign w:val="bottom"/>
          </w:tcPr>
          <w:p>
            <w:pPr>
              <w:spacing w:after="0"/>
              <w:rPr>
                <w:sz w:val="1"/>
                <w:szCs w:val="1"/>
                <w:color w:val="auto"/>
              </w:rPr>
            </w:pPr>
          </w:p>
        </w:tc>
      </w:tr>
      <w:tr>
        <w:trPr>
          <w:trHeight w:val="391"/>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All voting and elections are held openly or electronically. A written</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Tous votes et élections sont tenus ouvertement ou par voie</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voting or election shall be held if instructed so by the Chairman or</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électronique.  Sur  instruction  du  président  ou  de  l'assemblée</w:t>
            </w:r>
          </w:p>
        </w:tc>
        <w:tc>
          <w:tcPr>
            <w:tcW w:w="0" w:type="dxa"/>
            <w:vAlign w:val="bottom"/>
          </w:tcPr>
          <w:p>
            <w:pPr>
              <w:spacing w:after="0"/>
              <w:rPr>
                <w:sz w:val="1"/>
                <w:szCs w:val="1"/>
                <w:color w:val="auto"/>
              </w:rPr>
            </w:pPr>
          </w:p>
        </w:tc>
      </w:tr>
      <w:tr>
        <w:trPr>
          <w:trHeight w:val="217"/>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if decided by the General Meeting.</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générale, un vote ou une élection doit être tenu par écrit.</w:t>
            </w: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The General Meeting shall pass its resolutions and carry out its</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Sous réserve des dispositions impératives de la loi ou des statuts,</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elections with the simple majority of the votes cast regardless of</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l'assemblée  générale  prend  ses  décisions  et  procède  aux</w:t>
            </w:r>
          </w:p>
        </w:tc>
        <w:tc>
          <w:tcPr>
            <w:tcW w:w="0" w:type="dxa"/>
            <w:vAlign w:val="bottom"/>
          </w:tcPr>
          <w:p>
            <w:pPr>
              <w:spacing w:after="0"/>
              <w:rPr>
                <w:sz w:val="1"/>
                <w:szCs w:val="1"/>
                <w:color w:val="auto"/>
              </w:rPr>
            </w:pPr>
          </w:p>
        </w:tc>
      </w:tr>
      <w:tr>
        <w:trPr>
          <w:trHeight w:val="202"/>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abstentions and empty or invalid votes, unless statutory law or</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élections à la majorité simple des voix émises. En cas de partage</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articles of association state otherwise. In the event of tie votes,</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égal des voix, la requête sera refusée. Le président n'a pas voix</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the request shall be refused. The Chairman shall not have a</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prépondérante.</w:t>
            </w:r>
          </w:p>
        </w:tc>
        <w:tc>
          <w:tcPr>
            <w:tcW w:w="0" w:type="dxa"/>
            <w:vAlign w:val="bottom"/>
          </w:tcPr>
          <w:p>
            <w:pPr>
              <w:spacing w:after="0"/>
              <w:rPr>
                <w:sz w:val="1"/>
                <w:szCs w:val="1"/>
                <w:color w:val="auto"/>
              </w:rPr>
            </w:pPr>
          </w:p>
        </w:tc>
      </w:tr>
      <w:tr>
        <w:trPr>
          <w:trHeight w:val="217"/>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casting vote.</w:t>
            </w:r>
          </w:p>
        </w:tc>
        <w:tc>
          <w:tcPr>
            <w:tcW w:w="8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A resolution of the General Meeting passed by at least two thirds</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Une décision de l'assemblée générale recueillant au moins les</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of the represented share votes and the absolute majority of the</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deux tiers des voix attribuées aux actions représentées et la</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represented shares par value is required for:</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majorité  absolue  des  valeurs  nominales  représentées  est</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nécessaire pour:</w:t>
            </w:r>
          </w:p>
        </w:tc>
        <w:tc>
          <w:tcPr>
            <w:tcW w:w="0" w:type="dxa"/>
            <w:vAlign w:val="bottom"/>
          </w:tcPr>
          <w:p>
            <w:pPr>
              <w:spacing w:after="0"/>
              <w:rPr>
                <w:sz w:val="1"/>
                <w:szCs w:val="1"/>
                <w:color w:val="auto"/>
              </w:rPr>
            </w:pPr>
          </w:p>
        </w:tc>
      </w:tr>
    </w:tbl>
    <w:p>
      <w:pPr>
        <w:ind w:left="600" w:hanging="363"/>
        <w:spacing w:after="0" w:line="234" w:lineRule="auto"/>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cases listed in art. 704 para. 1 CO, i.e.:</w:t>
      </w:r>
    </w:p>
    <w:p>
      <w:pPr>
        <w:ind w:left="5740"/>
        <w:spacing w:after="0" w:line="235" w:lineRule="auto"/>
        <w:tabs>
          <w:tab w:leader="none" w:pos="61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les cas énumérés dans l'art. 704 al. 1 CO, i.e.:</w:t>
      </w:r>
    </w:p>
    <w:p>
      <w:pPr>
        <w:ind w:left="1080" w:hanging="460"/>
        <w:spacing w:after="0" w:line="235"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change of the company purpose;</w:t>
      </w:r>
    </w:p>
    <w:p>
      <w:pPr>
        <w:ind w:left="6200"/>
        <w:spacing w:after="0" w:line="235" w:lineRule="auto"/>
        <w:tabs>
          <w:tab w:leader="none" w:pos="6540" w:val="left"/>
        </w:tabs>
        <w:rPr>
          <w:sz w:val="20"/>
          <w:szCs w:val="20"/>
          <w:color w:val="auto"/>
        </w:rPr>
      </w:pPr>
      <w:r>
        <w:rPr>
          <w:rFonts w:ascii="Arial" w:cs="Arial" w:eastAsia="Arial" w:hAnsi="Arial"/>
          <w:sz w:val="18"/>
          <w:szCs w:val="18"/>
          <w:color w:val="auto"/>
        </w:rPr>
        <w:t>(i)</w:t>
        <w:tab/>
        <w:t>la modification du but social;</w:t>
      </w:r>
    </w:p>
    <w:p>
      <w:pPr>
        <w:ind w:left="1060" w:hanging="440"/>
        <w:spacing w:after="0" w:line="235"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creation of shares with privileged voting rights;</w:t>
      </w:r>
    </w:p>
    <w:p>
      <w:pPr>
        <w:ind w:left="6200"/>
        <w:spacing w:after="0"/>
        <w:tabs>
          <w:tab w:leader="none" w:pos="65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7"/>
          <w:szCs w:val="17"/>
          <w:color w:val="auto"/>
        </w:rPr>
        <w:t>l'introduction d'actions à droit de vote privilégié;</w:t>
      </w:r>
    </w:p>
    <w:p>
      <w:pPr>
        <w:ind w:left="1060" w:hanging="440"/>
        <w:spacing w:after="0" w:line="235" w:lineRule="auto"/>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restriction of the transferability of registered shares;</w:t>
      </w:r>
    </w:p>
    <w:tbl>
      <w:tblPr>
        <w:tblLayout w:type="fixed"/>
        <w:tblInd w:w="62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580" w:type="dxa"/>
            <w:vAlign w:val="bottom"/>
          </w:tcPr>
          <w:p>
            <w:pPr>
              <w:ind w:left="5260"/>
              <w:spacing w:after="0" w:line="203" w:lineRule="exact"/>
              <w:rPr>
                <w:sz w:val="20"/>
                <w:szCs w:val="20"/>
                <w:color w:val="auto"/>
              </w:rPr>
            </w:pPr>
            <w:r>
              <w:rPr>
                <w:rFonts w:ascii="Arial" w:cs="Arial" w:eastAsia="Arial" w:hAnsi="Arial"/>
                <w:sz w:val="18"/>
                <w:szCs w:val="18"/>
                <w:color w:val="auto"/>
              </w:rPr>
              <w:t>(iii)</w:t>
            </w:r>
          </w:p>
        </w:tc>
        <w:tc>
          <w:tcPr>
            <w:tcW w:w="4480" w:type="dxa"/>
            <w:vAlign w:val="bottom"/>
          </w:tcPr>
          <w:p>
            <w:pPr>
              <w:jc w:val="right"/>
              <w:spacing w:after="0" w:line="203" w:lineRule="exact"/>
              <w:rPr>
                <w:sz w:val="20"/>
                <w:szCs w:val="20"/>
                <w:color w:val="auto"/>
              </w:rPr>
            </w:pPr>
            <w:r>
              <w:rPr>
                <w:rFonts w:ascii="Arial" w:cs="Arial" w:eastAsia="Arial" w:hAnsi="Arial"/>
                <w:sz w:val="18"/>
                <w:szCs w:val="18"/>
                <w:color w:val="auto"/>
              </w:rPr>
              <w:t>la  restriction  de  la  transmissibilité  des  actions</w:t>
            </w:r>
          </w:p>
        </w:tc>
      </w:tr>
      <w:tr>
        <w:trPr>
          <w:trHeight w:val="203"/>
        </w:trPr>
        <w:tc>
          <w:tcPr>
            <w:tcW w:w="320" w:type="dxa"/>
            <w:vAlign w:val="bottom"/>
          </w:tcPr>
          <w:p>
            <w:pPr>
              <w:spacing w:after="0" w:line="202" w:lineRule="exact"/>
              <w:rPr>
                <w:sz w:val="20"/>
                <w:szCs w:val="20"/>
                <w:color w:val="auto"/>
              </w:rPr>
            </w:pPr>
            <w:r>
              <w:rPr>
                <w:rFonts w:ascii="Arial" w:cs="Arial" w:eastAsia="Arial" w:hAnsi="Arial"/>
                <w:sz w:val="18"/>
                <w:szCs w:val="18"/>
                <w:color w:val="auto"/>
              </w:rPr>
              <w:t>(iv)</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an increase of capital, authorized or subject to a</w:t>
            </w:r>
          </w:p>
        </w:tc>
        <w:tc>
          <w:tcPr>
            <w:tcW w:w="4480" w:type="dxa"/>
            <w:vAlign w:val="bottom"/>
          </w:tcPr>
          <w:p>
            <w:pPr>
              <w:ind w:left="60"/>
              <w:spacing w:after="0" w:line="202" w:lineRule="exact"/>
              <w:rPr>
                <w:sz w:val="20"/>
                <w:szCs w:val="20"/>
                <w:color w:val="auto"/>
              </w:rPr>
            </w:pPr>
            <w:r>
              <w:rPr>
                <w:rFonts w:ascii="Arial" w:cs="Arial" w:eastAsia="Arial" w:hAnsi="Arial"/>
                <w:sz w:val="18"/>
                <w:szCs w:val="18"/>
                <w:color w:val="auto"/>
              </w:rPr>
              <w:t>nominatives;</w:t>
            </w:r>
          </w:p>
        </w:tc>
      </w:tr>
      <w:tr>
        <w:trPr>
          <w:trHeight w:val="203"/>
        </w:trPr>
        <w:tc>
          <w:tcPr>
            <w:tcW w:w="320" w:type="dxa"/>
            <w:vAlign w:val="bottom"/>
          </w:tcPr>
          <w:p>
            <w:pPr>
              <w:spacing w:after="0"/>
              <w:rPr>
                <w:sz w:val="17"/>
                <w:szCs w:val="17"/>
                <w:color w:val="auto"/>
              </w:rPr>
            </w:pPr>
          </w:p>
        </w:tc>
        <w:tc>
          <w:tcPr>
            <w:tcW w:w="5580" w:type="dxa"/>
            <w:vAlign w:val="bottom"/>
          </w:tcPr>
          <w:p>
            <w:pPr>
              <w:ind w:left="60"/>
              <w:spacing w:after="0" w:line="202" w:lineRule="exact"/>
              <w:rPr>
                <w:sz w:val="20"/>
                <w:szCs w:val="20"/>
                <w:color w:val="auto"/>
              </w:rPr>
            </w:pPr>
            <w:r>
              <w:rPr>
                <w:rFonts w:ascii="Arial" w:cs="Arial" w:eastAsia="Arial" w:hAnsi="Arial"/>
                <w:sz w:val="18"/>
                <w:szCs w:val="18"/>
                <w:color w:val="auto"/>
              </w:rPr>
              <w:t>condition;</w:t>
            </w:r>
          </w:p>
        </w:tc>
        <w:tc>
          <w:tcPr>
            <w:tcW w:w="4480" w:type="dxa"/>
            <w:vAlign w:val="bottom"/>
          </w:tcPr>
          <w:p>
            <w:pPr>
              <w:spacing w:after="0"/>
              <w:rPr>
                <w:sz w:val="17"/>
                <w:szCs w:val="17"/>
                <w:color w:val="auto"/>
              </w:rPr>
            </w:pPr>
          </w:p>
        </w:tc>
      </w:tr>
      <w:tr>
        <w:trPr>
          <w:trHeight w:val="202"/>
        </w:trPr>
        <w:tc>
          <w:tcPr>
            <w:tcW w:w="320" w:type="dxa"/>
            <w:vAlign w:val="bottom"/>
          </w:tcPr>
          <w:p>
            <w:pPr>
              <w:spacing w:after="0"/>
              <w:rPr>
                <w:sz w:val="17"/>
                <w:szCs w:val="17"/>
                <w:color w:val="auto"/>
              </w:rPr>
            </w:pPr>
          </w:p>
        </w:tc>
        <w:tc>
          <w:tcPr>
            <w:tcW w:w="10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(iv)  l'augmentation autorisée ou conditionnelle du capital-</w:t>
            </w:r>
          </w:p>
        </w:tc>
      </w:tr>
      <w:tr>
        <w:trPr>
          <w:trHeight w:val="217"/>
        </w:trPr>
        <w:tc>
          <w:tcPr>
            <w:tcW w:w="3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480" w:type="dxa"/>
            <w:vAlign w:val="bottom"/>
          </w:tcPr>
          <w:p>
            <w:pPr>
              <w:ind w:left="60"/>
              <w:spacing w:after="0"/>
              <w:rPr>
                <w:sz w:val="20"/>
                <w:szCs w:val="20"/>
                <w:color w:val="auto"/>
              </w:rPr>
            </w:pPr>
            <w:r>
              <w:rPr>
                <w:rFonts w:ascii="Arial" w:cs="Arial" w:eastAsia="Arial" w:hAnsi="Arial"/>
                <w:sz w:val="18"/>
                <w:szCs w:val="18"/>
                <w:color w:val="auto"/>
              </w:rPr>
              <w:t>actions;</w:t>
            </w:r>
          </w:p>
        </w:tc>
      </w:tr>
    </w:tbl>
    <w:p>
      <w:pPr>
        <w:sectPr>
          <w:pgSz w:w="11900" w:h="16838" w:orient="portrait"/>
          <w:cols w:equalWidth="0" w:num="1">
            <w:col w:w="11240"/>
          </w:cols>
          <w:pgMar w:left="320" w:top="250" w:right="339" w:bottom="0" w:gutter="0" w:footer="0" w:header="0"/>
        </w:sectPr>
      </w:pPr>
    </w:p>
    <w:bookmarkStart w:id="210" w:name="page211"/>
    <w:bookmarkEnd w:id="210"/>
    <w:p>
      <w:pPr>
        <w:jc w:val="both"/>
        <w:ind w:left="380" w:hanging="380"/>
        <w:spacing w:after="0"/>
        <w:tabs>
          <w:tab w:leader="none" w:pos="434"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657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32320" cy="565785"/>
                    </a:xfrm>
                    <a:prstGeom prst="rect">
                      <a:avLst/>
                    </a:prstGeom>
                    <a:noFill/>
                  </pic:spPr>
                </pic:pic>
              </a:graphicData>
            </a:graphic>
          </wp:anchor>
        </w:drawing>
        <w:t>an increase of capital out of equity, against contribution in kind, or for the purpose of acquisition of assets and the granting of special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240030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left="378" w:hanging="378"/>
        <w:spacing w:after="0"/>
        <w:tabs>
          <w:tab w:leader="none" w:pos="44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l'augmentation du capital-actions au moyen des fonds propres, contre apport en nature ou en vue d'une reprise de biens et l'octroi d'avantages particuliers;</w:t>
      </w:r>
    </w:p>
    <w:p>
      <w:pPr>
        <w:sectPr>
          <w:pgSz w:w="11900" w:h="16838" w:orient="portrait"/>
          <w:cols w:equalWidth="0" w:num="2">
            <w:col w:w="4900" w:space="682"/>
            <w:col w:w="4798"/>
          </w:cols>
          <w:pgMar w:left="940" w:top="140" w:right="579" w:bottom="1440" w:gutter="0" w:footer="0" w:header="0"/>
        </w:sectPr>
      </w:pPr>
    </w:p>
    <w:bookmarkStart w:id="211" w:name="page212"/>
    <w:bookmarkEnd w:id="211"/>
    <w:p>
      <w:pPr>
        <w:jc w:val="right"/>
        <w:spacing w:after="0"/>
        <w:rPr>
          <w:sz w:val="20"/>
          <w:szCs w:val="20"/>
          <w:color w:val="auto"/>
        </w:rPr>
      </w:pPr>
      <w:r>
        <w:rPr>
          <w:rFonts w:ascii="Arial" w:cs="Arial" w:eastAsia="Arial" w:hAnsi="Arial"/>
          <w:sz w:val="16"/>
          <w:szCs w:val="16"/>
          <w:color w:val="auto"/>
        </w:rPr>
        <w:t>17</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620"/>
              <w:spacing w:after="0"/>
              <w:rPr>
                <w:sz w:val="20"/>
                <w:szCs w:val="20"/>
                <w:color w:val="auto"/>
              </w:rPr>
            </w:pPr>
            <w:r>
              <w:rPr>
                <w:rFonts w:ascii="Arial" w:cs="Arial" w:eastAsia="Arial" w:hAnsi="Arial"/>
                <w:sz w:val="18"/>
                <w:szCs w:val="18"/>
                <w:color w:val="auto"/>
              </w:rPr>
              <w:t>(vi)  the limitation or withdrawal of subscription rights;</w:t>
            </w:r>
          </w:p>
        </w:tc>
        <w:tc>
          <w:tcPr>
            <w:tcW w:w="380" w:type="dxa"/>
            <w:vAlign w:val="bottom"/>
            <w:tcBorders>
              <w:top w:val="single" w:sz="8" w:color="auto"/>
            </w:tcBorders>
          </w:tcPr>
          <w:p>
            <w:pPr>
              <w:spacing w:after="0"/>
              <w:rPr>
                <w:sz w:val="24"/>
                <w:szCs w:val="24"/>
                <w:color w:val="auto"/>
              </w:rPr>
            </w:pPr>
          </w:p>
        </w:tc>
        <w:tc>
          <w:tcPr>
            <w:tcW w:w="520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(vi)  la limitation ou la suppression du droit de souscription</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vMerge w:val="restart"/>
          </w:tcPr>
          <w:p>
            <w:pPr>
              <w:ind w:left="620"/>
              <w:spacing w:after="0"/>
              <w:rPr>
                <w:sz w:val="20"/>
                <w:szCs w:val="20"/>
                <w:color w:val="auto"/>
              </w:rPr>
            </w:pPr>
            <w:r>
              <w:rPr>
                <w:rFonts w:ascii="Arial" w:cs="Arial" w:eastAsia="Arial" w:hAnsi="Arial"/>
                <w:sz w:val="18"/>
                <w:szCs w:val="18"/>
                <w:color w:val="auto"/>
              </w:rPr>
              <w:t>(vii) the change of the domicile of the Company; and</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préférentiel;</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restart"/>
          </w:tcPr>
          <w:p>
            <w:pPr>
              <w:ind w:left="160"/>
              <w:spacing w:after="0"/>
              <w:rPr>
                <w:sz w:val="20"/>
                <w:szCs w:val="20"/>
                <w:color w:val="auto"/>
              </w:rPr>
            </w:pPr>
            <w:r>
              <w:rPr>
                <w:rFonts w:ascii="Arial" w:cs="Arial" w:eastAsia="Arial" w:hAnsi="Arial"/>
                <w:sz w:val="18"/>
                <w:szCs w:val="18"/>
                <w:color w:val="auto"/>
              </w:rPr>
              <w:t>(vii)</w:t>
            </w:r>
          </w:p>
        </w:tc>
        <w:tc>
          <w:tcPr>
            <w:tcW w:w="4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le transfert du siège de la société; et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vMerge w:val="restart"/>
          </w:tcPr>
          <w:p>
            <w:pPr>
              <w:ind w:left="620"/>
              <w:spacing w:after="0"/>
              <w:rPr>
                <w:sz w:val="20"/>
                <w:szCs w:val="20"/>
                <w:color w:val="auto"/>
              </w:rPr>
            </w:pPr>
            <w:r>
              <w:rPr>
                <w:rFonts w:ascii="Arial" w:cs="Arial" w:eastAsia="Arial" w:hAnsi="Arial"/>
                <w:sz w:val="18"/>
                <w:szCs w:val="18"/>
                <w:color w:val="auto"/>
              </w:rPr>
              <w:t>(viii) the liquidation of the Company;</w:t>
            </w:r>
          </w:p>
        </w:tc>
        <w:tc>
          <w:tcPr>
            <w:tcW w:w="3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47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(viii) la dissolution de la société;</w:t>
            </w:r>
          </w:p>
        </w:tc>
        <w:tc>
          <w:tcPr>
            <w:tcW w:w="0" w:type="dxa"/>
            <w:vAlign w:val="bottom"/>
          </w:tcPr>
          <w:p>
            <w:pPr>
              <w:spacing w:after="0"/>
              <w:rPr>
                <w:sz w:val="1"/>
                <w:szCs w:val="1"/>
                <w:color w:val="auto"/>
              </w:rPr>
            </w:pPr>
          </w:p>
        </w:tc>
      </w:tr>
      <w:tr>
        <w:trPr>
          <w:trHeight w:val="203"/>
        </w:trPr>
        <w:tc>
          <w:tcPr>
            <w:tcW w:w="82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color w:val="auto"/>
              </w:rPr>
              <w:t>b)</w:t>
            </w:r>
          </w:p>
        </w:tc>
        <w:tc>
          <w:tcPr>
            <w:tcW w:w="4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merger, de-merger or conversion of the Company</w:t>
            </w:r>
          </w:p>
        </w:tc>
        <w:tc>
          <w:tcPr>
            <w:tcW w:w="380" w:type="dxa"/>
            <w:vAlign w:val="bottom"/>
          </w:tcPr>
          <w:p>
            <w:pPr>
              <w:spacing w:after="0"/>
              <w:rPr>
                <w:sz w:val="17"/>
                <w:szCs w:val="17"/>
                <w:color w:val="auto"/>
              </w:rPr>
            </w:pPr>
          </w:p>
        </w:tc>
        <w:tc>
          <w:tcPr>
            <w:tcW w:w="52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tcBorders>
            <w:vMerge w:val="continue"/>
          </w:tcPr>
          <w:p>
            <w:pPr>
              <w:spacing w:after="0"/>
              <w:rPr>
                <w:sz w:val="16"/>
                <w:szCs w:val="16"/>
                <w:color w:val="auto"/>
              </w:rPr>
            </w:pPr>
          </w:p>
        </w:tc>
        <w:tc>
          <w:tcPr>
            <w:tcW w:w="4840" w:type="dxa"/>
            <w:vAlign w:val="bottom"/>
            <w:tcBorders>
              <w:right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620"/>
              <w:spacing w:after="0" w:line="202" w:lineRule="exact"/>
              <w:rPr>
                <w:sz w:val="20"/>
                <w:szCs w:val="20"/>
                <w:color w:val="auto"/>
              </w:rPr>
            </w:pPr>
            <w:r>
              <w:rPr>
                <w:rFonts w:ascii="Arial" w:cs="Arial" w:eastAsia="Arial" w:hAnsi="Arial"/>
                <w:sz w:val="18"/>
                <w:szCs w:val="18"/>
                <w:color w:val="auto"/>
              </w:rPr>
              <w:t>(subject to mandatory law);</w:t>
            </w:r>
          </w:p>
        </w:tc>
        <w:tc>
          <w:tcPr>
            <w:tcW w:w="380" w:type="dxa"/>
            <w:vAlign w:val="bottom"/>
          </w:tcPr>
          <w:p>
            <w:pPr>
              <w:ind w:left="80"/>
              <w:spacing w:after="0" w:line="202" w:lineRule="exact"/>
              <w:rPr>
                <w:sz w:val="20"/>
                <w:szCs w:val="20"/>
                <w:color w:val="auto"/>
              </w:rPr>
            </w:pPr>
            <w:r>
              <w:rPr>
                <w:rFonts w:ascii="Arial" w:cs="Arial" w:eastAsia="Arial" w:hAnsi="Arial"/>
                <w:sz w:val="18"/>
                <w:szCs w:val="18"/>
                <w:color w:val="auto"/>
              </w:rPr>
              <w:t>b)</w:t>
            </w:r>
          </w:p>
        </w:tc>
        <w:tc>
          <w:tcPr>
            <w:tcW w:w="5200" w:type="dxa"/>
            <w:vAlign w:val="bottom"/>
            <w:tcBorders>
              <w:right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rPr>
              <w:t>la fusion, la scission ou la conversion de la société (sous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c)   the alleviating or withdrawal of restrictions upon the transfer</w:t>
            </w:r>
          </w:p>
        </w:tc>
        <w:tc>
          <w:tcPr>
            <w:tcW w:w="380" w:type="dxa"/>
            <w:vAlign w:val="bottom"/>
          </w:tcPr>
          <w:p>
            <w:pPr>
              <w:spacing w:after="0"/>
              <w:rPr>
                <w:sz w:val="18"/>
                <w:szCs w:val="18"/>
                <w:color w:val="auto"/>
              </w:rPr>
            </w:pPr>
          </w:p>
        </w:tc>
        <w:tc>
          <w:tcPr>
            <w:tcW w:w="52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réserve des dispositions impératives);</w:t>
            </w:r>
          </w:p>
        </w:tc>
        <w:tc>
          <w:tcPr>
            <w:tcW w:w="0" w:type="dxa"/>
            <w:vAlign w:val="bottom"/>
          </w:tcPr>
          <w:p>
            <w:pPr>
              <w:spacing w:after="0"/>
              <w:rPr>
                <w:sz w:val="1"/>
                <w:szCs w:val="1"/>
                <w:color w:val="auto"/>
              </w:rPr>
            </w:pPr>
          </w:p>
        </w:tc>
      </w:tr>
      <w:tr>
        <w:trPr>
          <w:trHeight w:val="188"/>
        </w:trPr>
        <w:tc>
          <w:tcPr>
            <w:tcW w:w="5660" w:type="dxa"/>
            <w:vAlign w:val="bottom"/>
            <w:tcBorders>
              <w:left w:val="single" w:sz="8" w:color="auto"/>
              <w:right w:val="single" w:sz="8" w:color="auto"/>
            </w:tcBorders>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620"/>
              <w:spacing w:after="0" w:line="202" w:lineRule="exact"/>
              <w:rPr>
                <w:sz w:val="20"/>
                <w:szCs w:val="20"/>
                <w:color w:val="auto"/>
              </w:rPr>
            </w:pPr>
            <w:r>
              <w:rPr>
                <w:rFonts w:ascii="Arial" w:cs="Arial" w:eastAsia="Arial" w:hAnsi="Arial"/>
                <w:sz w:val="18"/>
                <w:szCs w:val="18"/>
                <w:color w:val="auto"/>
              </w:rPr>
              <w:t>of registered shares;</w:t>
            </w:r>
          </w:p>
        </w:tc>
        <w:tc>
          <w:tcPr>
            <w:tcW w:w="380" w:type="dxa"/>
            <w:vAlign w:val="bottom"/>
          </w:tcPr>
          <w:p>
            <w:pPr>
              <w:ind w:left="80"/>
              <w:spacing w:after="0" w:line="202" w:lineRule="exact"/>
              <w:rPr>
                <w:sz w:val="20"/>
                <w:szCs w:val="20"/>
                <w:color w:val="auto"/>
              </w:rPr>
            </w:pPr>
            <w:r>
              <w:rPr>
                <w:rFonts w:ascii="Arial" w:cs="Arial" w:eastAsia="Arial" w:hAnsi="Arial"/>
                <w:sz w:val="18"/>
                <w:szCs w:val="18"/>
                <w:color w:val="auto"/>
              </w:rPr>
              <w:t>c)</w:t>
            </w:r>
          </w:p>
        </w:tc>
        <w:tc>
          <w:tcPr>
            <w:tcW w:w="5200" w:type="dxa"/>
            <w:vAlign w:val="bottom"/>
            <w:tcBorders>
              <w:right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rPr>
              <w:t>l'atténuation ou la suppression des restrictions sur le</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d)   the conversion of registered shares into bearer shares and</w:t>
            </w:r>
          </w:p>
        </w:tc>
        <w:tc>
          <w:tcPr>
            <w:tcW w:w="380" w:type="dxa"/>
            <w:vAlign w:val="bottom"/>
          </w:tcPr>
          <w:p>
            <w:pPr>
              <w:spacing w:after="0"/>
              <w:rPr>
                <w:sz w:val="18"/>
                <w:szCs w:val="18"/>
                <w:color w:val="auto"/>
              </w:rPr>
            </w:pPr>
          </w:p>
        </w:tc>
        <w:tc>
          <w:tcPr>
            <w:tcW w:w="52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transfert des actions nominatives;</w:t>
            </w:r>
          </w:p>
        </w:tc>
        <w:tc>
          <w:tcPr>
            <w:tcW w:w="0" w:type="dxa"/>
            <w:vAlign w:val="bottom"/>
          </w:tcPr>
          <w:p>
            <w:pPr>
              <w:spacing w:after="0"/>
              <w:rPr>
                <w:sz w:val="1"/>
                <w:szCs w:val="1"/>
                <w:color w:val="auto"/>
              </w:rPr>
            </w:pPr>
          </w:p>
        </w:tc>
      </w:tr>
      <w:tr>
        <w:trPr>
          <w:trHeight w:val="188"/>
        </w:trPr>
        <w:tc>
          <w:tcPr>
            <w:tcW w:w="5660" w:type="dxa"/>
            <w:vAlign w:val="bottom"/>
            <w:tcBorders>
              <w:left w:val="single" w:sz="8" w:color="auto"/>
              <w:right w:val="single" w:sz="8" w:color="auto"/>
            </w:tcBorders>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620"/>
              <w:spacing w:after="0" w:line="202" w:lineRule="exact"/>
              <w:rPr>
                <w:sz w:val="20"/>
                <w:szCs w:val="20"/>
                <w:color w:val="auto"/>
              </w:rPr>
            </w:pPr>
            <w:r>
              <w:rPr>
                <w:rFonts w:ascii="Arial" w:cs="Arial" w:eastAsia="Arial" w:hAnsi="Arial"/>
                <w:sz w:val="18"/>
                <w:szCs w:val="18"/>
                <w:color w:val="auto"/>
              </w:rPr>
              <w:t>vice versa; and</w:t>
            </w:r>
          </w:p>
        </w:tc>
        <w:tc>
          <w:tcPr>
            <w:tcW w:w="380" w:type="dxa"/>
            <w:vAlign w:val="bottom"/>
          </w:tcPr>
          <w:p>
            <w:pPr>
              <w:ind w:left="80"/>
              <w:spacing w:after="0" w:line="202" w:lineRule="exact"/>
              <w:rPr>
                <w:sz w:val="20"/>
                <w:szCs w:val="20"/>
                <w:color w:val="auto"/>
              </w:rPr>
            </w:pPr>
            <w:r>
              <w:rPr>
                <w:rFonts w:ascii="Arial" w:cs="Arial" w:eastAsia="Arial" w:hAnsi="Arial"/>
                <w:sz w:val="18"/>
                <w:szCs w:val="18"/>
                <w:color w:val="auto"/>
              </w:rPr>
              <w:t>d)</w:t>
            </w:r>
          </w:p>
        </w:tc>
        <w:tc>
          <w:tcPr>
            <w:tcW w:w="5200" w:type="dxa"/>
            <w:vAlign w:val="bottom"/>
            <w:tcBorders>
              <w:right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rPr>
              <w:t>la conversion d'actions nominatives en actions au porteur et</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the amendment or elimination of the provisions of Article 4 and 29</w:t>
            </w:r>
          </w:p>
        </w:tc>
        <w:tc>
          <w:tcPr>
            <w:tcW w:w="380" w:type="dxa"/>
            <w:vAlign w:val="bottom"/>
          </w:tcPr>
          <w:p>
            <w:pPr>
              <w:spacing w:after="0"/>
              <w:rPr>
                <w:sz w:val="18"/>
                <w:szCs w:val="18"/>
                <w:color w:val="auto"/>
              </w:rPr>
            </w:pPr>
          </w:p>
        </w:tc>
        <w:tc>
          <w:tcPr>
            <w:tcW w:w="52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vice versa; et</w:t>
            </w:r>
          </w:p>
        </w:tc>
        <w:tc>
          <w:tcPr>
            <w:tcW w:w="0" w:type="dxa"/>
            <w:vAlign w:val="bottom"/>
          </w:tcPr>
          <w:p>
            <w:pPr>
              <w:spacing w:after="0"/>
              <w:rPr>
                <w:sz w:val="1"/>
                <w:szCs w:val="1"/>
                <w:color w:val="auto"/>
              </w:rPr>
            </w:pPr>
          </w:p>
        </w:tc>
      </w:tr>
      <w:tr>
        <w:trPr>
          <w:trHeight w:val="188"/>
        </w:trPr>
        <w:tc>
          <w:tcPr>
            <w:tcW w:w="5660" w:type="dxa"/>
            <w:vAlign w:val="bottom"/>
            <w:tcBorders>
              <w:left w:val="single" w:sz="8" w:color="auto"/>
              <w:right w:val="single" w:sz="8" w:color="auto"/>
            </w:tcBorders>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of the Articles of Association as well as those contained in this</w:t>
            </w:r>
          </w:p>
        </w:tc>
        <w:tc>
          <w:tcPr>
            <w:tcW w:w="55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la modification ou la suppression des dispositions des articles 4 et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Article 17.</w:t>
            </w:r>
          </w:p>
        </w:tc>
        <w:tc>
          <w:tcPr>
            <w:tcW w:w="55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29 des statuts ainsi que ceux contenues dans le présent article</w:t>
            </w:r>
          </w:p>
        </w:tc>
        <w:tc>
          <w:tcPr>
            <w:tcW w:w="0" w:type="dxa"/>
            <w:vAlign w:val="bottom"/>
          </w:tcPr>
          <w:p>
            <w:pPr>
              <w:spacing w:after="0"/>
              <w:rPr>
                <w:sz w:val="1"/>
                <w:szCs w:val="1"/>
                <w:color w:val="auto"/>
              </w:rPr>
            </w:pPr>
          </w:p>
        </w:tc>
      </w:tr>
      <w:tr>
        <w:trPr>
          <w:trHeight w:val="217"/>
        </w:trPr>
        <w:tc>
          <w:tcPr>
            <w:tcW w:w="82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20" w:type="dxa"/>
            <w:vAlign w:val="bottom"/>
            <w:tcBorders>
              <w:left w:val="single" w:sz="8" w:color="auto"/>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8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Art. 18</w:t>
            </w:r>
          </w:p>
        </w:tc>
        <w:tc>
          <w:tcPr>
            <w:tcW w:w="484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Votes on Compensation</w:t>
            </w: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Art. 18</w:t>
            </w:r>
          </w:p>
        </w:tc>
        <w:tc>
          <w:tcPr>
            <w:tcW w:w="47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Votes sur la rémunération</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Each year, the General Meeting separately approves the total</w:t>
            </w:r>
          </w:p>
        </w:tc>
        <w:tc>
          <w:tcPr>
            <w:tcW w:w="55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Chaque année, l'assemblée générale approuve séparément les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maximum amounts proposed by the Board of Directors pursuant</w:t>
            </w:r>
          </w:p>
        </w:tc>
        <w:tc>
          <w:tcPr>
            <w:tcW w:w="55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montants   totaux   maximaux   proposés   par   le   conseil</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to Articles 32 and 33 of the Articles of Association for:</w:t>
            </w:r>
          </w:p>
        </w:tc>
        <w:tc>
          <w:tcPr>
            <w:tcW w:w="55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d'administration conformément aux articles 32 et 33 des statuts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a)   the non-performance-related compensation of the Board of</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pour:</w:t>
            </w:r>
          </w:p>
        </w:tc>
        <w:tc>
          <w:tcPr>
            <w:tcW w:w="4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60" w:type="dxa"/>
            <w:vAlign w:val="bottom"/>
            <w:tcBorders>
              <w:left w:val="single" w:sz="8" w:color="auto"/>
              <w:right w:val="single" w:sz="8" w:color="auto"/>
            </w:tcBorders>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520"/>
              <w:spacing w:after="0" w:line="202" w:lineRule="exact"/>
              <w:rPr>
                <w:sz w:val="20"/>
                <w:szCs w:val="20"/>
                <w:color w:val="auto"/>
              </w:rPr>
            </w:pPr>
            <w:r>
              <w:rPr>
                <w:rFonts w:ascii="Arial" w:cs="Arial" w:eastAsia="Arial" w:hAnsi="Arial"/>
                <w:sz w:val="18"/>
                <w:szCs w:val="18"/>
                <w:color w:val="auto"/>
              </w:rPr>
              <w:t>Directors for the next term of office;</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rPr>
              <w:t>a)</w:t>
            </w:r>
          </w:p>
        </w:tc>
        <w:tc>
          <w:tcPr>
            <w:tcW w:w="5200" w:type="dxa"/>
            <w:vAlign w:val="bottom"/>
            <w:tcBorders>
              <w:right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rPr>
              <w:t>la rémunération non liée à la performance du conseil</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b)  a possible additional compensation of the Board of Directors</w:t>
            </w:r>
          </w:p>
        </w:tc>
        <w:tc>
          <w:tcPr>
            <w:tcW w:w="380" w:type="dxa"/>
            <w:vAlign w:val="bottom"/>
          </w:tcPr>
          <w:p>
            <w:pPr>
              <w:spacing w:after="0"/>
              <w:rPr>
                <w:sz w:val="18"/>
                <w:szCs w:val="18"/>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d'administration pour le prochain mandat;</w:t>
            </w:r>
          </w:p>
        </w:tc>
        <w:tc>
          <w:tcPr>
            <w:tcW w:w="0" w:type="dxa"/>
            <w:vAlign w:val="bottom"/>
          </w:tcPr>
          <w:p>
            <w:pPr>
              <w:spacing w:after="0"/>
              <w:rPr>
                <w:sz w:val="1"/>
                <w:szCs w:val="1"/>
                <w:color w:val="auto"/>
              </w:rPr>
            </w:pPr>
          </w:p>
        </w:tc>
      </w:tr>
      <w:tr>
        <w:trPr>
          <w:trHeight w:val="188"/>
        </w:trPr>
        <w:tc>
          <w:tcPr>
            <w:tcW w:w="5660" w:type="dxa"/>
            <w:vAlign w:val="bottom"/>
            <w:tcBorders>
              <w:left w:val="single" w:sz="8" w:color="auto"/>
              <w:right w:val="single" w:sz="8" w:color="auto"/>
            </w:tcBorders>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520"/>
              <w:spacing w:after="0" w:line="202" w:lineRule="exact"/>
              <w:rPr>
                <w:sz w:val="20"/>
                <w:szCs w:val="20"/>
                <w:color w:val="auto"/>
              </w:rPr>
            </w:pPr>
            <w:r>
              <w:rPr>
                <w:rFonts w:ascii="Arial" w:cs="Arial" w:eastAsia="Arial" w:hAnsi="Arial"/>
                <w:sz w:val="18"/>
                <w:szCs w:val="18"/>
                <w:color w:val="auto"/>
              </w:rPr>
              <w:t>for the preceding business year;</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rPr>
              <w:t>b)</w:t>
            </w:r>
          </w:p>
        </w:tc>
        <w:tc>
          <w:tcPr>
            <w:tcW w:w="5200" w:type="dxa"/>
            <w:vAlign w:val="bottom"/>
            <w:tcBorders>
              <w:right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rPr>
              <w:t>une éventuelle rémunération supplémentaire du conseil</w:t>
            </w:r>
          </w:p>
        </w:tc>
        <w:tc>
          <w:tcPr>
            <w:tcW w:w="0" w:type="dxa"/>
            <w:vAlign w:val="bottom"/>
          </w:tcPr>
          <w:p>
            <w:pPr>
              <w:spacing w:after="0"/>
              <w:rPr>
                <w:sz w:val="1"/>
                <w:szCs w:val="1"/>
                <w:color w:val="auto"/>
              </w:rPr>
            </w:pPr>
          </w:p>
        </w:tc>
      </w:tr>
      <w:tr>
        <w:trPr>
          <w:trHeight w:val="217"/>
        </w:trPr>
        <w:tc>
          <w:tcPr>
            <w:tcW w:w="82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d'administration pour l'exercice précédent;</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c)   the non-performance-related compensation of the Executive</w:t>
            </w:r>
          </w:p>
        </w:tc>
        <w:tc>
          <w:tcPr>
            <w:tcW w:w="5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  la rémunération non liée à la performance du comité exécutif</w:t>
            </w:r>
          </w:p>
        </w:tc>
        <w:tc>
          <w:tcPr>
            <w:tcW w:w="0" w:type="dxa"/>
            <w:vAlign w:val="bottom"/>
          </w:tcPr>
          <w:p>
            <w:pPr>
              <w:spacing w:after="0"/>
              <w:rPr>
                <w:sz w:val="1"/>
                <w:szCs w:val="1"/>
                <w:color w:val="auto"/>
              </w:rPr>
            </w:pPr>
          </w:p>
        </w:tc>
      </w:tr>
      <w:tr>
        <w:trPr>
          <w:trHeight w:val="202"/>
        </w:trPr>
        <w:tc>
          <w:tcPr>
            <w:tcW w:w="5660" w:type="dxa"/>
            <w:vAlign w:val="bottom"/>
            <w:tcBorders>
              <w:left w:val="single" w:sz="8" w:color="auto"/>
              <w:right w:val="single" w:sz="8" w:color="auto"/>
            </w:tcBorders>
            <w:gridSpan w:val="2"/>
          </w:tcPr>
          <w:p>
            <w:pPr>
              <w:ind w:left="520"/>
              <w:spacing w:after="0" w:line="202" w:lineRule="exact"/>
              <w:rPr>
                <w:sz w:val="20"/>
                <w:szCs w:val="20"/>
                <w:color w:val="auto"/>
              </w:rPr>
            </w:pPr>
            <w:r>
              <w:rPr>
                <w:rFonts w:ascii="Arial" w:cs="Arial" w:eastAsia="Arial" w:hAnsi="Arial"/>
                <w:sz w:val="18"/>
                <w:szCs w:val="18"/>
                <w:color w:val="auto"/>
              </w:rPr>
              <w:t>Committee for the 12-month period starting on 1 July following</w:t>
            </w:r>
          </w:p>
        </w:tc>
        <w:tc>
          <w:tcPr>
            <w:tcW w:w="380" w:type="dxa"/>
            <w:vAlign w:val="bottom"/>
          </w:tcPr>
          <w:p>
            <w:pPr>
              <w:spacing w:after="0"/>
              <w:rPr>
                <w:sz w:val="17"/>
                <w:szCs w:val="17"/>
                <w:color w:val="auto"/>
              </w:rPr>
            </w:pPr>
          </w:p>
        </w:tc>
        <w:tc>
          <w:tcPr>
            <w:tcW w:w="5200" w:type="dxa"/>
            <w:vAlign w:val="bottom"/>
            <w:tcBorders>
              <w:right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rPr>
              <w:t>pour la période de 12 mois commençant le 1er juillet après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520"/>
              <w:spacing w:after="0"/>
              <w:rPr>
                <w:sz w:val="20"/>
                <w:szCs w:val="20"/>
                <w:color w:val="auto"/>
              </w:rPr>
            </w:pPr>
            <w:r>
              <w:rPr>
                <w:rFonts w:ascii="Arial" w:cs="Arial" w:eastAsia="Arial" w:hAnsi="Arial"/>
                <w:sz w:val="18"/>
                <w:szCs w:val="18"/>
                <w:color w:val="auto"/>
              </w:rPr>
              <w:t>the Ordinary General Meeting;</w:t>
            </w:r>
          </w:p>
        </w:tc>
        <w:tc>
          <w:tcPr>
            <w:tcW w:w="380" w:type="dxa"/>
            <w:vAlign w:val="bottom"/>
          </w:tcPr>
          <w:p>
            <w:pPr>
              <w:spacing w:after="0"/>
              <w:rPr>
                <w:sz w:val="18"/>
                <w:szCs w:val="18"/>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assemblée générale ordinaire;</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d)  the variable compensation for the Executive Committee for the</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520"/>
              <w:spacing w:after="0" w:line="202" w:lineRule="exact"/>
              <w:rPr>
                <w:sz w:val="20"/>
                <w:szCs w:val="20"/>
                <w:color w:val="auto"/>
              </w:rPr>
            </w:pPr>
            <w:r>
              <w:rPr>
                <w:rFonts w:ascii="Arial" w:cs="Arial" w:eastAsia="Arial" w:hAnsi="Arial"/>
                <w:sz w:val="18"/>
                <w:szCs w:val="18"/>
                <w:color w:val="auto"/>
              </w:rPr>
              <w:t>current year;</w:t>
            </w:r>
          </w:p>
        </w:tc>
        <w:tc>
          <w:tcPr>
            <w:tcW w:w="5580" w:type="dxa"/>
            <w:vAlign w:val="bottom"/>
            <w:tcBorders>
              <w:right w:val="single" w:sz="8" w:color="auto"/>
            </w:tcBorders>
            <w:gridSpan w:val="3"/>
          </w:tcPr>
          <w:p>
            <w:pPr>
              <w:ind w:left="120"/>
              <w:spacing w:after="0" w:line="202" w:lineRule="exact"/>
              <w:rPr>
                <w:sz w:val="20"/>
                <w:szCs w:val="20"/>
                <w:color w:val="auto"/>
              </w:rPr>
            </w:pPr>
            <w:r>
              <w:rPr>
                <w:rFonts w:ascii="Arial" w:cs="Arial" w:eastAsia="Arial" w:hAnsi="Arial"/>
                <w:sz w:val="18"/>
                <w:szCs w:val="18"/>
                <w:color w:val="auto"/>
              </w:rPr>
              <w:t>d)  la rémunération variable pour le comité exécutif pour l'année</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e)  the grant of options or shares in the Company to the Board of</w:t>
            </w:r>
          </w:p>
        </w:tc>
        <w:tc>
          <w:tcPr>
            <w:tcW w:w="380" w:type="dxa"/>
            <w:vAlign w:val="bottom"/>
          </w:tcPr>
          <w:p>
            <w:pPr>
              <w:spacing w:after="0"/>
              <w:rPr>
                <w:sz w:val="18"/>
                <w:szCs w:val="18"/>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en cours;</w:t>
            </w:r>
          </w:p>
        </w:tc>
        <w:tc>
          <w:tcPr>
            <w:tcW w:w="0" w:type="dxa"/>
            <w:vAlign w:val="bottom"/>
          </w:tcPr>
          <w:p>
            <w:pPr>
              <w:spacing w:after="0"/>
              <w:rPr>
                <w:sz w:val="1"/>
                <w:szCs w:val="1"/>
                <w:color w:val="auto"/>
              </w:rPr>
            </w:pPr>
          </w:p>
        </w:tc>
      </w:tr>
      <w:tr>
        <w:trPr>
          <w:trHeight w:val="188"/>
        </w:trPr>
        <w:tc>
          <w:tcPr>
            <w:tcW w:w="5660" w:type="dxa"/>
            <w:vAlign w:val="bottom"/>
            <w:tcBorders>
              <w:left w:val="single" w:sz="8" w:color="auto"/>
              <w:right w:val="single" w:sz="8" w:color="auto"/>
            </w:tcBorders>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520"/>
              <w:spacing w:after="0" w:line="202" w:lineRule="exact"/>
              <w:rPr>
                <w:sz w:val="20"/>
                <w:szCs w:val="20"/>
                <w:color w:val="auto"/>
              </w:rPr>
            </w:pPr>
            <w:r>
              <w:rPr>
                <w:rFonts w:ascii="Arial" w:cs="Arial" w:eastAsia="Arial" w:hAnsi="Arial"/>
                <w:sz w:val="18"/>
                <w:szCs w:val="18"/>
                <w:color w:val="auto"/>
              </w:rPr>
              <w:t>Directors and the Executive Committee.</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rPr>
              <w:t>e)</w:t>
            </w:r>
          </w:p>
        </w:tc>
        <w:tc>
          <w:tcPr>
            <w:tcW w:w="5200" w:type="dxa"/>
            <w:vAlign w:val="bottom"/>
            <w:tcBorders>
              <w:right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rPr>
              <w:t>l'octroi d'options ou d'actions de la société au conseil</w:t>
            </w:r>
          </w:p>
        </w:tc>
        <w:tc>
          <w:tcPr>
            <w:tcW w:w="0" w:type="dxa"/>
            <w:vAlign w:val="bottom"/>
          </w:tcPr>
          <w:p>
            <w:pPr>
              <w:spacing w:after="0"/>
              <w:rPr>
                <w:sz w:val="1"/>
                <w:szCs w:val="1"/>
                <w:color w:val="auto"/>
              </w:rPr>
            </w:pPr>
          </w:p>
        </w:tc>
      </w:tr>
      <w:tr>
        <w:trPr>
          <w:trHeight w:val="217"/>
        </w:trPr>
        <w:tc>
          <w:tcPr>
            <w:tcW w:w="82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d'administration et au comité exécutif.</w:t>
            </w:r>
          </w:p>
        </w:tc>
        <w:tc>
          <w:tcPr>
            <w:tcW w:w="0" w:type="dxa"/>
            <w:vAlign w:val="bottom"/>
          </w:tcPr>
          <w:p>
            <w:pPr>
              <w:spacing w:after="0"/>
              <w:rPr>
                <w:sz w:val="1"/>
                <w:szCs w:val="1"/>
                <w:color w:val="auto"/>
              </w:rPr>
            </w:pPr>
          </w:p>
        </w:tc>
      </w:tr>
      <w:tr>
        <w:trPr>
          <w:trHeight w:val="54"/>
        </w:trPr>
        <w:tc>
          <w:tcPr>
            <w:tcW w:w="820" w:type="dxa"/>
            <w:vAlign w:val="bottom"/>
            <w:tcBorders>
              <w:left w:val="single" w:sz="8" w:color="auto"/>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82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6"/>
          <w:szCs w:val="16"/>
          <w:color w:val="auto"/>
        </w:rPr>
        <w:t>18</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respective  total  compensation  amounts  include  social</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Les montants totaux de rémunération respectifs comprennent la</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security and occupational pension contributions for the benefit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sécurité sociale et les cotisations de retraite professionnelle au</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members of the Board of Directors, the Executive Committee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profit des membres du conseil d'administration, du comité exécutif</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and the Company.</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et de la société.</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If the General Meeting refuses to approve a respective motion by</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 l'assemblée générale refuse d'approuver une motion soumise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Board of Directors, the Board of Directors may either submit a</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par le conseil d'administration, le conseil d'administration peut,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new motion at the same meeting or determine a maximum total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soit  présenter  une  nouvelle  motion  à  la  même  séance  ou</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remuneration or several maximum partial remunerations, subject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déterminer  une  rémunération  maximale  totale  ou  plusieurs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to the relevant principles of the compensation, or submit a new</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rémunérations maximales partielles, sous réserve des principes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motion to the next General Meeting for approval. The Company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concernant la rémunération, soit soumettre une nouvelle motion à</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may pay remunerations within the framework of the maximum</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 prochaine assemblée générale pour approbation. La société</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total or partial remuneration and subject to the approval by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peut verser des rémunérations dans le cadre de la rémunération</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General Meeting.</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maximale totale ou partielle et sous réserve de l'approbation par</w:t>
            </w:r>
          </w:p>
        </w:tc>
      </w:tr>
      <w:tr>
        <w:trPr>
          <w:trHeight w:val="217"/>
        </w:trPr>
        <w:tc>
          <w:tcPr>
            <w:tcW w:w="940" w:type="dxa"/>
            <w:vAlign w:val="bottom"/>
            <w:tcBorders>
              <w:lef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w:t>
            </w: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77"/>
        </w:trPr>
        <w:tc>
          <w:tcPr>
            <w:tcW w:w="9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19</w:t>
            </w:r>
          </w:p>
        </w:tc>
        <w:tc>
          <w:tcPr>
            <w:tcW w:w="47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Independent Proxy</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Art. 19</w:t>
            </w:r>
          </w:p>
        </w:tc>
        <w:tc>
          <w:tcPr>
            <w:tcW w:w="47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Représentant indépendant</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Independent Proxy shall be elected by the Ordinary General</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représentant indépendant est élu par l'assemblée générale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Meeting for a term of one year until the end of the next Ordinary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ordinaire pour une durée d'un an jusqu'à la fin de la prochaine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General  Meeting.  Re-election  is  permitted.  The  Independent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Proxy informs the Company about number, type, par value and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représentant indépendant informe la société sur le nombre, le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category of the represented shares. The Chairman of the Board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type, la valeur nominale et la catégorie des actions représentées.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discloses the information to the General Meeting. The other duties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Le  président  du  conseil  d'administration  communique  ces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of  the  Independent  Proxy  are  determined  by  the  applicable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informations à l'assemblée générale. Les autres fonctions du</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statutory provisions.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représentant indépendant sont déterminées par les dispositions</w:t>
            </w:r>
          </w:p>
        </w:tc>
      </w:tr>
      <w:tr>
        <w:trPr>
          <w:trHeight w:val="217"/>
        </w:trPr>
        <w:tc>
          <w:tcPr>
            <w:tcW w:w="940" w:type="dxa"/>
            <w:vAlign w:val="bottom"/>
            <w:tcBorders>
              <w:lef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statutaires applicables.</w:t>
            </w: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102"/>
        </w:trPr>
        <w:tc>
          <w:tcPr>
            <w:tcW w:w="940" w:type="dxa"/>
            <w:vAlign w:val="bottom"/>
            <w:tcBorders>
              <w:bottom w:val="single" w:sz="8" w:color="auto"/>
            </w:tcBorders>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6"/>
          <w:szCs w:val="16"/>
          <w:color w:val="auto"/>
        </w:rPr>
        <w:t>19</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60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V.</w:t>
            </w:r>
          </w:p>
        </w:tc>
        <w:tc>
          <w:tcPr>
            <w:tcW w:w="50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BOARD OF DIRECTORS</w:t>
            </w: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V.</w:t>
            </w:r>
          </w:p>
        </w:tc>
        <w:tc>
          <w:tcPr>
            <w:tcW w:w="50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CONSEIL D'ADMINISTRATION</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20 Number of Members, Term of Office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20 Nombre de membres, durée de la fonction</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Board of Directors shall consist of at least 3 and not more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se compose d'au minimum 3 et au</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than 9 members. The chairman and the members of the Board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maximum 9 membres. Le président et les membres du conseil</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Directors are individually elected by the General Meeting for a</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sont  élus  individuellement  par  l'assemblée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term of one year until the end of the next Ordinary General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générale pour un mandat d'un an jusqu'à la fin de la prochaine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Meeting, provided that he/she does not resign or is not replaced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assemblée  générale  ordinaire,  à  condition  qu'il/elle  ne</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during his term.</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démissionne pas ou ne soit pas remplacé(e) durant son mandat.</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members of the Board of Directors may be re-elected without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membres du conseil d'administration peuvent être réélus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limitation. The maximum age limit of members of the Board shall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sans  limitation.  La  limite  d’âge  des  membres  du  conseil</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be 75 years. When a member of the Board of Directors reaches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est fixée à 75 ans. Lorsqu'un membre du conseil</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this  age  limit  during  his  term  of  office,  such  term  shall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atteint cette limite d'âge durant son mandat, ledit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automatically extend to the next ordinary shareholders' meeting.</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mandat  sera  automatiquement  prolongé  jusqu'à  la  prochaine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shareholders' meeting may resolve to grant an exception to</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assemblée  générale  ordinaire.  L'assemblée  générale  des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age limit.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actionnaires peut décider d'accorder une dérogation à la limite</w:t>
            </w:r>
          </w:p>
        </w:tc>
      </w:tr>
      <w:tr>
        <w:trPr>
          <w:trHeight w:val="217"/>
        </w:trPr>
        <w:tc>
          <w:tcPr>
            <w:tcW w:w="600" w:type="dxa"/>
            <w:vAlign w:val="bottom"/>
            <w:tcBorders>
              <w:lef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98"/>
              </w:rPr>
              <w:t>d'âge.</w:t>
            </w:r>
          </w:p>
        </w:tc>
        <w:tc>
          <w:tcPr>
            <w:tcW w:w="5000" w:type="dxa"/>
            <w:vAlign w:val="bottom"/>
            <w:tcBorders>
              <w:right w:val="single" w:sz="8" w:color="auto"/>
            </w:tcBorders>
          </w:tcPr>
          <w:p>
            <w:pPr>
              <w:spacing w:after="0"/>
              <w:rPr>
                <w:sz w:val="18"/>
                <w:szCs w:val="18"/>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21 Constitution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21 Constitution</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Subject to the powers of the General Meeting, the Board of</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Directors determines its own organization. It appoints a Secretary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détermine sa propre organisation. Il nomme un</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who needs not be a member of the Board of Directors.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secrétaire qui ne doit pas nécessairement être un membre du</w:t>
            </w:r>
          </w:p>
        </w:tc>
      </w:tr>
      <w:tr>
        <w:trPr>
          <w:trHeight w:val="217"/>
        </w:trPr>
        <w:tc>
          <w:tcPr>
            <w:tcW w:w="600" w:type="dxa"/>
            <w:vAlign w:val="bottom"/>
            <w:tcBorders>
              <w:lef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conseil d'administration.</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22 Function, Organization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22 Fonction, organisation</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It is the Board of Director's duty to lead the Company and to</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exerce la direction de la société et en</w:t>
            </w:r>
          </w:p>
        </w:tc>
      </w:tr>
      <w:tr>
        <w:trPr>
          <w:trHeight w:val="202"/>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supervise the management. The Board of Director represents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supervise la gestion. Le conseil d'administration représente la</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Company and may take decisions on all affairs which are not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société et peut prendre les décisions sur toutes les affaires qui ne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assigned to any other body of the Company by law, the Articles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sont pas attribuées à un autre organe de la société par la loi, les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Association or the organizational regulations.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statuts ou le règlement d'organisation.</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Board of Directors shall enact the organizational regulations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édicte le règlement d'organisation et</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and arrange for the appropriate contractual relationships.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s'occupe des relations contractuelles appropriées.</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23 Powers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23 Pouvoirs</w:t>
            </w:r>
          </w:p>
        </w:tc>
      </w:tr>
      <w:tr>
        <w:trPr>
          <w:trHeight w:val="405"/>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Board of Directors has the following non-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a les attributions</w:t>
            </w: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50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102"/>
        </w:trPr>
        <w:tc>
          <w:tcPr>
            <w:tcW w:w="600" w:type="dxa"/>
            <w:vAlign w:val="bottom"/>
            <w:tcBorders>
              <w:bottom w:val="single" w:sz="8" w:color="auto"/>
            </w:tcBorders>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5048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171"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5400" w:type="dxa"/>
            <w:vAlign w:val="bottom"/>
            <w:gridSpan w:val="2"/>
          </w:tcPr>
          <w:p>
            <w:pPr>
              <w:spacing w:after="0"/>
              <w:rPr>
                <w:sz w:val="20"/>
                <w:szCs w:val="20"/>
                <w:color w:val="auto"/>
              </w:rPr>
            </w:pPr>
            <w:r>
              <w:rPr>
                <w:rFonts w:ascii="Arial" w:cs="Arial" w:eastAsia="Arial" w:hAnsi="Arial"/>
                <w:sz w:val="18"/>
                <w:szCs w:val="18"/>
                <w:color w:val="auto"/>
              </w:rPr>
              <w:t>delegable and inalienable duties:</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intransmissibles et inaliénables suivantes:</w:t>
            </w:r>
          </w:p>
        </w:tc>
        <w:tc>
          <w:tcPr>
            <w:tcW w:w="0" w:type="dxa"/>
            <w:vAlign w:val="bottom"/>
          </w:tcPr>
          <w:p>
            <w:pPr>
              <w:spacing w:after="0"/>
              <w:rPr>
                <w:sz w:val="1"/>
                <w:szCs w:val="1"/>
                <w:color w:val="auto"/>
              </w:rPr>
            </w:pPr>
          </w:p>
        </w:tc>
      </w:tr>
      <w:tr>
        <w:trPr>
          <w:trHeight w:val="391"/>
        </w:trPr>
        <w:tc>
          <w:tcPr>
            <w:tcW w:w="5400" w:type="dxa"/>
            <w:vAlign w:val="bottom"/>
            <w:gridSpan w:val="2"/>
          </w:tcPr>
          <w:p>
            <w:pPr>
              <w:spacing w:after="0"/>
              <w:rPr>
                <w:sz w:val="20"/>
                <w:szCs w:val="20"/>
                <w:color w:val="auto"/>
              </w:rPr>
            </w:pPr>
            <w:r>
              <w:rPr>
                <w:rFonts w:ascii="Arial" w:cs="Arial" w:eastAsia="Arial" w:hAnsi="Arial"/>
                <w:sz w:val="18"/>
                <w:szCs w:val="18"/>
                <w:color w:val="auto"/>
              </w:rPr>
              <w:t>a)  the overall management of the company and the issuing of all</w:t>
            </w:r>
          </w:p>
        </w:tc>
        <w:tc>
          <w:tcPr>
            <w:tcW w:w="340" w:type="dxa"/>
            <w:vAlign w:val="bottom"/>
          </w:tcPr>
          <w:p>
            <w:pPr>
              <w:ind w:left="100"/>
              <w:spacing w:after="0"/>
              <w:rPr>
                <w:sz w:val="20"/>
                <w:szCs w:val="20"/>
                <w:color w:val="auto"/>
              </w:rPr>
            </w:pPr>
            <w:r>
              <w:rPr>
                <w:rFonts w:ascii="Arial" w:cs="Arial" w:eastAsia="Arial" w:hAnsi="Arial"/>
                <w:sz w:val="18"/>
                <w:szCs w:val="18"/>
                <w:color w:val="auto"/>
              </w:rPr>
              <w:t>a)</w:t>
            </w:r>
          </w:p>
        </w:tc>
        <w:tc>
          <w:tcPr>
            <w:tcW w:w="5020" w:type="dxa"/>
            <w:vAlign w:val="bottom"/>
          </w:tcPr>
          <w:p>
            <w:pPr>
              <w:ind w:left="280"/>
              <w:spacing w:after="0"/>
              <w:rPr>
                <w:sz w:val="20"/>
                <w:szCs w:val="20"/>
                <w:color w:val="auto"/>
              </w:rPr>
            </w:pPr>
            <w:r>
              <w:rPr>
                <w:rFonts w:ascii="Arial" w:cs="Arial" w:eastAsia="Arial" w:hAnsi="Arial"/>
                <w:sz w:val="18"/>
                <w:szCs w:val="18"/>
                <w:color w:val="auto"/>
              </w:rPr>
              <w:t>exercer  la  haute  direction  de  la  société  et  établir  les</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necessary directives;</w:t>
            </w:r>
          </w:p>
        </w:tc>
        <w:tc>
          <w:tcPr>
            <w:tcW w:w="34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instructions nécessaires;</w:t>
            </w:r>
          </w:p>
        </w:tc>
        <w:tc>
          <w:tcPr>
            <w:tcW w:w="0" w:type="dxa"/>
            <w:vAlign w:val="bottom"/>
          </w:tcPr>
          <w:p>
            <w:pPr>
              <w:spacing w:after="0"/>
              <w:rPr>
                <w:sz w:val="1"/>
                <w:szCs w:val="1"/>
                <w:color w:val="auto"/>
              </w:rPr>
            </w:pPr>
          </w:p>
        </w:tc>
      </w:tr>
      <w:tr>
        <w:trPr>
          <w:trHeight w:val="405"/>
        </w:trPr>
        <w:tc>
          <w:tcPr>
            <w:tcW w:w="5400" w:type="dxa"/>
            <w:vAlign w:val="bottom"/>
            <w:gridSpan w:val="2"/>
          </w:tcPr>
          <w:p>
            <w:pPr>
              <w:spacing w:after="0"/>
              <w:rPr>
                <w:sz w:val="20"/>
                <w:szCs w:val="20"/>
                <w:color w:val="auto"/>
              </w:rPr>
            </w:pPr>
            <w:r>
              <w:rPr>
                <w:rFonts w:ascii="Arial" w:cs="Arial" w:eastAsia="Arial" w:hAnsi="Arial"/>
                <w:sz w:val="18"/>
                <w:szCs w:val="18"/>
                <w:color w:val="auto"/>
              </w:rPr>
              <w:t>b)  determination of the company's organisation;</w:t>
            </w:r>
          </w:p>
        </w:tc>
        <w:tc>
          <w:tcPr>
            <w:tcW w:w="340" w:type="dxa"/>
            <w:vAlign w:val="bottom"/>
          </w:tcPr>
          <w:p>
            <w:pPr>
              <w:ind w:left="100"/>
              <w:spacing w:after="0"/>
              <w:rPr>
                <w:sz w:val="20"/>
                <w:szCs w:val="20"/>
                <w:color w:val="auto"/>
              </w:rPr>
            </w:pPr>
            <w:r>
              <w:rPr>
                <w:rFonts w:ascii="Arial" w:cs="Arial" w:eastAsia="Arial" w:hAnsi="Arial"/>
                <w:sz w:val="18"/>
                <w:szCs w:val="18"/>
                <w:color w:val="auto"/>
              </w:rPr>
              <w:t>b)</w:t>
            </w:r>
          </w:p>
        </w:tc>
        <w:tc>
          <w:tcPr>
            <w:tcW w:w="5020" w:type="dxa"/>
            <w:vAlign w:val="bottom"/>
          </w:tcPr>
          <w:p>
            <w:pPr>
              <w:ind w:left="80"/>
              <w:spacing w:after="0"/>
              <w:rPr>
                <w:sz w:val="20"/>
                <w:szCs w:val="20"/>
                <w:color w:val="auto"/>
              </w:rPr>
            </w:pPr>
            <w:r>
              <w:rPr>
                <w:rFonts w:ascii="Arial" w:cs="Arial" w:eastAsia="Arial" w:hAnsi="Arial"/>
                <w:sz w:val="18"/>
                <w:szCs w:val="18"/>
                <w:color w:val="auto"/>
              </w:rPr>
              <w:t>fixer l'organisation;</w:t>
            </w:r>
          </w:p>
        </w:tc>
        <w:tc>
          <w:tcPr>
            <w:tcW w:w="0" w:type="dxa"/>
            <w:vAlign w:val="bottom"/>
          </w:tcPr>
          <w:p>
            <w:pPr>
              <w:spacing w:after="0"/>
              <w:rPr>
                <w:sz w:val="1"/>
                <w:szCs w:val="1"/>
                <w:color w:val="auto"/>
              </w:rPr>
            </w:pPr>
          </w:p>
        </w:tc>
      </w:tr>
      <w:tr>
        <w:trPr>
          <w:trHeight w:val="391"/>
        </w:trPr>
        <w:tc>
          <w:tcPr>
            <w:tcW w:w="260" w:type="dxa"/>
            <w:vAlign w:val="bottom"/>
          </w:tcPr>
          <w:p>
            <w:pPr>
              <w:spacing w:after="0"/>
              <w:rPr>
                <w:sz w:val="20"/>
                <w:szCs w:val="20"/>
                <w:color w:val="auto"/>
              </w:rPr>
            </w:pPr>
            <w:r>
              <w:rPr>
                <w:rFonts w:ascii="Arial" w:cs="Arial" w:eastAsia="Arial" w:hAnsi="Arial"/>
                <w:sz w:val="18"/>
                <w:szCs w:val="18"/>
                <w:color w:val="auto"/>
              </w:rPr>
              <w:t>c)</w:t>
            </w:r>
          </w:p>
        </w:tc>
        <w:tc>
          <w:tcPr>
            <w:tcW w:w="5140" w:type="dxa"/>
            <w:vAlign w:val="bottom"/>
          </w:tcPr>
          <w:p>
            <w:pPr>
              <w:ind w:left="280"/>
              <w:spacing w:after="0"/>
              <w:rPr>
                <w:sz w:val="20"/>
                <w:szCs w:val="20"/>
                <w:color w:val="auto"/>
              </w:rPr>
            </w:pPr>
            <w:r>
              <w:rPr>
                <w:rFonts w:ascii="Arial" w:cs="Arial" w:eastAsia="Arial" w:hAnsi="Arial"/>
                <w:sz w:val="18"/>
                <w:szCs w:val="18"/>
                <w:color w:val="auto"/>
              </w:rPr>
              <w:t>the organisation of the accounting, financial control and</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  fixer les principes de la comptabilité et du contrôle financier</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financial planning systems as required for management of</w:t>
            </w:r>
          </w:p>
        </w:tc>
        <w:tc>
          <w:tcPr>
            <w:tcW w:w="340" w:type="dxa"/>
            <w:vAlign w:val="bottom"/>
          </w:tcPr>
          <w:p>
            <w:pPr>
              <w:spacing w:after="0"/>
              <w:rPr>
                <w:sz w:val="17"/>
                <w:szCs w:val="17"/>
                <w:color w:val="auto"/>
              </w:rPr>
            </w:pPr>
          </w:p>
        </w:tc>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ainsi  que  le  plan  financier  pour  autant  que  celui-ci  soit</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the company;</w:t>
            </w:r>
          </w:p>
        </w:tc>
        <w:tc>
          <w:tcPr>
            <w:tcW w:w="34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nécessaire à la gestion de la société;</w:t>
            </w: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d)  nommer et révoquer les personnes chargées de la gestion et</w:t>
            </w:r>
          </w:p>
        </w:tc>
        <w:tc>
          <w:tcPr>
            <w:tcW w:w="0" w:type="dxa"/>
            <w:vAlign w:val="bottom"/>
          </w:tcPr>
          <w:p>
            <w:pPr>
              <w:spacing w:after="0"/>
              <w:rPr>
                <w:sz w:val="1"/>
                <w:szCs w:val="1"/>
                <w:color w:val="auto"/>
              </w:rPr>
            </w:pP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d)</w:t>
            </w:r>
          </w:p>
        </w:tc>
        <w:tc>
          <w:tcPr>
            <w:tcW w:w="5140" w:type="dxa"/>
            <w:vAlign w:val="bottom"/>
          </w:tcPr>
          <w:p>
            <w:pPr>
              <w:ind w:left="240"/>
              <w:spacing w:after="0" w:line="202" w:lineRule="exact"/>
              <w:rPr>
                <w:sz w:val="20"/>
                <w:szCs w:val="20"/>
                <w:color w:val="auto"/>
              </w:rPr>
            </w:pPr>
            <w:r>
              <w:rPr>
                <w:rFonts w:ascii="Arial" w:cs="Arial" w:eastAsia="Arial" w:hAnsi="Arial"/>
                <w:sz w:val="18"/>
                <w:szCs w:val="18"/>
                <w:color w:val="auto"/>
              </w:rPr>
              <w:t>the appointment and dismissal of persons entrusted with</w:t>
            </w:r>
          </w:p>
        </w:tc>
        <w:tc>
          <w:tcPr>
            <w:tcW w:w="340" w:type="dxa"/>
            <w:vAlign w:val="bottom"/>
          </w:tcPr>
          <w:p>
            <w:pPr>
              <w:spacing w:after="0"/>
              <w:rPr>
                <w:sz w:val="17"/>
                <w:szCs w:val="17"/>
                <w:color w:val="auto"/>
              </w:rPr>
            </w:pPr>
          </w:p>
        </w:tc>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de la représentation;</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managing and representing the company;</w:t>
            </w:r>
          </w:p>
        </w:tc>
        <w:tc>
          <w:tcPr>
            <w:tcW w:w="5360" w:type="dxa"/>
            <w:vAlign w:val="bottom"/>
            <w:gridSpan w:val="2"/>
            <w:vMerge w:val="restart"/>
          </w:tcPr>
          <w:p>
            <w:pPr>
              <w:ind w:left="100"/>
              <w:spacing w:after="0"/>
              <w:rPr>
                <w:sz w:val="20"/>
                <w:szCs w:val="20"/>
                <w:color w:val="auto"/>
              </w:rPr>
            </w:pPr>
            <w:r>
              <w:rPr>
                <w:rFonts w:ascii="Arial" w:cs="Arial" w:eastAsia="Arial" w:hAnsi="Arial"/>
                <w:sz w:val="18"/>
                <w:szCs w:val="18"/>
                <w:color w:val="auto"/>
              </w:rPr>
              <w:t>e)  exercer la haute surveillance sur les personnes chargées de</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5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e)   overall supervision of the persons entrusted with managing</w:t>
            </w:r>
          </w:p>
        </w:tc>
        <w:tc>
          <w:tcPr>
            <w:tcW w:w="340" w:type="dxa"/>
            <w:vAlign w:val="bottom"/>
          </w:tcPr>
          <w:p>
            <w:pPr>
              <w:spacing w:after="0"/>
              <w:rPr>
                <w:sz w:val="17"/>
                <w:szCs w:val="17"/>
                <w:color w:val="auto"/>
              </w:rPr>
            </w:pPr>
          </w:p>
        </w:tc>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la gestion pour s'assurer notamment qu'elles observent la loi,</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the company, in particular with regard to compliance with the</w:t>
            </w:r>
          </w:p>
        </w:tc>
        <w:tc>
          <w:tcPr>
            <w:tcW w:w="340" w:type="dxa"/>
            <w:vAlign w:val="bottom"/>
          </w:tcPr>
          <w:p>
            <w:pPr>
              <w:spacing w:after="0"/>
              <w:rPr>
                <w:sz w:val="17"/>
                <w:szCs w:val="17"/>
                <w:color w:val="auto"/>
              </w:rPr>
            </w:pPr>
          </w:p>
        </w:tc>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les statuts, les règlements et les instructions données;</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law,  articles  of  association,  operational  regulations  and</w:t>
            </w:r>
          </w:p>
        </w:tc>
        <w:tc>
          <w:tcPr>
            <w:tcW w:w="34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directives;</w:t>
            </w:r>
          </w:p>
        </w:tc>
        <w:tc>
          <w:tcPr>
            <w:tcW w:w="53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  établir le rapport de gestion, préparer l'assemblée générale et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exécuter ses décisions;</w:t>
            </w:r>
          </w:p>
        </w:tc>
        <w:tc>
          <w:tcPr>
            <w:tcW w:w="0" w:type="dxa"/>
            <w:vAlign w:val="bottom"/>
          </w:tcPr>
          <w:p>
            <w:pPr>
              <w:spacing w:after="0"/>
              <w:rPr>
                <w:sz w:val="1"/>
                <w:szCs w:val="1"/>
                <w:color w:val="auto"/>
              </w:rPr>
            </w:pPr>
          </w:p>
        </w:tc>
      </w:tr>
    </w:tbl>
    <w:p>
      <w:pPr>
        <w:ind w:left="660" w:hanging="423"/>
        <w:spacing w:after="0" w:line="234"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w:t>
      </w:r>
    </w:p>
    <w:tbl>
      <w:tblPr>
        <w:tblLayout w:type="fixed"/>
        <w:tblInd w:w="24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5120" w:type="dxa"/>
            <w:vAlign w:val="bottom"/>
          </w:tcPr>
          <w:p>
            <w:pPr>
              <w:ind w:left="120"/>
              <w:spacing w:after="0" w:line="203" w:lineRule="exact"/>
              <w:rPr>
                <w:sz w:val="20"/>
                <w:szCs w:val="20"/>
                <w:color w:val="auto"/>
              </w:rPr>
            </w:pPr>
            <w:r>
              <w:rPr>
                <w:rFonts w:ascii="Arial" w:cs="Arial" w:eastAsia="Arial" w:hAnsi="Arial"/>
                <w:sz w:val="18"/>
                <w:szCs w:val="18"/>
                <w:color w:val="auto"/>
              </w:rPr>
              <w:t>meeting and implementation of its resolutions;</w:t>
            </w:r>
          </w:p>
        </w:tc>
        <w:tc>
          <w:tcPr>
            <w:tcW w:w="5380" w:type="dxa"/>
            <w:vAlign w:val="bottom"/>
          </w:tcPr>
          <w:p>
            <w:pPr>
              <w:jc w:val="right"/>
              <w:spacing w:after="0" w:line="203" w:lineRule="exact"/>
              <w:rPr>
                <w:sz w:val="20"/>
                <w:szCs w:val="20"/>
                <w:color w:val="auto"/>
              </w:rPr>
            </w:pPr>
            <w:r>
              <w:rPr>
                <w:rFonts w:ascii="Arial" w:cs="Arial" w:eastAsia="Arial" w:hAnsi="Arial"/>
                <w:sz w:val="18"/>
                <w:szCs w:val="18"/>
                <w:color w:val="auto"/>
              </w:rPr>
              <w:t>g)   la préparation du rapport de rémunération et de demander</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5380" w:type="dxa"/>
            <w:vAlign w:val="bottom"/>
          </w:tcPr>
          <w:p>
            <w:pPr>
              <w:jc w:val="right"/>
              <w:spacing w:after="0" w:line="202" w:lineRule="exact"/>
              <w:rPr>
                <w:sz w:val="20"/>
                <w:szCs w:val="20"/>
                <w:color w:val="auto"/>
              </w:rPr>
            </w:pPr>
            <w:r>
              <w:rPr>
                <w:rFonts w:ascii="Arial" w:cs="Arial" w:eastAsia="Arial" w:hAnsi="Arial"/>
                <w:sz w:val="18"/>
                <w:szCs w:val="18"/>
                <w:color w:val="auto"/>
              </w:rPr>
              <w:t>l'approbation par l'assemblée générale en ce qui concerne la</w:t>
            </w:r>
          </w:p>
        </w:tc>
        <w:tc>
          <w:tcPr>
            <w:tcW w:w="0" w:type="dxa"/>
            <w:vAlign w:val="bottom"/>
          </w:tcPr>
          <w:p>
            <w:pPr>
              <w:spacing w:after="0"/>
              <w:rPr>
                <w:sz w:val="1"/>
                <w:szCs w:val="1"/>
                <w:color w:val="auto"/>
              </w:rPr>
            </w:pP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g)</w:t>
            </w:r>
          </w:p>
        </w:tc>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the preparation of the compensation report and to request</w:t>
            </w:r>
          </w:p>
        </w:tc>
        <w:tc>
          <w:tcPr>
            <w:tcW w:w="5380" w:type="dxa"/>
            <w:vAlign w:val="bottom"/>
          </w:tcPr>
          <w:p>
            <w:pPr>
              <w:jc w:val="right"/>
              <w:spacing w:after="0" w:line="202" w:lineRule="exact"/>
              <w:rPr>
                <w:sz w:val="20"/>
                <w:szCs w:val="20"/>
                <w:color w:val="auto"/>
              </w:rPr>
            </w:pPr>
            <w:r>
              <w:rPr>
                <w:rFonts w:ascii="Arial" w:cs="Arial" w:eastAsia="Arial" w:hAnsi="Arial"/>
                <w:sz w:val="18"/>
                <w:szCs w:val="18"/>
                <w:color w:val="auto"/>
              </w:rPr>
              <w:t>rémunération  du  conseil  d'administration  et  du  comité</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approval by the General Meeting regarding compensation of</w:t>
            </w:r>
          </w:p>
        </w:tc>
        <w:tc>
          <w:tcPr>
            <w:tcW w:w="5380" w:type="dxa"/>
            <w:vAlign w:val="bottom"/>
          </w:tcPr>
          <w:p>
            <w:pPr>
              <w:jc w:val="right"/>
              <w:ind w:right="3970"/>
              <w:spacing w:after="0" w:line="202" w:lineRule="exact"/>
              <w:rPr>
                <w:sz w:val="20"/>
                <w:szCs w:val="20"/>
                <w:color w:val="auto"/>
              </w:rPr>
            </w:pPr>
            <w:r>
              <w:rPr>
                <w:rFonts w:ascii="Arial" w:cs="Arial" w:eastAsia="Arial" w:hAnsi="Arial"/>
                <w:sz w:val="18"/>
                <w:szCs w:val="18"/>
                <w:color w:val="auto"/>
              </w:rPr>
              <w:t>exécutif; et</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the Board of Directors and the Executive Committee; and</w:t>
            </w:r>
          </w:p>
        </w:tc>
        <w:tc>
          <w:tcPr>
            <w:tcW w:w="5380" w:type="dxa"/>
            <w:vAlign w:val="bottom"/>
            <w:vMerge w:val="restart"/>
          </w:tcPr>
          <w:p>
            <w:pPr>
              <w:jc w:val="right"/>
              <w:ind w:right="1430"/>
              <w:spacing w:after="0"/>
              <w:rPr>
                <w:sz w:val="20"/>
                <w:szCs w:val="20"/>
                <w:color w:val="auto"/>
              </w:rPr>
            </w:pPr>
            <w:r>
              <w:rPr>
                <w:rFonts w:ascii="Arial" w:cs="Arial" w:eastAsia="Arial" w:hAnsi="Arial"/>
                <w:sz w:val="18"/>
                <w:szCs w:val="18"/>
                <w:color w:val="auto"/>
              </w:rPr>
              <w:t>h)  informer le juge en cas de surendettement.</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620" w:right="5720" w:hanging="383"/>
        <w:spacing w:after="0" w:line="246" w:lineRule="auto"/>
        <w:tabs>
          <w:tab w:leader="none" w:pos="73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ind w:left="240"/>
              <w:spacing w:after="0"/>
              <w:rPr>
                <w:sz w:val="20"/>
                <w:szCs w:val="20"/>
                <w:color w:val="auto"/>
              </w:rPr>
            </w:pPr>
            <w:r>
              <w:rPr>
                <w:rFonts w:ascii="Arial" w:cs="Arial" w:eastAsia="Arial" w:hAnsi="Arial"/>
                <w:sz w:val="18"/>
                <w:szCs w:val="18"/>
                <w:color w:val="auto"/>
              </w:rPr>
              <w:t>The board of directors may assign responsibility for preparing and</w:t>
            </w:r>
          </w:p>
        </w:tc>
        <w:tc>
          <w:tcPr>
            <w:tcW w:w="5600" w:type="dxa"/>
            <w:vAlign w:val="bottom"/>
          </w:tcPr>
          <w:p>
            <w:pPr>
              <w:ind w:left="100"/>
              <w:spacing w:after="0"/>
              <w:rPr>
                <w:sz w:val="20"/>
                <w:szCs w:val="20"/>
                <w:color w:val="auto"/>
              </w:rPr>
            </w:pPr>
            <w:r>
              <w:rPr>
                <w:rFonts w:ascii="Arial" w:cs="Arial" w:eastAsia="Arial" w:hAnsi="Arial"/>
                <w:sz w:val="18"/>
                <w:szCs w:val="18"/>
                <w:color w:val="auto"/>
              </w:rPr>
              <w:t>Le  conseil  d'administration  peut  déléguer  à  un  ou  plusieurs</w:t>
            </w:r>
          </w:p>
        </w:tc>
      </w:tr>
      <w:tr>
        <w:trPr>
          <w:trHeight w:val="203"/>
        </w:trPr>
        <w:tc>
          <w:tcPr>
            <w:tcW w:w="5640" w:type="dxa"/>
            <w:vAlign w:val="bottom"/>
          </w:tcPr>
          <w:p>
            <w:pPr>
              <w:ind w:left="240"/>
              <w:spacing w:after="0" w:line="202" w:lineRule="exact"/>
              <w:rPr>
                <w:sz w:val="20"/>
                <w:szCs w:val="20"/>
                <w:color w:val="auto"/>
              </w:rPr>
            </w:pPr>
            <w:r>
              <w:rPr>
                <w:rFonts w:ascii="Arial" w:cs="Arial" w:eastAsia="Arial" w:hAnsi="Arial"/>
                <w:sz w:val="18"/>
                <w:szCs w:val="18"/>
                <w:color w:val="auto"/>
              </w:rPr>
              <w:t>implementing  its  resolutions  or  monitoring  transactions  to</w:t>
            </w:r>
          </w:p>
        </w:tc>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membres,  regroupés  en  comités,  la  charge  de  préparer  et</w:t>
            </w:r>
          </w:p>
        </w:tc>
      </w:tr>
      <w:tr>
        <w:trPr>
          <w:trHeight w:val="203"/>
        </w:trPr>
        <w:tc>
          <w:tcPr>
            <w:tcW w:w="5640" w:type="dxa"/>
            <w:vAlign w:val="bottom"/>
          </w:tcPr>
          <w:p>
            <w:pPr>
              <w:ind w:left="240"/>
              <w:spacing w:after="0" w:line="202" w:lineRule="exact"/>
              <w:rPr>
                <w:sz w:val="20"/>
                <w:szCs w:val="20"/>
                <w:color w:val="auto"/>
              </w:rPr>
            </w:pPr>
            <w:r>
              <w:rPr>
                <w:rFonts w:ascii="Arial" w:cs="Arial" w:eastAsia="Arial" w:hAnsi="Arial"/>
                <w:sz w:val="18"/>
                <w:szCs w:val="18"/>
                <w:color w:val="auto"/>
              </w:rPr>
              <w:t>committees or individual members. It must ensure appropriate</w:t>
            </w:r>
          </w:p>
        </w:tc>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d'exécuter ses décisions ou de surveiller certaines affaires. Il</w:t>
            </w:r>
          </w:p>
        </w:tc>
      </w:tr>
      <w:tr>
        <w:trPr>
          <w:trHeight w:val="217"/>
        </w:trPr>
        <w:tc>
          <w:tcPr>
            <w:tcW w:w="5640" w:type="dxa"/>
            <w:vAlign w:val="bottom"/>
          </w:tcPr>
          <w:p>
            <w:pPr>
              <w:ind w:left="240"/>
              <w:spacing w:after="0"/>
              <w:rPr>
                <w:sz w:val="20"/>
                <w:szCs w:val="20"/>
                <w:color w:val="auto"/>
              </w:rPr>
            </w:pPr>
            <w:r>
              <w:rPr>
                <w:rFonts w:ascii="Arial" w:cs="Arial" w:eastAsia="Arial" w:hAnsi="Arial"/>
                <w:sz w:val="18"/>
                <w:szCs w:val="18"/>
                <w:color w:val="auto"/>
              </w:rPr>
              <w:t>reporting to its members.</w:t>
            </w:r>
          </w:p>
        </w:tc>
        <w:tc>
          <w:tcPr>
            <w:tcW w:w="5600" w:type="dxa"/>
            <w:vAlign w:val="bottom"/>
          </w:tcPr>
          <w:p>
            <w:pPr>
              <w:ind w:left="100"/>
              <w:spacing w:after="0"/>
              <w:rPr>
                <w:sz w:val="20"/>
                <w:szCs w:val="20"/>
                <w:color w:val="auto"/>
              </w:rPr>
            </w:pPr>
            <w:r>
              <w:rPr>
                <w:rFonts w:ascii="Arial" w:cs="Arial" w:eastAsia="Arial" w:hAnsi="Arial"/>
                <w:sz w:val="18"/>
                <w:szCs w:val="18"/>
                <w:color w:val="auto"/>
              </w:rPr>
              <w:t>veille à ce que ses membres soient convenablement informés.</w:t>
            </w:r>
          </w:p>
        </w:tc>
      </w:tr>
      <w:tr>
        <w:trPr>
          <w:trHeight w:val="54"/>
        </w:trPr>
        <w:tc>
          <w:tcPr>
            <w:tcW w:w="564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r>
      <w:tr>
        <w:trPr>
          <w:trHeight w:val="277"/>
        </w:trPr>
        <w:tc>
          <w:tcPr>
            <w:tcW w:w="5640" w:type="dxa"/>
            <w:vAlign w:val="bottom"/>
          </w:tcPr>
          <w:p>
            <w:pPr>
              <w:ind w:left="240"/>
              <w:spacing w:after="0"/>
              <w:rPr>
                <w:sz w:val="20"/>
                <w:szCs w:val="20"/>
                <w:color w:val="auto"/>
              </w:rPr>
            </w:pPr>
            <w:r>
              <w:rPr>
                <w:rFonts w:ascii="Arial" w:cs="Arial" w:eastAsia="Arial" w:hAnsi="Arial"/>
                <w:sz w:val="18"/>
                <w:szCs w:val="18"/>
                <w:b w:val="1"/>
                <w:bCs w:val="1"/>
                <w:color w:val="auto"/>
              </w:rPr>
              <w:t>Art. 24 Representation of the Company</w:t>
            </w:r>
          </w:p>
        </w:tc>
        <w:tc>
          <w:tcPr>
            <w:tcW w:w="5600" w:type="dxa"/>
            <w:vAlign w:val="bottom"/>
          </w:tcPr>
          <w:p>
            <w:pPr>
              <w:ind w:left="100"/>
              <w:spacing w:after="0"/>
              <w:rPr>
                <w:sz w:val="20"/>
                <w:szCs w:val="20"/>
                <w:color w:val="auto"/>
              </w:rPr>
            </w:pPr>
            <w:r>
              <w:rPr>
                <w:rFonts w:ascii="Arial" w:cs="Arial" w:eastAsia="Arial" w:hAnsi="Arial"/>
                <w:sz w:val="18"/>
                <w:szCs w:val="18"/>
                <w:b w:val="1"/>
                <w:bCs w:val="1"/>
                <w:color w:val="auto"/>
              </w:rPr>
              <w:t>Art. 24 Représentation de la société</w:t>
            </w:r>
          </w:p>
        </w:tc>
      </w:tr>
      <w:tr>
        <w:trPr>
          <w:trHeight w:val="391"/>
        </w:trPr>
        <w:tc>
          <w:tcPr>
            <w:tcW w:w="5640" w:type="dxa"/>
            <w:vAlign w:val="bottom"/>
          </w:tcPr>
          <w:p>
            <w:pPr>
              <w:ind w:left="240"/>
              <w:spacing w:after="0"/>
              <w:rPr>
                <w:sz w:val="20"/>
                <w:szCs w:val="20"/>
                <w:color w:val="auto"/>
              </w:rPr>
            </w:pPr>
            <w:r>
              <w:rPr>
                <w:rFonts w:ascii="Arial" w:cs="Arial" w:eastAsia="Arial" w:hAnsi="Arial"/>
                <w:sz w:val="18"/>
                <w:szCs w:val="18"/>
                <w:color w:val="auto"/>
              </w:rPr>
              <w:t>The Board of Directors shall assign the persons with signatory</w:t>
            </w:r>
          </w:p>
        </w:tc>
        <w:tc>
          <w:tcPr>
            <w:tcW w:w="5600" w:type="dxa"/>
            <w:vAlign w:val="bottom"/>
          </w:tcPr>
          <w:p>
            <w:pPr>
              <w:ind w:left="100"/>
              <w:spacing w:after="0"/>
              <w:rPr>
                <w:sz w:val="20"/>
                <w:szCs w:val="20"/>
                <w:color w:val="auto"/>
              </w:rPr>
            </w:pPr>
            <w:r>
              <w:rPr>
                <w:rFonts w:ascii="Arial" w:cs="Arial" w:eastAsia="Arial" w:hAnsi="Arial"/>
                <w:sz w:val="18"/>
                <w:szCs w:val="18"/>
                <w:color w:val="auto"/>
              </w:rPr>
              <w:t>Le  conseil  d'administration  nomme  les  personnes  pouvant</w:t>
            </w:r>
          </w:p>
        </w:tc>
      </w:tr>
      <w:tr>
        <w:trPr>
          <w:trHeight w:val="217"/>
        </w:trPr>
        <w:tc>
          <w:tcPr>
            <w:tcW w:w="5640" w:type="dxa"/>
            <w:vAlign w:val="bottom"/>
          </w:tcPr>
          <w:p>
            <w:pPr>
              <w:ind w:left="240"/>
              <w:spacing w:after="0"/>
              <w:rPr>
                <w:sz w:val="20"/>
                <w:szCs w:val="20"/>
                <w:color w:val="auto"/>
              </w:rPr>
            </w:pPr>
            <w:r>
              <w:rPr>
                <w:rFonts w:ascii="Arial" w:cs="Arial" w:eastAsia="Arial" w:hAnsi="Arial"/>
                <w:sz w:val="18"/>
                <w:szCs w:val="18"/>
                <w:color w:val="auto"/>
              </w:rPr>
              <w:t>power for the company and the kind of signatory power.</w:t>
            </w:r>
          </w:p>
        </w:tc>
        <w:tc>
          <w:tcPr>
            <w:tcW w:w="5600" w:type="dxa"/>
            <w:vAlign w:val="bottom"/>
          </w:tcPr>
          <w:p>
            <w:pPr>
              <w:ind w:left="100"/>
              <w:spacing w:after="0"/>
              <w:rPr>
                <w:sz w:val="20"/>
                <w:szCs w:val="20"/>
                <w:color w:val="auto"/>
              </w:rPr>
            </w:pPr>
            <w:r>
              <w:rPr>
                <w:rFonts w:ascii="Arial" w:cs="Arial" w:eastAsia="Arial" w:hAnsi="Arial"/>
                <w:sz w:val="18"/>
                <w:szCs w:val="18"/>
                <w:color w:val="auto"/>
              </w:rPr>
              <w:t>représenter la société ainsi que le mode de signature.</w:t>
            </w:r>
          </w:p>
        </w:tc>
      </w:tr>
      <w:tr>
        <w:trPr>
          <w:trHeight w:val="175"/>
        </w:trPr>
        <w:tc>
          <w:tcPr>
            <w:tcW w:w="564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250"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6"/>
          <w:szCs w:val="16"/>
          <w:color w:val="auto"/>
        </w:rPr>
        <w:t>21</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25 Delegation</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25 Délégation</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Moreover, the Board of Directors is authorized to delegate, in part</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 outre, le conseil d'administration peut, dans les limites de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or  entirely,  the  management  and  the  representation  of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loi,  déléguer,  en  partie  ou  entièrement,  la  gestion  et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Company, within the limits of the law, to one or more individual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représentation de la société à un ou plusieurs administrateurs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directors (Delegates) or to third parties pursuant to organizational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(délégués)  ou  à  des  tiers  conformément  au  règlement</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regulations.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d'organisation.</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26 Meetings, Resolutions and Minutes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26 Réunions, décisions et procès-verbal</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organization of the meetings, the presence quorum and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L'organisation des réunions, le quorum de présence et l'adoption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passing of resolutions of the Board of Directors is determined by</w:t>
            </w:r>
          </w:p>
        </w:tc>
        <w:tc>
          <w:tcPr>
            <w:tcW w:w="5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 décisions du conseil d'administration sont prévus dans 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organizational regulations. No presence quorum is required</w:t>
            </w:r>
          </w:p>
        </w:tc>
        <w:tc>
          <w:tcPr>
            <w:tcW w:w="5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règlement  d'organisation.  Aucun  quorum  de  présence  n'est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for the approval of the capital increase.</w:t>
            </w:r>
          </w:p>
        </w:tc>
        <w:tc>
          <w:tcPr>
            <w:tcW w:w="5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nécessaire pour l'approbation d'un rapport d'augmentation de</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capital.</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Resolutions may be passed via telephone or videoconference.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Les décisions peuvent être prises par téléphone ou par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Resolutions may also be passed by way of circulation, provided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vidéoconférence. Les décisions peuvent également être prises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that no member requests oral deliberation.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22222"/>
              </w:rPr>
              <w:t>par voie de circulation, à condition qu'aucun membre ne demande</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22222"/>
              </w:rPr>
              <w:t>une délibération orale.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Minutes are kept of the board's discussions and resolutions and</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délibérations et les décisions du conseil d'administration sont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signed by the chairman and the minute-taker.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consignées dans un procès-verbal signé par le président et le</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rédacteur du procès-verbal.</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27 Right to information and inspection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27 Droit aux renseignements et à la consultation</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Any member of the board of directors may request information 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Chaque membre du conseil d'administration a le droit d'obtenir</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any company business.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des renseignements sur toutes les affaires de la société.</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Outside meetings, any member may request information from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 dehors des séances, chaque membre du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persons  entrusted  with  managing  the  company's  business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peut exiger des personnes chargées de la</w:t>
            </w:r>
          </w:p>
        </w:tc>
      </w:tr>
      <w:tr>
        <w:trPr>
          <w:trHeight w:val="202"/>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concerning the company's business performance and, with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gestion des renseignements sur la marche de l'entreprise et, avec</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chairman's authorisation, specific transactions.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l'autorisation du président, sur des affaires déterminées.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Where required for the performance of his duties, any member</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la mesure où cela est nécessaire à l'accomplissement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may  request  the  chairman  to  have  books  of  account  and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ses tâches, chaque membre du conseil d'administration peut</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documents made available to him for inspection.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demander au président la production des livres ou des dossiers.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1"/>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6"/>
          <w:szCs w:val="16"/>
          <w:color w:val="auto"/>
        </w:rPr>
        <w:t>22</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If the chairman refuses a request for information, a request to be</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Si le président rejette une demande de renseignement, d'audition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heard  or  an  application  to  inspect  documents,  the  board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ou de consultation, le conseil d'administration tranche.</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directors rules on the matter.</w:t>
            </w:r>
          </w:p>
        </w:tc>
        <w:tc>
          <w:tcPr>
            <w:tcW w:w="40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28 Compensation Committee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28 Comité de rémunération</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Compensation Committee shall comprise at least 2 members.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comité de rémunération se compose d'au moins 2 membres.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members  of  the  Compensation  Committee  shall  be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Les  membres  du  comité  de  rémunération  sont  élus  par</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individually elected by the Ordinary General Meeting from among</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l'assemblée générale ordinaire parmi les membres du conseil</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members of the Board of Directors for a term of one year until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pour un mandat d'un an jusqu'à la prochaine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next Ordinary General Meeting. Re-election is permitted.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Compensation Committee has the following duties: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comité de rémunération a les fonctions suivantes:</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   to draw up principles for compensation of members of the</w:t>
            </w:r>
          </w:p>
        </w:tc>
        <w:tc>
          <w:tcPr>
            <w:tcW w:w="400" w:type="dxa"/>
            <w:vAlign w:val="bottom"/>
          </w:tcPr>
          <w:p>
            <w:pPr>
              <w:ind w:left="8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élaborer des principes de rémunération des membres du</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Board of Directors and the Executive Committee and to</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conseil d'administration et du comité exécutif et de les</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submit them to the Board of Directors for approval;</w:t>
            </w: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soumettre au conseil d'administration pour approbation;</w:t>
            </w:r>
          </w:p>
        </w:tc>
        <w:tc>
          <w:tcPr>
            <w:tcW w:w="0" w:type="dxa"/>
            <w:vAlign w:val="bottom"/>
          </w:tcPr>
          <w:p>
            <w:pPr>
              <w:spacing w:after="0"/>
              <w:rPr>
                <w:sz w:val="1"/>
                <w:szCs w:val="1"/>
                <w:color w:val="auto"/>
              </w:rPr>
            </w:pP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b)</w:t>
            </w:r>
          </w:p>
        </w:tc>
        <w:tc>
          <w:tcPr>
            <w:tcW w:w="5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to propose to the Board of Directors the resolution to be</w:t>
            </w:r>
          </w:p>
        </w:tc>
        <w:tc>
          <w:tcPr>
            <w:tcW w:w="400" w:type="dxa"/>
            <w:vAlign w:val="bottom"/>
          </w:tcPr>
          <w:p>
            <w:pPr>
              <w:ind w:left="80"/>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proposer au conseil d'administration la décision sera</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submitted to the Ordinary General Meeting for the maximum</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soumise  à  l'assemblée  générale  ordinaire  pour  la</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total compensation of the Board of Directors and Executive</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rémunération totale maximale du conseil d'administration et</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Committee;</w:t>
            </w: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du comité exécutif;</w:t>
            </w:r>
          </w:p>
        </w:tc>
        <w:tc>
          <w:tcPr>
            <w:tcW w:w="0" w:type="dxa"/>
            <w:vAlign w:val="bottom"/>
          </w:tcPr>
          <w:p>
            <w:pPr>
              <w:spacing w:after="0"/>
              <w:rPr>
                <w:sz w:val="1"/>
                <w:szCs w:val="1"/>
                <w:color w:val="auto"/>
              </w:rPr>
            </w:pP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w:t>
            </w:r>
          </w:p>
        </w:tc>
        <w:tc>
          <w:tcPr>
            <w:tcW w:w="5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subject  to  and  within  the  bounds  of  the  maximum</w:t>
            </w:r>
          </w:p>
        </w:tc>
        <w:tc>
          <w:tcPr>
            <w:tcW w:w="400" w:type="dxa"/>
            <w:vAlign w:val="bottom"/>
          </w:tcPr>
          <w:p>
            <w:pPr>
              <w:ind w:left="80"/>
              <w:spacing w:after="0"/>
              <w:rPr>
                <w:sz w:val="20"/>
                <w:szCs w:val="20"/>
                <w:color w:val="auto"/>
              </w:rPr>
            </w:pPr>
            <w:r>
              <w:rPr>
                <w:rFonts w:ascii="Arial" w:cs="Arial" w:eastAsia="Arial" w:hAnsi="Arial"/>
                <w:sz w:val="18"/>
                <w:szCs w:val="18"/>
                <w:color w:val="auto"/>
              </w:rPr>
              <w:t>c)</w:t>
            </w:r>
          </w:p>
        </w:tc>
        <w:tc>
          <w:tcPr>
            <w:tcW w:w="51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sous réserve et dans les limites de la rémunération</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approved by the Ordinary General Meeting, to</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maximale approuvée par l'assemblée générale ordinaire,</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request approval by the Board of Directors of the individual</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demander l'approbation du conseil d'administration quant</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remuneration packages to be paid to members of the Board</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aux paquets de rémunération individuels devant être versés</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Directors and members of the Executive Committee;</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aux membres du conseil d'administration et aux membres</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du comité exécutif;</w:t>
            </w:r>
          </w:p>
        </w:tc>
        <w:tc>
          <w:tcPr>
            <w:tcW w:w="0" w:type="dxa"/>
            <w:vAlign w:val="bottom"/>
          </w:tcPr>
          <w:p>
            <w:pPr>
              <w:spacing w:after="0"/>
              <w:rPr>
                <w:sz w:val="1"/>
                <w:szCs w:val="1"/>
                <w:color w:val="auto"/>
              </w:rPr>
            </w:pP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d)</w:t>
            </w:r>
          </w:p>
        </w:tc>
        <w:tc>
          <w:tcPr>
            <w:tcW w:w="5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to request approval by the Board of Directors regarding the</w:t>
            </w:r>
          </w:p>
        </w:tc>
        <w:tc>
          <w:tcPr>
            <w:tcW w:w="400" w:type="dxa"/>
            <w:vAlign w:val="bottom"/>
          </w:tcPr>
          <w:p>
            <w:pPr>
              <w:ind w:left="80"/>
              <w:spacing w:after="0"/>
              <w:rPr>
                <w:sz w:val="20"/>
                <w:szCs w:val="20"/>
                <w:color w:val="auto"/>
              </w:rPr>
            </w:pPr>
            <w:r>
              <w:rPr>
                <w:rFonts w:ascii="Arial" w:cs="Arial" w:eastAsia="Arial" w:hAnsi="Arial"/>
                <w:sz w:val="18"/>
                <w:szCs w:val="18"/>
                <w:color w:val="auto"/>
              </w:rPr>
              <w:t>d)</w:t>
            </w:r>
          </w:p>
        </w:tc>
        <w:tc>
          <w:tcPr>
            <w:tcW w:w="51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requérir l'approbation du conseil d'administration sur la</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determination of the compensation-related targets for the</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fixation d'objectifs liés à la rémunération pour le comité</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Executive Committee;</w:t>
            </w: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exécutif;</w:t>
            </w:r>
          </w:p>
        </w:tc>
        <w:tc>
          <w:tcPr>
            <w:tcW w:w="0" w:type="dxa"/>
            <w:vAlign w:val="bottom"/>
          </w:tcPr>
          <w:p>
            <w:pPr>
              <w:spacing w:after="0"/>
              <w:rPr>
                <w:sz w:val="1"/>
                <w:szCs w:val="1"/>
                <w:color w:val="auto"/>
              </w:rPr>
            </w:pP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e)</w:t>
            </w:r>
          </w:p>
        </w:tc>
        <w:tc>
          <w:tcPr>
            <w:tcW w:w="5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to request approval by the Board of Directors regarding the</w:t>
            </w:r>
          </w:p>
        </w:tc>
        <w:tc>
          <w:tcPr>
            <w:tcW w:w="400" w:type="dxa"/>
            <w:vAlign w:val="bottom"/>
          </w:tcPr>
          <w:p>
            <w:pPr>
              <w:ind w:left="80"/>
              <w:spacing w:after="0"/>
              <w:rPr>
                <w:sz w:val="20"/>
                <w:szCs w:val="20"/>
                <w:color w:val="auto"/>
              </w:rPr>
            </w:pPr>
            <w:r>
              <w:rPr>
                <w:rFonts w:ascii="Arial" w:cs="Arial" w:eastAsia="Arial" w:hAnsi="Arial"/>
                <w:sz w:val="18"/>
                <w:szCs w:val="18"/>
                <w:color w:val="auto"/>
              </w:rPr>
              <w:t>e)</w:t>
            </w:r>
          </w:p>
        </w:tc>
        <w:tc>
          <w:tcPr>
            <w:tcW w:w="51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requérir l'approbation du conseil d'administration sur les</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adjustments  to  the  Articles  of  Association  relating  to</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adaptations des statuts relatives à la rémunération; et</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remuneration; and</w:t>
            </w:r>
          </w:p>
        </w:tc>
        <w:tc>
          <w:tcPr>
            <w:tcW w:w="400" w:type="dxa"/>
            <w:vAlign w:val="bottom"/>
            <w:vMerge w:val="restart"/>
          </w:tcPr>
          <w:p>
            <w:pPr>
              <w:ind w:left="80"/>
              <w:spacing w:after="0"/>
              <w:rPr>
                <w:sz w:val="20"/>
                <w:szCs w:val="20"/>
                <w:color w:val="auto"/>
              </w:rPr>
            </w:pPr>
            <w:r>
              <w:rPr>
                <w:rFonts w:ascii="Arial" w:cs="Arial" w:eastAsia="Arial" w:hAnsi="Arial"/>
                <w:sz w:val="18"/>
                <w:szCs w:val="18"/>
                <w:color w:val="auto"/>
              </w:rPr>
              <w:t>f)</w:t>
            </w:r>
          </w:p>
        </w:tc>
        <w:tc>
          <w:tcPr>
            <w:tcW w:w="518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préparer le rapport de rémunération et de le soumettre au</w:t>
            </w:r>
          </w:p>
        </w:tc>
        <w:tc>
          <w:tcPr>
            <w:tcW w:w="0" w:type="dxa"/>
            <w:vAlign w:val="bottom"/>
          </w:tcPr>
          <w:p>
            <w:pPr>
              <w:spacing w:after="0"/>
              <w:rPr>
                <w:sz w:val="1"/>
                <w:szCs w:val="1"/>
                <w:color w:val="auto"/>
              </w:rPr>
            </w:pPr>
          </w:p>
        </w:tc>
      </w:tr>
      <w:tr>
        <w:trPr>
          <w:trHeight w:val="188"/>
        </w:trPr>
        <w:tc>
          <w:tcPr>
            <w:tcW w:w="500" w:type="dxa"/>
            <w:vAlign w:val="bottom"/>
            <w:tcBorders>
              <w:left w:val="single" w:sz="8" w:color="auto"/>
            </w:tcBorders>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c>
          <w:tcPr>
            <w:tcW w:w="400" w:type="dxa"/>
            <w:vAlign w:val="bottom"/>
            <w:vMerge w:val="continue"/>
          </w:tcPr>
          <w:p>
            <w:pPr>
              <w:spacing w:after="0"/>
              <w:rPr>
                <w:sz w:val="16"/>
                <w:szCs w:val="16"/>
                <w:color w:val="auto"/>
              </w:rPr>
            </w:pPr>
          </w:p>
        </w:tc>
        <w:tc>
          <w:tcPr>
            <w:tcW w:w="51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ind w:left="240"/>
              <w:spacing w:after="0" w:line="202" w:lineRule="exact"/>
              <w:rPr>
                <w:sz w:val="20"/>
                <w:szCs w:val="20"/>
                <w:color w:val="auto"/>
              </w:rPr>
            </w:pPr>
            <w:r>
              <w:rPr>
                <w:rFonts w:ascii="Arial" w:cs="Arial" w:eastAsia="Arial" w:hAnsi="Arial"/>
                <w:sz w:val="18"/>
                <w:szCs w:val="18"/>
                <w:color w:val="auto"/>
              </w:rPr>
              <w:t>f)</w:t>
            </w:r>
          </w:p>
        </w:tc>
        <w:tc>
          <w:tcPr>
            <w:tcW w:w="516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to prepare the Compensation Report and submit it to the</w:t>
            </w:r>
          </w:p>
        </w:tc>
        <w:tc>
          <w:tcPr>
            <w:tcW w:w="400" w:type="dxa"/>
            <w:vAlign w:val="bottom"/>
          </w:tcPr>
          <w:p>
            <w:pPr>
              <w:spacing w:after="0"/>
              <w:rPr>
                <w:sz w:val="17"/>
                <w:szCs w:val="17"/>
                <w:color w:val="auto"/>
              </w:rPr>
            </w:pPr>
          </w:p>
        </w:tc>
        <w:tc>
          <w:tcPr>
            <w:tcW w:w="51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conseil d'administration.</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Board of Directors.</w:t>
            </w:r>
          </w:p>
        </w:tc>
        <w:tc>
          <w:tcPr>
            <w:tcW w:w="40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500" w:type="dxa"/>
            <w:vAlign w:val="bottom"/>
            <w:tcBorders>
              <w:bottom w:val="single" w:sz="8" w:color="auto"/>
            </w:tcBorders>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6"/>
          <w:szCs w:val="16"/>
          <w:color w:val="auto"/>
        </w:rPr>
        <w:t>23</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The Board of Directors shall set out any further duties and</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 conseil d'administration fixe toutes les autres fonctions et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responsibilities vested on the Compensation Committee in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responsabilités dévolues au comité de rémunération dans le</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Company's Organizational Rules.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règlement d'organisation de la société.</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29 Indemnification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29 Indemnisation</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As far as is permissible under applicable law, the Company shall</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la  mesure  permise  par  la  loi  applicable,  la  société</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indemnify any current or former member of the Board of Directors,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indemnisera  tout  membre  actuel  ou  ancien  du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former members of the Executive Committee, or any person who</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les anciens membres du comité exécutif, ou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is serving or has served at the request of the Company as a</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toute personne qui sert ou a servi à la demande de la société en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member of the Board of Directors or member of the Executive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tant que membre du conseil d'administration ou membre du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Committee (each individually, a "Covered Person"), against any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comité  exécutif  (chacun  individuellement,  une  "Personne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expenses,  including  attorneys'  fees,  judgments,  fines,  and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Couverte"), pour toutes les dépenses, y compris les honoraires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amounts paid in settlement actually and reasonably incurred by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d'avocat, jugements, amendes, et montants versés effectivement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him  or  her  in  connection  with  any  threatened,  pending,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et raisonnablement à titre de règlement dans le cadre de toute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completed action, suit or proceeding, whether civil, criminal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 poursuite ou procédure imminente, pendante ou terminée,</w:t>
            </w:r>
          </w:p>
        </w:tc>
      </w:tr>
      <w:tr>
        <w:trPr>
          <w:trHeight w:val="202"/>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administrative, to which he or she was, is, or is threatened to be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qu'elle soit civile, pénale ou administrative, à laquelle il ou elle 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made a party, or is otherwise involved (a "Proceeding"). This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été, est, ou est menacé d'être partie, ou est impliqué de toute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provision shall not indemnify any Covered Person against any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autre manière (une "Procédure"). Cette disposition ne doit pas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liability  arising  out  of  (a)  any  fraud  or  dishonesty  in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indemniser une Personne Couverte contre une responsabilité</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performance of such Covered Person's duty to the Company,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découlant  de  (a)  une  fraude  ou  une  malhonnêteté  de  cette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 such Covered Party's conscious, intentional or willful or grossly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Couverte dans l'exercice de ses fonctions vis-à-vis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negligent breach of the obligation to act honestly and in good faith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société,  ou  (b)  une  violation  consciente,  intentionnelle  ou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with a view to the best interests of the Company. Notwithstanding</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volontaire  ou  gravement  négligente  de  l'obligation  de  cette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preceding sentence, this section shall not extend to any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Couverte d'agir avec honnêteté en tenant compte du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person holding the office of auditor or special auditor of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meilleur intérêt de la société. Nonobstant ce qui précède, cette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Company.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disposition ne s'étend pas aux personnes qui occupent le poste</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 réviseur ou de réviseur spécial de la société.</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 the case of any Proceeding by or in the name of the Company,</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le cas de toute Procédure intentée par ou au nom de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Company  shall  indemnify  each  Covered  Person  against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société, la société doit indemniser chaque Personne Couverte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expenses,  including  attorneys'  fees,  actually  and  reasonably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pour  les  dépenses,  y  compris  les  honoraires  d'avocat,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incurred in connection with the defense or settlement thereof,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effectivement et raisonnablement encourus dans le cadre de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except no indemnification shall be made in respect of any claim,</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défense ou du règlement dans le cadre de la Procédure. Aucune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issue or matter as to which a Covered Person shall have been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indemnisation ne sera octroyée pour une réclamation, problème</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adjudged to be liable for fraud or dishonesty in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 affaire pour laquelle une Personne Couverte est tenue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6"/>
          <w:szCs w:val="16"/>
          <w:color w:val="auto"/>
        </w:rPr>
        <w:t>24</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performance of his or her duty to the Company, or for conscious,</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responsable  à  la  suite  de  fraude  ou  de  malhonnêteté  dans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intentional or willful or grossly negligent breach of his or her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l'exercice de ses fonctions vis-à-vis de la société, ou à cause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obligation to act honestly and in good faith with a view to the best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d'une  violation  consciente,  intentionnelle  ou  volontaire  ou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interests of the Company, unless and only to the extent that a</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gravement négligente de l'obligation de la Personne Couverte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court in which such action or suit was brought shall determine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d'agir avec honnêteté en tenant compte du meilleur intérêt de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upon application that despite the adjudication of liability, but in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société, sauf et uniquement si un tribunal auquel une telle action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view of all the circumstances of the case, such Covered Person is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ou poursuite a été porté détermine que, malgré la reconnaissance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fairly and reasonably entitled to indemnity for such expenses as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la  responsabilité,  mais  compte  tenu  de  toutes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court  shall  deem  proper.  Notwithstanding  the  preceding</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circonstances  du  cas  d'espèce,  cette  Personne  Couverte  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sentence, this section shall not extend to any person holding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équitablement et raisonnablement droit à une indemnisation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office of auditor or special auditor of the Company.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ces dépenses, mais uniquement à hauteur du montant que le</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tribunal jugera convenable. Nonobstant la phrase précédente,</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cette disposition ne s'étend pas aux personnes qui occupent le</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poste de réviseur ou de réviseur spécial de la société.</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Any indemnification under this Article 29 (unless ordered by a</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Toute  indemnisation  en  vertu  du  présent  article  29  (sauf  si</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court) shall be made by the Company only as authorized in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ordonnée par un tribunal) doit être octroyée par la société dans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specific case upon a determination that indemnification of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chaque cas dans les limites de l'autorisation sur la base d'une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Covered Person is proper in the circumstances because such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détermination que l'indemnisation de la Personne Couverte est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person has met the applicable Standard of conduct set forth in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appropriée dans les circonstances parce que cette personne 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this Article 29. Such determination shall be made, with respect to</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satisfait au standard de conduite applicable énoncé dans 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 Covered Person (a) by a majority vote of the members of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présent article 29. Une telle décision concernant une Personne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Board of Directors who are not parties to such proceeding, even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Couverte  doit  être  prise  (a)  par  la  majorité  des  votes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though less than a quorum; (b) by a committee of such members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membres du conseil d'administration qui ne sont pas parties à</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the Board of Directors designated by a majority vote of such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cette procédure, même si le quorum requis n'est pas réuni; (b) par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Board of Directors, even though less than a quorum; (c) if there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 comité de membres du conseil d'administration désignés par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are no such member of the Board of Directors, or if such member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une majorité des votes du conseil d'administration, même si 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the Board of Directors so direct, by independent legal counsel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quorum requis n'est pas réuni; (c) s'il n'y a pas de tel membre du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  a  written  opinion;  or  (d)  by  the  General  Meeting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conseil  d'administration,  ou  si  ce  membre  du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Such determination shall be made, with respect to</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l'ordonne, par un conseiller juridique indépendant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any other Covered Person, by any person or persons having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dans  un  avis  écrit;  ou  (d)  par  l'assemblée  générale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authority to act on the matter on behalf of the Company. To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actionnaires.  Une  telle  décision  concernant  une  Personne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extent, however, that any Covered Person has been successful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Couverte doit être prise par une personne ou des personnes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on the merits or otherwise in defense of any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ayant le pouvoir d'agir dans cet affaire au nom de la société. Dans</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mesure, cependant, où une Personne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1"/>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6"/>
          <w:szCs w:val="16"/>
          <w:color w:val="auto"/>
        </w:rPr>
        <w:t>25</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proceeding, or in defense of any claim, issue or matter therein,</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Couverte a gagné sur le fond ou autrement dans la défense d'une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such Covered Person shall be indemnified against expenses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procédure, ou dans la défense de toute réclamation, problème ou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(including attorneys' fees) actually and reasonably incurred by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affaire dans cette procédure, cette Personne Couverte doit être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such person in connection therewith, without the necessity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indemnisée  pour  les  dépenses  (y  compris  les  honoraires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authorization in the specific case.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d'avocat)  effectivement  et  raisonnablement  encourus  dans  le</w:t>
            </w:r>
          </w:p>
        </w:tc>
      </w:tr>
      <w:tr>
        <w:trPr>
          <w:trHeight w:val="203"/>
        </w:trPr>
        <w:tc>
          <w:tcPr>
            <w:tcW w:w="5660" w:type="dxa"/>
            <w:vAlign w:val="bottom"/>
            <w:tcBorders>
              <w:left w:val="single" w:sz="8" w:color="auto"/>
              <w:right w:val="single" w:sz="8" w:color="auto"/>
            </w:tcBorders>
          </w:tcPr>
          <w:p>
            <w:pPr>
              <w:spacing w:after="0"/>
              <w:rPr>
                <w:sz w:val="17"/>
                <w:szCs w:val="17"/>
                <w:color w:val="auto"/>
              </w:rPr>
            </w:pP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cadre de l'affaire en question sans qu'il soit nécessaire d'avoir</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une autorisation dans le cas spécifique.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As far as is permissible under applicable law, expenses, including</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la mesure permise par la loi applicable, les dépenses, y</w:t>
            </w:r>
          </w:p>
        </w:tc>
      </w:tr>
      <w:tr>
        <w:trPr>
          <w:trHeight w:val="202"/>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attorneys' fees, incurred in defending any proceeding for which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compris les honoraires d'avocats, encourus dans la défense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indemnification is permitted pursuant to this Article 29 shall be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toute procédure pour laquelle l'indemnisation est permise en vertu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paid by the Company in advance of the final disposition of such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 présent article 29, doivent être payées par la société avant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proceeding  upon  receipt  by  the  Board  of  Directors  of  an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décision finale dans cette procédure à réception par le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undertaking by or on behalf of the Covered Person to repay such</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d'une  promesse  faite  par  ou  au  nom  de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amount if it shall ultimately be determined that he or she is not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  Couverte  de  rembourser  ce  montant  s'il  s'avère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entitled to be indemnified by the Company under these Articles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finalement  que  cette  Personne  Couverte  n'a  pas  droit  à</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Association.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l'indemnisation par la société en vertu de ces statuts.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It being the policy of the Company that indemnification of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politique  de  la  société  prévoit  que  l'indemnisation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persons specified in this Article 29 shall be made to the fullest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personnes visées au présent article 29 doit être payée dans toute</w:t>
            </w:r>
          </w:p>
        </w:tc>
      </w:tr>
      <w:tr>
        <w:trPr>
          <w:trHeight w:val="202"/>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extent permitted by law and the indemnification provided by this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mesure autorisée par la loi et l'indemnisation prévue par cet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Article 29 shall not be deemed exclusive (a) of any other rights to</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article 29 ne sera pas considérée comme exclusive (a) d'autres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which those seeking indemnification or advancement of expenses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droits auxquels les personnes demandant une indemnisation ou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may  be  entitled  under  these  Articles  of  Association,  any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une avance des dépenses ont droit en vertu de ces statuts, d'un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agreement, any insurance purchased by the Company, vote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accord,  d'une  assurance  souscrite  par  la  société,  d'un  vote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shareholders or disinterested members of the Board of Directors,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d'actionnaires ou de membres du conseil d'administration n'ayant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or pursuant to the decision of any court of competent jurisdiction,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pas d'intérêt direct, ou en vertu d'une décision d'un tribunal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or otherwise, both as to action in his or her official capacity and as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compétent, ou autrement, soit à l'égard d'actions faites en sa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to action in another capacity while holding such office, or (b) of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capacité officielle, soit à l'égard d'actions faites à un autre titre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power of the Company to indemnify any person who is or was an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tout en ayant une telle fonction, ou (b) du pouvoir de la société</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employee or agent of the Company or of another corporation, joint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d'indemniser toute personne qui est ou était un employé ou un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venture, trust or other enterprise which he or she is serving or has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mandataire de la société ou d'une autre société, d'une joint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served at the request of the Company, to the same extent and in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venture, d'une fiducie ou d'une autre entreprise pour laquelle il ou</w:t>
            </w:r>
          </w:p>
        </w:tc>
      </w:tr>
      <w:tr>
        <w:trPr>
          <w:trHeight w:val="202"/>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same situations and subject to the same determinations as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elle travaille ou a travaillé à la demande de la société, dans la</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are hereinabove set forth with respect to a</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même mesure et dans les mêmes situations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6"/>
          <w:szCs w:val="16"/>
          <w:color w:val="auto"/>
        </w:rPr>
        <w:t>26</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Covered Person.</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et sous réserve des mêmes principes concernant une Personne</w:t>
            </w: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0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Couverte évoquées ci-dessus.</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As used in this Article 29, references to the "Company" include all</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Tel qu'utilisé dans le présent article 29, les références à la</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constituent corporations in a consolidation or merger in which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"société" comprennent toutes les sociétés ayant fait l'objet d'un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Company or a predecessor to the Company by consolidation or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regroupement ou d'une fusion dans laquelle la société ou un</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merger was involved.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prédécesseur à la société a été impliqué.</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indemnification provided by this Article 29 shall continue as to</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L'indemnisation prévue par cet article 29 est maintenue à l'égard</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 person who has ceased to be a member of the Board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d'une  personne  qui  a  cessé  d'être  un  membre  du  conseil</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Directors or the Executive Committee and shall inure to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ou le comité exécutif et sera en vigueur au</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benefit of their heirs, executors, and administrators.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bénéfice de ses héritiers, exécuteurs et administrateurs.</w:t>
            </w:r>
          </w:p>
        </w:tc>
        <w:tc>
          <w:tcPr>
            <w:tcW w:w="0" w:type="dxa"/>
            <w:vAlign w:val="bottom"/>
          </w:tcPr>
          <w:p>
            <w:pPr>
              <w:spacing w:after="0"/>
              <w:rPr>
                <w:sz w:val="1"/>
                <w:szCs w:val="1"/>
                <w:color w:val="auto"/>
              </w:rPr>
            </w:pPr>
          </w:p>
        </w:tc>
      </w:tr>
      <w:tr>
        <w:trPr>
          <w:trHeight w:val="54"/>
        </w:trPr>
        <w:tc>
          <w:tcPr>
            <w:tcW w:w="660" w:type="dxa"/>
            <w:vAlign w:val="bottom"/>
            <w:tcBorders>
              <w:left w:val="single" w:sz="8" w:color="auto"/>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VI.</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AUDITORS</w:t>
            </w: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rPr>
              <w:t>VI.</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ORGANE DE RÉVISION</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30 Election, Term</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30 Élection, durée</w:t>
            </w:r>
          </w:p>
        </w:tc>
        <w:tc>
          <w:tcPr>
            <w:tcW w:w="0" w:type="dxa"/>
            <w:vAlign w:val="bottom"/>
          </w:tcPr>
          <w:p>
            <w:pPr>
              <w:spacing w:after="0"/>
              <w:rPr>
                <w:sz w:val="1"/>
                <w:szCs w:val="1"/>
                <w:color w:val="auto"/>
              </w:rPr>
            </w:pPr>
          </w:p>
        </w:tc>
      </w:tr>
      <w:tr>
        <w:trPr>
          <w:trHeight w:val="37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General Meeting shall elect one or more accountants as its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nomme chaque année un ou plusieurs</w:t>
            </w:r>
          </w:p>
        </w:tc>
        <w:tc>
          <w:tcPr>
            <w:tcW w:w="0" w:type="dxa"/>
            <w:vAlign w:val="bottom"/>
          </w:tcPr>
          <w:p>
            <w:pPr>
              <w:spacing w:after="0"/>
              <w:rPr>
                <w:sz w:val="1"/>
                <w:szCs w:val="1"/>
                <w:color w:val="auto"/>
              </w:rPr>
            </w:pPr>
          </w:p>
        </w:tc>
      </w:tr>
      <w:tr>
        <w:trPr>
          <w:trHeight w:val="22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 xml:space="preserve">Auditors in 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réviseurs comme organe de révision selon les articles 727 ss. CO</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rights and duties determined by law.</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avec les droits et les devoirs déterminés par la loi.</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General Meeting may appoint Special Auditors for a term of</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peut nommer des réviseurs spéciaux pour</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up to three years who provide the attestations required for capital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une  durée  de  trois  ans  au  maximum  qui  fournissent  les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increases.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attestations requises pour les augmentations de capital.</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31 Duties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31 Fonctions</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Auditors shall perform their duties to audit and report whether</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L'organe de révision vérifie et rapporte si la comptabilité, les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accounting, the annual accounts and the proposal regarding</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comptes annuels et la proposition relative à la répartition des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allocation of profits are in accordance with law and the Articles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bénéfices sont en conformité avec la loi et les statuts.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Association.</w:t>
            </w:r>
          </w:p>
        </w:tc>
        <w:tc>
          <w:tcPr>
            <w:tcW w:w="480" w:type="dxa"/>
            <w:vAlign w:val="bottom"/>
          </w:tcPr>
          <w:p>
            <w:pPr>
              <w:spacing w:after="0"/>
              <w:rPr>
                <w:sz w:val="18"/>
                <w:szCs w:val="18"/>
                <w:color w:val="auto"/>
              </w:rPr>
            </w:pPr>
          </w:p>
        </w:tc>
        <w:tc>
          <w:tcPr>
            <w:tcW w:w="5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60" w:type="dxa"/>
            <w:vAlign w:val="bottom"/>
            <w:tcBorders>
              <w:left w:val="single" w:sz="8" w:color="auto"/>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VII.</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COMPENSATION AND RELATED PROVISIONS</w:t>
            </w: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rPr>
              <w:t>VII.</w:t>
            </w:r>
          </w:p>
        </w:tc>
        <w:tc>
          <w:tcPr>
            <w:tcW w:w="5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RÉMUNÉRATION ET DISPOSITIONS ANALOGUES</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32 Principles of the Compensation of the Board of</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32 Principes de rémunération du conseil d'administration</w:t>
            </w:r>
          </w:p>
        </w:tc>
        <w:tc>
          <w:tcPr>
            <w:tcW w:w="0" w:type="dxa"/>
            <w:vAlign w:val="bottom"/>
          </w:tcPr>
          <w:p>
            <w:pPr>
              <w:spacing w:after="0"/>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50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Directors</w:t>
            </w:r>
          </w:p>
        </w:tc>
        <w:tc>
          <w:tcPr>
            <w:tcW w:w="55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La  rémunération  des  membres  du  conseil  d'administration</w:t>
            </w: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500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compensation payable to the members of the Board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comprend, sous réserve et dans les limites de l'approbation de la</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Directors comprises, subject to and within the bounds of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rémunération  totale  par  l'assemblée  générale,  les  éléments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approval by the General Meeting of the total compensation,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following elements:</w:t>
            </w:r>
          </w:p>
        </w:tc>
        <w:tc>
          <w:tcPr>
            <w:tcW w:w="480" w:type="dxa"/>
            <w:vAlign w:val="bottom"/>
          </w:tcPr>
          <w:p>
            <w:pPr>
              <w:spacing w:after="0"/>
              <w:rPr>
                <w:sz w:val="18"/>
                <w:szCs w:val="18"/>
                <w:color w:val="auto"/>
              </w:rPr>
            </w:pPr>
          </w:p>
        </w:tc>
        <w:tc>
          <w:tcPr>
            <w:tcW w:w="5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60" w:type="dxa"/>
            <w:vAlign w:val="bottom"/>
            <w:tcBorders>
              <w:left w:val="single" w:sz="8" w:color="auto"/>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6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6"/>
          <w:szCs w:val="16"/>
          <w:color w:val="auto"/>
        </w:rPr>
        <w:t>27</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4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a)</w:t>
            </w:r>
          </w:p>
        </w:tc>
        <w:tc>
          <w:tcPr>
            <w:tcW w:w="51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 fixed basic remuneration;</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  une rémunération fixe de base;</w:t>
            </w:r>
          </w:p>
        </w:tc>
        <w:tc>
          <w:tcPr>
            <w:tcW w:w="0" w:type="dxa"/>
            <w:vAlign w:val="bottom"/>
          </w:tcPr>
          <w:p>
            <w:pPr>
              <w:spacing w:after="0"/>
              <w:rPr>
                <w:sz w:val="1"/>
                <w:szCs w:val="1"/>
                <w:color w:val="auto"/>
              </w:rPr>
            </w:pPr>
          </w:p>
        </w:tc>
      </w:tr>
      <w:tr>
        <w:trPr>
          <w:trHeight w:val="391"/>
        </w:trPr>
        <w:tc>
          <w:tcPr>
            <w:tcW w:w="5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b)</w:t>
            </w:r>
          </w:p>
        </w:tc>
        <w:tc>
          <w:tcPr>
            <w:tcW w:w="51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fixed committee fee for work in a committee of the Board</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  des frais de commission fixes pour le travail dans un comité</w:t>
            </w: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of Directors;</w:t>
            </w:r>
          </w:p>
        </w:tc>
        <w:tc>
          <w:tcPr>
            <w:tcW w:w="558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du conseil d'administration;</w:t>
            </w:r>
          </w:p>
        </w:tc>
        <w:tc>
          <w:tcPr>
            <w:tcW w:w="0" w:type="dxa"/>
            <w:vAlign w:val="bottom"/>
          </w:tcPr>
          <w:p>
            <w:pPr>
              <w:spacing w:after="0"/>
              <w:rPr>
                <w:sz w:val="1"/>
                <w:szCs w:val="1"/>
                <w:color w:val="auto"/>
              </w:rPr>
            </w:pPr>
          </w:p>
        </w:tc>
      </w:tr>
      <w:tr>
        <w:trPr>
          <w:trHeight w:val="405"/>
        </w:trPr>
        <w:tc>
          <w:tcPr>
            <w:tcW w:w="54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color w:val="auto"/>
              </w:rPr>
              <w:t>c)</w:t>
            </w:r>
          </w:p>
        </w:tc>
        <w:tc>
          <w:tcPr>
            <w:tcW w:w="5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a lump sum compensation for expenses;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  une compensation forfaitaire pour les dépenses;</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vMerge w:val="continue"/>
          </w:tcPr>
          <w:p>
            <w:pPr>
              <w:spacing w:after="0"/>
              <w:rPr>
                <w:sz w:val="17"/>
                <w:szCs w:val="17"/>
                <w:color w:val="auto"/>
              </w:rPr>
            </w:pPr>
          </w:p>
        </w:tc>
        <w:tc>
          <w:tcPr>
            <w:tcW w:w="5120" w:type="dxa"/>
            <w:vAlign w:val="bottom"/>
            <w:tcBorders>
              <w:right w:val="single" w:sz="8" w:color="auto"/>
            </w:tcBorders>
            <w:vMerge w:val="continue"/>
          </w:tcPr>
          <w:p>
            <w:pPr>
              <w:spacing w:after="0"/>
              <w:rPr>
                <w:sz w:val="17"/>
                <w:szCs w:val="17"/>
                <w:color w:val="auto"/>
              </w:rPr>
            </w:pPr>
          </w:p>
        </w:tc>
        <w:tc>
          <w:tcPr>
            <w:tcW w:w="5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   un nombre d'actions ou d'options dans la société, comme</w:t>
            </w:r>
          </w:p>
        </w:tc>
        <w:tc>
          <w:tcPr>
            <w:tcW w:w="0" w:type="dxa"/>
            <w:vAlign w:val="bottom"/>
          </w:tcPr>
          <w:p>
            <w:pPr>
              <w:spacing w:after="0"/>
              <w:rPr>
                <w:sz w:val="1"/>
                <w:szCs w:val="1"/>
                <w:color w:val="auto"/>
              </w:rPr>
            </w:pPr>
          </w:p>
        </w:tc>
      </w:tr>
      <w:tr>
        <w:trPr>
          <w:trHeight w:val="188"/>
        </w:trPr>
        <w:tc>
          <w:tcPr>
            <w:tcW w:w="540" w:type="dxa"/>
            <w:vAlign w:val="bottom"/>
            <w:tcBorders>
              <w:left w:val="single" w:sz="8" w:color="auto"/>
            </w:tcBorders>
          </w:tcPr>
          <w:p>
            <w:pPr>
              <w:spacing w:after="0"/>
              <w:rPr>
                <w:sz w:val="16"/>
                <w:szCs w:val="16"/>
                <w:color w:val="auto"/>
              </w:rPr>
            </w:pPr>
          </w:p>
        </w:tc>
        <w:tc>
          <w:tcPr>
            <w:tcW w:w="51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ind w:left="240"/>
              <w:spacing w:after="0" w:line="202" w:lineRule="exact"/>
              <w:rPr>
                <w:sz w:val="20"/>
                <w:szCs w:val="20"/>
                <w:color w:val="auto"/>
              </w:rPr>
            </w:pPr>
            <w:r>
              <w:rPr>
                <w:rFonts w:ascii="Arial" w:cs="Arial" w:eastAsia="Arial" w:hAnsi="Arial"/>
                <w:sz w:val="18"/>
                <w:szCs w:val="18"/>
                <w:color w:val="auto"/>
              </w:rPr>
              <w:t>d)</w:t>
            </w:r>
          </w:p>
        </w:tc>
        <w:tc>
          <w:tcPr>
            <w:tcW w:w="512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a number of options or shares in the Company, as further</w:t>
            </w:r>
          </w:p>
        </w:tc>
        <w:tc>
          <w:tcPr>
            <w:tcW w:w="558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outlined in Art. 41.</w:t>
            </w:r>
          </w:p>
        </w:tc>
        <w:tc>
          <w:tcPr>
            <w:tcW w:w="5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compensation is paid in cash and in form of options or shares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rémunération est versée en espèces et sous forme d'options</w:t>
            </w:r>
          </w:p>
        </w:tc>
        <w:tc>
          <w:tcPr>
            <w:tcW w:w="0" w:type="dxa"/>
            <w:vAlign w:val="bottom"/>
          </w:tcPr>
          <w:p>
            <w:pPr>
              <w:spacing w:after="0"/>
              <w:rPr>
                <w:sz w:val="1"/>
                <w:szCs w:val="1"/>
                <w:color w:val="auto"/>
              </w:rPr>
            </w:pPr>
          </w:p>
        </w:tc>
      </w:tr>
      <w:tr>
        <w:trPr>
          <w:trHeight w:val="202"/>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in the Company. The board of directors or, to the extent delegated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ou d'actions de la société. Le conseil d'administration ou, en cas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to it, the compensation committee shall determine grant, exercise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délégation des fonctions, le comité de rémunération doit fixer</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and  forfeiture  conditions.  In  particular,  they  may  provide  for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les conditions de l'octroi, de l'exercice et de la péremption. En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continuation, acceleration or removal of vesting, exercise and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particulier,  il  peut  prévoir  la  poursuite,  l'accélération  ou  la</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forfeiture conditions, for payment or grant of compensation based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suppression  des  conditions  d'acquisition,  d'exercice  et  de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upon assumed target achievement, or for forfeiture, in each case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péremption,  pour  le  paiement  ou  l'octroi  d'une  rémunération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in the event of pre-determined events such as a change-of-control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basée  sur  la  réalisation  des  objectifs  supposés,  ou  pour  la</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or termination of an employment or mandate agreement.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péremption,  dans  chaque  cas,  dans  le  cas  d'événements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Company may procure the required shares through purchases in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prédéterminés tels qu'un changement de contrôle ou la résiliation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market,  from  treasury  shares  or  by  using  contingent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d'un contrat de travail ou d'un mandat. La société peut fournir les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authorized share capital.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actions nécessaires par des achats sur le marché, par ses actions</w:t>
            </w: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propres ou en utilisant du capital conditionnel ou autorisé.</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Subject to the approval by the General Meeting, the members of</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Sous  réserve  de  l'approbation  par  l'assemblée  générale,  les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Board of Directors may receive remuneration in cash at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membres  du  conseil  d'administration  peuvent  recevoir  une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customary conditions for advisory services rendered outside their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 en espèces dans les conditions habituelles pour</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capacity as Board member for the benefit of the Company 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des services consultatifs rendus en-dehors de leur qualité de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companies under its control. The General Meeting may approve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 du conseil pour le bénéfice de la société ou des sociétés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an additional bonus for the members of the Board of Directors in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sous  son  contrôle.  L'assemblée  générale  peut  approuver  un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exceptional cases.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bonus   supplémentaire   pour   les   membres   du   conseil</w:t>
            </w: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d'administration dans des cas exceptionnels.</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compensation may also be paid for activities in companies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 rémunération peut également être accordée pour des activités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that are directly or indirectly controlled by the Company and may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dans  des  entreprises  qui  sont  contrôlées  directement  ou</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be paid by the Company or by a company controlled by it.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indirectement par la société et peuvent être versées par la société</w:t>
            </w: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 par une société contrôlée par elle.</w:t>
            </w:r>
          </w:p>
        </w:tc>
        <w:tc>
          <w:tcPr>
            <w:tcW w:w="0" w:type="dxa"/>
            <w:vAlign w:val="bottom"/>
          </w:tcPr>
          <w:p>
            <w:pPr>
              <w:spacing w:after="0"/>
              <w:rPr>
                <w:sz w:val="1"/>
                <w:szCs w:val="1"/>
                <w:color w:val="auto"/>
              </w:rPr>
            </w:pP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5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6"/>
          <w:szCs w:val="16"/>
          <w:color w:val="auto"/>
        </w:rPr>
        <w:t>28</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33 Principles of the Compensation of the Executive</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33 Principe de rémunération du comité exécutif</w:t>
            </w: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jc w:val="right"/>
              <w:ind w:right="3510"/>
              <w:spacing w:after="0"/>
              <w:rPr>
                <w:sz w:val="20"/>
                <w:szCs w:val="20"/>
                <w:color w:val="auto"/>
              </w:rPr>
            </w:pPr>
            <w:r>
              <w:rPr>
                <w:rFonts w:ascii="Arial" w:cs="Arial" w:eastAsia="Arial" w:hAnsi="Arial"/>
                <w:sz w:val="18"/>
                <w:szCs w:val="18"/>
                <w:b w:val="1"/>
                <w:bCs w:val="1"/>
                <w:color w:val="auto"/>
              </w:rPr>
              <w:t>Committee</w:t>
            </w:r>
          </w:p>
        </w:tc>
        <w:tc>
          <w:tcPr>
            <w:tcW w:w="55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La rémunération des membres du comité exécutif est soumis à</w:t>
            </w:r>
          </w:p>
        </w:tc>
        <w:tc>
          <w:tcPr>
            <w:tcW w:w="0" w:type="dxa"/>
            <w:vAlign w:val="bottom"/>
          </w:tcPr>
          <w:p>
            <w:pPr>
              <w:spacing w:after="0"/>
              <w:rPr>
                <w:sz w:val="1"/>
                <w:szCs w:val="1"/>
                <w:color w:val="auto"/>
              </w:rPr>
            </w:pPr>
          </w:p>
        </w:tc>
      </w:tr>
      <w:tr>
        <w:trPr>
          <w:trHeight w:val="188"/>
        </w:trPr>
        <w:tc>
          <w:tcPr>
            <w:tcW w:w="500" w:type="dxa"/>
            <w:vAlign w:val="bottom"/>
            <w:tcBorders>
              <w:left w:val="single" w:sz="8" w:color="auto"/>
            </w:tcBorders>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compensation payable to the members of the Executive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l'approbation l'assemblée générale et comprend les éléments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Committee is subject to the approval by the General Meeting and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comprises the following elements:</w:t>
            </w:r>
          </w:p>
        </w:tc>
        <w:tc>
          <w:tcPr>
            <w:tcW w:w="380" w:type="dxa"/>
            <w:vAlign w:val="bottom"/>
          </w:tcPr>
          <w:p>
            <w:pPr>
              <w:spacing w:after="0"/>
              <w:rPr>
                <w:sz w:val="18"/>
                <w:szCs w:val="18"/>
                <w:color w:val="auto"/>
              </w:rPr>
            </w:pPr>
          </w:p>
        </w:tc>
        <w:tc>
          <w:tcPr>
            <w:tcW w:w="5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  a fixed remuneration payable in cash;</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   une rémunération fixe payable en espèces;</w:t>
            </w:r>
          </w:p>
        </w:tc>
        <w:tc>
          <w:tcPr>
            <w:tcW w:w="0" w:type="dxa"/>
            <w:vAlign w:val="bottom"/>
          </w:tcPr>
          <w:p>
            <w:pPr>
              <w:spacing w:after="0"/>
              <w:rPr>
                <w:sz w:val="1"/>
                <w:szCs w:val="1"/>
                <w:color w:val="auto"/>
              </w:rPr>
            </w:pP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b)</w:t>
            </w:r>
          </w:p>
        </w:tc>
        <w:tc>
          <w:tcPr>
            <w:tcW w:w="51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performance-related  remuneration  payable  in  cash</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   une rémunération liée à la performance payable en espèces</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jc w:val="right"/>
              <w:ind w:right="4150"/>
              <w:spacing w:after="0"/>
              <w:rPr>
                <w:sz w:val="20"/>
                <w:szCs w:val="20"/>
                <w:color w:val="auto"/>
              </w:rPr>
            </w:pPr>
            <w:r>
              <w:rPr>
                <w:rFonts w:ascii="Arial" w:cs="Arial" w:eastAsia="Arial" w:hAnsi="Arial"/>
                <w:sz w:val="18"/>
                <w:szCs w:val="18"/>
                <w:color w:val="auto"/>
              </w:rPr>
              <w:t>(variable);</w:t>
            </w:r>
          </w:p>
        </w:tc>
        <w:tc>
          <w:tcPr>
            <w:tcW w:w="380" w:type="dxa"/>
            <w:vAlign w:val="bottom"/>
          </w:tcPr>
          <w:p>
            <w:pPr>
              <w:spacing w:after="0"/>
              <w:rPr>
                <w:sz w:val="18"/>
                <w:szCs w:val="18"/>
                <w:color w:val="auto"/>
              </w:rPr>
            </w:pPr>
          </w:p>
        </w:tc>
        <w:tc>
          <w:tcPr>
            <w:tcW w:w="52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w:t>
            </w:r>
          </w:p>
        </w:tc>
        <w:tc>
          <w:tcPr>
            <w:tcW w:w="5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a number of options or shares in the Company, as further</w:t>
            </w:r>
          </w:p>
        </w:tc>
        <w:tc>
          <w:tcPr>
            <w:tcW w:w="380" w:type="dxa"/>
            <w:vAlign w:val="bottom"/>
          </w:tcPr>
          <w:p>
            <w:pPr>
              <w:ind w:left="80"/>
              <w:spacing w:after="0"/>
              <w:rPr>
                <w:sz w:val="20"/>
                <w:szCs w:val="20"/>
                <w:color w:val="auto"/>
              </w:rPr>
            </w:pPr>
            <w:r>
              <w:rPr>
                <w:rFonts w:ascii="Arial" w:cs="Arial" w:eastAsia="Arial" w:hAnsi="Arial"/>
                <w:sz w:val="18"/>
                <w:szCs w:val="18"/>
                <w:color w:val="auto"/>
              </w:rPr>
              <w:t>c)</w:t>
            </w:r>
          </w:p>
        </w:tc>
        <w:tc>
          <w:tcPr>
            <w:tcW w:w="520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un nombre d'actions ou d'options dans la société, comme</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jc w:val="right"/>
              <w:ind w:right="3490"/>
              <w:spacing w:after="0"/>
              <w:rPr>
                <w:sz w:val="20"/>
                <w:szCs w:val="20"/>
                <w:color w:val="auto"/>
              </w:rPr>
            </w:pPr>
            <w:r>
              <w:rPr>
                <w:rFonts w:ascii="Arial" w:cs="Arial" w:eastAsia="Arial" w:hAnsi="Arial"/>
                <w:sz w:val="18"/>
                <w:szCs w:val="18"/>
                <w:color w:val="auto"/>
              </w:rPr>
              <w:t>outlined in Art. 41.</w:t>
            </w:r>
          </w:p>
        </w:tc>
        <w:tc>
          <w:tcPr>
            <w:tcW w:w="380" w:type="dxa"/>
            <w:vAlign w:val="bottom"/>
          </w:tcPr>
          <w:p>
            <w:pPr>
              <w:spacing w:after="0"/>
              <w:rPr>
                <w:sz w:val="18"/>
                <w:szCs w:val="18"/>
                <w:color w:val="auto"/>
              </w:rPr>
            </w:pPr>
          </w:p>
        </w:tc>
        <w:tc>
          <w:tcPr>
            <w:tcW w:w="52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performance-related   remuneration   depends   on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rémunération liée à la performance dépend de la réussite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Company's business success and the individual performance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économique de la société et de la performance individuelle du</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member  of  the  Executive  Committee  based  on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membre du comité exécutif sur la base de la réalisation des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achievement of pre-determined targets during a business year.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objectifs  prédéterminés  au  cours  d'une  année  d'activité.  Le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Board of Directors determines annually at the beginning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conseil d'administration détermine au début de chaque exercice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each  relevant  business  year  the  decisive  targets  and  their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les objectifs décisifs et leur pondération sur proposition du comité</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weighting upon proposal by the Compensation Committee.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  rémunération.  Le  montant  de  la  rémunération  liée  à  la</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amount  of  the  performance-related  remuneration  for  each</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performance  pour  chaque  membre  du  comité  exécutif  est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member of the Executive Committee is determined by the Board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déterminé par le conseil d'administration et ne peut dépasser 100</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of Directors and may not exceed 100 percent of the respective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pour cent de la rémunération fixe individuelle respective pour la</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individual fixed remuneration for the same year.</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même année.</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compensation may also be paid for activities in companies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rémunération peut également être versée pour activités dans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that are directly or indirectly controlled by the Company and may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des entreprises qui sont contrôlées directement ou indirectement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be paid by the Company or by a company controlled by it.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par la société et peut être versée par la société ou par une</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société contrôlée par elle.</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34 Compensation for new Members of the Executive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34 Rémunération pour les nouveaux membres du comité</w:t>
            </w: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jc w:val="right"/>
              <w:ind w:right="3510"/>
              <w:spacing w:after="0"/>
              <w:rPr>
                <w:sz w:val="20"/>
                <w:szCs w:val="20"/>
                <w:color w:val="auto"/>
              </w:rPr>
            </w:pPr>
            <w:r>
              <w:rPr>
                <w:rFonts w:ascii="Arial" w:cs="Arial" w:eastAsia="Arial" w:hAnsi="Arial"/>
                <w:sz w:val="18"/>
                <w:szCs w:val="18"/>
                <w:b w:val="1"/>
                <w:bCs w:val="1"/>
                <w:color w:val="auto"/>
              </w:rPr>
              <w:t>Committee</w:t>
            </w:r>
          </w:p>
        </w:tc>
        <w:tc>
          <w:tcPr>
            <w:tcW w:w="380" w:type="dxa"/>
            <w:vAlign w:val="bottom"/>
          </w:tcPr>
          <w:p>
            <w:pPr>
              <w:spacing w:after="0"/>
              <w:rPr>
                <w:sz w:val="20"/>
                <w:szCs w:val="20"/>
                <w:color w:val="auto"/>
              </w:rPr>
            </w:pPr>
          </w:p>
        </w:tc>
        <w:tc>
          <w:tcPr>
            <w:tcW w:w="520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exécutif</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If new members of the Executive Committee are appointed and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 de nouveaux membres du comité exécutif sont nommés et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take up their position in the Company after the General Meeting</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prennent leur position dans la société après que l'assemblée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has approved the maximum total compensation for members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générale a approuvé la rémunération totale maximale pour les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Executive  Committee  for  the  year  in  question,  the  new</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membres  du  comité  exécutif  pour  l'année  en  question,  les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members may be paid an additional amount for the period until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nouveaux membres peuvent être payés au moyen d'un montant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next Ordinary Meeting of Shareholder. The additional amount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additionnel pour la période allant jusqu'à la prochaine assemblée</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payable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ordinaire des</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500" w:type="dxa"/>
            <w:vAlign w:val="bottom"/>
            <w:tcBorders>
              <w:bottom w:val="single" w:sz="8" w:color="auto"/>
            </w:tcBorders>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6"/>
          <w:szCs w:val="16"/>
          <w:color w:val="auto"/>
        </w:rPr>
        <w:t>29</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to all new members of the Executive Committee may not exceed</w:t>
            </w: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actionnaires. Le montant additionnel payable à tous les nouveaux</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50 percent of the respective total compensation already approved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membres du comité exécutif ne peut pas dépasser 50 pour cent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by the General Meeting. The additional compensation may only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la  rémunération  totale  respective  déjà  approuvé  par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be paid if the total compensation amount that has been approved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l'assemblée générale. La rémunération additionnelle ne peut être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by the General Meeting for the compensation of the members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versée que si le montant total de la rémunération qui a été</w:t>
            </w:r>
          </w:p>
        </w:tc>
      </w:tr>
      <w:tr>
        <w:trPr>
          <w:trHeight w:val="202"/>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Executive Committee is insufficient to compensate the newly</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approuvé par l'assemblée générale pour la rémunération des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appointed members. The General Meeting is not required to vote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membres du comité exécutif est insuffisant pour rémunérer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on this additional amount.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membres nouvellement nommés. L'assemblée générale n'a pas à</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 prononcer sur ce montant supplémentaire.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This additional overall compensation is understood to include any</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Cette rémunération additionnelle globale est sensée comprendre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settlements for any disadvantage suffered as a result of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tous les règlements pour tout inconvénient subi à la suite du</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change of job.</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changement de travail.</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35 Expenses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35 Dépenses</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Expenses which are not covered by the lump sum compensation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dépenses qui ne sont pas couvertes par l'indemnité forfaitaire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pursuant  to  the  Company's  expense  regulations  shall  be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conformément  aux  règlements  de  frais  de  la  société  sont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reimbursed following presentation of the supporting receipts. This</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remboursées  à  la  suite  de  la  présentation  des  reçus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additional remuneration is not subject to a separate vote by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correspondants.  Cette  rémunération  additionnelle  n'est  pas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General Meeting.</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soumise à un vote séparé par l'assemblée générale.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36 Compensation Agreements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36 Accords sur la rémunération</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Agreements on compensation with members of the Board of</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accords  sur  la  rémunération  des  membres  du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Directors may not exceed the term of maximal one year.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ne peuvent pas excéder la durée maximale d'une</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année.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Employment  agreements  of  the  members  of  the  Executive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contrats de travail des membres du comité exécutif sont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Committee are principally concluded for an indefinite period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principalement conclus pour une durée indéterminée. Un délai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time whereas a notice period may not exceed 12 months. If an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préavis ne peut pas excéder 12 mois. Si un accord de travail est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employment agreement is concluded for a fixed term such term</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conclu pour une durée déterminée, telle durée ne peut pas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may not exceed one year.</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excéder un an.</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6"/>
          <w:szCs w:val="16"/>
          <w:color w:val="auto"/>
        </w:rPr>
        <w:t>30</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20" w:type="dxa"/>
            <w:vAlign w:val="bottom"/>
            <w:tcBorders>
              <w:top w:val="single" w:sz="8" w:color="auto"/>
              <w:lef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9"/>
              </w:rPr>
              <w:t>Art. 37</w:t>
            </w:r>
          </w:p>
        </w:tc>
        <w:tc>
          <w:tcPr>
            <w:tcW w:w="48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Mandates of a Member of the Board of Directors</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37   Mandats d'un membre du conseil d'administration</w:t>
            </w:r>
          </w:p>
        </w:tc>
        <w:tc>
          <w:tcPr>
            <w:tcW w:w="0" w:type="dxa"/>
            <w:vAlign w:val="bottom"/>
          </w:tcPr>
          <w:p>
            <w:pPr>
              <w:spacing w:after="0"/>
              <w:rPr>
                <w:sz w:val="1"/>
                <w:szCs w:val="1"/>
                <w:color w:val="auto"/>
              </w:rPr>
            </w:pPr>
          </w:p>
        </w:tc>
      </w:tr>
      <w:tr>
        <w:trPr>
          <w:trHeight w:val="239"/>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outside the Company</w:t>
            </w:r>
          </w:p>
        </w:tc>
        <w:tc>
          <w:tcPr>
            <w:tcW w:w="460" w:type="dxa"/>
            <w:vAlign w:val="bottom"/>
          </w:tcPr>
          <w:p>
            <w:pPr>
              <w:spacing w:after="0"/>
              <w:rPr>
                <w:sz w:val="20"/>
                <w:szCs w:val="20"/>
                <w:color w:val="auto"/>
              </w:rPr>
            </w:pPr>
          </w:p>
        </w:tc>
        <w:tc>
          <w:tcPr>
            <w:tcW w:w="5120" w:type="dxa"/>
            <w:vAlign w:val="bottom"/>
            <w:tcBorders>
              <w:right w:val="single" w:sz="8" w:color="auto"/>
            </w:tcBorders>
          </w:tcPr>
          <w:p>
            <w:pPr>
              <w:ind w:left="460"/>
              <w:spacing w:after="0"/>
              <w:rPr>
                <w:sz w:val="20"/>
                <w:szCs w:val="20"/>
                <w:color w:val="auto"/>
              </w:rPr>
            </w:pPr>
            <w:r>
              <w:rPr>
                <w:rFonts w:ascii="Arial" w:cs="Arial" w:eastAsia="Arial" w:hAnsi="Arial"/>
                <w:sz w:val="18"/>
                <w:szCs w:val="18"/>
                <w:b w:val="1"/>
                <w:bCs w:val="1"/>
                <w:color w:val="auto"/>
              </w:rPr>
              <w:t>de la société</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A member of the Board of Directors may cumulatively assume not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Un membre du conseil d'administration ne peut pas cumuler plus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more than the following number of mandates in the board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que  le  nombre  suivant  de  mandats  dans  un  conseil</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directors, the superior management or an administrative body of a</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une  direction  supérieure  ou  un  organisme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legal  entity  which  is  obliged  to  be  registered  in  the  Swiss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administratif d'une personne morale qui est obligée d'être inscrite</w:t>
            </w:r>
          </w:p>
        </w:tc>
        <w:tc>
          <w:tcPr>
            <w:tcW w:w="0" w:type="dxa"/>
            <w:vAlign w:val="bottom"/>
          </w:tcPr>
          <w:p>
            <w:pPr>
              <w:spacing w:after="0"/>
              <w:rPr>
                <w:sz w:val="1"/>
                <w:szCs w:val="1"/>
                <w:color w:val="auto"/>
              </w:rPr>
            </w:pPr>
          </w:p>
        </w:tc>
      </w:tr>
      <w:tr>
        <w:trPr>
          <w:trHeight w:val="202"/>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commercial register or an equivalent foreign register: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au  registre  du  commerce  suisse  ou  un  registre  étranger</w:t>
            </w:r>
          </w:p>
        </w:tc>
        <w:tc>
          <w:tcPr>
            <w:tcW w:w="0" w:type="dxa"/>
            <w:vAlign w:val="bottom"/>
          </w:tcPr>
          <w:p>
            <w:pPr>
              <w:spacing w:after="0"/>
              <w:rPr>
                <w:sz w:val="1"/>
                <w:szCs w:val="1"/>
                <w:color w:val="auto"/>
              </w:rPr>
            </w:pPr>
          </w:p>
        </w:tc>
      </w:tr>
      <w:tr>
        <w:trPr>
          <w:trHeight w:val="217"/>
        </w:trPr>
        <w:tc>
          <w:tcPr>
            <w:tcW w:w="58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color w:val="auto"/>
              </w:rPr>
              <w:t>a)</w:t>
            </w:r>
          </w:p>
        </w:tc>
        <w:tc>
          <w:tcPr>
            <w:tcW w:w="5080" w:type="dxa"/>
            <w:vAlign w:val="bottom"/>
            <w:tcBorders>
              <w:right w:val="single" w:sz="8" w:color="auto"/>
            </w:tcBorders>
            <w:gridSpan w:val="2"/>
            <w:vMerge w:val="restart"/>
          </w:tcPr>
          <w:p>
            <w:pPr>
              <w:jc w:val="right"/>
              <w:ind w:right="70"/>
              <w:spacing w:after="0"/>
              <w:rPr>
                <w:sz w:val="20"/>
                <w:szCs w:val="20"/>
                <w:color w:val="auto"/>
              </w:rPr>
            </w:pPr>
            <w:r>
              <w:rPr>
                <w:rFonts w:ascii="Arial" w:cs="Arial" w:eastAsia="Arial" w:hAnsi="Arial"/>
                <w:sz w:val="18"/>
                <w:szCs w:val="18"/>
                <w:color w:val="auto"/>
              </w:rPr>
              <w:t>7 mandates for publicly traded companies pursuant to art.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équivalent:</w:t>
            </w:r>
          </w:p>
        </w:tc>
        <w:tc>
          <w:tcPr>
            <w:tcW w:w="0" w:type="dxa"/>
            <w:vAlign w:val="bottom"/>
          </w:tcPr>
          <w:p>
            <w:pPr>
              <w:spacing w:after="0"/>
              <w:rPr>
                <w:sz w:val="1"/>
                <w:szCs w:val="1"/>
                <w:color w:val="auto"/>
              </w:rPr>
            </w:pPr>
          </w:p>
        </w:tc>
      </w:tr>
      <w:tr>
        <w:trPr>
          <w:trHeight w:val="188"/>
        </w:trPr>
        <w:tc>
          <w:tcPr>
            <w:tcW w:w="580" w:type="dxa"/>
            <w:vAlign w:val="bottom"/>
            <w:tcBorders>
              <w:left w:val="single" w:sz="8" w:color="auto"/>
            </w:tcBorders>
            <w:vMerge w:val="continue"/>
          </w:tcPr>
          <w:p>
            <w:pPr>
              <w:spacing w:after="0"/>
              <w:rPr>
                <w:sz w:val="16"/>
                <w:szCs w:val="16"/>
                <w:color w:val="auto"/>
              </w:rPr>
            </w:pPr>
          </w:p>
        </w:tc>
        <w:tc>
          <w:tcPr>
            <w:tcW w:w="5080" w:type="dxa"/>
            <w:vAlign w:val="bottom"/>
            <w:tcBorders>
              <w:right w:val="single" w:sz="8" w:color="auto"/>
            </w:tcBorders>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5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tcBorders>
          </w:tcPr>
          <w:p>
            <w:pPr>
              <w:spacing w:after="0"/>
              <w:rPr>
                <w:sz w:val="17"/>
                <w:szCs w:val="17"/>
                <w:color w:val="auto"/>
              </w:rPr>
            </w:pPr>
          </w:p>
        </w:tc>
        <w:tc>
          <w:tcPr>
            <w:tcW w:w="50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727 para. 1 number 1 CO; and</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a)</w:t>
            </w:r>
          </w:p>
        </w:tc>
        <w:tc>
          <w:tcPr>
            <w:tcW w:w="51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7 mandats pour les entreprises cotées en bourse selon l'art.</w:t>
            </w:r>
          </w:p>
        </w:tc>
        <w:tc>
          <w:tcPr>
            <w:tcW w:w="0" w:type="dxa"/>
            <w:vAlign w:val="bottom"/>
          </w:tcPr>
          <w:p>
            <w:pPr>
              <w:spacing w:after="0"/>
              <w:rPr>
                <w:sz w:val="1"/>
                <w:szCs w:val="1"/>
                <w:color w:val="auto"/>
              </w:rPr>
            </w:pPr>
          </w:p>
        </w:tc>
      </w:tr>
      <w:tr>
        <w:trPr>
          <w:trHeight w:val="217"/>
        </w:trPr>
        <w:tc>
          <w:tcPr>
            <w:tcW w:w="58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18"/>
                <w:szCs w:val="18"/>
                <w:color w:val="auto"/>
              </w:rPr>
            </w:pPr>
          </w:p>
        </w:tc>
        <w:tc>
          <w:tcPr>
            <w:tcW w:w="48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 mandates for companies pursuant to art. 727 para. 1</w:t>
            </w:r>
          </w:p>
        </w:tc>
        <w:tc>
          <w:tcPr>
            <w:tcW w:w="460" w:type="dxa"/>
            <w:vAlign w:val="bottom"/>
          </w:tcPr>
          <w:p>
            <w:pPr>
              <w:spacing w:after="0"/>
              <w:rPr>
                <w:sz w:val="18"/>
                <w:szCs w:val="18"/>
                <w:color w:val="auto"/>
              </w:rPr>
            </w:pP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727 al. 1 chiffre 1 CO; et</w:t>
            </w:r>
          </w:p>
        </w:tc>
        <w:tc>
          <w:tcPr>
            <w:tcW w:w="0" w:type="dxa"/>
            <w:vAlign w:val="bottom"/>
          </w:tcPr>
          <w:p>
            <w:pPr>
              <w:spacing w:after="0"/>
              <w:rPr>
                <w:sz w:val="1"/>
                <w:szCs w:val="1"/>
                <w:color w:val="auto"/>
              </w:rPr>
            </w:pPr>
          </w:p>
        </w:tc>
      </w:tr>
      <w:tr>
        <w:trPr>
          <w:trHeight w:val="188"/>
        </w:trPr>
        <w:tc>
          <w:tcPr>
            <w:tcW w:w="580" w:type="dxa"/>
            <w:vAlign w:val="bottom"/>
            <w:tcBorders>
              <w:left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840" w:type="dxa"/>
            <w:vAlign w:val="bottom"/>
            <w:tcBorders>
              <w:right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5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tcBorders>
          </w:tcPr>
          <w:p>
            <w:pPr>
              <w:spacing w:after="0"/>
              <w:rPr>
                <w:sz w:val="17"/>
                <w:szCs w:val="17"/>
                <w:color w:val="auto"/>
              </w:rPr>
            </w:pPr>
          </w:p>
        </w:tc>
        <w:tc>
          <w:tcPr>
            <w:tcW w:w="50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number 2 CO; and</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b)</w:t>
            </w:r>
          </w:p>
        </w:tc>
        <w:tc>
          <w:tcPr>
            <w:tcW w:w="512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rPr>
              <w:t>8 mandats pour des entreprises selon l'art. 727 al. 1 chiffre</w:t>
            </w:r>
          </w:p>
        </w:tc>
        <w:tc>
          <w:tcPr>
            <w:tcW w:w="0" w:type="dxa"/>
            <w:vAlign w:val="bottom"/>
          </w:tcPr>
          <w:p>
            <w:pPr>
              <w:spacing w:after="0"/>
              <w:rPr>
                <w:sz w:val="1"/>
                <w:szCs w:val="1"/>
                <w:color w:val="auto"/>
              </w:rPr>
            </w:pPr>
          </w:p>
        </w:tc>
      </w:tr>
      <w:tr>
        <w:trPr>
          <w:trHeight w:val="217"/>
        </w:trPr>
        <w:tc>
          <w:tcPr>
            <w:tcW w:w="58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color w:val="auto"/>
              </w:rPr>
              <w:t>c)</w:t>
            </w:r>
          </w:p>
        </w:tc>
        <w:tc>
          <w:tcPr>
            <w:tcW w:w="5080" w:type="dxa"/>
            <w:vAlign w:val="bottom"/>
            <w:tcBorders>
              <w:right w:val="single" w:sz="8" w:color="auto"/>
            </w:tcBorders>
            <w:gridSpan w:val="2"/>
            <w:vMerge w:val="restart"/>
          </w:tcPr>
          <w:p>
            <w:pPr>
              <w:jc w:val="right"/>
              <w:ind w:right="70"/>
              <w:spacing w:after="0"/>
              <w:rPr>
                <w:sz w:val="20"/>
                <w:szCs w:val="20"/>
                <w:color w:val="auto"/>
              </w:rPr>
            </w:pPr>
            <w:r>
              <w:rPr>
                <w:rFonts w:ascii="Arial" w:cs="Arial" w:eastAsia="Arial" w:hAnsi="Arial"/>
                <w:sz w:val="18"/>
                <w:szCs w:val="18"/>
                <w:color w:val="auto"/>
              </w:rPr>
              <w:t>5 mandates for companies which do not fulfil the criteria</w:t>
            </w:r>
          </w:p>
        </w:tc>
        <w:tc>
          <w:tcPr>
            <w:tcW w:w="460" w:type="dxa"/>
            <w:vAlign w:val="bottom"/>
          </w:tcPr>
          <w:p>
            <w:pPr>
              <w:spacing w:after="0"/>
              <w:rPr>
                <w:sz w:val="18"/>
                <w:szCs w:val="18"/>
                <w:color w:val="auto"/>
              </w:rPr>
            </w:pP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 CO; et</w:t>
            </w:r>
          </w:p>
        </w:tc>
        <w:tc>
          <w:tcPr>
            <w:tcW w:w="0" w:type="dxa"/>
            <w:vAlign w:val="bottom"/>
          </w:tcPr>
          <w:p>
            <w:pPr>
              <w:spacing w:after="0"/>
              <w:rPr>
                <w:sz w:val="1"/>
                <w:szCs w:val="1"/>
                <w:color w:val="auto"/>
              </w:rPr>
            </w:pPr>
          </w:p>
        </w:tc>
      </w:tr>
      <w:tr>
        <w:trPr>
          <w:trHeight w:val="188"/>
        </w:trPr>
        <w:tc>
          <w:tcPr>
            <w:tcW w:w="580" w:type="dxa"/>
            <w:vAlign w:val="bottom"/>
            <w:tcBorders>
              <w:left w:val="single" w:sz="8" w:color="auto"/>
            </w:tcBorders>
            <w:vMerge w:val="continue"/>
          </w:tcPr>
          <w:p>
            <w:pPr>
              <w:spacing w:after="0"/>
              <w:rPr>
                <w:sz w:val="16"/>
                <w:szCs w:val="16"/>
                <w:color w:val="auto"/>
              </w:rPr>
            </w:pPr>
          </w:p>
        </w:tc>
        <w:tc>
          <w:tcPr>
            <w:tcW w:w="5080" w:type="dxa"/>
            <w:vAlign w:val="bottom"/>
            <w:tcBorders>
              <w:right w:val="single" w:sz="8" w:color="auto"/>
            </w:tcBorders>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5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tcBorders>
          </w:tcPr>
          <w:p>
            <w:pPr>
              <w:spacing w:after="0"/>
              <w:rPr>
                <w:sz w:val="17"/>
                <w:szCs w:val="17"/>
                <w:color w:val="auto"/>
              </w:rPr>
            </w:pPr>
          </w:p>
        </w:tc>
        <w:tc>
          <w:tcPr>
            <w:tcW w:w="50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under a) and b) above.</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c)</w:t>
            </w:r>
          </w:p>
        </w:tc>
        <w:tc>
          <w:tcPr>
            <w:tcW w:w="51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 mandats pour les entreprises qui ne remplissent pas les</w:t>
            </w:r>
          </w:p>
        </w:tc>
        <w:tc>
          <w:tcPr>
            <w:tcW w:w="0" w:type="dxa"/>
            <w:vAlign w:val="bottom"/>
          </w:tcPr>
          <w:p>
            <w:pPr>
              <w:spacing w:after="0"/>
              <w:rPr>
                <w:sz w:val="1"/>
                <w:szCs w:val="1"/>
                <w:color w:val="auto"/>
              </w:rPr>
            </w:pPr>
          </w:p>
        </w:tc>
      </w:tr>
      <w:tr>
        <w:trPr>
          <w:trHeight w:val="217"/>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critères sous a) et b) ci-dessus.</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3"/>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Mandates held in several legal entities each operating under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mandats exercés dans plusieurs entités juridiques opérant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same management or same beneficial owner (group) are deemed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chacune sous la même direction ou le même bénéficiaire effectif</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to be a single mandate.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(groupe) sont réputés être un seul mandat.</w:t>
            </w:r>
          </w:p>
        </w:tc>
        <w:tc>
          <w:tcPr>
            <w:tcW w:w="0" w:type="dxa"/>
            <w:vAlign w:val="bottom"/>
          </w:tcPr>
          <w:p>
            <w:pPr>
              <w:spacing w:after="0"/>
              <w:rPr>
                <w:sz w:val="1"/>
                <w:szCs w:val="1"/>
                <w:color w:val="auto"/>
              </w:rPr>
            </w:pPr>
          </w:p>
        </w:tc>
      </w:tr>
      <w:tr>
        <w:trPr>
          <w:trHeight w:val="54"/>
        </w:trPr>
        <w:tc>
          <w:tcPr>
            <w:tcW w:w="5660" w:type="dxa"/>
            <w:vAlign w:val="bottom"/>
            <w:tcBorders>
              <w:left w:val="single" w:sz="8" w:color="auto"/>
              <w:bottom w:val="single" w:sz="8" w:color="auto"/>
              <w:right w:val="single" w:sz="8" w:color="auto"/>
            </w:tcBorders>
            <w:gridSpan w:val="3"/>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If a legal entity fulfills several of the above mentioned criteria, it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 une entité juridique remplit plusieurs des critères mentionnés</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can  be  freely  counted  towards  any  category.  The  following</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ci-dessus, elle peut être librement placée dans une catégorie. Les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mandates are excepted from these restrictions: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mandats suivants sont exceptés de ces restrictions:</w:t>
            </w:r>
          </w:p>
        </w:tc>
        <w:tc>
          <w:tcPr>
            <w:tcW w:w="0" w:type="dxa"/>
            <w:vAlign w:val="bottom"/>
          </w:tcPr>
          <w:p>
            <w:pPr>
              <w:spacing w:after="0"/>
              <w:rPr>
                <w:sz w:val="1"/>
                <w:szCs w:val="1"/>
                <w:color w:val="auto"/>
              </w:rPr>
            </w:pPr>
          </w:p>
        </w:tc>
      </w:tr>
      <w:tr>
        <w:trPr>
          <w:trHeight w:val="391"/>
        </w:trPr>
        <w:tc>
          <w:tcPr>
            <w:tcW w:w="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4"/>
                <w:szCs w:val="24"/>
                <w:color w:val="auto"/>
              </w:rPr>
            </w:pPr>
          </w:p>
        </w:tc>
        <w:tc>
          <w:tcPr>
            <w:tcW w:w="4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mandates in legal entities which are controlled by the</w:t>
            </w:r>
          </w:p>
        </w:tc>
        <w:tc>
          <w:tcPr>
            <w:tcW w:w="460" w:type="dxa"/>
            <w:vAlign w:val="bottom"/>
          </w:tcPr>
          <w:p>
            <w:pPr>
              <w:ind w:left="80"/>
              <w:spacing w:after="0"/>
              <w:rPr>
                <w:sz w:val="20"/>
                <w:szCs w:val="20"/>
                <w:color w:val="auto"/>
              </w:rPr>
            </w:pPr>
            <w:r>
              <w:rPr>
                <w:rFonts w:ascii="Arial" w:cs="Arial" w:eastAsia="Arial" w:hAnsi="Arial"/>
                <w:sz w:val="18"/>
                <w:szCs w:val="18"/>
                <w:color w:val="auto"/>
              </w:rPr>
              <w:t>a)</w:t>
            </w:r>
          </w:p>
        </w:tc>
        <w:tc>
          <w:tcPr>
            <w:tcW w:w="5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les mandats dans des entités juridiques qui sont contrôlées</w:t>
            </w:r>
          </w:p>
        </w:tc>
        <w:tc>
          <w:tcPr>
            <w:tcW w:w="0" w:type="dxa"/>
            <w:vAlign w:val="bottom"/>
          </w:tcPr>
          <w:p>
            <w:pPr>
              <w:spacing w:after="0"/>
              <w:rPr>
                <w:sz w:val="1"/>
                <w:szCs w:val="1"/>
                <w:color w:val="auto"/>
              </w:rPr>
            </w:pPr>
          </w:p>
        </w:tc>
      </w:tr>
      <w:tr>
        <w:trPr>
          <w:trHeight w:val="217"/>
        </w:trPr>
        <w:tc>
          <w:tcPr>
            <w:tcW w:w="580" w:type="dxa"/>
            <w:vAlign w:val="bottom"/>
            <w:tcBorders>
              <w:left w:val="single" w:sz="8" w:color="auto"/>
            </w:tcBorders>
          </w:tcPr>
          <w:p>
            <w:pPr>
              <w:spacing w:after="0"/>
              <w:rPr>
                <w:sz w:val="18"/>
                <w:szCs w:val="18"/>
                <w:color w:val="auto"/>
              </w:rPr>
            </w:pPr>
          </w:p>
        </w:tc>
        <w:tc>
          <w:tcPr>
            <w:tcW w:w="50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Company or which control the Company;</w:t>
            </w:r>
          </w:p>
        </w:tc>
        <w:tc>
          <w:tcPr>
            <w:tcW w:w="460" w:type="dxa"/>
            <w:vAlign w:val="bottom"/>
          </w:tcPr>
          <w:p>
            <w:pPr>
              <w:spacing w:after="0"/>
              <w:rPr>
                <w:sz w:val="18"/>
                <w:szCs w:val="18"/>
                <w:color w:val="auto"/>
              </w:rPr>
            </w:pP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 la société ou qui contrôlent la société;</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b)  honorary mandates in charitable legal entities.</w:t>
            </w:r>
          </w:p>
        </w:tc>
        <w:tc>
          <w:tcPr>
            <w:tcW w:w="460" w:type="dxa"/>
            <w:vAlign w:val="bottom"/>
          </w:tcPr>
          <w:p>
            <w:pPr>
              <w:ind w:left="80"/>
              <w:spacing w:after="0"/>
              <w:rPr>
                <w:sz w:val="20"/>
                <w:szCs w:val="20"/>
                <w:color w:val="auto"/>
              </w:rPr>
            </w:pPr>
            <w:r>
              <w:rPr>
                <w:rFonts w:ascii="Arial" w:cs="Arial" w:eastAsia="Arial" w:hAnsi="Arial"/>
                <w:sz w:val="18"/>
                <w:szCs w:val="18"/>
                <w:color w:val="auto"/>
              </w:rPr>
              <w:t>b)</w:t>
            </w:r>
          </w:p>
        </w:tc>
        <w:tc>
          <w:tcPr>
            <w:tcW w:w="51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des mandats d'honneur à des personnes morales de</w:t>
            </w:r>
          </w:p>
        </w:tc>
        <w:tc>
          <w:tcPr>
            <w:tcW w:w="0" w:type="dxa"/>
            <w:vAlign w:val="bottom"/>
          </w:tcPr>
          <w:p>
            <w:pPr>
              <w:spacing w:after="0"/>
              <w:rPr>
                <w:sz w:val="1"/>
                <w:szCs w:val="1"/>
                <w:color w:val="auto"/>
              </w:rPr>
            </w:pPr>
          </w:p>
        </w:tc>
      </w:tr>
      <w:tr>
        <w:trPr>
          <w:trHeight w:val="217"/>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bienfaisance.</w:t>
            </w: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w:t>
            </w:r>
          </w:p>
        </w:tc>
        <w:tc>
          <w:tcPr>
            <w:tcW w:w="240" w:type="dxa"/>
            <w:vAlign w:val="bottom"/>
          </w:tcPr>
          <w:p>
            <w:pPr>
              <w:spacing w:after="0"/>
              <w:rPr>
                <w:sz w:val="20"/>
                <w:szCs w:val="20"/>
                <w:color w:val="auto"/>
              </w:rPr>
            </w:pPr>
          </w:p>
        </w:tc>
        <w:tc>
          <w:tcPr>
            <w:tcW w:w="484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38 Mandates of a Member of the Executive</w:t>
            </w:r>
          </w:p>
        </w:tc>
        <w:tc>
          <w:tcPr>
            <w:tcW w:w="460" w:type="dxa"/>
            <w:vAlign w:val="bottom"/>
          </w:tcPr>
          <w:p>
            <w:pPr>
              <w:ind w:left="80"/>
              <w:spacing w:after="0"/>
              <w:rPr>
                <w:sz w:val="20"/>
                <w:szCs w:val="20"/>
                <w:color w:val="auto"/>
              </w:rPr>
            </w:pPr>
            <w:r>
              <w:rPr>
                <w:rFonts w:ascii="Arial" w:cs="Arial" w:eastAsia="Arial" w:hAnsi="Arial"/>
                <w:sz w:val="18"/>
                <w:szCs w:val="18"/>
                <w:b w:val="1"/>
                <w:bCs w:val="1"/>
                <w:color w:val="auto"/>
              </w:rPr>
              <w:t>Art.</w:t>
            </w:r>
          </w:p>
        </w:tc>
        <w:tc>
          <w:tcPr>
            <w:tcW w:w="51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38 Mandats d'un membre du comité exécutif en-</w:t>
            </w:r>
          </w:p>
        </w:tc>
        <w:tc>
          <w:tcPr>
            <w:tcW w:w="0" w:type="dxa"/>
            <w:vAlign w:val="bottom"/>
          </w:tcPr>
          <w:p>
            <w:pPr>
              <w:spacing w:after="0"/>
              <w:rPr>
                <w:sz w:val="1"/>
                <w:szCs w:val="1"/>
                <w:color w:val="auto"/>
              </w:rPr>
            </w:pPr>
          </w:p>
        </w:tc>
      </w:tr>
      <w:tr>
        <w:trPr>
          <w:trHeight w:val="239"/>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Committee outside the Company</w:t>
            </w:r>
          </w:p>
        </w:tc>
        <w:tc>
          <w:tcPr>
            <w:tcW w:w="460" w:type="dxa"/>
            <w:vAlign w:val="bottom"/>
          </w:tcPr>
          <w:p>
            <w:pPr>
              <w:spacing w:after="0"/>
              <w:rPr>
                <w:sz w:val="20"/>
                <w:szCs w:val="20"/>
                <w:color w:val="auto"/>
              </w:rPr>
            </w:pPr>
          </w:p>
        </w:tc>
        <w:tc>
          <w:tcPr>
            <w:tcW w:w="5120" w:type="dxa"/>
            <w:vAlign w:val="bottom"/>
            <w:tcBorders>
              <w:right w:val="single" w:sz="8" w:color="auto"/>
            </w:tcBorders>
          </w:tcPr>
          <w:p>
            <w:pPr>
              <w:ind w:left="460"/>
              <w:spacing w:after="0"/>
              <w:rPr>
                <w:sz w:val="20"/>
                <w:szCs w:val="20"/>
                <w:color w:val="auto"/>
              </w:rPr>
            </w:pPr>
            <w:r>
              <w:rPr>
                <w:rFonts w:ascii="Arial" w:cs="Arial" w:eastAsia="Arial" w:hAnsi="Arial"/>
                <w:sz w:val="18"/>
                <w:szCs w:val="18"/>
                <w:b w:val="1"/>
                <w:bCs w:val="1"/>
                <w:color w:val="auto"/>
              </w:rPr>
              <w:t>dehors de la société</w:t>
            </w:r>
          </w:p>
        </w:tc>
        <w:tc>
          <w:tcPr>
            <w:tcW w:w="0" w:type="dxa"/>
            <w:vAlign w:val="bottom"/>
          </w:tcPr>
          <w:p>
            <w:pPr>
              <w:spacing w:after="0"/>
              <w:rPr>
                <w:sz w:val="1"/>
                <w:szCs w:val="1"/>
                <w:color w:val="auto"/>
              </w:rPr>
            </w:pPr>
          </w:p>
        </w:tc>
      </w:tr>
      <w:tr>
        <w:trPr>
          <w:trHeight w:val="391"/>
        </w:trPr>
        <w:tc>
          <w:tcPr>
            <w:tcW w:w="566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Each member of the Executive Committee may, with approval of</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Chaque membre du comité exécutif peut, avec l'approbation du</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the Board of Directors, cumulatively assume not more than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conseil d'administration, cumuler pas plus que le nombre suivant</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following number of mandates in the board of directors,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 mandats dans un conseil d'administration, une direction</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superior management or an administrative body of a legal entity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supérieure ou un organisme administratif d'une personne morale</w:t>
            </w:r>
          </w:p>
        </w:tc>
        <w:tc>
          <w:tcPr>
            <w:tcW w:w="0" w:type="dxa"/>
            <w:vAlign w:val="bottom"/>
          </w:tcPr>
          <w:p>
            <w:pPr>
              <w:spacing w:after="0"/>
              <w:rPr>
                <w:sz w:val="1"/>
                <w:szCs w:val="1"/>
                <w:color w:val="auto"/>
              </w:rPr>
            </w:pPr>
          </w:p>
        </w:tc>
      </w:tr>
      <w:tr>
        <w:trPr>
          <w:trHeight w:val="203"/>
        </w:trPr>
        <w:tc>
          <w:tcPr>
            <w:tcW w:w="5660" w:type="dxa"/>
            <w:vAlign w:val="bottom"/>
            <w:tcBorders>
              <w:left w:val="single" w:sz="8" w:color="auto"/>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which is obliged to be registered in the Swiss commercial register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qui est obligée d'être inscrite dans le registre du commerce suisse</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or an equivalent foreign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ou un registre</w:t>
            </w: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6"/>
          <w:szCs w:val="16"/>
          <w:color w:val="auto"/>
        </w:rPr>
        <w:t>31</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register:</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étranger équivalent:</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   2 mandates for publicly traded companies pursuant to Art.</w:t>
            </w:r>
          </w:p>
        </w:tc>
        <w:tc>
          <w:tcPr>
            <w:tcW w:w="400" w:type="dxa"/>
            <w:vAlign w:val="bottom"/>
          </w:tcPr>
          <w:p>
            <w:pPr>
              <w:ind w:left="8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 mandats pour les entreprises cotées en bourse selon l'art.</w:t>
            </w: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727 para. 1 number 1 CO; and</w:t>
            </w: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727 al. 1 chiffre 1 CO; et</w:t>
            </w: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b)</w:t>
            </w:r>
          </w:p>
        </w:tc>
        <w:tc>
          <w:tcPr>
            <w:tcW w:w="5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 mandates for companies pursuant to Art. 727 para. 1</w:t>
            </w:r>
          </w:p>
        </w:tc>
        <w:tc>
          <w:tcPr>
            <w:tcW w:w="400" w:type="dxa"/>
            <w:vAlign w:val="bottom"/>
          </w:tcPr>
          <w:p>
            <w:pPr>
              <w:ind w:left="80"/>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3 mandats pour des entreprises selon l'art. 727 al. 1 chiffre</w:t>
            </w: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number 2 CO; and</w:t>
            </w: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 CO; et</w:t>
            </w: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w:t>
            </w:r>
          </w:p>
        </w:tc>
        <w:tc>
          <w:tcPr>
            <w:tcW w:w="5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 mandates for companies which do not fulfil the criteria</w:t>
            </w:r>
          </w:p>
        </w:tc>
        <w:tc>
          <w:tcPr>
            <w:tcW w:w="400" w:type="dxa"/>
            <w:vAlign w:val="bottom"/>
          </w:tcPr>
          <w:p>
            <w:pPr>
              <w:ind w:left="80"/>
              <w:spacing w:after="0"/>
              <w:rPr>
                <w:sz w:val="20"/>
                <w:szCs w:val="20"/>
                <w:color w:val="auto"/>
              </w:rPr>
            </w:pPr>
            <w:r>
              <w:rPr>
                <w:rFonts w:ascii="Arial" w:cs="Arial" w:eastAsia="Arial" w:hAnsi="Arial"/>
                <w:sz w:val="18"/>
                <w:szCs w:val="18"/>
                <w:color w:val="auto"/>
              </w:rPr>
              <w:t>c)</w:t>
            </w:r>
          </w:p>
        </w:tc>
        <w:tc>
          <w:tcPr>
            <w:tcW w:w="51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5 mandats pour les entreprises qui ne remplissent pas les</w:t>
            </w: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under litera a) and b) above.</w:t>
            </w: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critères sous a) et b) ci-dessus.</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Mandates held in several legal entities each operating under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mandats exercés dans plusieurs entités juridiques opérant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same management or same beneficial owner (group) are deemed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chacun sous la même direction ou même bénéficiaire effectif</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to be a single mandate.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(groupe) sont réputés être un seul mandat.</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If a legal entity fulfills several of the above mentioned criteria, it</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 une entité juridique remplit plusieurs des critères mentionnés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can  be  freely  counted  towards  any  category.  The  following</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ci-dessus, elle peut être librement placée dans une catégorie. Les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mandates are excepted from this restrictions: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mandats suivants sont exceptés de ces restrictions:</w:t>
            </w:r>
          </w:p>
        </w:tc>
      </w:tr>
      <w:tr>
        <w:trPr>
          <w:trHeight w:val="391"/>
        </w:trPr>
        <w:tc>
          <w:tcPr>
            <w:tcW w:w="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a)</w:t>
            </w:r>
          </w:p>
        </w:tc>
        <w:tc>
          <w:tcPr>
            <w:tcW w:w="51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mandates in legal entities which are controlled by the</w:t>
            </w:r>
          </w:p>
        </w:tc>
        <w:tc>
          <w:tcPr>
            <w:tcW w:w="400" w:type="dxa"/>
            <w:vAlign w:val="bottom"/>
          </w:tcPr>
          <w:p>
            <w:pPr>
              <w:ind w:left="8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les mandats dans des entités juridiques qui sont contrôlées</w:t>
            </w: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Company or which control the Company;</w:t>
            </w: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par la société ou qui contrôlent la société;</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b)  honorary mandates in charitable legal entities.</w:t>
            </w:r>
          </w:p>
        </w:tc>
        <w:tc>
          <w:tcPr>
            <w:tcW w:w="400" w:type="dxa"/>
            <w:vAlign w:val="bottom"/>
          </w:tcPr>
          <w:p>
            <w:pPr>
              <w:ind w:left="80"/>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mandats  d'honneur  dans  des  entités  juridiques  de</w:t>
            </w:r>
          </w:p>
        </w:tc>
      </w:tr>
      <w:tr>
        <w:trPr>
          <w:trHeight w:val="217"/>
        </w:trPr>
        <w:tc>
          <w:tcPr>
            <w:tcW w:w="50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bienfaisance.</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39 Loans and Credits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39 Prêts et crédits</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members  of  the  Board  of  Directors  and  the  Executive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membres du conseil d'administration et du comité exécutif ne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Committee may not be granted any loans, credits or securities.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peuvent pas souscrire des prêts, des crédits ou des titres. Sont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Excepted from the above are advances in the maximum amount</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exceptées les avances d'un montant maximum de CHF 500'000</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of CHF 500'000 per person for attorneys' fees, court and other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par personne pour les frais d'avocat, des coûts de tribunaux et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similar costs required for the defence of third-party liability claims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d'autres coûts similaires nécessaires à la défense contre des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permitted by Article 29.</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actions en responsabilité civile autorisés par l'article 29.</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40 Pension Funds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40 Fonds de pension</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Company  shall  remunerate  members  of  the  Board  of</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ne  doit  rémunérer  les  membres  du  conseil</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Directors  only  in  respect  of  the  employer's  mandatory</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que du montant dû au titre de contributions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contributions to social insurance. Above and beyond this,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obligatoire de l'employeur à l'assurance sociale. Au-delà de ce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Company shall not make any contributions to pension funds or</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montant, la société ne doit pas verser de cotisations à des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other such pension plans. In exceptional cases, contributions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institutions de prévoyance ou à d'autres régimes de retraite. Dans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such as  these  may  be  made  subject  to  a  request  by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des cas exceptionnels, des contributions comme celles-ci peuvent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Compensation  Committee  and  the  approval  of  the  General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être faites sur demande au comité de rémunération et sous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Meeting.</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réserve de</w:t>
            </w: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r>
      <w:tr>
        <w:trPr>
          <w:trHeight w:val="102"/>
        </w:trPr>
        <w:tc>
          <w:tcPr>
            <w:tcW w:w="500" w:type="dxa"/>
            <w:vAlign w:val="bottom"/>
            <w:tcBorders>
              <w:bottom w:val="single" w:sz="8" w:color="auto"/>
            </w:tcBorders>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1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6"/>
          <w:szCs w:val="16"/>
          <w:color w:val="auto"/>
        </w:rPr>
        <w:t>32</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660" w:type="dxa"/>
            <w:vAlign w:val="bottom"/>
            <w:tcBorders>
              <w:top w:val="single" w:sz="8" w:color="auto"/>
              <w:left w:val="single" w:sz="8" w:color="auto"/>
              <w:right w:val="single" w:sz="8" w:color="auto"/>
            </w:tcBorders>
          </w:tcPr>
          <w:p>
            <w:pPr>
              <w:spacing w:after="0"/>
              <w:rPr>
                <w:sz w:val="24"/>
                <w:szCs w:val="24"/>
                <w:color w:val="auto"/>
              </w:rPr>
            </w:pPr>
          </w:p>
        </w:tc>
        <w:tc>
          <w:tcPr>
            <w:tcW w:w="5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l'approbation de l'assemblée générale.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Members  of  the  Executive  Committee  participate  in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 membres du comité exécutif participent aux régimes 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Company's pension plans (the Company's pension fund and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retraite de la société (le fond de pension de la société et le régime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management pension plan). The pension plans conform to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  retraite  du  management).  Les  régimes  de  retraite  sont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legal requirements. For members of the Executive Committee,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conformes aux exigences légales (LPP). Pour les membres du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insured income is defined as the fixed remuneration plus 50</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comité  exécutif,  le  revenu  assuré  est  défini  comme  la</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percent of the target performance-related remuneration, up to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 fixe plus les 50 pour cent de la rémunération liée à</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legal  maximum.  Equity-linked  income  components  are  not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performance, jusqu'au maximum légal. Les composantes du</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included.</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revenu liées au capital propre ne sont pas inclus.</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Within  the  overall  compensation  approved  by  the  General</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Dans  la  rémunération  globale  approuvée  par  l'assemblée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Meeting, the Company may make additional payments into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générale,   la   société   pourra   effectuer   des   paiements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Company's pension funds for the benefit of members of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supplémentaires dans les caisses de retraite de la société pour le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Executive Committee in order to cover any disadvantage suffered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bénéfice des membres du comité exécutif afin de couvrir tout</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as a result of the change of jobs or to purchase additional pension</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désavantage subi par suite de la modification de l'emploi ou pour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entitlements. In this context the Company may conclude life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acheter  des  droits  de  pension  supplémentaires.  Dans  ce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insurance  policies  on  behalf  of  members  of  the  Executive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contexte, la société peut conclure des contrats d'assurance-vie au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Committee and pay the insurance premiums either fully or in part.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nom des membres du comité exécutif et payer en totalité ou en</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partie les primes d'assurance.</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63"/>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Upon retirement, the Company may also grant members of the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À la retraite, la société peut également accorder aux membres du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Executive Committee a bridging pension to cover the period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comité exécutif, une pension de transition pour couvrir la période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between early retirement at 62 and the ordinary age of retirement,</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entre la retraite anticipée à 62 ans et l'âge ordinaire de la retraite,</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if such bridging pension does not exceed 100 percent of the total</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si cette rente transitoire ne dépasse pas 100 pour cent du dernier</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annual compensation of the respective member last paid.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montant de la rémunération annuelle totale payée au membre</w:t>
            </w:r>
          </w:p>
        </w:tc>
      </w:tr>
      <w:tr>
        <w:trPr>
          <w:trHeight w:val="217"/>
        </w:trPr>
        <w:tc>
          <w:tcPr>
            <w:tcW w:w="566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respectif.</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27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Art. 41 Option and Share Plans</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41 Options et plan d'actions</w:t>
            </w:r>
          </w:p>
        </w:tc>
      </w:tr>
      <w:tr>
        <w:trPr>
          <w:trHeight w:val="391"/>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Under the Company's Option Plan, the Board of Directors, upon</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  vertu  du  régime  d'options  de  la  société,  le  conseil</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proposal  of  the  Compensation  Committee,  allocates  the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d'administration,  sur  proposition  du  comité  de  rémunération,</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participating members of the Executive Committee and the Board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attribue  aux  membres  participants  du  comité  exécutif  et  du</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of Directors a fixed number of options or shares with a vesting for</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conseil d'administration un nombre fixe d'options ou d'actions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a period of at least three years (the vesting period). At the end of</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avec une période de blocage d'une période d'au moins trois ans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 vesting period, participants in the Option Plan are entitled to</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 "Période de Blocage"). À la fin de la Période de Blocage,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exercise the options granted against payment of the strike price.</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participants au régime d'options sont habilités à exercer les</w:t>
            </w:r>
          </w:p>
        </w:tc>
      </w:tr>
      <w:tr>
        <w:trPr>
          <w:trHeight w:val="203"/>
        </w:trPr>
        <w:tc>
          <w:tcPr>
            <w:tcW w:w="566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These options to acquire shares in the Company or allocated</w:t>
            </w:r>
          </w:p>
        </w:tc>
        <w:tc>
          <w:tcPr>
            <w:tcW w:w="5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options attribuées contre paiement du prix d'exercice. Ces options</w:t>
            </w:r>
          </w:p>
        </w:tc>
      </w:tr>
      <w:tr>
        <w:trPr>
          <w:trHeight w:val="217"/>
        </w:trPr>
        <w:tc>
          <w:tcPr>
            <w:tcW w:w="56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shares are</w:t>
            </w:r>
          </w:p>
        </w:tc>
        <w:tc>
          <w:tcPr>
            <w:tcW w:w="5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d'achat d'actions de la société ou</w:t>
            </w:r>
          </w:p>
        </w:tc>
      </w:tr>
      <w:tr>
        <w:trPr>
          <w:trHeight w:val="54"/>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580" w:type="dxa"/>
            <w:vAlign w:val="bottom"/>
            <w:tcBorders>
              <w:bottom w:val="single" w:sz="8" w:color="auto"/>
              <w:right w:val="single" w:sz="8" w:color="auto"/>
            </w:tcBorders>
          </w:tcPr>
          <w:p>
            <w:pPr>
              <w:spacing w:after="0"/>
              <w:rPr>
                <w:sz w:val="4"/>
                <w:szCs w:val="4"/>
                <w:color w:val="auto"/>
              </w:rPr>
            </w:pPr>
          </w:p>
        </w:tc>
      </w:tr>
      <w:tr>
        <w:trPr>
          <w:trHeight w:val="102"/>
        </w:trPr>
        <w:tc>
          <w:tcPr>
            <w:tcW w:w="566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50831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r>
    </w:p>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860" w:type="dxa"/>
            <w:vAlign w:val="bottom"/>
          </w:tcPr>
          <w:p>
            <w:pPr>
              <w:spacing w:after="0"/>
              <w:rPr>
                <w:sz w:val="20"/>
                <w:szCs w:val="20"/>
                <w:color w:val="auto"/>
              </w:rPr>
            </w:pPr>
            <w:r>
              <w:rPr>
                <w:rFonts w:ascii="Arial" w:cs="Arial" w:eastAsia="Arial" w:hAnsi="Arial"/>
                <w:sz w:val="18"/>
                <w:szCs w:val="18"/>
                <w:color w:val="auto"/>
              </w:rPr>
              <w:t>subject to the basic principles set out in the following:</w:t>
            </w:r>
          </w:p>
        </w:tc>
        <w:tc>
          <w:tcPr>
            <w:tcW w:w="5900" w:type="dxa"/>
            <w:vAlign w:val="bottom"/>
          </w:tcPr>
          <w:p>
            <w:pPr>
              <w:ind w:left="640"/>
              <w:spacing w:after="0"/>
              <w:rPr>
                <w:sz w:val="20"/>
                <w:szCs w:val="20"/>
                <w:color w:val="auto"/>
              </w:rPr>
            </w:pPr>
            <w:r>
              <w:rPr>
                <w:rFonts w:ascii="Arial" w:cs="Arial" w:eastAsia="Arial" w:hAnsi="Arial"/>
                <w:sz w:val="18"/>
                <w:szCs w:val="18"/>
                <w:color w:val="auto"/>
              </w:rPr>
              <w:t>d'actions  attribuées  sont  soumises  aux  principes  de  base</w:t>
            </w:r>
          </w:p>
        </w:tc>
      </w:tr>
      <w:tr>
        <w:trPr>
          <w:trHeight w:val="203"/>
        </w:trPr>
        <w:tc>
          <w:tcPr>
            <w:tcW w:w="4860" w:type="dxa"/>
            <w:vAlign w:val="bottom"/>
          </w:tcPr>
          <w:p>
            <w:pPr>
              <w:spacing w:after="0"/>
              <w:rPr>
                <w:sz w:val="17"/>
                <w:szCs w:val="17"/>
                <w:color w:val="auto"/>
              </w:rPr>
            </w:pPr>
          </w:p>
        </w:tc>
        <w:tc>
          <w:tcPr>
            <w:tcW w:w="5900" w:type="dxa"/>
            <w:vAlign w:val="bottom"/>
          </w:tcPr>
          <w:p>
            <w:pPr>
              <w:ind w:left="640"/>
              <w:spacing w:after="0" w:line="202" w:lineRule="exact"/>
              <w:rPr>
                <w:sz w:val="20"/>
                <w:szCs w:val="20"/>
                <w:color w:val="auto"/>
              </w:rPr>
            </w:pPr>
            <w:r>
              <w:rPr>
                <w:rFonts w:ascii="Arial" w:cs="Arial" w:eastAsia="Arial" w:hAnsi="Arial"/>
                <w:sz w:val="18"/>
                <w:szCs w:val="18"/>
                <w:color w:val="auto"/>
              </w:rPr>
              <w:t>suivants:</w:t>
            </w:r>
          </w:p>
        </w:tc>
      </w:tr>
    </w:tbl>
    <w:p>
      <w:pPr>
        <w:ind w:left="700" w:hanging="463"/>
        <w:spacing w:after="0" w:line="234"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it is the sole discretion of the Board of Directors to decide</w:t>
      </w:r>
    </w:p>
    <w:tbl>
      <w:tblPr>
        <w:tblLayout w:type="fixed"/>
        <w:tblInd w:w="620" w:type="dxa"/>
        <w:tblCellMar>
          <w:top w:w="0" w:type="dxa"/>
          <w:left w:w="0" w:type="dxa"/>
          <w:bottom w:w="0" w:type="dxa"/>
          <w:right w:w="0" w:type="dxa"/>
        </w:tblCellMar>
      </w:tblPr>
      <w:tr>
        <w:trPr>
          <w:trHeight w:val="203"/>
        </w:trPr>
        <w:tc>
          <w:tcPr>
            <w:tcW w:w="4600" w:type="dxa"/>
            <w:vAlign w:val="bottom"/>
          </w:tcPr>
          <w:p>
            <w:pPr>
              <w:spacing w:after="0" w:line="203" w:lineRule="exact"/>
              <w:rPr>
                <w:sz w:val="20"/>
                <w:szCs w:val="20"/>
                <w:color w:val="auto"/>
              </w:rPr>
            </w:pPr>
            <w:r>
              <w:rPr>
                <w:rFonts w:ascii="Arial" w:cs="Arial" w:eastAsia="Arial" w:hAnsi="Arial"/>
                <w:sz w:val="18"/>
                <w:szCs w:val="18"/>
                <w:color w:val="auto"/>
              </w:rPr>
              <w:t>whether to allocate options or shares and to whom;</w:t>
            </w:r>
          </w:p>
        </w:tc>
        <w:tc>
          <w:tcPr>
            <w:tcW w:w="840" w:type="dxa"/>
            <w:vAlign w:val="bottom"/>
          </w:tcPr>
          <w:p>
            <w:pPr>
              <w:ind w:left="520"/>
              <w:spacing w:after="0" w:line="203" w:lineRule="exact"/>
              <w:rPr>
                <w:sz w:val="20"/>
                <w:szCs w:val="20"/>
                <w:color w:val="auto"/>
              </w:rPr>
            </w:pPr>
            <w:r>
              <w:rPr>
                <w:rFonts w:ascii="Arial" w:cs="Arial" w:eastAsia="Arial" w:hAnsi="Arial"/>
                <w:sz w:val="18"/>
                <w:szCs w:val="18"/>
                <w:color w:val="auto"/>
              </w:rPr>
              <w:t>a)</w:t>
            </w:r>
          </w:p>
        </w:tc>
        <w:tc>
          <w:tcPr>
            <w:tcW w:w="4940" w:type="dxa"/>
            <w:vAlign w:val="bottom"/>
          </w:tcPr>
          <w:p>
            <w:pPr>
              <w:ind w:left="200"/>
              <w:spacing w:after="0" w:line="203" w:lineRule="exact"/>
              <w:rPr>
                <w:sz w:val="20"/>
                <w:szCs w:val="20"/>
                <w:color w:val="auto"/>
              </w:rPr>
            </w:pPr>
            <w:r>
              <w:rPr>
                <w:rFonts w:ascii="Arial" w:cs="Arial" w:eastAsia="Arial" w:hAnsi="Arial"/>
                <w:sz w:val="18"/>
                <w:szCs w:val="18"/>
                <w:color w:val="auto"/>
              </w:rPr>
              <w:t>il relève de la libre appréciation du conseil d'administration</w:t>
            </w:r>
          </w:p>
        </w:tc>
      </w:tr>
      <w:tr>
        <w:trPr>
          <w:trHeight w:val="203"/>
        </w:trPr>
        <w:tc>
          <w:tcPr>
            <w:tcW w:w="4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940" w:type="dxa"/>
            <w:vAlign w:val="bottom"/>
          </w:tcPr>
          <w:p>
            <w:pPr>
              <w:ind w:left="140"/>
              <w:spacing w:after="0" w:line="202" w:lineRule="exact"/>
              <w:rPr>
                <w:sz w:val="20"/>
                <w:szCs w:val="20"/>
                <w:color w:val="auto"/>
              </w:rPr>
            </w:pPr>
            <w:r>
              <w:rPr>
                <w:rFonts w:ascii="Arial" w:cs="Arial" w:eastAsia="Arial" w:hAnsi="Arial"/>
                <w:sz w:val="18"/>
                <w:szCs w:val="18"/>
                <w:color w:val="auto"/>
                <w:w w:val="99"/>
              </w:rPr>
              <w:t>de décider si des options ou actions sont attribuées et à qui;</w:t>
            </w:r>
          </w:p>
        </w:tc>
      </w:tr>
    </w:tbl>
    <w:p>
      <w:pPr>
        <w:ind w:left="760" w:hanging="523"/>
        <w:spacing w:after="0" w:line="234" w:lineRule="auto"/>
        <w:tabs>
          <w:tab w:leader="none" w:pos="7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year, the Board of Directors, upon proposal of the</w:t>
      </w:r>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3" w:lineRule="exact"/>
              <w:rPr>
                <w:sz w:val="20"/>
                <w:szCs w:val="20"/>
                <w:color w:val="auto"/>
              </w:rPr>
            </w:pPr>
            <w:r>
              <w:rPr>
                <w:rFonts w:ascii="Arial" w:cs="Arial" w:eastAsia="Arial" w:hAnsi="Arial"/>
                <w:sz w:val="18"/>
                <w:szCs w:val="18"/>
                <w:color w:val="auto"/>
              </w:rPr>
              <w:t>Compensation Committee, stipulates the number of options</w:t>
            </w:r>
          </w:p>
        </w:tc>
        <w:tc>
          <w:tcPr>
            <w:tcW w:w="420" w:type="dxa"/>
            <w:vAlign w:val="bottom"/>
          </w:tcPr>
          <w:p>
            <w:pPr>
              <w:ind w:left="100"/>
              <w:spacing w:after="0" w:line="203" w:lineRule="exact"/>
              <w:rPr>
                <w:sz w:val="20"/>
                <w:szCs w:val="20"/>
                <w:color w:val="auto"/>
              </w:rPr>
            </w:pPr>
            <w:r>
              <w:rPr>
                <w:rFonts w:ascii="Arial" w:cs="Arial" w:eastAsia="Arial" w:hAnsi="Arial"/>
                <w:sz w:val="18"/>
                <w:szCs w:val="18"/>
                <w:color w:val="auto"/>
              </w:rPr>
              <w:t>b)</w:t>
            </w:r>
          </w:p>
        </w:tc>
        <w:tc>
          <w:tcPr>
            <w:tcW w:w="5180" w:type="dxa"/>
            <w:vAlign w:val="bottom"/>
          </w:tcPr>
          <w:p>
            <w:pPr>
              <w:jc w:val="center"/>
              <w:spacing w:after="0" w:line="203" w:lineRule="exact"/>
              <w:rPr>
                <w:sz w:val="20"/>
                <w:szCs w:val="20"/>
                <w:color w:val="auto"/>
              </w:rPr>
            </w:pPr>
            <w:r>
              <w:rPr>
                <w:rFonts w:ascii="Arial" w:cs="Arial" w:eastAsia="Arial" w:hAnsi="Arial"/>
                <w:sz w:val="18"/>
                <w:szCs w:val="18"/>
                <w:color w:val="auto"/>
              </w:rPr>
              <w:t>chaque année, le conseil d'administration, sur proposition</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and shares to be allocated, the date of allocation and the</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du comité de rémunération, fixe le nombre d'options et</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strike price;</w:t>
            </w:r>
          </w:p>
        </w:tc>
        <w:tc>
          <w:tcPr>
            <w:tcW w:w="4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d'actions à attribuer, la date d'attribution et le prix d'exercice;</w:t>
            </w:r>
          </w:p>
        </w:tc>
        <w:tc>
          <w:tcPr>
            <w:tcW w:w="0" w:type="dxa"/>
            <w:vAlign w:val="bottom"/>
          </w:tcPr>
          <w:p>
            <w:pPr>
              <w:spacing w:after="0"/>
              <w:rPr>
                <w:sz w:val="1"/>
                <w:szCs w:val="1"/>
                <w:color w:val="auto"/>
              </w:rPr>
            </w:pPr>
          </w:p>
        </w:tc>
      </w:tr>
      <w:tr>
        <w:trPr>
          <w:trHeight w:val="391"/>
        </w:trPr>
        <w:tc>
          <w:tcPr>
            <w:tcW w:w="500" w:type="dxa"/>
            <w:vAlign w:val="bottom"/>
          </w:tcPr>
          <w:p>
            <w:pPr>
              <w:ind w:left="240"/>
              <w:spacing w:after="0"/>
              <w:rPr>
                <w:sz w:val="20"/>
                <w:szCs w:val="20"/>
                <w:color w:val="auto"/>
              </w:rPr>
            </w:pPr>
            <w:r>
              <w:rPr>
                <w:rFonts w:ascii="Arial" w:cs="Arial" w:eastAsia="Arial" w:hAnsi="Arial"/>
                <w:sz w:val="18"/>
                <w:szCs w:val="18"/>
                <w:color w:val="auto"/>
              </w:rPr>
              <w:t>c)</w:t>
            </w:r>
          </w:p>
        </w:tc>
        <w:tc>
          <w:tcPr>
            <w:tcW w:w="5140" w:type="dxa"/>
            <w:vAlign w:val="bottom"/>
          </w:tcPr>
          <w:p>
            <w:pPr>
              <w:jc w:val="right"/>
              <w:ind w:right="50"/>
              <w:spacing w:after="0"/>
              <w:rPr>
                <w:sz w:val="20"/>
                <w:szCs w:val="20"/>
                <w:color w:val="auto"/>
              </w:rPr>
            </w:pPr>
            <w:r>
              <w:rPr>
                <w:rFonts w:ascii="Arial" w:cs="Arial" w:eastAsia="Arial" w:hAnsi="Arial"/>
                <w:sz w:val="18"/>
                <w:szCs w:val="18"/>
                <w:color w:val="auto"/>
              </w:rPr>
              <w:t>each option incorporates a non-transferable, pre-emptive,</w:t>
            </w:r>
          </w:p>
        </w:tc>
        <w:tc>
          <w:tcPr>
            <w:tcW w:w="420" w:type="dxa"/>
            <w:vAlign w:val="bottom"/>
          </w:tcPr>
          <w:p>
            <w:pPr>
              <w:ind w:left="100"/>
              <w:spacing w:after="0"/>
              <w:rPr>
                <w:sz w:val="20"/>
                <w:szCs w:val="20"/>
                <w:color w:val="auto"/>
              </w:rPr>
            </w:pPr>
            <w:r>
              <w:rPr>
                <w:rFonts w:ascii="Arial" w:cs="Arial" w:eastAsia="Arial" w:hAnsi="Arial"/>
                <w:sz w:val="18"/>
                <w:szCs w:val="18"/>
                <w:color w:val="auto"/>
              </w:rPr>
              <w:t>c)</w:t>
            </w:r>
          </w:p>
        </w:tc>
        <w:tc>
          <w:tcPr>
            <w:tcW w:w="5180" w:type="dxa"/>
            <w:vAlign w:val="bottom"/>
          </w:tcPr>
          <w:p>
            <w:pPr>
              <w:ind w:left="400"/>
              <w:spacing w:after="0"/>
              <w:rPr>
                <w:sz w:val="20"/>
                <w:szCs w:val="20"/>
                <w:color w:val="auto"/>
              </w:rPr>
            </w:pPr>
            <w:r>
              <w:rPr>
                <w:rFonts w:ascii="Arial" w:cs="Arial" w:eastAsia="Arial" w:hAnsi="Arial"/>
                <w:sz w:val="18"/>
                <w:szCs w:val="18"/>
                <w:color w:val="auto"/>
              </w:rPr>
              <w:t>chaque option comporte un droit non transférable, de</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and  contingent  right  to  acquire  a  certain  number  of</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souscription préférentielle et optionnel d'acquérir un certain</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Company's shares;</w:t>
            </w:r>
          </w:p>
        </w:tc>
        <w:tc>
          <w:tcPr>
            <w:tcW w:w="4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nombre d'actions de la société;</w:t>
            </w: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d)</w:t>
            </w:r>
          </w:p>
        </w:tc>
        <w:tc>
          <w:tcPr>
            <w:tcW w:w="5180" w:type="dxa"/>
            <w:vAlign w:val="bottom"/>
          </w:tcPr>
          <w:p>
            <w:pPr>
              <w:jc w:val="center"/>
              <w:spacing w:after="0"/>
              <w:rPr>
                <w:sz w:val="20"/>
                <w:szCs w:val="20"/>
                <w:color w:val="auto"/>
              </w:rPr>
            </w:pPr>
            <w:r>
              <w:rPr>
                <w:rFonts w:ascii="Arial" w:cs="Arial" w:eastAsia="Arial" w:hAnsi="Arial"/>
                <w:sz w:val="18"/>
                <w:szCs w:val="18"/>
                <w:color w:val="auto"/>
              </w:rPr>
              <w:t>dans le cas d'un changement de contrôle (tel que défini</w:t>
            </w:r>
          </w:p>
        </w:tc>
        <w:tc>
          <w:tcPr>
            <w:tcW w:w="0" w:type="dxa"/>
            <w:vAlign w:val="bottom"/>
          </w:tcPr>
          <w:p>
            <w:pPr>
              <w:spacing w:after="0"/>
              <w:rPr>
                <w:sz w:val="1"/>
                <w:szCs w:val="1"/>
                <w:color w:val="auto"/>
              </w:rPr>
            </w:pPr>
          </w:p>
        </w:tc>
      </w:tr>
      <w:tr>
        <w:trPr>
          <w:trHeight w:val="203"/>
        </w:trPr>
        <w:tc>
          <w:tcPr>
            <w:tcW w:w="500" w:type="dxa"/>
            <w:vAlign w:val="bottom"/>
          </w:tcPr>
          <w:p>
            <w:pPr>
              <w:ind w:left="240"/>
              <w:spacing w:after="0" w:line="202" w:lineRule="exact"/>
              <w:rPr>
                <w:sz w:val="20"/>
                <w:szCs w:val="20"/>
                <w:color w:val="auto"/>
              </w:rPr>
            </w:pPr>
            <w:r>
              <w:rPr>
                <w:rFonts w:ascii="Arial" w:cs="Arial" w:eastAsia="Arial" w:hAnsi="Arial"/>
                <w:sz w:val="18"/>
                <w:szCs w:val="18"/>
                <w:color w:val="auto"/>
              </w:rPr>
              <w:t>d)</w:t>
            </w:r>
          </w:p>
        </w:tc>
        <w:tc>
          <w:tcPr>
            <w:tcW w:w="5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in the case of a change of control (as defined in the Option</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dans le régime d'options) ou la radiation des actions de la</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Plan) or delisting of the Company's shares, the vesting period</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société,  la  Période  de  Blocage  prend  fin  (acquisition</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shall end (accelerated vesting) and the participant shall be</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accélérée) et le participant est en droit d'exercer les options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entitled to exercise the options on a pro rata basis on the day</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sur une base pro rata le jour de la transaction qui a conduit</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the transaction that led to the change of control or delisting</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à un changement de contrôle ou le jour où la radiation a été</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was executed. It is at the sole discretion of the Board of</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exécutée.  Il  relève  de  la  libre  appréciation  du  conseil</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Directors to decide upon proposal  of  the  Compensation</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d'administration de décider, sur proposition du comité de</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Committee whether the financial objectives have been met;</w:t>
            </w:r>
          </w:p>
        </w:tc>
        <w:tc>
          <w:tcPr>
            <w:tcW w:w="4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rémunération, si les objectifs financiers ont été atteints;</w:t>
            </w: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e)</w:t>
            </w:r>
          </w:p>
        </w:tc>
        <w:tc>
          <w:tcPr>
            <w:tcW w:w="5180" w:type="dxa"/>
            <w:vAlign w:val="bottom"/>
          </w:tcPr>
          <w:p>
            <w:pPr>
              <w:jc w:val="center"/>
              <w:spacing w:after="0"/>
              <w:rPr>
                <w:sz w:val="20"/>
                <w:szCs w:val="20"/>
                <w:color w:val="auto"/>
              </w:rPr>
            </w:pPr>
            <w:r>
              <w:rPr>
                <w:rFonts w:ascii="Arial" w:cs="Arial" w:eastAsia="Arial" w:hAnsi="Arial"/>
                <w:sz w:val="18"/>
                <w:szCs w:val="18"/>
                <w:color w:val="auto"/>
              </w:rPr>
              <w:t>les membres individuels du comité exécutif ou du conseil</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e)   the individual members of the Executive Committee or the</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d'administration qui participent au régime d'options sont</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Board  of  Directors  participating  in  the  Option  Plan  are</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responsables du paiement de tous les impôts ou cotisations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responsible  for  paying  any  taxes  or  social  security</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de sécurité sociale et de déclarer correctement le revenu</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contributions  and  for  declaring  income  correctly  to  the</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aux autorités;</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authorities;</w:t>
            </w:r>
          </w:p>
        </w:tc>
        <w:tc>
          <w:tcPr>
            <w:tcW w:w="420" w:type="dxa"/>
            <w:vAlign w:val="bottom"/>
            <w:vMerge w:val="restart"/>
          </w:tcPr>
          <w:p>
            <w:pPr>
              <w:ind w:left="100"/>
              <w:spacing w:after="0"/>
              <w:rPr>
                <w:sz w:val="20"/>
                <w:szCs w:val="20"/>
                <w:color w:val="auto"/>
              </w:rPr>
            </w:pPr>
            <w:r>
              <w:rPr>
                <w:rFonts w:ascii="Arial" w:cs="Arial" w:eastAsia="Arial" w:hAnsi="Arial"/>
                <w:sz w:val="18"/>
                <w:szCs w:val="18"/>
                <w:color w:val="auto"/>
              </w:rPr>
              <w:t>f)</w:t>
            </w:r>
          </w:p>
        </w:tc>
        <w:tc>
          <w:tcPr>
            <w:tcW w:w="5180" w:type="dxa"/>
            <w:vAlign w:val="bottom"/>
            <w:vMerge w:val="restart"/>
          </w:tcPr>
          <w:p>
            <w:pPr>
              <w:jc w:val="center"/>
              <w:spacing w:after="0"/>
              <w:rPr>
                <w:sz w:val="20"/>
                <w:szCs w:val="20"/>
                <w:color w:val="auto"/>
              </w:rPr>
            </w:pPr>
            <w:r>
              <w:rPr>
                <w:rFonts w:ascii="Arial" w:cs="Arial" w:eastAsia="Arial" w:hAnsi="Arial"/>
                <w:sz w:val="18"/>
                <w:szCs w:val="18"/>
                <w:color w:val="auto"/>
              </w:rPr>
              <w:t>il relève de la libre appréciation du conseil d'administration</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5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f)   it is at the sole discretion of the Board of Directors to decide</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de décider si le régime d'options est complété dans les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whether to supplement the Option Plan within the bounds of</w:t>
            </w:r>
          </w:p>
        </w:tc>
        <w:tc>
          <w:tcPr>
            <w:tcW w:w="420" w:type="dxa"/>
            <w:vAlign w:val="bottom"/>
          </w:tcPr>
          <w:p>
            <w:pPr>
              <w:spacing w:after="0"/>
              <w:rPr>
                <w:sz w:val="17"/>
                <w:szCs w:val="17"/>
                <w:color w:val="auto"/>
              </w:rPr>
            </w:pPr>
          </w:p>
        </w:tc>
        <w:tc>
          <w:tcPr>
            <w:tcW w:w="5180" w:type="dxa"/>
            <w:vAlign w:val="bottom"/>
          </w:tcPr>
          <w:p>
            <w:pPr>
              <w:ind w:left="140"/>
              <w:spacing w:after="0" w:line="202" w:lineRule="exact"/>
              <w:rPr>
                <w:sz w:val="20"/>
                <w:szCs w:val="20"/>
                <w:color w:val="auto"/>
              </w:rPr>
            </w:pPr>
            <w:r>
              <w:rPr>
                <w:rFonts w:ascii="Arial" w:cs="Arial" w:eastAsia="Arial" w:hAnsi="Arial"/>
                <w:sz w:val="18"/>
                <w:szCs w:val="18"/>
                <w:color w:val="auto"/>
              </w:rPr>
              <w:t>limites des principes énoncés ci-dessus ou de l'interrompre.</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the principles set out above or to discontinue it.</w:t>
            </w:r>
          </w:p>
        </w:tc>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The Company may periodically offer shares in the Company to</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La société peut périodiquement offrir des actions de la société</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important and long-term employees for a price being at maximum</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aux salariés importants et à long terme pour un prix étant au</w:t>
            </w:r>
          </w:p>
        </w:tc>
        <w:tc>
          <w:tcPr>
            <w:tcW w:w="0" w:type="dxa"/>
            <w:vAlign w:val="bottom"/>
          </w:tcPr>
          <w:p>
            <w:pPr>
              <w:spacing w:after="0"/>
              <w:rPr>
                <w:sz w:val="1"/>
                <w:szCs w:val="1"/>
                <w:color w:val="auto"/>
              </w:rPr>
            </w:pPr>
          </w:p>
        </w:tc>
      </w:tr>
      <w:tr>
        <w:trPr>
          <w:trHeight w:val="202"/>
        </w:trPr>
        <w:tc>
          <w:tcPr>
            <w:tcW w:w="5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ten percent below the average volume-weighted price of the last</w:t>
            </w: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maximum dix pour cent au-dessous du prix moyen pondéré par</w:t>
            </w:r>
          </w:p>
        </w:tc>
        <w:tc>
          <w:tcPr>
            <w:tcW w:w="0" w:type="dxa"/>
            <w:vAlign w:val="bottom"/>
          </w:tcPr>
          <w:p>
            <w:pPr>
              <w:spacing w:after="0"/>
              <w:rPr>
                <w:sz w:val="1"/>
                <w:szCs w:val="1"/>
                <w:color w:val="auto"/>
              </w:rPr>
            </w:pPr>
          </w:p>
        </w:tc>
      </w:tr>
      <w:tr>
        <w:trPr>
          <w:trHeight w:val="217"/>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30 trading days at the stock</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les volumes des 30</w:t>
            </w:r>
          </w:p>
        </w:tc>
        <w:tc>
          <w:tcPr>
            <w:tcW w:w="0" w:type="dxa"/>
            <w:vAlign w:val="bottom"/>
          </w:tcPr>
          <w:p>
            <w:pPr>
              <w:spacing w:after="0"/>
              <w:rPr>
                <w:sz w:val="1"/>
                <w:szCs w:val="1"/>
                <w:color w:val="auto"/>
              </w:rPr>
            </w:pPr>
          </w:p>
        </w:tc>
      </w:tr>
      <w:tr>
        <w:trPr>
          <w:trHeight w:val="175"/>
        </w:trPr>
        <w:tc>
          <w:tcPr>
            <w:tcW w:w="500" w:type="dxa"/>
            <w:vAlign w:val="bottom"/>
            <w:tcBorders>
              <w:bottom w:val="single" w:sz="8" w:color="auto"/>
            </w:tcBorders>
          </w:tcPr>
          <w:p>
            <w:pPr>
              <w:spacing w:after="0"/>
              <w:rPr>
                <w:sz w:val="15"/>
                <w:szCs w:val="15"/>
                <w:color w:val="auto"/>
              </w:rPr>
            </w:pPr>
          </w:p>
        </w:tc>
        <w:tc>
          <w:tcPr>
            <w:tcW w:w="5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0"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6"/>
          <w:szCs w:val="16"/>
          <w:color w:val="auto"/>
        </w:rPr>
        <w:t>34</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exchange. Members of the Board of Directors and the Executive</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derniers  jours  à  la  bourse.  Les  membres  du  conseil</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Committee may be included in this program. The shares acquired</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et du comité exécutif peuvent être inclus dans ce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thereby shall be blocked for a period of at least 3 years.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programme. Les actions ainsi acquises seront bloquées pour une</w:t>
            </w:r>
          </w:p>
        </w:tc>
      </w:tr>
      <w:tr>
        <w:trPr>
          <w:trHeight w:val="217"/>
        </w:trPr>
        <w:tc>
          <w:tcPr>
            <w:tcW w:w="860" w:type="dxa"/>
            <w:vAlign w:val="bottom"/>
            <w:tcBorders>
              <w:lef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période d'au moins 3 ans.</w:t>
            </w:r>
          </w:p>
        </w:tc>
      </w:tr>
      <w:tr>
        <w:trPr>
          <w:trHeight w:val="54"/>
        </w:trPr>
        <w:tc>
          <w:tcPr>
            <w:tcW w:w="860" w:type="dxa"/>
            <w:vAlign w:val="bottom"/>
            <w:tcBorders>
              <w:left w:val="single" w:sz="8" w:color="auto"/>
              <w:bottom w:val="single" w:sz="8" w:color="auto"/>
            </w:tcBorders>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r>
        <w:trPr>
          <w:trHeight w:val="241"/>
        </w:trPr>
        <w:tc>
          <w:tcPr>
            <w:tcW w:w="8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VIII.</w:t>
            </w:r>
          </w:p>
        </w:tc>
        <w:tc>
          <w:tcPr>
            <w:tcW w:w="48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BUSINESS YEAR, ACCOUNTING, ALLOCATION OF</w:t>
            </w: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VIII.</w:t>
            </w:r>
          </w:p>
        </w:tc>
        <w:tc>
          <w:tcPr>
            <w:tcW w:w="48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EXERCICE, COMPTABILITÉ, RÉPARTITION DES</w:t>
            </w:r>
          </w:p>
        </w:tc>
      </w:tr>
      <w:tr>
        <w:trPr>
          <w:trHeight w:val="239"/>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PROFITS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BÉNÉFICES</w:t>
            </w:r>
          </w:p>
        </w:tc>
      </w:tr>
      <w:tr>
        <w:trPr>
          <w:trHeight w:val="54"/>
        </w:trPr>
        <w:tc>
          <w:tcPr>
            <w:tcW w:w="860" w:type="dxa"/>
            <w:vAlign w:val="bottom"/>
            <w:tcBorders>
              <w:left w:val="single" w:sz="8" w:color="auto"/>
              <w:bottom w:val="single" w:sz="8" w:color="auto"/>
            </w:tcBorders>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r>
        <w:trPr>
          <w:trHeight w:val="277"/>
        </w:trPr>
        <w:tc>
          <w:tcPr>
            <w:tcW w:w="8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42</w:t>
            </w: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Business Year</w:t>
            </w: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Art. 42</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Exercice</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Board of Directors shall determine the start and the end of</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détermine  le  début  et  la  fin  de</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Company's business year.</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l'exercice de la société.</w:t>
            </w:r>
          </w:p>
        </w:tc>
      </w:tr>
      <w:tr>
        <w:trPr>
          <w:trHeight w:val="54"/>
        </w:trPr>
        <w:tc>
          <w:tcPr>
            <w:tcW w:w="860" w:type="dxa"/>
            <w:vAlign w:val="bottom"/>
            <w:tcBorders>
              <w:left w:val="single" w:sz="8" w:color="auto"/>
              <w:bottom w:val="single" w:sz="8" w:color="auto"/>
            </w:tcBorders>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r>
        <w:trPr>
          <w:trHeight w:val="277"/>
        </w:trPr>
        <w:tc>
          <w:tcPr>
            <w:tcW w:w="8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Art. 43</w:t>
            </w: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Accounting</w:t>
            </w: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Art. 43</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Comptabilité</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annual accounts consist of the profit and loss statement,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comptes annuels se composent du compte de profits et</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balance  sheet,  the  cash  flow  statement,  the  annex  and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pertes, du bilan, du tableau des flux de trésorerie, de l'annexe et</w:t>
            </w:r>
          </w:p>
        </w:tc>
      </w:tr>
      <w:tr>
        <w:trPr>
          <w:trHeight w:val="184"/>
        </w:trPr>
        <w:tc>
          <w:tcPr>
            <w:tcW w:w="5660" w:type="dxa"/>
            <w:vAlign w:val="bottom"/>
            <w:tcBorders>
              <w:left w:val="single" w:sz="8" w:color="auto"/>
              <w:right w:val="single" w:sz="8" w:color="auto"/>
            </w:tcBorders>
            <w:gridSpan w:val="2"/>
          </w:tcPr>
          <w:p>
            <w:pPr>
              <w:ind w:left="240"/>
              <w:spacing w:after="0" w:line="184" w:lineRule="exact"/>
              <w:rPr>
                <w:sz w:val="20"/>
                <w:szCs w:val="20"/>
                <w:color w:val="auto"/>
              </w:rPr>
            </w:pPr>
            <w:r>
              <w:rPr>
                <w:rFonts w:ascii="Arial" w:cs="Arial" w:eastAsia="Arial" w:hAnsi="Arial"/>
                <w:sz w:val="18"/>
                <w:szCs w:val="18"/>
                <w:color w:val="auto"/>
              </w:rPr>
              <w:t>management report, and shall be drawn up pursuant to the</w:t>
            </w:r>
          </w:p>
        </w:tc>
        <w:tc>
          <w:tcPr>
            <w:tcW w:w="5580" w:type="dxa"/>
            <w:vAlign w:val="bottom"/>
            <w:tcBorders>
              <w:right w:val="single" w:sz="8" w:color="auto"/>
            </w:tcBorders>
            <w:gridSpan w:val="2"/>
          </w:tcPr>
          <w:p>
            <w:pPr>
              <w:ind w:left="80"/>
              <w:spacing w:after="0" w:line="184" w:lineRule="exact"/>
              <w:rPr>
                <w:sz w:val="20"/>
                <w:szCs w:val="20"/>
                <w:color w:val="auto"/>
              </w:rPr>
            </w:pPr>
            <w:r>
              <w:rPr>
                <w:rFonts w:ascii="Arial" w:cs="Arial" w:eastAsia="Arial" w:hAnsi="Arial"/>
                <w:sz w:val="18"/>
                <w:szCs w:val="18"/>
                <w:color w:val="auto"/>
              </w:rPr>
              <w:t>du  rapport  de  gestion,  et  sont  établis  conformément  aux</w:t>
            </w:r>
          </w:p>
        </w:tc>
      </w:tr>
      <w:tr>
        <w:trPr>
          <w:trHeight w:val="22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 xml:space="preserve">provisions of the CO, particularly of Articles 958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and</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dispositions du CO, en particulier des articles 958 ss. CO, et aux</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generally accepted commercial principles and customary rules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principes commerciaux généralement reconnus et aux règles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in that business area.</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coutumières dans ce secteur d'activité.</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If required by law, the consolidated financial statements shall be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Si requis par la loi, les états financiers consolidés sont établis en</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drawn in accordance with the provisions of Article 962 CO.</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conformité avec les dispositions de l'article 962 CO.</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44  Allocation of Profits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44  Répartition des bénéfices</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Subject to the legal provisions regarding distribution of profits, the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Sous réserve des dispositions légales en matière de répartition</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profit as shown on the balance sheet shall be allocated by the</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des bénéfices, le bénéfice comme indiqué sur le bilan doit être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General Meeting at its discretion after receipt of the proposals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alloué à la libre appréciation de l'assemblée générale après</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Board of Directors and the Auditors.</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réception des  propositions  du  conseil  d'administration  et  de</w:t>
            </w:r>
          </w:p>
        </w:tc>
      </w:tr>
      <w:tr>
        <w:trPr>
          <w:trHeight w:val="217"/>
        </w:trPr>
        <w:tc>
          <w:tcPr>
            <w:tcW w:w="860" w:type="dxa"/>
            <w:vAlign w:val="bottom"/>
            <w:tcBorders>
              <w:lef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l'organe de révision.</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In addition to the legal reserves, the General Meeting may create</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En plus des réserves légales, l'assemblée générale peut créer</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supplemental reserves.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 réserves supplémentaires.</w:t>
            </w:r>
          </w:p>
        </w:tc>
      </w:tr>
      <w:tr>
        <w:trPr>
          <w:trHeight w:val="54"/>
        </w:trPr>
        <w:tc>
          <w:tcPr>
            <w:tcW w:w="860" w:type="dxa"/>
            <w:vAlign w:val="bottom"/>
            <w:tcBorders>
              <w:left w:val="single" w:sz="8" w:color="auto"/>
              <w:bottom w:val="single" w:sz="8" w:color="auto"/>
            </w:tcBorders>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r>
        <w:trPr>
          <w:trHeight w:val="101"/>
        </w:trPr>
        <w:tc>
          <w:tcPr>
            <w:tcW w:w="86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250"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6"/>
          <w:szCs w:val="16"/>
          <w:color w:val="auto"/>
        </w:rPr>
        <w:t>35</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60" w:type="dxa"/>
            <w:vAlign w:val="bottom"/>
            <w:tcBorders>
              <w:top w:val="single" w:sz="8" w:color="auto"/>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Dividends not claimed within five years after the due date shall</w:t>
            </w:r>
          </w:p>
        </w:tc>
        <w:tc>
          <w:tcPr>
            <w:tcW w:w="55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Les dividendes non réclamés dans les cinq ans après la date</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remain  with  the  Company  and  be  allocated  to  the  general</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d'échéance restent avec la société et sont attribués aux réserves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reserves.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générales.</w:t>
            </w:r>
          </w:p>
        </w:tc>
      </w:tr>
      <w:tr>
        <w:trPr>
          <w:trHeight w:val="54"/>
        </w:trPr>
        <w:tc>
          <w:tcPr>
            <w:tcW w:w="640" w:type="dxa"/>
            <w:vAlign w:val="bottom"/>
            <w:tcBorders>
              <w:left w:val="single" w:sz="8" w:color="auto"/>
              <w:bottom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r>
      <w:tr>
        <w:trPr>
          <w:trHeight w:val="277"/>
        </w:trPr>
        <w:tc>
          <w:tcPr>
            <w:tcW w:w="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IX.</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DISSOLUTION AND LIQUIDATION</w:t>
            </w:r>
          </w:p>
        </w:tc>
        <w:tc>
          <w:tcPr>
            <w:tcW w:w="460" w:type="dxa"/>
            <w:vAlign w:val="bottom"/>
          </w:tcPr>
          <w:p>
            <w:pPr>
              <w:ind w:left="80"/>
              <w:spacing w:after="0"/>
              <w:rPr>
                <w:sz w:val="20"/>
                <w:szCs w:val="20"/>
                <w:color w:val="auto"/>
              </w:rPr>
            </w:pPr>
            <w:r>
              <w:rPr>
                <w:rFonts w:ascii="Arial" w:cs="Arial" w:eastAsia="Arial" w:hAnsi="Arial"/>
                <w:sz w:val="18"/>
                <w:szCs w:val="18"/>
                <w:b w:val="1"/>
                <w:bCs w:val="1"/>
                <w:color w:val="auto"/>
              </w:rPr>
              <w:t>IX.</w:t>
            </w:r>
          </w:p>
        </w:tc>
        <w:tc>
          <w:tcPr>
            <w:tcW w:w="512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DISSOLUTION ET LIQUIDATION</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45 Dissolution and Liquidation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45 Dissolution et Liquidation</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dissolution et la liquidation de la société ont lieu en conformité</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accordance with the provisions of the CO.</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avec les dispositions du CO.</w:t>
            </w:r>
          </w:p>
        </w:tc>
      </w:tr>
      <w:tr>
        <w:trPr>
          <w:trHeight w:val="54"/>
        </w:trPr>
        <w:tc>
          <w:tcPr>
            <w:tcW w:w="640" w:type="dxa"/>
            <w:vAlign w:val="bottom"/>
            <w:tcBorders>
              <w:left w:val="single" w:sz="8" w:color="auto"/>
              <w:bottom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r>
      <w:tr>
        <w:trPr>
          <w:trHeight w:val="277"/>
        </w:trPr>
        <w:tc>
          <w:tcPr>
            <w:tcW w:w="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X.</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NOTICES AND PUBLICATIONS</w:t>
            </w:r>
          </w:p>
        </w:tc>
        <w:tc>
          <w:tcPr>
            <w:tcW w:w="460" w:type="dxa"/>
            <w:vAlign w:val="bottom"/>
          </w:tcPr>
          <w:p>
            <w:pPr>
              <w:ind w:left="80"/>
              <w:spacing w:after="0"/>
              <w:rPr>
                <w:sz w:val="20"/>
                <w:szCs w:val="20"/>
                <w:color w:val="auto"/>
              </w:rPr>
            </w:pPr>
            <w:r>
              <w:rPr>
                <w:rFonts w:ascii="Arial" w:cs="Arial" w:eastAsia="Arial" w:hAnsi="Arial"/>
                <w:sz w:val="18"/>
                <w:szCs w:val="18"/>
                <w:b w:val="1"/>
                <w:bCs w:val="1"/>
                <w:color w:val="auto"/>
              </w:rPr>
              <w:t>X.</w:t>
            </w: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AVIS ET PUBLICATIONS</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Art. 46 Notices and Publications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46 Avis et Publications</w:t>
            </w:r>
          </w:p>
        </w:tc>
      </w:tr>
      <w:tr>
        <w:trPr>
          <w:trHeight w:val="391"/>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Swiss Official Gazette of Commerce is the official publication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L'organe de publication légal est la Feuille officielle suisse du</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medium.</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commerce.</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Shareholder communications and notices to the shareholders</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communications et avis aux actionnaires sont effectués par</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shall be made by publication in the Swiss Official Gazette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publication dans la Feuille officielle suisse du commerce ou</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Commerce or sent by mail or e-mail to the addresses registered in</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envoyés par courrier ou e-mail aux adresses enregistrées dans le</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share register.</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registre des actions.</w:t>
            </w:r>
          </w:p>
        </w:tc>
      </w:tr>
      <w:tr>
        <w:trPr>
          <w:trHeight w:val="54"/>
        </w:trPr>
        <w:tc>
          <w:tcPr>
            <w:tcW w:w="56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5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Unless the law provides otherwise, notices shall be given to</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Sauf si la loi en dispose autrement, les avis seront envoyés aux</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creditors  by  publication  in  the  Swiss  Official  Gazette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créanciers par publication dans la Feuille officielle suisse du</w:t>
            </w:r>
          </w:p>
        </w:tc>
      </w:tr>
      <w:tr>
        <w:trPr>
          <w:trHeight w:val="203"/>
        </w:trPr>
        <w:tc>
          <w:tcPr>
            <w:tcW w:w="5660" w:type="dxa"/>
            <w:vAlign w:val="bottom"/>
            <w:tcBorders>
              <w:left w:val="single" w:sz="8" w:color="auto"/>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Commerce. The Board of Directors may assign further means of</w:t>
            </w:r>
          </w:p>
        </w:tc>
        <w:tc>
          <w:tcPr>
            <w:tcW w:w="55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commerce.  Le  conseil  d'administration  peut  prévoir  d'autres</w:t>
            </w:r>
          </w:p>
        </w:tc>
      </w:tr>
      <w:tr>
        <w:trPr>
          <w:trHeight w:val="217"/>
        </w:trPr>
        <w:tc>
          <w:tcPr>
            <w:tcW w:w="56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communication.</w:t>
            </w: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moyens de communication.</w:t>
            </w:r>
          </w:p>
        </w:tc>
      </w:tr>
      <w:tr>
        <w:trPr>
          <w:trHeight w:val="54"/>
        </w:trPr>
        <w:tc>
          <w:tcPr>
            <w:tcW w:w="640" w:type="dxa"/>
            <w:vAlign w:val="bottom"/>
            <w:tcBorders>
              <w:left w:val="single" w:sz="8" w:color="auto"/>
              <w:bottom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Statuts modifiés lors de la séance du conseil d'administration du 23 février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L'atteste: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4.19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i w:val="1"/>
          <w:iCs w:val="1"/>
          <w:color w:val="auto"/>
        </w:rPr>
        <w:t>The following is a summary of the material terms of our securities registered under Section 12 of the Securities Exchange Act of 1934, as amended (the “Exchange Act”), as of March 22, 2021. The following description of the terms of our common shares is not meant to be complete and is qualified by reference to our articles of association (“articles of association”), which is incorporated by reference as an exhibit to our Annual Report on Form 20-F, of which this exhibit is a part. We encourage you to read our articles of association and the applicable provisions of Swiss law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4, 2003. Our domicile and registered office is in Ecublens, near Lausanne, Canton of Vaud, Switzerland. Our head office is currently located at EPFL Innovation Park, Building B, 1015 Lausanne,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22, 2021, our issued share capital is CHF 1,537,748.98, consisting of 76,887,449 common shares with a nominal value of CHF 0.02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 dividend rights certificates (</w:t>
      </w:r>
      <w:r>
        <w:rPr>
          <w:rFonts w:ascii="Arial" w:cs="Arial" w:eastAsia="Arial" w:hAnsi="Arial"/>
          <w:sz w:val="18"/>
          <w:szCs w:val="18"/>
          <w:i w:val="1"/>
          <w:iCs w:val="1"/>
          <w:color w:val="auto"/>
        </w:rPr>
        <w:t>bons de jouissance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February 23, 2021, we adopted the articles of association and when we refer to our articles of association, we refer to the articles of association as filed as Exhibit 3.1 to our Annual Report on Form 20-F.</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7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ind w:left="980" w:right="40" w:hanging="324"/>
        <w:spacing w:after="0" w:line="286" w:lineRule="auto"/>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conditional capital (</w:t>
      </w:r>
      <w:r>
        <w:rPr>
          <w:rFonts w:ascii="Arial" w:cs="Arial" w:eastAsia="Arial" w:hAnsi="Arial"/>
          <w:sz w:val="16"/>
          <w:szCs w:val="16"/>
          <w:i w:val="1"/>
          <w:iCs w:val="1"/>
          <w:color w:val="auto"/>
        </w:rPr>
        <w:t>capital conditionnel</w:t>
      </w:r>
      <w:r>
        <w:rPr>
          <w:rFonts w:ascii="Arial" w:cs="Arial" w:eastAsia="Arial" w:hAnsi="Arial"/>
          <w:sz w:val="16"/>
          <w:szCs w:val="16"/>
          <w:color w:val="auto"/>
        </w:rPr>
        <w:t>) for the purpose of issuing shares in connection with, among other things, (i) the exercise of conversion and/or option or warrant rights granted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p>
      <w:pPr>
        <w:spacing w:after="0" w:line="1" w:lineRule="exact"/>
        <w:rPr>
          <w:rFonts w:ascii="Arial" w:cs="Arial" w:eastAsia="Arial" w:hAnsi="Arial"/>
          <w:sz w:val="16"/>
          <w:szCs w:val="16"/>
          <w:color w:val="auto"/>
        </w:rPr>
      </w:pPr>
    </w:p>
    <w:p>
      <w:pPr>
        <w:ind w:left="980" w:right="260" w:hanging="324"/>
        <w:spacing w:after="0" w:line="260" w:lineRule="auto"/>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Pursuant to the CO, shareholders have in principle pre-emptive subscription rights (</w:t>
      </w:r>
      <w:r>
        <w:rPr>
          <w:rFonts w:ascii="Arial" w:cs="Arial" w:eastAsia="Arial" w:hAnsi="Arial"/>
          <w:sz w:val="18"/>
          <w:szCs w:val="18"/>
          <w:i w:val="1"/>
          <w:iCs w:val="1"/>
          <w:color w:val="auto"/>
        </w:rPr>
        <w:t>droit préférentiel de souscription</w:t>
      </w:r>
      <w:r>
        <w:rPr>
          <w:rFonts w:ascii="Arial" w:cs="Arial" w:eastAsia="Arial" w:hAnsi="Arial"/>
          <w:sz w:val="18"/>
          <w:szCs w:val="18"/>
          <w:color w:val="auto"/>
        </w:rPr>
        <w:t>). With respect to conditional capital in connection with the issuance of conversion rights, convertible bonds or similar debt instruments, shareholders have in principle advance subscription rights (</w:t>
      </w:r>
      <w:r>
        <w:rPr>
          <w:rFonts w:ascii="Arial" w:cs="Arial" w:eastAsia="Arial" w:hAnsi="Arial"/>
          <w:sz w:val="18"/>
          <w:szCs w:val="18"/>
          <w:i w:val="1"/>
          <w:iCs w:val="1"/>
          <w:color w:val="auto"/>
        </w:rPr>
        <w:t>droit de souscrire préalablement</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Under Article 3a of our articles of association, board of directors is authorized to increase the share capital, in one or several steps until 27 June 2022, by a maximum amount of CHF 190,000 by issuing a maximum of 9,500,000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board of directors is authorized to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is authorized to withdraw or limit the pre-emptive rights of the shareholders and to allot them to third parties:</w:t>
      </w:r>
    </w:p>
    <w:p>
      <w:pPr>
        <w:spacing w:after="0" w:line="225" w:lineRule="exact"/>
        <w:rPr>
          <w:sz w:val="20"/>
          <w:szCs w:val="20"/>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23"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w:t>
      </w:r>
    </w:p>
    <w:p>
      <w:pPr>
        <w:ind w:left="980" w:right="480" w:hanging="324"/>
        <w:spacing w:after="0" w:line="250"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8"/>
          <w:szCs w:val="18"/>
          <w:color w:val="auto"/>
        </w:rPr>
      </w:pPr>
    </w:p>
    <w:p>
      <w:pPr>
        <w:ind w:left="980" w:right="60" w:hanging="324"/>
        <w:spacing w:after="0" w:line="260"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registered shares in a placement or sale of registered shares to the respective initial purchaser(s) or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32" w:name="page233"/>
    <w:bookmarkEnd w:id="232"/>
    <w:p>
      <w:pPr>
        <w:ind w:left="980" w:right="280" w:hanging="324"/>
        <w:spacing w:after="0" w:line="258"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CO; or</w:t>
      </w:r>
    </w:p>
    <w:p>
      <w:pPr>
        <w:spacing w:after="0" w:line="9" w:lineRule="exact"/>
        <w:rPr>
          <w:rFonts w:ascii="Arial" w:cs="Arial" w:eastAsia="Arial" w:hAnsi="Arial"/>
          <w:sz w:val="18"/>
          <w:szCs w:val="18"/>
          <w:color w:val="auto"/>
        </w:rPr>
      </w:pPr>
    </w:p>
    <w:p>
      <w:pPr>
        <w:ind w:left="980" w:right="20" w:hanging="324"/>
        <w:spacing w:after="0" w:line="271" w:lineRule="auto"/>
        <w:tabs>
          <w:tab w:leader="none" w:pos="9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33 1/3 %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Under Article 3b of our articles of association, our share capital may be increased by a maximum aggregate amount of CHF 91,560.94 through the issue of a maximum of 4,578,047 common shares, payable in full, each with a nominal value of CHF 0.02, through the exercise of conversion and/or option or warrant rights granted in connection with bonds or similar instruments, issued or to be issued by the Company or by one of our subsidiaries, including convertible debt instruments. Shareholders do not have pre-emptive subscription rights in such circumstances.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Shareholders’ subscription rights are excluded. Shareholders’ advance subscription rights with regards to new bonds or similar instruments may be restricted or excluded by decision of the board of directors in order to finance or re-finance the acquisition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Article 3c of our articles of association, our share capital may, to the exclusion of the pre-emptive subscription rights of shareholders, be increased by a maximum aggregate amount of CHF 65,954.32 through the issue of a maximum of 3,297,716 common shares, payable in full, each with a nominal value of CHF 0.02, in connection with the exercise of option rights granted to employees of the Company or one of our subsidiaries, members of the board of directors or any consultant, or other persons providing services to the Company or one of our subsidiaries. The board of directors specifies the precise conditions of issue including the issue price of the shares.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shares are uncertificated securities (</w:t>
      </w:r>
      <w:r>
        <w:rPr>
          <w:rFonts w:ascii="Arial" w:cs="Arial" w:eastAsia="Arial" w:hAnsi="Arial"/>
          <w:sz w:val="16"/>
          <w:szCs w:val="16"/>
          <w:i w:val="1"/>
          <w:iCs w:val="1"/>
          <w:color w:val="auto"/>
        </w:rPr>
        <w:t>droits-valeurs</w:t>
      </w:r>
      <w:r>
        <w:rPr>
          <w:rFonts w:ascii="Arial" w:cs="Arial" w:eastAsia="Arial" w:hAnsi="Arial"/>
          <w:sz w:val="16"/>
          <w:szCs w:val="16"/>
          <w:color w:val="auto"/>
        </w:rPr>
        <w:t>, within the meaning of Article 973c of the CO) and, when administered by a financial intermediary (</w:t>
      </w:r>
      <w:r>
        <w:rPr>
          <w:rFonts w:ascii="Arial" w:cs="Arial" w:eastAsia="Arial" w:hAnsi="Arial"/>
          <w:sz w:val="16"/>
          <w:szCs w:val="16"/>
          <w:i w:val="1"/>
          <w:iCs w:val="1"/>
          <w:color w:val="auto"/>
        </w:rPr>
        <w:t>dépositaire</w:t>
      </w:r>
      <w:r>
        <w:rPr>
          <w:rFonts w:ascii="Arial" w:cs="Arial" w:eastAsia="Arial" w:hAnsi="Arial"/>
          <w:sz w:val="16"/>
          <w:szCs w:val="16"/>
          <w:color w:val="auto"/>
        </w:rPr>
        <w:t>, within the meaning of the Federal Act on Intermediated Securities, “FISA”), qualify as intermediated securities (</w:t>
      </w:r>
      <w:r>
        <w:rPr>
          <w:rFonts w:ascii="Arial" w:cs="Arial" w:eastAsia="Arial" w:hAnsi="Arial"/>
          <w:sz w:val="16"/>
          <w:szCs w:val="16"/>
          <w:i w:val="1"/>
          <w:iCs w:val="1"/>
          <w:color w:val="auto"/>
        </w:rPr>
        <w:t>titres</w:t>
      </w:r>
      <w:r>
        <w:rPr>
          <w:rFonts w:ascii="Arial" w:cs="Arial" w:eastAsia="Arial" w:hAnsi="Arial"/>
          <w:sz w:val="16"/>
          <w:szCs w:val="16"/>
          <w:color w:val="auto"/>
        </w:rPr>
        <w:t xml:space="preserve"> </w:t>
      </w:r>
      <w:r>
        <w:rPr>
          <w:rFonts w:ascii="Arial" w:cs="Arial" w:eastAsia="Arial" w:hAnsi="Arial"/>
          <w:sz w:val="16"/>
          <w:szCs w:val="16"/>
          <w:i w:val="1"/>
          <w:iCs w:val="1"/>
          <w:color w:val="auto"/>
        </w:rPr>
        <w:t>intermédiés</w:t>
      </w:r>
      <w:r>
        <w:rPr>
          <w:rFonts w:ascii="Arial" w:cs="Arial" w:eastAsia="Arial" w:hAnsi="Arial"/>
          <w:sz w:val="16"/>
          <w:szCs w:val="16"/>
          <w:color w:val="auto"/>
        </w:rPr>
        <w:t>, within the meaning of the FISA). In accordance with Article 973c of the CO, we maintain a non-public register of uncertificated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registre des droits-valeurs</w:t>
      </w:r>
      <w:r>
        <w:rPr>
          <w:rFonts w:ascii="Arial" w:cs="Arial" w:eastAsia="Arial" w:hAnsi="Arial"/>
          <w:sz w:val="16"/>
          <w:szCs w:val="16"/>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3" w:name="page234"/>
    <w:bookmarkEnd w:id="233"/>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980" w:hanging="32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23"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electing and removal of the members of the board of directors, the chairman of the board of directors, the members of the compensation committee, the auditors and the independent proxy;</w:t>
      </w:r>
    </w:p>
    <w:p>
      <w:pPr>
        <w:ind w:left="980" w:hanging="32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approving the management report and the consolidated accounts;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approving the annual accounts and resolutions on the allocation of the disposable profits, and in particular setting the dividend and the shares of profit to board members;</w:t>
      </w:r>
    </w:p>
    <w:p>
      <w:pPr>
        <w:ind w:left="980" w:hanging="32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approving the total compensation paid to members of the board of directors and executive management;</w:t>
      </w:r>
    </w:p>
    <w:p>
      <w:pPr>
        <w:spacing w:after="0" w:line="9" w:lineRule="exact"/>
        <w:rPr>
          <w:rFonts w:ascii="Arial" w:cs="Arial" w:eastAsia="Arial" w:hAnsi="Arial"/>
          <w:sz w:val="18"/>
          <w:szCs w:val="18"/>
          <w:color w:val="auto"/>
        </w:rPr>
      </w:pPr>
    </w:p>
    <w:p>
      <w:pPr>
        <w:ind w:left="980" w:right="560" w:hanging="324"/>
        <w:spacing w:after="0" w:line="250" w:lineRule="auto"/>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ind w:left="980" w:hanging="32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9" w:lineRule="exact"/>
        <w:rPr>
          <w:rFonts w:ascii="Arial" w:cs="Arial" w:eastAsia="Arial" w:hAnsi="Arial"/>
          <w:sz w:val="18"/>
          <w:szCs w:val="18"/>
          <w:color w:val="auto"/>
        </w:rPr>
      </w:pPr>
    </w:p>
    <w:p>
      <w:pPr>
        <w:ind w:left="980" w:right="80" w:hanging="324"/>
        <w:spacing w:after="0" w:line="260" w:lineRule="auto"/>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passing resolutions concerning all matters which are reserved to the authority of the general meeting of shareholders by law or by the articles of association.</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70" w:lineRule="exact"/>
        <w:rPr>
          <w:sz w:val="20"/>
          <w:szCs w:val="20"/>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creating shares with privileged voting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restricting the transferability of common shares;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assets and granting of special benefits;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limiting or withdrawing shareholder’s pre-emptive subscription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9" w:lineRule="exact"/>
        <w:rPr>
          <w:rFonts w:ascii="Arial" w:cs="Arial" w:eastAsia="Arial" w:hAnsi="Arial"/>
          <w:sz w:val="18"/>
          <w:szCs w:val="18"/>
          <w:color w:val="auto"/>
        </w:rPr>
      </w:pPr>
    </w:p>
    <w:p>
      <w:pPr>
        <w:ind w:left="980" w:right="260" w:hanging="324"/>
        <w:spacing w:after="0" w:line="250"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common shares and the removal of the voting cap of 33 1⁄3% as contained in article 4 of the articles of association;</w:t>
      </w:r>
    </w:p>
    <w:p>
      <w:pPr>
        <w:ind w:left="980" w:right="460" w:hanging="324"/>
        <w:spacing w:after="0" w:line="250"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 as contained in article 29 of the articles of association;</w:t>
      </w: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converting common shares into bearer shares and vice versa;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dissolving or liquidating a company;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amending or eliminating article 17 (</w:t>
      </w:r>
      <w:r>
        <w:rPr>
          <w:rFonts w:ascii="Arial" w:cs="Arial" w:eastAsia="Arial" w:hAnsi="Arial"/>
          <w:sz w:val="18"/>
          <w:szCs w:val="18"/>
          <w:i w:val="1"/>
          <w:iCs w:val="1"/>
          <w:color w:val="auto"/>
        </w:rPr>
        <w:t>resolutions and elections</w:t>
      </w:r>
      <w:r>
        <w:rPr>
          <w:rFonts w:ascii="Arial" w:cs="Arial" w:eastAsia="Arial" w:hAnsi="Arial"/>
          <w:sz w:val="18"/>
          <w:szCs w:val="18"/>
          <w:color w:val="auto"/>
        </w:rPr>
        <w:t>) of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4" w:name="page235"/>
    <w:bookmarkEnd w:id="234"/>
    <w:p>
      <w:pPr>
        <w:ind w:right="460" w:firstLine="324"/>
        <w:spacing w:after="0" w:line="263" w:lineRule="auto"/>
        <w:rPr>
          <w:sz w:val="20"/>
          <w:szCs w:val="20"/>
          <w:color w:val="auto"/>
        </w:rPr>
      </w:pPr>
      <w:r>
        <w:rPr>
          <w:rFonts w:ascii="Arial" w:cs="Arial" w:eastAsia="Arial" w:hAnsi="Arial"/>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84"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280" w:firstLine="324"/>
        <w:spacing w:after="0" w:line="272" w:lineRule="auto"/>
        <w:rPr>
          <w:sz w:val="20"/>
          <w:szCs w:val="20"/>
          <w:color w:val="auto"/>
        </w:rPr>
      </w:pPr>
      <w:r>
        <w:rPr>
          <w:rFonts w:ascii="Arial" w:cs="Arial" w:eastAsia="Arial" w:hAnsi="Arial"/>
          <w:sz w:val="17"/>
          <w:szCs w:val="17"/>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7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jc w:val="both"/>
        <w:ind w:right="40" w:firstLine="324"/>
        <w:spacing w:after="0" w:line="296" w:lineRule="auto"/>
        <w:rPr>
          <w:sz w:val="20"/>
          <w:szCs w:val="20"/>
          <w:color w:val="auto"/>
        </w:rPr>
      </w:pPr>
      <w:r>
        <w:rPr>
          <w:rFonts w:ascii="Arial" w:cs="Arial" w:eastAsia="Arial" w:hAnsi="Arial"/>
          <w:sz w:val="16"/>
          <w:szCs w:val="16"/>
          <w:color w:val="auto"/>
        </w:rPr>
        <w:t>Pursuant to Swiss law,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161" w:lineRule="exact"/>
        <w:rPr>
          <w:sz w:val="20"/>
          <w:szCs w:val="20"/>
          <w:color w:val="auto"/>
        </w:rPr>
      </w:pPr>
    </w:p>
    <w:p>
      <w:pPr>
        <w:ind w:left="980" w:right="200" w:hanging="324"/>
        <w:spacing w:after="0" w:line="258"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name and address, as they appear in our share register, of the shareholder proposing such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number of shares of the Company which are beneficially owned by such shareholder;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dates upon which the shareholder acquired such shares;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documentary support for any claim of beneficial ownership;</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material interest of such shareholder in such business; and</w:t>
      </w:r>
    </w:p>
    <w:p>
      <w:pPr>
        <w:spacing w:after="0" w:line="9" w:lineRule="exact"/>
        <w:rPr>
          <w:rFonts w:ascii="Arial" w:cs="Arial" w:eastAsia="Arial" w:hAnsi="Arial"/>
          <w:sz w:val="18"/>
          <w:szCs w:val="18"/>
          <w:color w:val="auto"/>
        </w:rPr>
      </w:pPr>
    </w:p>
    <w:p>
      <w:pPr>
        <w:ind w:left="980" w:right="580" w:hanging="324"/>
        <w:spacing w:after="0" w:line="260"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statement in support of the matter and, for proposals sought to be included in the Company's proxy statement, any other information required by Securities and Exchange Commission Rule 14a-8.</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5" w:name="page236"/>
    <w:bookmarkEnd w:id="235"/>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6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 We are not permitted to pay interim dividends out of profit of the current business year.</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6" w:name="page237"/>
    <w:bookmarkEnd w:id="236"/>
    <w:p>
      <w:pPr>
        <w:ind w:right="220" w:firstLine="324"/>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intermédiés</w:t>
      </w:r>
      <w:r>
        <w:rPr>
          <w:rFonts w:ascii="Arial" w:cs="Arial" w:eastAsia="Arial" w:hAnsi="Arial"/>
          <w:sz w:val="18"/>
          <w:szCs w:val="18"/>
          <w:color w:val="auto"/>
        </w:rPr>
        <w:t>) may only be transferred when a credit of the relevant intermediated securities to the acquirer’s securities account is made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Voting rights may be exercised only after a shareholder (or usufructuaries) has been entered in our share register (</w:t>
      </w:r>
      <w:r>
        <w:rPr>
          <w:rFonts w:ascii="Arial" w:cs="Arial" w:eastAsia="Arial" w:hAnsi="Arial"/>
          <w:sz w:val="17"/>
          <w:szCs w:val="17"/>
          <w:i w:val="1"/>
          <w:iCs w:val="1"/>
          <w:color w:val="auto"/>
        </w:rPr>
        <w:t>registre des actions</w:t>
      </w:r>
      <w:r>
        <w:rPr>
          <w:rFonts w:ascii="Arial" w:cs="Arial" w:eastAsia="Arial" w:hAnsi="Arial"/>
          <w:sz w:val="17"/>
          <w:szCs w:val="17"/>
          <w:color w:val="auto"/>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voting caps apply to shareholders acquiring shares for other persons (nominees).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7" w:name="page238"/>
    <w:bookmarkEnd w:id="237"/>
    <w:p>
      <w:pPr>
        <w:ind w:right="100" w:firstLine="324"/>
        <w:spacing w:after="0" w:line="301" w:lineRule="auto"/>
        <w:rPr>
          <w:sz w:val="20"/>
          <w:szCs w:val="20"/>
          <w:color w:val="auto"/>
        </w:rPr>
      </w:pPr>
      <w:r>
        <w:rPr>
          <w:rFonts w:ascii="Arial" w:cs="Arial" w:eastAsia="Arial" w:hAnsi="Arial"/>
          <w:sz w:val="16"/>
          <w:szCs w:val="16"/>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57"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65" w:lineRule="exact"/>
        <w:rPr>
          <w:sz w:val="20"/>
          <w:szCs w:val="20"/>
          <w:color w:val="auto"/>
        </w:rPr>
      </w:pPr>
    </w:p>
    <w:p>
      <w:pPr>
        <w:ind w:left="980" w:right="600" w:hanging="324"/>
        <w:spacing w:after="0" w:line="258"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core part of our business is sold without which it is economically impracticable or unreasonable to continue to operate the remaining business;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9" w:lineRule="exact"/>
        <w:rPr>
          <w:rFonts w:ascii="Arial" w:cs="Arial" w:eastAsia="Arial" w:hAnsi="Arial"/>
          <w:sz w:val="18"/>
          <w:szCs w:val="18"/>
          <w:color w:val="auto"/>
        </w:rPr>
      </w:pPr>
    </w:p>
    <w:p>
      <w:pPr>
        <w:ind w:left="980" w:right="420" w:hanging="324"/>
        <w:spacing w:after="0" w:line="260"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8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determination of the Company's organization;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organization of the accounting, financial control and financial planning systems are required for management of the Company;</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appointment an dismissal of persons entrusted with managing and representing the Company;</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overall supervision of the persons entrusted with managing the Company, in particular with regard to compliance with the law, articles of association, operational regulations and directives;</w:t>
      </w:r>
    </w:p>
    <w:p>
      <w:pPr>
        <w:ind w:left="980" w:hanging="324"/>
        <w:spacing w:after="0"/>
        <w:tabs>
          <w:tab w:leader="none" w:pos="9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compilation of the annual report, and the preparation for the general meeting of shareholders and implementing its resolutions;</w:t>
      </w:r>
    </w:p>
    <w:p>
      <w:pPr>
        <w:spacing w:after="0" w:line="20" w:lineRule="exact"/>
        <w:rPr>
          <w:rFonts w:ascii="Arial" w:cs="Arial" w:eastAsia="Arial" w:hAnsi="Arial"/>
          <w:sz w:val="17"/>
          <w:szCs w:val="17"/>
          <w:color w:val="auto"/>
        </w:rPr>
      </w:pPr>
    </w:p>
    <w:p>
      <w:pPr>
        <w:ind w:left="980" w:right="120" w:hanging="324"/>
        <w:spacing w:after="0" w:line="250" w:lineRule="auto"/>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preparation of the compensation report and to request approval by the general meeting of shareholders regarding the compensation of the board of directors and the executive committee; and</w:t>
      </w: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notification of the court in the event that the Company is over-indebted.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8" w:name="page239"/>
    <w:bookmarkEnd w:id="238"/>
    <w:p>
      <w:pPr>
        <w:ind w:right="40" w:firstLine="324"/>
        <w:spacing w:after="0" w:line="301" w:lineRule="auto"/>
        <w:rPr>
          <w:sz w:val="20"/>
          <w:szCs w:val="20"/>
          <w:color w:val="auto"/>
        </w:rPr>
      </w:pPr>
      <w:r>
        <w:rPr>
          <w:rFonts w:ascii="Arial" w:cs="Arial" w:eastAsia="Arial" w:hAnsi="Arial"/>
          <w:sz w:val="16"/>
          <w:szCs w:val="16"/>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5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assigns the persons with signatory power for the Company and the kind of signatory power.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4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6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9" w:name="page240"/>
    <w:bookmarkEnd w:id="239"/>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980" w:right="80" w:hanging="324"/>
        <w:spacing w:after="0" w:line="258"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ind w:left="980" w:right="280" w:hanging="324"/>
        <w:spacing w:after="0" w:line="250"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general meeting of shareholders annually votes on the proposals of the board of directors with respect to:</w:t>
      </w:r>
    </w:p>
    <w:p>
      <w:pPr>
        <w:spacing w:after="0" w:line="225" w:lineRule="exact"/>
        <w:rPr>
          <w:sz w:val="20"/>
          <w:szCs w:val="20"/>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board of directors for the next term of office;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maximum aggregate amount of a possible additional compensation of the board of directors for the preceding business year;</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executive management for the 12-month period starting on 1 July following the ordinary general meeting of shareholders;</w:t>
      </w: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maximum aggregate amount of variable compensation for the executive management for the current year;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maximum aggregate amount of options or shares in the Company granted to the board of directors and the executive management.</w:t>
      </w:r>
    </w:p>
    <w:p>
      <w:pPr>
        <w:spacing w:after="0" w:line="22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0" w:name="page241"/>
    <w:bookmarkEnd w:id="240"/>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hold 4,235,023 fully paid up common shares of par value CHF 0.02 each, as treasury shares.</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2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70"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Andrea Pfeifer, certify that:</w:t>
      </w:r>
    </w:p>
    <w:p>
      <w:pPr>
        <w:spacing w:after="0" w:line="225" w:lineRule="exact"/>
        <w:rPr>
          <w:sz w:val="20"/>
          <w:szCs w:val="20"/>
          <w:color w:val="auto"/>
        </w:rPr>
      </w:pPr>
    </w:p>
    <w:p>
      <w:pPr>
        <w:ind w:left="180" w:hanging="172"/>
        <w:spacing w:after="0"/>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AC Immune SA;</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ind w:right="180" w:firstLine="8"/>
        <w:spacing w:after="0" w:line="263" w:lineRule="auto"/>
        <w:tabs>
          <w:tab w:leader="none" w:pos="24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40" w:firstLine="8"/>
        <w:spacing w:after="0" w:line="277" w:lineRule="auto"/>
        <w:tabs>
          <w:tab w:leader="none" w:pos="24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380" w:firstLine="8"/>
        <w:spacing w:after="0" w:line="308" w:lineRule="auto"/>
        <w:tabs>
          <w:tab w:leader="none" w:pos="2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sz w:val="20"/>
          <w:szCs w:val="20"/>
          <w:color w:val="auto"/>
        </w:rPr>
      </w:pPr>
    </w:p>
    <w:p>
      <w:pPr>
        <w:ind w:right="300" w:firstLine="8"/>
        <w:spacing w:after="0" w:line="308" w:lineRule="auto"/>
        <w:tabs>
          <w:tab w:leader="none" w:pos="1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Andrea Pfeifer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Joerg Hornstein, certify that:</w:t>
      </w:r>
    </w:p>
    <w:p>
      <w:pPr>
        <w:spacing w:after="0" w:line="225" w:lineRule="exact"/>
        <w:rPr>
          <w:sz w:val="20"/>
          <w:szCs w:val="20"/>
          <w:color w:val="auto"/>
        </w:rPr>
      </w:pPr>
    </w:p>
    <w:p>
      <w:pPr>
        <w:ind w:left="180" w:hanging="172"/>
        <w:spacing w:after="0"/>
        <w:tabs>
          <w:tab w:leader="none" w:pos="1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AC Immune SA;</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ind w:right="180" w:firstLine="8"/>
        <w:spacing w:after="0" w:line="263" w:lineRule="auto"/>
        <w:tabs>
          <w:tab w:leader="none" w:pos="24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40" w:firstLine="8"/>
        <w:spacing w:after="0" w:line="277" w:lineRule="auto"/>
        <w:tabs>
          <w:tab w:leader="none" w:pos="24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380" w:firstLine="8"/>
        <w:spacing w:after="0" w:line="308" w:lineRule="auto"/>
        <w:tabs>
          <w:tab w:leader="none" w:pos="25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sz w:val="20"/>
          <w:szCs w:val="20"/>
          <w:color w:val="auto"/>
        </w:rPr>
      </w:pPr>
    </w:p>
    <w:p>
      <w:pPr>
        <w:ind w:right="300" w:firstLine="8"/>
        <w:spacing w:after="0" w:line="308" w:lineRule="auto"/>
        <w:tabs>
          <w:tab w:leader="none" w:pos="1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Joerg Hornstein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AC Immune SA’s annual report on Form 20-F for the year ended December 31, 2020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Andrea Pfeifer, the Chief Executive Officer of AC Immune SA, certifies that, to the best of her knowledge:</w:t>
      </w:r>
    </w:p>
    <w:p>
      <w:pPr>
        <w:spacing w:after="0" w:line="225" w:lineRule="exact"/>
        <w:rPr>
          <w:sz w:val="20"/>
          <w:szCs w:val="20"/>
          <w:color w:val="auto"/>
        </w:rPr>
      </w:pPr>
    </w:p>
    <w:p>
      <w:pPr>
        <w:ind w:left="180" w:hanging="172"/>
        <w:spacing w:after="0"/>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460" w:firstLine="8"/>
        <w:spacing w:after="0" w:line="500" w:lineRule="auto"/>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 Immune SA. Date: March 23, 2021</w:t>
      </w:r>
    </w:p>
    <w:p>
      <w:pPr>
        <w:spacing w:after="0" w:line="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Andrea Pfeifer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AC Immune SA’s annual report on Form 20-F for the year ended December 31, 2020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Joerg Hornstein, the Chief Financial Officer of AC Immune SA, certifies that, to the best of his knowledge:</w:t>
      </w:r>
    </w:p>
    <w:p>
      <w:pPr>
        <w:spacing w:after="0" w:line="225" w:lineRule="exact"/>
        <w:rPr>
          <w:sz w:val="20"/>
          <w:szCs w:val="20"/>
          <w:color w:val="auto"/>
        </w:rPr>
      </w:pPr>
    </w:p>
    <w:p>
      <w:pPr>
        <w:ind w:left="180" w:hanging="172"/>
        <w:spacing w:after="0"/>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460" w:firstLine="8"/>
        <w:spacing w:after="0" w:line="500" w:lineRule="auto"/>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 Immune SA. Date: March 23, 2021</w:t>
      </w:r>
    </w:p>
    <w:p>
      <w:pPr>
        <w:spacing w:after="0" w:line="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Joerg Hornstein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F-3 (No. 333-224694, No. 333-227016, and No. 333-249655) and on Form S-8 (No. 333-233019) of AC Immune SA of our report dated March 23, 2021 relating to the financial statements, which appears in this Form 20-F.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1."/>
      <w:numFmt w:val="upperLetter"/>
      <w:start w:val="1"/>
    </w:lvl>
  </w:abstractNum>
  <w:abstractNum w:abstractNumId="6">
    <w:nsid w:val="71EA1109"/>
    <w:multiLevelType w:val="hybridMultilevel"/>
    <w:lvl w:ilvl="0">
      <w:lvlJc w:val="left"/>
      <w:lvlText w:val="%1."/>
      <w:numFmt w:val="upperLetter"/>
      <w:start w:val="1"/>
    </w:lvl>
  </w:abstractNum>
  <w:abstractNum w:abstractNumId="7">
    <w:nsid w:val="100F59DC"/>
    <w:multiLevelType w:val="hybridMultilevel"/>
    <w:lvl w:ilvl="0">
      <w:lvlJc w:val="left"/>
      <w:lvlText w:val="%1."/>
      <w:numFmt w:val="upperLetter"/>
      <w:start w:val="1"/>
    </w:lvl>
  </w:abstractNum>
  <w:abstractNum w:abstractNumId="8">
    <w:nsid w:val="7FB7E0AA"/>
    <w:multiLevelType w:val="hybridMultilevel"/>
    <w:lvl w:ilvl="0">
      <w:lvlJc w:val="left"/>
      <w:lvlText w:val="·"/>
      <w:numFmt w:val="bullet"/>
      <w:start w:val="1"/>
    </w:lvl>
    <w:lvl w:ilvl="1">
      <w:lvlJc w:val="left"/>
      <w:lvlText w:val="%2."/>
      <w:numFmt w:val="lowerLetter"/>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1)"/>
      <w:numFmt w:val="lowerRoman"/>
      <w:start w:val="2"/>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1."/>
      <w:numFmt w:val="decimal"/>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1."/>
      <w:numFmt w:val="decimal"/>
      <w:start w:val="2"/>
    </w:lvl>
  </w:abstractNum>
  <w:abstractNum w:abstractNumId="41">
    <w:nsid w:val="5F3534A4"/>
    <w:multiLevelType w:val="hybridMultilevel"/>
    <w:lvl w:ilvl="0">
      <w:lvlJc w:val="left"/>
      <w:lvlText w:val="%1."/>
      <w:numFmt w:val="decimal"/>
      <w:start w:val="3"/>
    </w:lvl>
  </w:abstractNum>
  <w:abstractNum w:abstractNumId="42">
    <w:nsid w:val="73A1821B"/>
    <w:multiLevelType w:val="hybridMultilevel"/>
    <w:lvl w:ilvl="0">
      <w:lvlJc w:val="left"/>
      <w:lvlText w:val="%1."/>
      <w:numFmt w:val="decimal"/>
      <w:start w:val="4"/>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1)"/>
      <w:numFmt w:val="decimal"/>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1."/>
      <w:numFmt w:val="upperLetter"/>
      <w:start w:val="1"/>
    </w:lvl>
  </w:abstractNum>
  <w:abstractNum w:abstractNumId="63">
    <w:nsid w:val="7C58FD05"/>
    <w:multiLevelType w:val="hybridMultilevel"/>
    <w:lvl w:ilvl="0">
      <w:lvlJc w:val="left"/>
      <w:lvlText w:val="·"/>
      <w:numFmt w:val="bullet"/>
      <w:start w:val="1"/>
    </w:lvl>
  </w:abstractNum>
  <w:abstractNum w:abstractNumId="64">
    <w:nsid w:val="23D86AAC"/>
    <w:multiLevelType w:val="hybridMultilevel"/>
    <w:lvl w:ilvl="0">
      <w:lvlJc w:val="left"/>
      <w:lvlText w:val="·"/>
      <w:numFmt w:val="bullet"/>
      <w:start w:val="1"/>
    </w:lvl>
  </w:abstractNum>
  <w:abstractNum w:abstractNumId="65">
    <w:nsid w:val="45E6D486"/>
    <w:multiLevelType w:val="hybridMultilevel"/>
    <w:lvl w:ilvl="0">
      <w:lvlJc w:val="left"/>
      <w:lvlText w:val="·"/>
      <w:numFmt w:val="bullet"/>
      <w:start w:val="1"/>
    </w:lvl>
  </w:abstractNum>
  <w:abstractNum w:abstractNumId="66">
    <w:nsid w:val="5C10FE21"/>
    <w:multiLevelType w:val="hybridMultilevel"/>
    <w:lvl w:ilvl="0">
      <w:lvlJc w:val="left"/>
      <w:lvlText w:val="·"/>
      <w:numFmt w:val="bullet"/>
      <w:start w:val="1"/>
    </w:lvl>
  </w:abstractNum>
  <w:abstractNum w:abstractNumId="67">
    <w:nsid w:val="E7FFA2B"/>
    <w:multiLevelType w:val="hybridMultilevel"/>
    <w:lvl w:ilvl="0">
      <w:lvlJc w:val="left"/>
      <w:lvlText w:val="·"/>
      <w:numFmt w:val="bullet"/>
      <w:start w:val="1"/>
    </w:lvl>
  </w:abstractNum>
  <w:abstractNum w:abstractNumId="68">
    <w:nsid w:val="3C5991AA"/>
    <w:multiLevelType w:val="hybridMultilevel"/>
    <w:lvl w:ilvl="0">
      <w:lvlJc w:val="left"/>
      <w:lvlText w:val="·"/>
      <w:numFmt w:val="bullet"/>
      <w:start w:val="1"/>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1)"/>
      <w:numFmt w:val="lowerRoman"/>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
      <w:numFmt w:val="bullet"/>
      <w:start w:val="1"/>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
      <w:numFmt w:val="bullet"/>
      <w:start w:val="1"/>
    </w:lvl>
  </w:abstractNum>
  <w:abstractNum w:abstractNumId="81">
    <w:nsid w:val="3DD15094"/>
    <w:multiLevelType w:val="hybridMultilevel"/>
    <w:lvl w:ilvl="0">
      <w:lvlJc w:val="left"/>
      <w:lvlText w:val="%1."/>
      <w:numFmt w:val="upperLetter"/>
      <w:start w:val="1"/>
    </w:lvl>
    <w:lvl w:ilvl="1">
      <w:lvlJc w:val="left"/>
      <w:lvlText w:val="·"/>
      <w:numFmt w:val="bullet"/>
      <w:start w:val="1"/>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1."/>
      <w:numFmt w:val="upperLetter"/>
      <w:start w:val="4"/>
    </w:lvl>
  </w:abstractNum>
  <w:abstractNum w:abstractNumId="85">
    <w:nsid w:val="175DFCF0"/>
    <w:multiLevelType w:val="hybridMultilevel"/>
    <w:lvl w:ilvl="0">
      <w:lvlJc w:val="left"/>
      <w:lvlText w:val="%1."/>
      <w:numFmt w:val="upperLetter"/>
      <w:start w:val="3"/>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1."/>
      <w:numFmt w:val="upperLetter"/>
      <w:start w:val="5"/>
    </w:lvl>
  </w:abstractNum>
  <w:abstractNum w:abstractNumId="91">
    <w:nsid w:val="519E3149"/>
    <w:multiLevelType w:val="hybridMultilevel"/>
    <w:lvl w:ilvl="0">
      <w:lvlJc w:val="left"/>
      <w:lvlText w:val="·"/>
      <w:numFmt w:val="bullet"/>
      <w:start w:val="1"/>
    </w:lvl>
  </w:abstractNum>
  <w:abstractNum w:abstractNumId="92">
    <w:nsid w:val="2C6E4AFD"/>
    <w:multiLevelType w:val="hybridMultilevel"/>
    <w:lvl w:ilvl="0">
      <w:lvlJc w:val="left"/>
      <w:lvlText w:val="(%1)"/>
      <w:numFmt w:val="lowerRoman"/>
      <w:start w:val="2"/>
    </w:lvl>
  </w:abstractNum>
  <w:abstractNum w:abstractNumId="93">
    <w:nsid w:val="17A1B582"/>
    <w:multiLevelType w:val="hybridMultilevel"/>
    <w:lvl w:ilvl="0">
      <w:lvlJc w:val="left"/>
      <w:lvlText w:val="%1."/>
      <w:numFmt w:val="upperLetter"/>
      <w:start w:val="3"/>
    </w:lvl>
  </w:abstractNum>
  <w:abstractNum w:abstractNumId="94">
    <w:nsid w:val="4DF72E4E"/>
    <w:multiLevelType w:val="hybridMultilevel"/>
    <w:lvl w:ilvl="0">
      <w:lvlJc w:val="left"/>
      <w:lvlText w:val="%1."/>
      <w:numFmt w:val="upperLetter"/>
      <w:start w:val="1"/>
    </w:lvl>
  </w:abstractNum>
  <w:abstractNum w:abstractNumId="95">
    <w:nsid w:val="5046B5A9"/>
    <w:multiLevelType w:val="hybridMultilevel"/>
    <w:lvl w:ilvl="0">
      <w:lvlJc w:val="left"/>
      <w:lvlText w:val="%1."/>
      <w:numFmt w:val="upperLetter"/>
      <w:start w:val="1"/>
    </w:lvl>
  </w:abstractNum>
  <w:abstractNum w:abstractNumId="96">
    <w:nsid w:val="5D888A08"/>
    <w:multiLevelType w:val="hybridMultilevel"/>
    <w:lvl w:ilvl="0">
      <w:lvlJc w:val="left"/>
      <w:lvlText w:val="%1."/>
      <w:numFmt w:val="upperLetter"/>
      <w:start w:val="1"/>
    </w:lvl>
  </w:abstractNum>
  <w:abstractNum w:abstractNumId="97">
    <w:nsid w:val="2A082C70"/>
    <w:multiLevelType w:val="hybridMultilevel"/>
    <w:lvl w:ilvl="0">
      <w:lvlJc w:val="left"/>
      <w:lvlText w:val="%1."/>
      <w:numFmt w:val="upperLetter"/>
      <w:start w:val="2"/>
    </w:lvl>
  </w:abstractNum>
  <w:abstractNum w:abstractNumId="98">
    <w:nsid w:val="5EC6AFD4"/>
    <w:multiLevelType w:val="hybridMultilevel"/>
    <w:lvl w:ilvl="0">
      <w:lvlJc w:val="left"/>
      <w:lvlText w:val="·"/>
      <w:numFmt w:val="bullet"/>
      <w:start w:val="1"/>
    </w:lvl>
  </w:abstractNum>
  <w:abstractNum w:abstractNumId="99">
    <w:nsid w:val="19E21BB2"/>
    <w:multiLevelType w:val="hybridMultilevel"/>
    <w:lvl w:ilvl="0">
      <w:lvlJc w:val="left"/>
      <w:lvlText w:val="·"/>
      <w:numFmt w:val="bullet"/>
      <w:start w:val="1"/>
    </w:lvl>
  </w:abstractNum>
  <w:abstractNum w:abstractNumId="100">
    <w:nsid w:val="75E0858A"/>
    <w:multiLevelType w:val="hybridMultilevel"/>
    <w:lvl w:ilvl="0">
      <w:lvlJc w:val="left"/>
      <w:lvlText w:val="%1."/>
      <w:numFmt w:val="upperLetter"/>
      <w:start w:val="6"/>
    </w:lvl>
  </w:abstractNum>
  <w:abstractNum w:abstractNumId="101">
    <w:nsid w:val="57A61A29"/>
    <w:multiLevelType w:val="hybridMultilevel"/>
    <w:lvl w:ilvl="0">
      <w:lvlJc w:val="left"/>
      <w:lvlText w:val="%1."/>
      <w:numFmt w:val="upperLetter"/>
      <w:start w:val="9"/>
    </w:lvl>
  </w:abstractNum>
  <w:abstractNum w:abstractNumId="102">
    <w:nsid w:val="5399C654"/>
    <w:multiLevelType w:val="hybridMultilevel"/>
    <w:lvl w:ilvl="0">
      <w:lvlJc w:val="left"/>
      <w:lvlText w:val="%1."/>
      <w:numFmt w:val="upperLetter"/>
      <w:start w:val="1"/>
    </w:lvl>
  </w:abstractNum>
  <w:abstractNum w:abstractNumId="103">
    <w:nsid w:val="20EE1348"/>
    <w:multiLevelType w:val="hybridMultilevel"/>
    <w:lvl w:ilvl="0">
      <w:lvlJc w:val="left"/>
      <w:lvlText w:val="%1."/>
      <w:numFmt w:val="upperLetter"/>
      <w:start w:val="3"/>
    </w:lvl>
  </w:abstractNum>
  <w:abstractNum w:abstractNumId="104">
    <w:nsid w:val="4427069A"/>
    <w:multiLevelType w:val="hybridMultilevel"/>
    <w:lvl w:ilvl="0">
      <w:lvlJc w:val="left"/>
      <w:lvlText w:val="%1."/>
      <w:numFmt w:val="upperLetter"/>
      <w:start w:val="1"/>
    </w:lvl>
  </w:abstractNum>
  <w:abstractNum w:abstractNumId="105">
    <w:nsid w:val="B37E80A"/>
    <w:multiLevelType w:val="hybridMultilevel"/>
    <w:lvl w:ilvl="0">
      <w:lvlJc w:val="left"/>
      <w:lvlText w:val="%1."/>
      <w:numFmt w:val="upperLetter"/>
      <w:start w:val="5"/>
    </w:lvl>
  </w:abstractNum>
  <w:abstractNum w:abstractNumId="106">
    <w:nsid w:val="2157F6BC"/>
    <w:multiLevelType w:val="hybridMultilevel"/>
    <w:lvl w:ilvl="0">
      <w:lvlJc w:val="left"/>
      <w:lvlText w:val="*"/>
      <w:numFmt w:val="bullet"/>
      <w:start w:val="1"/>
    </w:lvl>
  </w:abstractNum>
  <w:abstractNum w:abstractNumId="107">
    <w:nsid w:val="704E1DD5"/>
    <w:multiLevelType w:val="hybridMultilevel"/>
    <w:lvl w:ilvl="0">
      <w:lvlJc w:val="left"/>
      <w:lvlText w:val="%1."/>
      <w:numFmt w:val="decimal"/>
      <w:start w:val="1"/>
    </w:lvl>
  </w:abstractNum>
  <w:abstractNum w:abstractNumId="108">
    <w:nsid w:val="57D2F10E"/>
    <w:multiLevelType w:val="hybridMultilevel"/>
    <w:lvl w:ilvl="0">
      <w:lvlJc w:val="left"/>
      <w:lvlText w:val="%1."/>
      <w:numFmt w:val="decimal"/>
      <w:start w:val="2"/>
    </w:lvl>
  </w:abstractNum>
  <w:abstractNum w:abstractNumId="109">
    <w:nsid w:val="BFFAE18"/>
    <w:multiLevelType w:val="hybridMultilevel"/>
    <w:lvl w:ilvl="0">
      <w:lvlJc w:val="left"/>
      <w:lvlText w:val="%1."/>
      <w:numFmt w:val="decimal"/>
      <w:start w:val="3"/>
    </w:lvl>
  </w:abstractNum>
  <w:abstractNum w:abstractNumId="110">
    <w:nsid w:val="E3E47A8"/>
    <w:multiLevelType w:val="hybridMultilevel"/>
    <w:lvl w:ilvl="0">
      <w:lvlJc w:val="left"/>
      <w:lvlText w:val="·"/>
      <w:numFmt w:val="bullet"/>
      <w:start w:val="1"/>
    </w:lvl>
  </w:abstractNum>
  <w:abstractNum w:abstractNumId="111">
    <w:nsid w:val="2E48F044"/>
    <w:multiLevelType w:val="hybridMultilevel"/>
    <w:lvl w:ilvl="0">
      <w:lvlJc w:val="left"/>
      <w:lvlText w:val="·"/>
      <w:numFmt w:val="bullet"/>
      <w:start w:val="1"/>
    </w:lvl>
  </w:abstractNum>
  <w:abstractNum w:abstractNumId="112">
    <w:nsid w:val="49D0FEAC"/>
    <w:multiLevelType w:val="hybridMultilevel"/>
    <w:lvl w:ilvl="0">
      <w:lvlJc w:val="left"/>
      <w:lvlText w:val="%1."/>
      <w:numFmt w:val="decimal"/>
      <w:start w:val="4"/>
    </w:lvl>
  </w:abstractNum>
  <w:abstractNum w:abstractNumId="113">
    <w:nsid w:val="4BEE5A5B"/>
    <w:multiLevelType w:val="hybridMultilevel"/>
    <w:lvl w:ilvl="0">
      <w:lvlJc w:val="left"/>
      <w:lvlText w:val="%1."/>
      <w:numFmt w:val="decimal"/>
      <w:start w:val="5"/>
    </w:lvl>
  </w:abstractNum>
  <w:abstractNum w:abstractNumId="114">
    <w:nsid w:val="5551B9F3"/>
    <w:multiLevelType w:val="hybridMultilevel"/>
    <w:lvl w:ilvl="0">
      <w:lvlJc w:val="left"/>
      <w:lvlText w:val="%1."/>
      <w:numFmt w:val="decimal"/>
      <w:start w:val="6"/>
    </w:lvl>
  </w:abstractNum>
  <w:abstractNum w:abstractNumId="115">
    <w:nsid w:val="24F6AB8E"/>
    <w:multiLevelType w:val="hybridMultilevel"/>
    <w:lvl w:ilvl="0">
      <w:lvlJc w:val="left"/>
      <w:lvlText w:val="%1."/>
      <w:numFmt w:val="decimal"/>
      <w:start w:val="9"/>
    </w:lvl>
  </w:abstractNum>
  <w:abstractNum w:abstractNumId="116">
    <w:nsid w:val="634C574C"/>
    <w:multiLevelType w:val="hybridMultilevel"/>
    <w:lvl w:ilvl="0">
      <w:lvlJc w:val="left"/>
      <w:lvlText w:val="%1."/>
      <w:numFmt w:val="decimal"/>
      <w:start w:val="13"/>
    </w:lvl>
    <w:lvl w:ilvl="1">
      <w:lvlJc w:val="left"/>
      <w:lvlText w:val="·"/>
      <w:numFmt w:val="bullet"/>
      <w:start w:val="1"/>
    </w:lvl>
  </w:abstractNum>
  <w:abstractNum w:abstractNumId="117">
    <w:nsid w:val="24E99DD7"/>
    <w:multiLevelType w:val="hybridMultilevel"/>
    <w:lvl w:ilvl="0">
      <w:lvlJc w:val="left"/>
      <w:lvlText w:val="%1."/>
      <w:numFmt w:val="decimal"/>
      <w:start w:val="15"/>
    </w:lvl>
  </w:abstractNum>
  <w:abstractNum w:abstractNumId="118">
    <w:nsid w:val="2A31B62D"/>
    <w:multiLevelType w:val="hybridMultilevel"/>
    <w:lvl w:ilvl="0">
      <w:lvlJc w:val="left"/>
      <w:lvlText w:val="%1."/>
      <w:numFmt w:val="decimal"/>
      <w:start w:val="16"/>
    </w:lvl>
  </w:abstractNum>
  <w:abstractNum w:abstractNumId="119">
    <w:nsid w:val="1849C29B"/>
    <w:multiLevelType w:val="hybridMultilevel"/>
    <w:lvl w:ilvl="0">
      <w:lvlJc w:val="left"/>
      <w:lvlText w:val="%1."/>
      <w:numFmt w:val="decimal"/>
      <w:start w:val="17"/>
    </w:lvl>
  </w:abstractNum>
  <w:abstractNum w:abstractNumId="120">
    <w:nsid w:val="7DFF9D09"/>
    <w:multiLevelType w:val="hybridMultilevel"/>
    <w:lvl w:ilvl="0">
      <w:lvlJc w:val="left"/>
      <w:lvlText w:val="%1."/>
      <w:numFmt w:val="decimal"/>
      <w:start w:val="21"/>
    </w:lvl>
  </w:abstractNum>
  <w:abstractNum w:abstractNumId="121">
    <w:nsid w:val="754342"/>
    <w:multiLevelType w:val="hybridMultilevel"/>
    <w:lvl w:ilvl="0">
      <w:lvlJc w:val="left"/>
      <w:lvlText w:val="%1."/>
      <w:numFmt w:val="decimal"/>
      <w:start w:val="22"/>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lowerLetter"/>
      <w:start w:val="1"/>
    </w:lvl>
  </w:abstractNum>
  <w:abstractNum w:abstractNumId="124">
    <w:nsid w:val="1816F8C4"/>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25">
    <w:nsid w:val="37DF2233"/>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126">
    <w:nsid w:val="7AB49DAF"/>
    <w:multiLevelType w:val="hybridMultilevel"/>
    <w:lvl w:ilvl="0">
      <w:lvlJc w:val="left"/>
      <w:lvlText w:val="(%1)"/>
      <w:numFmt w:val="lowerRoman"/>
      <w:start w:val="2"/>
    </w:lvl>
  </w:abstractNum>
  <w:abstractNum w:abstractNumId="127">
    <w:nsid w:val="759F82CD"/>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28">
    <w:nsid w:val="61E74EA3"/>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129">
    <w:nsid w:val="597B4D84"/>
    <w:multiLevelType w:val="hybridMultilevel"/>
    <w:lvl w:ilvl="0">
      <w:lvlJc w:val="left"/>
      <w:lvlText w:val="(%1)"/>
      <w:numFmt w:val="lowerRoman"/>
      <w:start w:val="2"/>
    </w:lvl>
  </w:abstractNum>
  <w:abstractNum w:abstractNumId="130">
    <w:nsid w:val="F819E7F"/>
    <w:multiLevelType w:val="hybridMultilevel"/>
    <w:lvl w:ilvl="0">
      <w:lvlJc w:val="left"/>
      <w:lvlText w:val="%1)"/>
      <w:numFmt w:val="lowerLetter"/>
      <w:start w:val="1"/>
    </w:lvl>
  </w:abstractNum>
  <w:abstractNum w:abstractNumId="131">
    <w:nsid w:val="57C7D42D"/>
    <w:multiLevelType w:val="hybridMultilevel"/>
    <w:lvl w:ilvl="0">
      <w:lvlJc w:val="left"/>
      <w:lvlText w:val="(%1)"/>
      <w:numFmt w:val="lowerRoman"/>
      <w:start w:val="1"/>
    </w:lvl>
  </w:abstractNum>
  <w:abstractNum w:abstractNumId="132">
    <w:nsid w:val="312167AD"/>
    <w:multiLevelType w:val="hybridMultilevel"/>
    <w:lvl w:ilvl="0">
      <w:lvlJc w:val="left"/>
      <w:lvlText w:val="(%1)"/>
      <w:numFmt w:val="lowerRoman"/>
      <w:start w:val="2"/>
    </w:lvl>
  </w:abstractNum>
  <w:abstractNum w:abstractNumId="133">
    <w:nsid w:val="631B64D4"/>
    <w:multiLevelType w:val="hybridMultilevel"/>
    <w:lvl w:ilvl="0">
      <w:lvlJc w:val="left"/>
      <w:lvlText w:val="(%1)"/>
      <w:numFmt w:val="lowerRoman"/>
      <w:start w:val="3"/>
    </w:lvl>
  </w:abstractNum>
  <w:abstractNum w:abstractNumId="134">
    <w:nsid w:val="78B5E776"/>
    <w:multiLevelType w:val="hybridMultilevel"/>
    <w:lvl w:ilvl="0">
      <w:lvlJc w:val="left"/>
      <w:lvlText w:val="(%1)"/>
      <w:numFmt w:val="lowerRoman"/>
      <w:start w:val="5"/>
    </w:lvl>
  </w:abstractNum>
  <w:abstractNum w:abstractNumId="135">
    <w:nsid w:val="75486E47"/>
    <w:multiLevelType w:val="hybridMultilevel"/>
    <w:lvl w:ilvl="0">
      <w:lvlJc w:val="left"/>
      <w:lvlText w:val="(%1)"/>
      <w:numFmt w:val="lowerRoman"/>
      <w:start w:val="5"/>
    </w:lvl>
  </w:abstractNum>
  <w:abstractNum w:abstractNumId="136">
    <w:nsid w:val="6E534CDE"/>
    <w:multiLevelType w:val="hybridMultilevel"/>
    <w:lvl w:ilvl="0">
      <w:lvlJc w:val="left"/>
      <w:lvlText w:val="%1)"/>
      <w:numFmt w:val="lowerLetter"/>
      <w:start w:val="6"/>
    </w:lvl>
  </w:abstractNum>
  <w:abstractNum w:abstractNumId="137">
    <w:nsid w:val="1A0DDE32"/>
    <w:multiLevelType w:val="hybridMultilevel"/>
    <w:lvl w:ilvl="0">
      <w:lvlJc w:val="left"/>
      <w:lvlText w:val="%1)"/>
      <w:numFmt w:val="lowerLetter"/>
      <w:start w:val="8"/>
    </w:lvl>
  </w:abstractNum>
  <w:abstractNum w:abstractNumId="138">
    <w:nsid w:val="65968C1C"/>
    <w:multiLevelType w:val="hybridMultilevel"/>
    <w:lvl w:ilvl="0">
      <w:lvlJc w:val="left"/>
      <w:lvlText w:val="%1)"/>
      <w:numFmt w:val="lowerLetter"/>
      <w:start w:val="1"/>
    </w:lvl>
  </w:abstractNum>
  <w:abstractNum w:abstractNumId="139">
    <w:nsid w:val="46263DEC"/>
    <w:multiLevelType w:val="hybridMultilevel"/>
    <w:lvl w:ilvl="0">
      <w:lvlJc w:val="left"/>
      <w:lvlText w:val="%1)"/>
      <w:numFmt w:val="lowerLetter"/>
      <w:start w:val="2"/>
    </w:lvl>
  </w:abstractNum>
  <w:abstractNum w:abstractNumId="140">
    <w:nsid w:val="260D8C4A"/>
    <w:multiLevelType w:val="hybridMultilevel"/>
    <w:lvl w:ilvl="0">
      <w:lvlJc w:val="left"/>
      <w:lvlText w:val="·"/>
      <w:numFmt w:val="bullet"/>
      <w:start w:val="1"/>
    </w:lvl>
  </w:abstractNum>
  <w:abstractNum w:abstractNumId="141">
    <w:nsid w:val="73D4D3C4"/>
    <w:multiLevelType w:val="hybridMultilevel"/>
    <w:lvl w:ilvl="0">
      <w:lvlJc w:val="left"/>
      <w:lvlText w:val="·"/>
      <w:numFmt w:val="bullet"/>
      <w:start w:val="1"/>
    </w:lvl>
  </w:abstractNum>
  <w:abstractNum w:abstractNumId="142">
    <w:nsid w:val="746F2E30"/>
    <w:multiLevelType w:val="hybridMultilevel"/>
    <w:lvl w:ilvl="0">
      <w:lvlJc w:val="left"/>
      <w:lvlText w:val="·"/>
      <w:numFmt w:val="bullet"/>
      <w:start w:val="1"/>
    </w:lvl>
  </w:abstractNum>
  <w:abstractNum w:abstractNumId="143">
    <w:nsid w:val="6FDE8AF6"/>
    <w:multiLevelType w:val="hybridMultilevel"/>
    <w:lvl w:ilvl="0">
      <w:lvlJc w:val="left"/>
      <w:lvlText w:val="·"/>
      <w:numFmt w:val="bullet"/>
      <w:start w:val="1"/>
    </w:lvl>
  </w:abstractNum>
  <w:abstractNum w:abstractNumId="144">
    <w:nsid w:val="3FC32E20"/>
    <w:multiLevelType w:val="hybridMultilevel"/>
    <w:lvl w:ilvl="0">
      <w:lvlJc w:val="left"/>
      <w:lvlText w:val="·"/>
      <w:numFmt w:val="bullet"/>
      <w:start w:val="1"/>
    </w:lvl>
  </w:abstractNum>
  <w:abstractNum w:abstractNumId="145">
    <w:nsid w:val="49C0E823"/>
    <w:multiLevelType w:val="hybridMultilevel"/>
    <w:lvl w:ilvl="0">
      <w:lvlJc w:val="left"/>
      <w:lvlText w:val="·"/>
      <w:numFmt w:val="bullet"/>
      <w:start w:val="1"/>
    </w:lvl>
  </w:abstractNum>
  <w:abstractNum w:abstractNumId="146">
    <w:nsid w:val="14D53685"/>
    <w:multiLevelType w:val="hybridMultilevel"/>
    <w:lvl w:ilvl="0">
      <w:lvlJc w:val="left"/>
      <w:lvlText w:val="·"/>
      <w:numFmt w:val="bullet"/>
      <w:start w:val="1"/>
    </w:lvl>
  </w:abstractNum>
  <w:abstractNum w:abstractNumId="147">
    <w:nsid w:val="230F856C"/>
    <w:multiLevelType w:val="hybridMultilevel"/>
    <w:lvl w:ilvl="0">
      <w:lvlJc w:val="left"/>
      <w:lvlText w:val="·"/>
      <w:numFmt w:val="bullet"/>
      <w:start w:val="1"/>
    </w:lvl>
  </w:abstractNum>
  <w:abstractNum w:abstractNumId="148">
    <w:nsid w:val="6EAA85FB"/>
    <w:multiLevelType w:val="hybridMultilevel"/>
    <w:lvl w:ilvl="0">
      <w:lvlJc w:val="left"/>
      <w:lvlText w:val="·"/>
      <w:numFmt w:val="bullet"/>
      <w:start w:val="1"/>
    </w:lvl>
  </w:abstractNum>
  <w:abstractNum w:abstractNumId="149">
    <w:nsid w:val="3F06ECB2"/>
    <w:multiLevelType w:val="hybridMultilevel"/>
    <w:lvl w:ilvl="0">
      <w:lvlJc w:val="left"/>
      <w:lvlText w:val="·"/>
      <w:numFmt w:val="bullet"/>
      <w:start w:val="1"/>
    </w:lvl>
  </w:abstractNum>
  <w:abstractNum w:abstractNumId="150">
    <w:nsid w:val="3B594807"/>
    <w:multiLevelType w:val="hybridMultilevel"/>
    <w:lvl w:ilvl="0">
      <w:lvlJc w:val="left"/>
      <w:lvlText w:val="%1."/>
      <w:numFmt w:val="decimal"/>
      <w:start w:val="1"/>
    </w:lvl>
  </w:abstractNum>
  <w:abstractNum w:abstractNumId="151">
    <w:nsid w:val="6CAA2304"/>
    <w:multiLevelType w:val="hybridMultilevel"/>
    <w:lvl w:ilvl="0">
      <w:lvlJc w:val="left"/>
      <w:lvlText w:val="(%1)"/>
      <w:numFmt w:val="lowerLetter"/>
      <w:start w:val="1"/>
    </w:lvl>
  </w:abstractNum>
  <w:abstractNum w:abstractNumId="152">
    <w:nsid w:val="3F7C2FF4"/>
    <w:multiLevelType w:val="hybridMultilevel"/>
    <w:lvl w:ilvl="0">
      <w:lvlJc w:val="left"/>
      <w:lvlText w:val="%1."/>
      <w:numFmt w:val="decimal"/>
      <w:start w:val="5"/>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decimal"/>
      <w:start w:val="1"/>
    </w:lvl>
  </w:abstractNum>
  <w:abstractNum w:abstractNumId="155">
    <w:nsid w:val="579328B9"/>
    <w:multiLevelType w:val="hybridMultilevel"/>
    <w:lvl w:ilvl="0">
      <w:lvlJc w:val="left"/>
      <w:lvlText w:val="(%1)"/>
      <w:numFmt w:val="lowerLetter"/>
      <w:start w:val="1"/>
    </w:lvl>
  </w:abstractNum>
  <w:abstractNum w:abstractNumId="156">
    <w:nsid w:val="5D205E20"/>
    <w:multiLevelType w:val="hybridMultilevel"/>
    <w:lvl w:ilvl="0">
      <w:lvlJc w:val="left"/>
      <w:lvlText w:val="%1."/>
      <w:numFmt w:val="decimal"/>
      <w:start w:val="5"/>
    </w:lvl>
  </w:abstractNum>
  <w:abstractNum w:abstractNumId="157">
    <w:nsid w:val="11CCA8BA"/>
    <w:multiLevelType w:val="hybridMultilevel"/>
    <w:lvl w:ilvl="0">
      <w:lvlJc w:val="left"/>
      <w:lvlText w:val="(%1)"/>
      <w:numFmt w:val="lowerLetter"/>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206" Type="http://schemas.openxmlformats.org/officeDocument/2006/relationships/hyperlink" Target="https://www.sec.gov/Archives/edgar/data/1651625/000119312516607922/d16439dex41.htm" TargetMode="External"/><Relationship Id="rId207" Type="http://schemas.openxmlformats.org/officeDocument/2006/relationships/hyperlink" Target="https://www.sec.gov/Archives/edgar/data/1651625/000119312516607922/d16439dex101.htm" TargetMode="External"/><Relationship Id="rId208" Type="http://schemas.openxmlformats.org/officeDocument/2006/relationships/hyperlink" Target="https://www.sec.gov/Archives/edgar/data/1651625/000119312516607922/d16439dex102.htm" TargetMode="External"/><Relationship Id="rId209" Type="http://schemas.openxmlformats.org/officeDocument/2006/relationships/hyperlink" Target="https://www.sec.gov/Archives/edgar/data/1651625/000119312516607922/d16439dex103.htm" TargetMode="External"/><Relationship Id="rId210" Type="http://schemas.openxmlformats.org/officeDocument/2006/relationships/hyperlink" Target="https://www.sec.gov/Archives/edgar/data/1651625/000119312516607922/d16439dex104.htm" TargetMode="External"/><Relationship Id="rId211" Type="http://schemas.openxmlformats.org/officeDocument/2006/relationships/hyperlink" Target="https://www.sec.gov/Archives/edgar/data/1651625/000119312516607922/d16439dex105.htm" TargetMode="External"/><Relationship Id="rId212" Type="http://schemas.openxmlformats.org/officeDocument/2006/relationships/hyperlink" Target="https://www.sec.gov/Archives/edgar/data/1651625/000119312516607922/d16439dex106.htm" TargetMode="External"/><Relationship Id="rId213" Type="http://schemas.openxmlformats.org/officeDocument/2006/relationships/hyperlink" Target="https://www.sec.gov/Archives/edgar/data/1651625/000119312516607922/d16439dex107.htm" TargetMode="External"/><Relationship Id="rId214" Type="http://schemas.openxmlformats.org/officeDocument/2006/relationships/hyperlink" Target="https://www.sec.gov/Archives/edgar/data/1651625/000119312516607922/d16439dex108.htm" TargetMode="External"/><Relationship Id="rId215" Type="http://schemas.openxmlformats.org/officeDocument/2006/relationships/hyperlink" Target="https://www.sec.gov/Archives/edgar/data/1651625/000119312516607922/d16439dex109.htm" TargetMode="External"/><Relationship Id="rId216" Type="http://schemas.openxmlformats.org/officeDocument/2006/relationships/hyperlink" Target="https://www.sec.gov/Archives/edgar/data/1651625/000095010316016688/dp68999_ex9903.htm" TargetMode="External"/><Relationship Id="rId217" Type="http://schemas.openxmlformats.org/officeDocument/2006/relationships/hyperlink" Target="https://www.sec.gov/Archives/edgar/data/1651625/000095010316016688/dp68999_ex9902.htm" TargetMode="External"/><Relationship Id="rId218" Type="http://schemas.openxmlformats.org/officeDocument/2006/relationships/hyperlink" Target="https://www.sec.gov/Archives/edgar/data/1651625/000095010316017052/dp69421_ex9908.htm" TargetMode="External"/><Relationship Id="rId219" Type="http://schemas.openxmlformats.org/officeDocument/2006/relationships/hyperlink" Target="https://www.sec.gov/Archives/edgar/data/1651625/000095010319004949/dp105140_ex0414.htm" TargetMode="External"/><Relationship Id="rId220" Type="http://schemas.openxmlformats.org/officeDocument/2006/relationships/hyperlink" Target="https://www.sec.gov/Archives/edgar/data/1651625/000095010319012523/dp112992_6k.htm" TargetMode="External"/><Relationship Id="rId221" Type="http://schemas.openxmlformats.org/officeDocument/2006/relationships/hyperlink" Target="https://www.sec.gov/Archives/edgar/data/1651625/000095010319003578/dp103711_ex0415.htm" TargetMode="External"/><Relationship Id="rId222" Type="http://schemas.openxmlformats.org/officeDocument/2006/relationships/hyperlink" Target="https://www.sec.gov/Archives/edgar/data/1651625/000095010320005734/dp124366_ex1001.htm" TargetMode="External"/><Relationship Id="rId223" Type="http://schemas.openxmlformats.org/officeDocument/2006/relationships/hyperlink" Target="http://www.sec.gov/Archives/edgar/data/1651625/000095010320017581/dp136167_ex0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2021-03-23T08:06:00Z</dcterms:created>
  <dcterms:modified xsi:type="dcterms:W3CDTF">2021-03-23T08:06:00Z</dcterms:modified>
</cp:coreProperties>
</file>