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147320</wp:posOffset>
            </wp:positionH>
            <wp:positionV relativeFrom="page">
              <wp:posOffset>206375</wp:posOffset>
            </wp:positionV>
            <wp:extent cx="726630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22225"/>
                    </a:xfrm>
                    <a:prstGeom prst="rect">
                      <a:avLst/>
                    </a:prstGeom>
                    <a:noFill/>
                  </pic:spPr>
                </pic:pic>
              </a:graphicData>
            </a:graphic>
          </wp:anchor>
        </w:drawing>
        <w:drawing>
          <wp:anchor simplePos="0" relativeHeight="251657728" behindDoc="1" locked="0" layoutInCell="0" allowOverlap="1">
            <wp:simplePos x="0" y="0"/>
            <wp:positionH relativeFrom="page">
              <wp:posOffset>147320</wp:posOffset>
            </wp:positionH>
            <wp:positionV relativeFrom="page">
              <wp:posOffset>235585</wp:posOffset>
            </wp:positionV>
            <wp:extent cx="72663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7620"/>
                    </a:xfrm>
                    <a:prstGeom prst="rect">
                      <a:avLst/>
                    </a:prstGeom>
                    <a:noFill/>
                  </pic:spPr>
                </pic:pic>
              </a:graphicData>
            </a:graphic>
          </wp:anchor>
        </w:drawing>
        <w:t>UNITED STATES</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6-K</w:t>
      </w:r>
    </w:p>
    <w:p>
      <w:pPr>
        <w:spacing w:after="0" w:line="318" w:lineRule="exact"/>
        <w:rPr>
          <w:sz w:val="24"/>
          <w:szCs w:val="24"/>
          <w:color w:val="auto"/>
        </w:rPr>
      </w:pPr>
    </w:p>
    <w:p>
      <w:pPr>
        <w:jc w:val="center"/>
        <w:spacing w:after="0" w:line="26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June,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2687320</wp:posOffset>
            </wp:positionH>
            <wp:positionV relativeFrom="paragraph">
              <wp:posOffset>38735</wp:posOffset>
            </wp:positionV>
            <wp:extent cx="14503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7620"/>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001-37891</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 IMMUNE SA</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177"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EPFL Innovation Park</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Building B</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1015 Lausanne, Switzerland</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97" w:lineRule="exact"/>
        <w:rPr>
          <w:sz w:val="24"/>
          <w:szCs w:val="24"/>
          <w:color w:val="auto"/>
        </w:rPr>
      </w:pPr>
    </w:p>
    <w:p>
      <w:pPr>
        <w:ind w:left="3020"/>
        <w:spacing w:after="0"/>
        <w:tabs>
          <w:tab w:leader="none" w:pos="4500" w:val="left"/>
          <w:tab w:leader="none" w:pos="6300" w:val="left"/>
        </w:tabs>
        <w:rPr>
          <w:sz w:val="20"/>
          <w:szCs w:val="20"/>
          <w:color w:val="auto"/>
        </w:rPr>
      </w:pPr>
      <w:r>
        <w:rPr>
          <w:rFonts w:ascii="Arial" w:cs="Arial" w:eastAsia="Arial" w:hAnsi="Arial"/>
          <w:sz w:val="15"/>
          <w:szCs w:val="15"/>
          <w:color w:val="auto"/>
        </w:rPr>
        <w:t>Form 20-F</w:t>
      </w:r>
      <w:r>
        <w:rPr>
          <w:sz w:val="20"/>
          <w:szCs w:val="20"/>
          <w:color w:val="auto"/>
        </w:rPr>
        <w:tab/>
      </w:r>
      <w:r>
        <w:rPr>
          <w:rFonts w:ascii="Arial" w:cs="Arial" w:eastAsia="Arial" w:hAnsi="Arial"/>
          <w:sz w:val="15"/>
          <w:szCs w:val="15"/>
          <w:color w:val="auto"/>
        </w:rPr>
        <w:t>X</w:t>
      </w:r>
      <w:r>
        <w:rPr>
          <w:sz w:val="20"/>
          <w:szCs w:val="20"/>
          <w:color w:val="auto"/>
        </w:rPr>
        <w:tab/>
      </w:r>
      <w:r>
        <w:rPr>
          <w:rFonts w:ascii="Arial" w:cs="Arial" w:eastAsia="Arial" w:hAnsi="Arial"/>
          <w:sz w:val="14"/>
          <w:szCs w:val="14"/>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14605</wp:posOffset>
            </wp:positionV>
            <wp:extent cx="51308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080" cy="7620"/>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29210</wp:posOffset>
            </wp:positionV>
            <wp:extent cx="5054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101(b)(1):</w:t>
      </w:r>
    </w:p>
    <w:p>
      <w:pPr>
        <w:spacing w:after="0" w:line="197" w:lineRule="exact"/>
        <w:rPr>
          <w:sz w:val="24"/>
          <w:szCs w:val="24"/>
          <w:color w:val="auto"/>
        </w:rPr>
      </w:pPr>
    </w:p>
    <w:p>
      <w:pPr>
        <w:ind w:left="3240"/>
        <w:spacing w:after="0"/>
        <w:tabs>
          <w:tab w:leader="none" w:pos="6520" w:val="left"/>
          <w:tab w:leader="none" w:pos="7760"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5"/>
          <w:szCs w:val="15"/>
          <w:color w:val="auto"/>
        </w:rPr>
        <w:t>No</w:t>
      </w:r>
      <w:r>
        <w:rPr>
          <w:sz w:val="20"/>
          <w:szCs w:val="20"/>
          <w:color w:val="auto"/>
        </w:rPr>
        <w:tab/>
      </w:r>
      <w:r>
        <w:rPr>
          <w:rFonts w:ascii="Arial" w:cs="Arial" w:eastAsia="Arial" w:hAnsi="Arial"/>
          <w:sz w:val="15"/>
          <w:szCs w:val="15"/>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4723765</wp:posOffset>
            </wp:positionH>
            <wp:positionV relativeFrom="paragraph">
              <wp:posOffset>14605</wp:posOffset>
            </wp:positionV>
            <wp:extent cx="5054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29210</wp:posOffset>
            </wp:positionV>
            <wp:extent cx="5130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3080" cy="762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101(b)(7):</w:t>
      </w:r>
    </w:p>
    <w:p>
      <w:pPr>
        <w:spacing w:after="0" w:line="197" w:lineRule="exact"/>
        <w:rPr>
          <w:sz w:val="24"/>
          <w:szCs w:val="24"/>
          <w:color w:val="auto"/>
        </w:rPr>
      </w:pPr>
    </w:p>
    <w:p>
      <w:pPr>
        <w:ind w:left="3240"/>
        <w:spacing w:after="0"/>
        <w:tabs>
          <w:tab w:leader="none" w:pos="6520" w:val="left"/>
          <w:tab w:leader="none" w:pos="7760"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5"/>
          <w:szCs w:val="15"/>
          <w:color w:val="auto"/>
        </w:rPr>
        <w:t>No</w:t>
      </w:r>
      <w:r>
        <w:rPr>
          <w:sz w:val="20"/>
          <w:szCs w:val="20"/>
          <w:color w:val="auto"/>
        </w:rPr>
        <w:tab/>
      </w:r>
      <w:r>
        <w:rPr>
          <w:rFonts w:ascii="Arial" w:cs="Arial" w:eastAsia="Arial" w:hAnsi="Arial"/>
          <w:sz w:val="15"/>
          <w:szCs w:val="15"/>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4723765</wp:posOffset>
            </wp:positionH>
            <wp:positionV relativeFrom="paragraph">
              <wp:posOffset>14605</wp:posOffset>
            </wp:positionV>
            <wp:extent cx="5054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29210</wp:posOffset>
            </wp:positionV>
            <wp:extent cx="5130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3080" cy="7620"/>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197485</wp:posOffset>
            </wp:positionV>
            <wp:extent cx="72663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212090</wp:posOffset>
            </wp:positionV>
            <wp:extent cx="7266305" cy="22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0740"/>
          </w:cols>
          <w:pgMar w:left="580" w:top="662" w:right="57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Annual Ordinary Shareholders’ Meeting Results</w:t>
      </w:r>
    </w:p>
    <w:p>
      <w:pPr>
        <w:spacing w:after="0" w:line="197" w:lineRule="exact"/>
        <w:rPr>
          <w:sz w:val="20"/>
          <w:szCs w:val="20"/>
          <w:color w:val="auto"/>
        </w:rPr>
      </w:pPr>
    </w:p>
    <w:p>
      <w:pPr>
        <w:ind w:right="80" w:firstLine="554"/>
        <w:spacing w:after="0" w:line="275" w:lineRule="auto"/>
        <w:rPr>
          <w:sz w:val="20"/>
          <w:szCs w:val="20"/>
          <w:color w:val="auto"/>
        </w:rPr>
      </w:pPr>
      <w:r>
        <w:rPr>
          <w:rFonts w:ascii="Arial" w:cs="Arial" w:eastAsia="Arial" w:hAnsi="Arial"/>
          <w:sz w:val="15"/>
          <w:szCs w:val="15"/>
          <w:color w:val="auto"/>
        </w:rPr>
        <w:t>On June 28, 2019, AC Immune SA (“</w:t>
      </w:r>
      <w:r>
        <w:rPr>
          <w:rFonts w:ascii="Arial" w:cs="Arial" w:eastAsia="Arial" w:hAnsi="Arial"/>
          <w:sz w:val="15"/>
          <w:szCs w:val="15"/>
          <w:b w:val="1"/>
          <w:bCs w:val="1"/>
          <w:color w:val="auto"/>
        </w:rPr>
        <w:t>AC Immune</w:t>
      </w:r>
      <w:r>
        <w:rPr>
          <w:rFonts w:ascii="Arial" w:cs="Arial" w:eastAsia="Arial" w:hAnsi="Arial"/>
          <w:sz w:val="15"/>
          <w:szCs w:val="15"/>
          <w:color w:val="auto"/>
        </w:rPr>
        <w:t>”) held its annual Ordinary Shareholders’ Meeting. The presentation that was given at the Ordinary Shareholders’ Meeting is attached hereto as Exhibit 99.1 and the press release relating to the results of the Ordinary Shareholders’ Meeting is attached hereto as Exhibit 99.2. Prior to the meeting, the Board withdrew agenda items 9 and 10. The final results of each of the agenda items submitted to a vote of the shareholders are as follows: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1: Approval of the Annual Report, Annual Statutory Financial Statements and Financial Statements under IFRS of AC Immune SA for the year 2018</w:t>
      </w:r>
    </w:p>
    <w:p>
      <w:pPr>
        <w:spacing w:after="0" w:line="201" w:lineRule="exact"/>
        <w:rPr>
          <w:sz w:val="20"/>
          <w:szCs w:val="20"/>
          <w:color w:val="auto"/>
        </w:rPr>
      </w:pPr>
    </w:p>
    <w:p>
      <w:pPr>
        <w:ind w:right="340" w:firstLine="554"/>
        <w:spacing w:after="0" w:line="288" w:lineRule="auto"/>
        <w:rPr>
          <w:sz w:val="20"/>
          <w:szCs w:val="20"/>
          <w:color w:val="auto"/>
        </w:rPr>
      </w:pPr>
      <w:r>
        <w:rPr>
          <w:rFonts w:ascii="Arial" w:cs="Arial" w:eastAsia="Arial" w:hAnsi="Arial"/>
          <w:sz w:val="15"/>
          <w:szCs w:val="15"/>
          <w:color w:val="auto"/>
        </w:rPr>
        <w:t>AC Immune shareholders approved the Annual Report, the Annual Statutory Financial Statements and the Financial Statements under IFRS of AC Immune SA for the year 2018, and took note of the Reports of the Auditors.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2: Appropriation of Loss</w:t>
      </w:r>
    </w:p>
    <w:p>
      <w:pPr>
        <w:spacing w:after="0" w:line="201" w:lineRule="exact"/>
        <w:rPr>
          <w:sz w:val="20"/>
          <w:szCs w:val="20"/>
          <w:color w:val="auto"/>
        </w:rPr>
      </w:pPr>
    </w:p>
    <w:p>
      <w:pPr>
        <w:ind w:right="40" w:firstLine="554"/>
        <w:spacing w:after="0" w:line="288" w:lineRule="auto"/>
        <w:rPr>
          <w:sz w:val="20"/>
          <w:szCs w:val="20"/>
          <w:color w:val="auto"/>
        </w:rPr>
      </w:pPr>
      <w:r>
        <w:rPr>
          <w:rFonts w:ascii="Arial" w:cs="Arial" w:eastAsia="Arial" w:hAnsi="Arial"/>
          <w:sz w:val="15"/>
          <w:szCs w:val="15"/>
          <w:color w:val="auto"/>
        </w:rPr>
        <w:t>AC Immune shareholders approved the addition of the net loss for the year 2018 in the amount of KCHF 48,894 to the loss brought forward of KCHF 58,426, resulting in a new balance of loss brought forward of KCHF 107,320.</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3: Discharge of the Members of the Board of Directors and the Executive Committee</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 Immune shareholders approved the discharge of the Board and the Executive Committee of their liabilities for their activities in the financial year 2018.</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4: Compensation for the Members of the Board of Directors and the Executive Committee</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 Immune shareholders approved:</w:t>
      </w:r>
    </w:p>
    <w:p>
      <w:pPr>
        <w:spacing w:after="0" w:line="197" w:lineRule="exact"/>
        <w:rPr>
          <w:sz w:val="20"/>
          <w:szCs w:val="20"/>
          <w:color w:val="auto"/>
        </w:rPr>
      </w:pPr>
    </w:p>
    <w:p>
      <w:pPr>
        <w:ind w:left="1100" w:hanging="277"/>
        <w:spacing w:after="0" w:line="288" w:lineRule="auto"/>
        <w:tabs>
          <w:tab w:leader="none" w:pos="1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The total maximum amount of non-performance-related compensation for the members of the Board of Directors covering the period from 1 July 2019 to 30 June 2020, </w:t>
      </w:r>
      <w:r>
        <w:rPr>
          <w:rFonts w:ascii="Arial" w:cs="Arial" w:eastAsia="Arial" w:hAnsi="Arial"/>
          <w:sz w:val="15"/>
          <w:szCs w:val="15"/>
          <w:i w:val="1"/>
          <w:iCs w:val="1"/>
          <w:color w:val="auto"/>
        </w:rPr>
        <w:t>i</w:t>
      </w:r>
      <w:r>
        <w:rPr>
          <w:rFonts w:ascii="Arial" w:cs="Arial" w:eastAsia="Arial" w:hAnsi="Arial"/>
          <w:sz w:val="15"/>
          <w:szCs w:val="15"/>
          <w:color w:val="auto"/>
        </w:rPr>
        <w:t>.</w:t>
      </w:r>
      <w:r>
        <w:rPr>
          <w:rFonts w:ascii="Arial" w:cs="Arial" w:eastAsia="Arial" w:hAnsi="Arial"/>
          <w:sz w:val="15"/>
          <w:szCs w:val="15"/>
          <w:i w:val="1"/>
          <w:iCs w:val="1"/>
          <w:color w:val="auto"/>
        </w:rPr>
        <w:t>e</w:t>
      </w:r>
      <w:r>
        <w:rPr>
          <w:rFonts w:ascii="Arial" w:cs="Arial" w:eastAsia="Arial" w:hAnsi="Arial"/>
          <w:sz w:val="15"/>
          <w:szCs w:val="15"/>
          <w:color w:val="auto"/>
        </w:rPr>
        <w:t>., CHF 547,000 (cash base compensation plus social security costs);</w:t>
      </w:r>
    </w:p>
    <w:p>
      <w:pPr>
        <w:spacing w:after="0" w:line="139" w:lineRule="exact"/>
        <w:rPr>
          <w:rFonts w:ascii="Arial" w:cs="Arial" w:eastAsia="Arial" w:hAnsi="Arial"/>
          <w:sz w:val="15"/>
          <w:szCs w:val="15"/>
          <w:color w:val="auto"/>
        </w:rPr>
      </w:pPr>
    </w:p>
    <w:p>
      <w:pPr>
        <w:ind w:left="1100" w:right="20" w:hanging="277"/>
        <w:spacing w:after="0" w:line="288" w:lineRule="auto"/>
        <w:tabs>
          <w:tab w:leader="none" w:pos="1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maximum grant of equity or equity linked instruments for the members of the Board of Directors from 1 July 2019 to 30 June 2020 with maximum value of CHF 626,000 (equity or equity linked instruments value plus social security costs);</w:t>
      </w:r>
    </w:p>
    <w:p>
      <w:pPr>
        <w:spacing w:after="0" w:line="139" w:lineRule="exact"/>
        <w:rPr>
          <w:rFonts w:ascii="Arial" w:cs="Arial" w:eastAsia="Arial" w:hAnsi="Arial"/>
          <w:sz w:val="15"/>
          <w:szCs w:val="15"/>
          <w:color w:val="auto"/>
        </w:rPr>
      </w:pPr>
    </w:p>
    <w:p>
      <w:pPr>
        <w:ind w:left="1100" w:right="20" w:hanging="277"/>
        <w:spacing w:after="0" w:line="288" w:lineRule="auto"/>
        <w:tabs>
          <w:tab w:leader="none" w:pos="1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The total maximum amount of non-performance-related cash compensation for the members of the Executive Committee from 1 July 2019 to 30 June 2020, </w:t>
      </w:r>
      <w:r>
        <w:rPr>
          <w:rFonts w:ascii="Arial" w:cs="Arial" w:eastAsia="Arial" w:hAnsi="Arial"/>
          <w:sz w:val="15"/>
          <w:szCs w:val="15"/>
          <w:i w:val="1"/>
          <w:iCs w:val="1"/>
          <w:color w:val="auto"/>
        </w:rPr>
        <w:t>i</w:t>
      </w:r>
      <w:r>
        <w:rPr>
          <w:rFonts w:ascii="Arial" w:cs="Arial" w:eastAsia="Arial" w:hAnsi="Arial"/>
          <w:sz w:val="15"/>
          <w:szCs w:val="15"/>
          <w:color w:val="auto"/>
        </w:rPr>
        <w:t>.</w:t>
      </w:r>
      <w:r>
        <w:rPr>
          <w:rFonts w:ascii="Arial" w:cs="Arial" w:eastAsia="Arial" w:hAnsi="Arial"/>
          <w:sz w:val="15"/>
          <w:szCs w:val="15"/>
          <w:i w:val="1"/>
          <w:iCs w:val="1"/>
          <w:color w:val="auto"/>
        </w:rPr>
        <w:t>e</w:t>
      </w:r>
      <w:r>
        <w:rPr>
          <w:rFonts w:ascii="Arial" w:cs="Arial" w:eastAsia="Arial" w:hAnsi="Arial"/>
          <w:sz w:val="15"/>
          <w:szCs w:val="15"/>
          <w:color w:val="auto"/>
        </w:rPr>
        <w:t>., CHF 2,407,000 (cash base compensation plus social security costs);</w:t>
      </w:r>
    </w:p>
    <w:p>
      <w:pPr>
        <w:sectPr>
          <w:pgSz w:w="11900" w:h="16838" w:orient="portrait"/>
          <w:cols w:equalWidth="0" w:num="1">
            <w:col w:w="11440"/>
          </w:cols>
          <w:pgMar w:left="240" w:top="425" w:right="219" w:bottom="1440" w:gutter="0" w:footer="0" w:header="0"/>
        </w:sectPr>
      </w:pPr>
    </w:p>
    <w:bookmarkStart w:id="2" w:name="page3"/>
    <w:bookmarkEnd w:id="2"/>
    <w:p>
      <w:pPr>
        <w:ind w:left="1100" w:right="20" w:hanging="277"/>
        <w:spacing w:after="0" w:line="288" w:lineRule="auto"/>
        <w:tabs>
          <w:tab w:leader="none" w:pos="1100"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The total maximum amount of variable compensation for the members of the Executive Committee for the current year 2019, </w:t>
      </w:r>
      <w:r>
        <w:rPr>
          <w:rFonts w:ascii="Arial" w:cs="Arial" w:eastAsia="Arial" w:hAnsi="Arial"/>
          <w:sz w:val="15"/>
          <w:szCs w:val="15"/>
          <w:i w:val="1"/>
          <w:iCs w:val="1"/>
          <w:color w:val="auto"/>
        </w:rPr>
        <w:t>i</w:t>
      </w:r>
      <w:r>
        <w:rPr>
          <w:rFonts w:ascii="Arial" w:cs="Arial" w:eastAsia="Arial" w:hAnsi="Arial"/>
          <w:sz w:val="15"/>
          <w:szCs w:val="15"/>
          <w:color w:val="auto"/>
        </w:rPr>
        <w:t>.</w:t>
      </w:r>
      <w:r>
        <w:rPr>
          <w:rFonts w:ascii="Arial" w:cs="Arial" w:eastAsia="Arial" w:hAnsi="Arial"/>
          <w:sz w:val="15"/>
          <w:szCs w:val="15"/>
          <w:i w:val="1"/>
          <w:iCs w:val="1"/>
          <w:color w:val="auto"/>
        </w:rPr>
        <w:t>e</w:t>
      </w:r>
      <w:r>
        <w:rPr>
          <w:rFonts w:ascii="Arial" w:cs="Arial" w:eastAsia="Arial" w:hAnsi="Arial"/>
          <w:sz w:val="15"/>
          <w:szCs w:val="15"/>
          <w:color w:val="auto"/>
        </w:rPr>
        <w:t>., CHF 1,195,000 (cash compensation plus social security costs); and</w:t>
      </w:r>
    </w:p>
    <w:p>
      <w:pPr>
        <w:spacing w:after="0" w:line="139" w:lineRule="exact"/>
        <w:rPr>
          <w:rFonts w:ascii="Arial" w:cs="Arial" w:eastAsia="Arial" w:hAnsi="Arial"/>
          <w:sz w:val="15"/>
          <w:szCs w:val="15"/>
          <w:color w:val="auto"/>
        </w:rPr>
      </w:pPr>
    </w:p>
    <w:p>
      <w:pPr>
        <w:ind w:left="1100" w:hanging="277"/>
        <w:spacing w:after="0" w:line="288" w:lineRule="auto"/>
        <w:tabs>
          <w:tab w:leader="none" w:pos="110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maximum grant of equity or equity linked instruments for the members of the Executive Committee from 1 July 2019 to 30 June 2020 with maximum value of CHF 3,126,000 (equity or equity linked instruments value plus social security costs).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5: Election of the Members of the Board</w:t>
      </w:r>
    </w:p>
    <w:p>
      <w:pPr>
        <w:spacing w:after="0" w:line="201" w:lineRule="exact"/>
        <w:rPr>
          <w:sz w:val="20"/>
          <w:szCs w:val="20"/>
          <w:color w:val="auto"/>
        </w:rPr>
      </w:pPr>
    </w:p>
    <w:p>
      <w:pPr>
        <w:jc w:val="both"/>
        <w:ind w:firstLine="554"/>
        <w:spacing w:after="0" w:line="272" w:lineRule="auto"/>
        <w:rPr>
          <w:sz w:val="20"/>
          <w:szCs w:val="20"/>
          <w:color w:val="auto"/>
        </w:rPr>
      </w:pPr>
      <w:r>
        <w:rPr>
          <w:rFonts w:ascii="Arial" w:cs="Arial" w:eastAsia="Arial" w:hAnsi="Arial"/>
          <w:sz w:val="15"/>
          <w:szCs w:val="15"/>
          <w:color w:val="auto"/>
        </w:rPr>
        <w:t>AC Immune shareholders approved the re-election of Douglas Williams as member and as election as Chairman of the Board, the re-election of Martin Velasco as member and election as Vice-Chairman of the Board, the re-election of Peter Bollmann, Friedrich von Bohlen, Andrea Pfeifer, Tom Graney and Werner Lanthaler and the election of Roy Twyman as members of the Board of Directors, each until the end of the next Ordinary General Meeting.</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6: Election to the Compensation, Nomination &amp; Corporate Governance Committee</w:t>
      </w:r>
    </w:p>
    <w:p>
      <w:pPr>
        <w:spacing w:after="0" w:line="201" w:lineRule="exact"/>
        <w:rPr>
          <w:sz w:val="20"/>
          <w:szCs w:val="20"/>
          <w:color w:val="auto"/>
        </w:rPr>
      </w:pPr>
    </w:p>
    <w:p>
      <w:pPr>
        <w:jc w:val="both"/>
        <w:ind w:firstLine="554"/>
        <w:spacing w:after="0" w:line="288" w:lineRule="auto"/>
        <w:rPr>
          <w:sz w:val="20"/>
          <w:szCs w:val="20"/>
          <w:color w:val="auto"/>
        </w:rPr>
      </w:pPr>
      <w:r>
        <w:rPr>
          <w:rFonts w:ascii="Arial" w:cs="Arial" w:eastAsia="Arial" w:hAnsi="Arial"/>
          <w:sz w:val="15"/>
          <w:szCs w:val="15"/>
          <w:color w:val="auto"/>
        </w:rPr>
        <w:t>AC Immune shareholders approved the re-election of Martin Velasco, Tom Graney and Douglas Williams as members of the Compensation, Nomination &amp; Corporate Governance Committee, each until the end of the next Ordinary General Meeting.</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7: Election of the Independent Proxy</w:t>
      </w:r>
    </w:p>
    <w:p>
      <w:pPr>
        <w:spacing w:after="0" w:line="201" w:lineRule="exact"/>
        <w:rPr>
          <w:sz w:val="20"/>
          <w:szCs w:val="20"/>
          <w:color w:val="auto"/>
        </w:rPr>
      </w:pPr>
    </w:p>
    <w:p>
      <w:pPr>
        <w:jc w:val="both"/>
        <w:ind w:firstLine="554"/>
        <w:spacing w:after="0" w:line="288" w:lineRule="auto"/>
        <w:rPr>
          <w:sz w:val="20"/>
          <w:szCs w:val="20"/>
          <w:color w:val="auto"/>
        </w:rPr>
      </w:pPr>
      <w:r>
        <w:rPr>
          <w:rFonts w:ascii="Arial" w:cs="Arial" w:eastAsia="Arial" w:hAnsi="Arial"/>
          <w:sz w:val="15"/>
          <w:szCs w:val="15"/>
          <w:color w:val="auto"/>
        </w:rPr>
        <w:t>AC Immune shareholders approved the election of Reymond &amp; Associés, represented by Denis Cherpillod as AC Immune’s independent proxy until the end of the next Ordinary General Meeting.</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8: Re-Election of the Auditors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 Immune shareholders approved the re-election of PricewaterhouseCoopers SA, in Pully, for a term of office of one year.</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11: Conditional Capital Increase for Employee Benefit Plans</w:t>
      </w:r>
    </w:p>
    <w:p>
      <w:pPr>
        <w:spacing w:after="0" w:line="201" w:lineRule="exact"/>
        <w:rPr>
          <w:sz w:val="20"/>
          <w:szCs w:val="20"/>
          <w:color w:val="auto"/>
        </w:rPr>
      </w:pPr>
    </w:p>
    <w:p>
      <w:pPr>
        <w:jc w:val="both"/>
        <w:ind w:firstLine="554"/>
        <w:spacing w:after="0" w:line="292" w:lineRule="auto"/>
        <w:rPr>
          <w:sz w:val="20"/>
          <w:szCs w:val="20"/>
          <w:color w:val="auto"/>
        </w:rPr>
      </w:pPr>
      <w:r>
        <w:rPr>
          <w:rFonts w:ascii="Arial" w:cs="Arial" w:eastAsia="Arial" w:hAnsi="Arial"/>
          <w:sz w:val="14"/>
          <w:szCs w:val="14"/>
          <w:color w:val="auto"/>
        </w:rPr>
        <w:t>AC Immune shareholders approved an amendment to the existing first paragraph of article 3c (Conditional Capital Increase for Employee Benefit Plans) of the articles of association pertaining to the conditional capital increase for employees and individuals of comparable positions, to create conditional share capital for the same purpose in the maximum amount of CHF 70,460 by the issuance of 3,523,000 registered common shares of CHF 0.02 nominal value each and to amend article 3c, paragraph 1 of the articles of association thereby increasing the conditional capital in the amount of 27,069.90 representing 1,353,495 registered common shares of CHF 0.02 nominal value each.</w:t>
      </w:r>
    </w:p>
    <w:p>
      <w:pPr>
        <w:sectPr>
          <w:pgSz w:w="11900" w:h="16838" w:orient="portrait"/>
          <w:cols w:equalWidth="0" w:num="1">
            <w:col w:w="11440"/>
          </w:cols>
          <w:pgMar w:left="240" w:top="613" w:right="219" w:bottom="1440" w:gutter="0" w:footer="0" w:header="0"/>
        </w:sectPr>
      </w:pPr>
    </w:p>
    <w:bookmarkStart w:id="3" w:name="page4"/>
    <w:bookmarkEnd w:id="3"/>
    <w:p>
      <w:pPr>
        <w:spacing w:after="0"/>
        <w:rPr>
          <w:sz w:val="20"/>
          <w:szCs w:val="20"/>
          <w:color w:val="auto"/>
        </w:rPr>
      </w:pPr>
      <w:r>
        <w:rPr>
          <w:rFonts w:ascii="Arial" w:cs="Arial" w:eastAsia="Arial" w:hAnsi="Arial"/>
          <w:sz w:val="15"/>
          <w:szCs w:val="15"/>
          <w:b w:val="1"/>
          <w:bCs w:val="1"/>
          <w:color w:val="auto"/>
        </w:rPr>
        <w:t>SIGNATURE</w:t>
      </w:r>
    </w:p>
    <w:p>
      <w:pPr>
        <w:spacing w:after="0" w:line="201" w:lineRule="exact"/>
        <w:rPr>
          <w:sz w:val="20"/>
          <w:szCs w:val="20"/>
          <w:color w:val="auto"/>
        </w:rPr>
      </w:pPr>
    </w:p>
    <w:p>
      <w:pPr>
        <w:ind w:firstLine="277"/>
        <w:spacing w:after="0" w:line="288"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6300"/>
        <w:spacing w:after="0"/>
        <w:rPr>
          <w:sz w:val="20"/>
          <w:szCs w:val="20"/>
          <w:color w:val="auto"/>
        </w:rPr>
      </w:pPr>
      <w:r>
        <w:rPr>
          <w:rFonts w:ascii="Arial" w:cs="Arial" w:eastAsia="Arial" w:hAnsi="Arial"/>
          <w:sz w:val="15"/>
          <w:szCs w:val="15"/>
          <w:b w:val="1"/>
          <w:bCs w:val="1"/>
          <w:color w:val="auto"/>
        </w:rPr>
        <w:t>AC IMMUNE SA</w:t>
      </w:r>
    </w:p>
    <w:p>
      <w:pPr>
        <w:spacing w:after="0" w:line="385" w:lineRule="exact"/>
        <w:rPr>
          <w:sz w:val="20"/>
          <w:szCs w:val="20"/>
          <w:color w:val="auto"/>
        </w:rPr>
      </w:pPr>
    </w:p>
    <w:tbl>
      <w:tblPr>
        <w:tblLayout w:type="fixed"/>
        <w:tblInd w:w="6300" w:type="dxa"/>
        <w:tblCellMar>
          <w:top w:w="0" w:type="dxa"/>
          <w:left w:w="0" w:type="dxa"/>
          <w:bottom w:w="0" w:type="dxa"/>
          <w:right w:w="0" w:type="dxa"/>
        </w:tblCellMar>
      </w:tblPr>
      <w:tr>
        <w:trPr>
          <w:trHeight w:val="195"/>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Andrea Pfeifer</w:t>
            </w:r>
          </w:p>
        </w:tc>
      </w:tr>
      <w:tr>
        <w:trPr>
          <w:trHeight w:val="166"/>
        </w:trPr>
        <w:tc>
          <w:tcPr>
            <w:tcW w:w="460" w:type="dxa"/>
            <w:vAlign w:val="bottom"/>
          </w:tcPr>
          <w:p>
            <w:pPr>
              <w:spacing w:after="0"/>
              <w:rPr>
                <w:sz w:val="14"/>
                <w:szCs w:val="14"/>
                <w:color w:val="auto"/>
              </w:rPr>
            </w:pPr>
          </w:p>
        </w:tc>
        <w:tc>
          <w:tcPr>
            <w:tcW w:w="540" w:type="dxa"/>
            <w:vAlign w:val="bottom"/>
          </w:tcPr>
          <w:p>
            <w:pPr>
              <w:spacing w:after="0" w:line="166" w:lineRule="exact"/>
              <w:rPr>
                <w:sz w:val="20"/>
                <w:szCs w:val="20"/>
                <w:color w:val="auto"/>
              </w:rPr>
            </w:pPr>
            <w:r>
              <w:rPr>
                <w:rFonts w:ascii="Arial" w:cs="Arial" w:eastAsia="Arial" w:hAnsi="Arial"/>
                <w:sz w:val="15"/>
                <w:szCs w:val="15"/>
                <w:color w:val="auto"/>
              </w:rPr>
              <w:t>Name:</w:t>
            </w:r>
          </w:p>
        </w:tc>
        <w:tc>
          <w:tcPr>
            <w:tcW w:w="3000" w:type="dxa"/>
            <w:vAlign w:val="bottom"/>
          </w:tcPr>
          <w:p>
            <w:pPr>
              <w:ind w:left="140"/>
              <w:spacing w:after="0" w:line="166" w:lineRule="exact"/>
              <w:rPr>
                <w:sz w:val="20"/>
                <w:szCs w:val="20"/>
                <w:color w:val="auto"/>
              </w:rPr>
            </w:pPr>
            <w:r>
              <w:rPr>
                <w:rFonts w:ascii="Arial" w:cs="Arial" w:eastAsia="Arial" w:hAnsi="Arial"/>
                <w:sz w:val="15"/>
                <w:szCs w:val="15"/>
                <w:color w:val="auto"/>
              </w:rPr>
              <w:t>Andrea Pfeifer</w:t>
            </w:r>
          </w:p>
        </w:tc>
      </w:tr>
      <w:tr>
        <w:trPr>
          <w:trHeight w:val="195"/>
        </w:trPr>
        <w:tc>
          <w:tcPr>
            <w:tcW w:w="46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Title:</w:t>
            </w:r>
          </w:p>
        </w:tc>
        <w:tc>
          <w:tcPr>
            <w:tcW w:w="3000" w:type="dxa"/>
            <w:vAlign w:val="bottom"/>
          </w:tcPr>
          <w:p>
            <w:pPr>
              <w:ind w:left="140"/>
              <w:spacing w:after="0"/>
              <w:rPr>
                <w:sz w:val="20"/>
                <w:szCs w:val="20"/>
                <w:color w:val="auto"/>
              </w:rPr>
            </w:pPr>
            <w:r>
              <w:rPr>
                <w:rFonts w:ascii="Arial" w:cs="Arial" w:eastAsia="Arial" w:hAnsi="Arial"/>
                <w:sz w:val="15"/>
                <w:szCs w:val="15"/>
                <w:color w:val="auto"/>
              </w:rPr>
              <w:t>Chief Executive Officer</w:t>
            </w:r>
          </w:p>
        </w:tc>
      </w:tr>
      <w:tr>
        <w:trPr>
          <w:trHeight w:val="738"/>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Joerg Hornstein</w:t>
            </w:r>
          </w:p>
        </w:tc>
      </w:tr>
      <w:tr>
        <w:trPr>
          <w:trHeight w:val="166"/>
        </w:trPr>
        <w:tc>
          <w:tcPr>
            <w:tcW w:w="460" w:type="dxa"/>
            <w:vAlign w:val="bottom"/>
          </w:tcPr>
          <w:p>
            <w:pPr>
              <w:spacing w:after="0"/>
              <w:rPr>
                <w:sz w:val="14"/>
                <w:szCs w:val="14"/>
                <w:color w:val="auto"/>
              </w:rPr>
            </w:pPr>
          </w:p>
        </w:tc>
        <w:tc>
          <w:tcPr>
            <w:tcW w:w="540" w:type="dxa"/>
            <w:vAlign w:val="bottom"/>
          </w:tcPr>
          <w:p>
            <w:pPr>
              <w:spacing w:after="0" w:line="166" w:lineRule="exact"/>
              <w:rPr>
                <w:sz w:val="20"/>
                <w:szCs w:val="20"/>
                <w:color w:val="auto"/>
              </w:rPr>
            </w:pPr>
            <w:r>
              <w:rPr>
                <w:rFonts w:ascii="Arial" w:cs="Arial" w:eastAsia="Arial" w:hAnsi="Arial"/>
                <w:sz w:val="15"/>
                <w:szCs w:val="15"/>
                <w:color w:val="auto"/>
              </w:rPr>
              <w:t>Name:</w:t>
            </w:r>
          </w:p>
        </w:tc>
        <w:tc>
          <w:tcPr>
            <w:tcW w:w="3000" w:type="dxa"/>
            <w:vAlign w:val="bottom"/>
          </w:tcPr>
          <w:p>
            <w:pPr>
              <w:ind w:left="140"/>
              <w:spacing w:after="0" w:line="166" w:lineRule="exact"/>
              <w:rPr>
                <w:sz w:val="20"/>
                <w:szCs w:val="20"/>
                <w:color w:val="auto"/>
              </w:rPr>
            </w:pPr>
            <w:r>
              <w:rPr>
                <w:rFonts w:ascii="Arial" w:cs="Arial" w:eastAsia="Arial" w:hAnsi="Arial"/>
                <w:sz w:val="15"/>
                <w:szCs w:val="15"/>
                <w:color w:val="auto"/>
              </w:rPr>
              <w:t>Joerg Hornstein</w:t>
            </w:r>
          </w:p>
        </w:tc>
      </w:tr>
      <w:tr>
        <w:trPr>
          <w:trHeight w:val="195"/>
        </w:trPr>
        <w:tc>
          <w:tcPr>
            <w:tcW w:w="46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Title:</w:t>
            </w:r>
          </w:p>
        </w:tc>
        <w:tc>
          <w:tcPr>
            <w:tcW w:w="3000" w:type="dxa"/>
            <w:vAlign w:val="bottom"/>
          </w:tcPr>
          <w:p>
            <w:pPr>
              <w:ind w:left="140"/>
              <w:spacing w:after="0"/>
              <w:rPr>
                <w:sz w:val="20"/>
                <w:szCs w:val="20"/>
                <w:color w:val="auto"/>
              </w:rPr>
            </w:pPr>
            <w:r>
              <w:rPr>
                <w:rFonts w:ascii="Arial" w:cs="Arial" w:eastAsia="Arial" w:hAnsi="Arial"/>
                <w:sz w:val="15"/>
                <w:szCs w:val="15"/>
                <w:color w:val="auto"/>
              </w:rPr>
              <w:t>Chief Financial Officer</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Date: June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321945</wp:posOffset>
            </wp:positionV>
            <wp:extent cx="72663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0800"/>
          </w:cols>
          <w:pgMar w:left="240" w:top="425"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9"/>
        </w:trPr>
        <w:tc>
          <w:tcPr>
            <w:tcW w:w="1080" w:type="dxa"/>
            <w:vAlign w:val="bottom"/>
          </w:tcPr>
          <w:p>
            <w:pPr>
              <w:spacing w:after="0"/>
              <w:rPr>
                <w:sz w:val="17"/>
                <w:szCs w:val="17"/>
                <w:color w:val="auto"/>
              </w:rPr>
            </w:pPr>
          </w:p>
        </w:tc>
        <w:tc>
          <w:tcPr>
            <w:tcW w:w="10360" w:type="dxa"/>
            <w:vAlign w:val="bottom"/>
          </w:tcPr>
          <w:p>
            <w:pPr>
              <w:ind w:left="4040"/>
              <w:spacing w:after="0"/>
              <w:rPr>
                <w:sz w:val="20"/>
                <w:szCs w:val="20"/>
                <w:color w:val="auto"/>
              </w:rPr>
            </w:pPr>
            <w:r>
              <w:rPr>
                <w:rFonts w:ascii="Arial" w:cs="Arial" w:eastAsia="Arial" w:hAnsi="Arial"/>
                <w:sz w:val="15"/>
                <w:szCs w:val="15"/>
                <w:b w:val="1"/>
                <w:bCs w:val="1"/>
                <w:color w:val="auto"/>
              </w:rPr>
              <w:t>EXHIBIT INDEX</w:t>
            </w:r>
          </w:p>
        </w:tc>
      </w:tr>
      <w:tr>
        <w:trPr>
          <w:trHeight w:val="539"/>
        </w:trPr>
        <w:tc>
          <w:tcPr>
            <w:tcW w:w="1080" w:type="dxa"/>
            <w:vAlign w:val="bottom"/>
          </w:tcPr>
          <w:p>
            <w:pPr>
              <w:jc w:val="center"/>
              <w:ind w:left="103"/>
              <w:spacing w:after="0"/>
              <w:rPr>
                <w:sz w:val="20"/>
                <w:szCs w:val="20"/>
                <w:color w:val="auto"/>
              </w:rPr>
            </w:pPr>
            <w:r>
              <w:rPr>
                <w:rFonts w:ascii="Arial" w:cs="Arial" w:eastAsia="Arial" w:hAnsi="Arial"/>
                <w:sz w:val="15"/>
                <w:szCs w:val="15"/>
                <w:b w:val="1"/>
                <w:bCs w:val="1"/>
                <w:color w:val="auto"/>
                <w:w w:val="99"/>
              </w:rPr>
              <w:t>Exhibit</w:t>
            </w:r>
          </w:p>
        </w:tc>
        <w:tc>
          <w:tcPr>
            <w:tcW w:w="10360" w:type="dxa"/>
            <w:vAlign w:val="bottom"/>
          </w:tcPr>
          <w:p>
            <w:pPr>
              <w:ind w:left="4880"/>
              <w:spacing w:after="0"/>
              <w:rPr>
                <w:sz w:val="20"/>
                <w:szCs w:val="20"/>
                <w:color w:val="auto"/>
              </w:rPr>
            </w:pPr>
            <w:r>
              <w:rPr>
                <w:rFonts w:ascii="Arial" w:cs="Arial" w:eastAsia="Arial" w:hAnsi="Arial"/>
                <w:sz w:val="15"/>
                <w:szCs w:val="15"/>
                <w:b w:val="1"/>
                <w:bCs w:val="1"/>
                <w:color w:val="auto"/>
              </w:rPr>
              <w:t>Description</w:t>
            </w:r>
          </w:p>
        </w:tc>
      </w:tr>
      <w:tr>
        <w:trPr>
          <w:trHeight w:val="199"/>
        </w:trPr>
        <w:tc>
          <w:tcPr>
            <w:tcW w:w="1080" w:type="dxa"/>
            <w:vAlign w:val="bottom"/>
            <w:tcBorders>
              <w:bottom w:val="single" w:sz="8" w:color="auto"/>
            </w:tcBorders>
          </w:tcPr>
          <w:p>
            <w:pPr>
              <w:jc w:val="center"/>
              <w:ind w:left="103"/>
              <w:spacing w:after="0"/>
              <w:rPr>
                <w:sz w:val="20"/>
                <w:szCs w:val="20"/>
                <w:color w:val="auto"/>
              </w:rPr>
            </w:pPr>
            <w:r>
              <w:rPr>
                <w:rFonts w:ascii="Arial" w:cs="Arial" w:eastAsia="Arial" w:hAnsi="Arial"/>
                <w:sz w:val="15"/>
                <w:szCs w:val="15"/>
                <w:b w:val="1"/>
                <w:bCs w:val="1"/>
                <w:color w:val="auto"/>
                <w:w w:val="95"/>
              </w:rPr>
              <w:t>Number</w:t>
            </w:r>
          </w:p>
        </w:tc>
        <w:tc>
          <w:tcPr>
            <w:tcW w:w="10360" w:type="dxa"/>
            <w:vAlign w:val="bottom"/>
            <w:tcBorders>
              <w:bottom w:val="single" w:sz="8" w:color="auto"/>
            </w:tcBorders>
          </w:tcPr>
          <w:p>
            <w:pPr>
              <w:spacing w:after="0"/>
              <w:rPr>
                <w:sz w:val="17"/>
                <w:szCs w:val="17"/>
                <w:color w:val="auto"/>
              </w:rPr>
            </w:pPr>
          </w:p>
        </w:tc>
      </w:tr>
      <w:tr>
        <w:trPr>
          <w:trHeight w:val="166"/>
        </w:trPr>
        <w:tc>
          <w:tcPr>
            <w:tcW w:w="1080" w:type="dxa"/>
            <w:vAlign w:val="bottom"/>
          </w:tcPr>
          <w:p>
            <w:pPr>
              <w:jc w:val="center"/>
              <w:ind w:left="103"/>
              <w:spacing w:after="0" w:line="166" w:lineRule="exact"/>
              <w:rPr>
                <w:sz w:val="20"/>
                <w:szCs w:val="20"/>
                <w:color w:val="auto"/>
              </w:rPr>
            </w:pPr>
            <w:r>
              <w:rPr>
                <w:rFonts w:ascii="Arial" w:cs="Arial" w:eastAsia="Arial" w:hAnsi="Arial"/>
                <w:sz w:val="15"/>
                <w:szCs w:val="15"/>
                <w:color w:val="auto"/>
                <w:w w:val="88"/>
              </w:rPr>
              <w:t>99.1</w:t>
            </w:r>
          </w:p>
        </w:tc>
        <w:tc>
          <w:tcPr>
            <w:tcW w:w="10360" w:type="dxa"/>
            <w:vAlign w:val="bottom"/>
          </w:tcPr>
          <w:p>
            <w:pPr>
              <w:ind w:left="180"/>
              <w:spacing w:after="0" w:line="166" w:lineRule="exact"/>
              <w:rPr>
                <w:sz w:val="20"/>
                <w:szCs w:val="20"/>
                <w:color w:val="auto"/>
              </w:rPr>
            </w:pPr>
            <w:r>
              <w:rPr>
                <w:rFonts w:ascii="Arial" w:cs="Arial" w:eastAsia="Arial" w:hAnsi="Arial"/>
                <w:sz w:val="15"/>
                <w:szCs w:val="15"/>
                <w:color w:val="auto"/>
              </w:rPr>
              <w:t>Annual Ordinary Shareholders’ Meeting presentation</w:t>
            </w:r>
          </w:p>
        </w:tc>
      </w:tr>
      <w:tr>
        <w:trPr>
          <w:trHeight w:val="195"/>
        </w:trPr>
        <w:tc>
          <w:tcPr>
            <w:tcW w:w="1080" w:type="dxa"/>
            <w:vAlign w:val="bottom"/>
          </w:tcPr>
          <w:p>
            <w:pPr>
              <w:jc w:val="center"/>
              <w:ind w:left="103"/>
              <w:spacing w:after="0"/>
              <w:rPr>
                <w:sz w:val="20"/>
                <w:szCs w:val="20"/>
                <w:color w:val="auto"/>
              </w:rPr>
            </w:pPr>
            <w:r>
              <w:rPr>
                <w:rFonts w:ascii="Arial" w:cs="Arial" w:eastAsia="Arial" w:hAnsi="Arial"/>
                <w:sz w:val="15"/>
                <w:szCs w:val="15"/>
                <w:color w:val="auto"/>
                <w:w w:val="88"/>
              </w:rPr>
              <w:t>99.2</w:t>
            </w:r>
          </w:p>
        </w:tc>
        <w:tc>
          <w:tcPr>
            <w:tcW w:w="10360" w:type="dxa"/>
            <w:vAlign w:val="bottom"/>
          </w:tcPr>
          <w:p>
            <w:pPr>
              <w:ind w:left="180"/>
              <w:spacing w:after="0"/>
              <w:rPr>
                <w:sz w:val="20"/>
                <w:szCs w:val="20"/>
                <w:color w:val="auto"/>
              </w:rPr>
            </w:pPr>
            <w:r>
              <w:rPr>
                <w:rFonts w:ascii="Arial" w:cs="Arial" w:eastAsia="Arial" w:hAnsi="Arial"/>
                <w:sz w:val="15"/>
                <w:szCs w:val="15"/>
                <w:color w:val="auto"/>
              </w:rPr>
              <w:t>Press Release dated June 28, 2019</w:t>
            </w:r>
          </w:p>
        </w:tc>
      </w:tr>
      <w:tr>
        <w:trPr>
          <w:trHeight w:val="854"/>
        </w:trPr>
        <w:tc>
          <w:tcPr>
            <w:tcW w:w="10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17" w:right="219" w:bottom="1440" w:gutter="0" w:footer="0" w:header="0"/>
        </w:sectPr>
      </w:pPr>
    </w:p>
    <w:bookmarkStart w:id="5" w:name="page6"/>
    <w:bookmarkEnd w:id="5"/>
    <w:p>
      <w:pPr>
        <w:ind w:left="92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281940</wp:posOffset>
            </wp:positionV>
            <wp:extent cx="7320280" cy="5398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0" w:num="1">
            <w:col w:w="10240"/>
          </w:cols>
          <w:pgMar w:left="1440" w:top="111" w:right="2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5729605</wp:posOffset>
            </wp:positionV>
            <wp:extent cx="72663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5728970</wp:posOffset>
            </wp:positionV>
            <wp:extent cx="726630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281940</wp:posOffset>
            </wp:positionV>
            <wp:extent cx="1340485" cy="307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40485" cy="30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PRESS RELEASE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 Immune Announces Election of New Chairman of the Board at Annual General Meeting</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5"/>
          <w:szCs w:val="15"/>
          <w:b w:val="1"/>
          <w:bCs w:val="1"/>
          <w:color w:val="auto"/>
        </w:rPr>
        <w:t xml:space="preserve">Lausanne, Switzerland, 28 June, 2019 </w:t>
      </w:r>
      <w:r>
        <w:rPr>
          <w:rFonts w:ascii="Arial" w:cs="Arial" w:eastAsia="Arial" w:hAnsi="Arial"/>
          <w:sz w:val="15"/>
          <w:szCs w:val="15"/>
          <w:color w:val="auto"/>
        </w:rPr>
        <w:t>– AC Immune SA (NASDAQ: ACIU), a Swiss-based, clinical-stage biopharmaceutical company with a broad pipeline focused</w:t>
      </w:r>
      <w:r>
        <w:rPr>
          <w:rFonts w:ascii="Arial" w:cs="Arial" w:eastAsia="Arial" w:hAnsi="Arial"/>
          <w:sz w:val="15"/>
          <w:szCs w:val="15"/>
          <w:b w:val="1"/>
          <w:bCs w:val="1"/>
          <w:color w:val="auto"/>
        </w:rPr>
        <w:t xml:space="preserve"> </w:t>
      </w:r>
      <w:r>
        <w:rPr>
          <w:rFonts w:ascii="Arial" w:cs="Arial" w:eastAsia="Arial" w:hAnsi="Arial"/>
          <w:sz w:val="15"/>
          <w:szCs w:val="15"/>
          <w:color w:val="auto"/>
        </w:rPr>
        <w:t>on neurodegenerative diseases, announced that shareholders in the Company have elected Douglas Williams as Chairman of the Board at today’s Annual General Meeting (AGM).</w:t>
      </w:r>
    </w:p>
    <w:p>
      <w:pPr>
        <w:spacing w:after="0" w:line="145"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At the AGM held in Lausanne, shareholders also elected Martin Velasco, previously Chairman, as Vice-Chairman of the Board. They re-elected Peter Bollmann, Friedrich von Bohlen, Andrea Pfeifer, Thomas Graney and Werner Lanthaler and elected Roy Twyman as members of the Board of Directors. Detlev Riesner has retired and did not stand for re-election.</w:t>
      </w:r>
    </w:p>
    <w:p>
      <w:pPr>
        <w:spacing w:after="0" w:line="13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b w:val="1"/>
          <w:bCs w:val="1"/>
          <w:color w:val="auto"/>
        </w:rPr>
        <w:t xml:space="preserve">Prof. Andrea Pfeifer, CEO of AC Immune, commented: </w:t>
      </w:r>
      <w:r>
        <w:rPr>
          <w:rFonts w:ascii="Arial" w:cs="Arial" w:eastAsia="Arial" w:hAnsi="Arial"/>
          <w:sz w:val="15"/>
          <w:szCs w:val="15"/>
          <w:color w:val="auto"/>
        </w:rPr>
        <w:t>“We are pleased to welcome Dr. Douglas Williams to the role of Chairman of the Board of AC Immune, to</w:t>
      </w:r>
      <w:r>
        <w:rPr>
          <w:rFonts w:ascii="Arial" w:cs="Arial" w:eastAsia="Arial" w:hAnsi="Arial"/>
          <w:sz w:val="15"/>
          <w:szCs w:val="15"/>
          <w:b w:val="1"/>
          <w:bCs w:val="1"/>
          <w:color w:val="auto"/>
        </w:rPr>
        <w:t xml:space="preserve"> </w:t>
      </w:r>
      <w:r>
        <w:rPr>
          <w:rFonts w:ascii="Arial" w:cs="Arial" w:eastAsia="Arial" w:hAnsi="Arial"/>
          <w:sz w:val="15"/>
          <w:szCs w:val="15"/>
          <w:color w:val="auto"/>
        </w:rPr>
        <w:t>which he brings more than 30 years of experience and insight into the biotechnology industry. We’ve already benefitted from his leadership expertise as a member of our Board since 2018. In his career, Douglas has held senior executive roles at both pharmaceutical and biotechnology companies and played a role in the development of several novel drugs. The Board also welcomes Dr. Roy Twyman as a new member. Roy is an experienced neurologist who spent nearly 20 years at Janssen on its Neuroscience Therapeutic Area Leadership team where he oversaw clinical R&amp;D and strategic planning for Alzheimer’s disease and other CNS disorders. Strengthening our Board of Directors with such accomplished industry leaders validates the strength and potential of our pipeline, and we believe their strategic guidance positions us for success as we continue to advance multiple clinical programs targeting neurodegenerative diseases.”</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would also like to extend our deepest gratitude to Martin Velasco for his committed service as Chairman of the Board of AC Immune. We are honored by his dedication and delighted to continue benefitting from his knowledge and experience in his role as Vice-Chairman.”</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Douglas E. Williams, Ph.D. Biography</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Dr. Williams is currently the President, CEO and member of the Board of Directors of Codiak BioSciences. He was previously Biogen’s Executive Vice President, Research and Development. He joined Biogen from ZymoGenetics, where he was most recently CEO and member of the Board of Directors. Previously, he held leadership positions within the biotechnology industry, including Chief Scientific Officer and Executive Vice President of Research and Development at Seattle Genetics, and Senior Vice President and Washington Site Leader at Amgen. Dr. Williams served in a series of scientific and senior leadership positions over a decade at Immunex, including Executive Vice President and Chief Technology Officer and a member of the Board of Directors. During his 30+ year career in the biotechnology industry, he has played a role in the development of several novel drugs and has served on the board of numerous biotechnology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292100</wp:posOffset>
            </wp:positionV>
            <wp:extent cx="726630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color w:val="auto"/>
        </w:rPr>
        <w:t>Roy Twyman, M.D. Biography</w:t>
      </w:r>
    </w:p>
    <w:p>
      <w:pPr>
        <w:spacing w:after="0" w:line="19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Dr. Twyman is a neurologist and currently CEO and founder, Amron Neuroscience, LLC, a private consulting company focused on neuroscience drug development. Prior to this, Dr. Twyman spent almost 20 years at Janssen Research &amp; Development, LLC (a Johnson &amp; Johnson company) and was a member of the Neuroscience Therapeutic Area Leadership team responsible for clinical R&amp;D and strategic planning of CNS neurology and psychiatry pipeline products. From 2012 to March 2018, he was a Senior Vice President in the Neuroscience Therapeutic Area overseeing the Alzheimer’s Disease Area. He currently participates as an independent board member or as a scientific advisory board member for a number of small biotech or pharmaceutical companies.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Shareholders also approved all resolutions at the AGM as proposed by the Board of Directors. Prior to the meeting, the Board withdrew agenda items 9 and 10.</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AC Immune SA</w:t>
      </w:r>
    </w:p>
    <w:p>
      <w:pPr>
        <w:spacing w:after="0" w:line="192" w:lineRule="exact"/>
        <w:rPr>
          <w:sz w:val="20"/>
          <w:szCs w:val="20"/>
          <w:color w:val="auto"/>
        </w:rPr>
      </w:pPr>
    </w:p>
    <w:p>
      <w:pPr>
        <w:jc w:val="both"/>
        <w:spacing w:after="0" w:line="223" w:lineRule="auto"/>
        <w:rPr>
          <w:sz w:val="20"/>
          <w:szCs w:val="20"/>
          <w:color w:val="auto"/>
        </w:rPr>
      </w:pPr>
      <w:r>
        <w:rPr>
          <w:rFonts w:ascii="Arial" w:cs="Arial" w:eastAsia="Arial" w:hAnsi="Arial"/>
          <w:sz w:val="15"/>
          <w:szCs w:val="15"/>
          <w:color w:val="auto"/>
        </w:rPr>
        <w:t>AC Immune SA is a Nasdaq-listed clinical-stage biopharmaceutical company, which aims to become a global leader in precision medicine for neurodegenerative diseases. The Company is utilizing two proprietary discovery platforms, SupraAntigen</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and Morphomer</w:t>
      </w:r>
      <w:r>
        <w:rPr>
          <w:rFonts w:ascii="Arial" w:cs="Arial" w:eastAsia="Arial" w:hAnsi="Arial"/>
          <w:sz w:val="25"/>
          <w:szCs w:val="25"/>
          <w:color w:val="auto"/>
          <w:vertAlign w:val="superscript"/>
        </w:rPr>
        <w:t>TM</w:t>
      </w:r>
      <w:r>
        <w:rPr>
          <w:rFonts w:ascii="Arial" w:cs="Arial" w:eastAsia="Arial" w:hAnsi="Arial"/>
          <w:sz w:val="15"/>
          <w:szCs w:val="15"/>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five currently in clinical trials. It has collaborations with major pharmaceutical companies including Roche/Genentech, Eli Lilly and Janssen.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gridSpan w:val="3"/>
          </w:tcPr>
          <w:p>
            <w:pPr>
              <w:spacing w:after="0"/>
              <w:rPr>
                <w:sz w:val="20"/>
                <w:szCs w:val="20"/>
                <w:color w:val="auto"/>
              </w:rPr>
            </w:pPr>
            <w:r>
              <w:rPr>
                <w:rFonts w:ascii="Arial" w:cs="Arial" w:eastAsia="Arial" w:hAnsi="Arial"/>
                <w:sz w:val="15"/>
                <w:szCs w:val="15"/>
                <w:b w:val="1"/>
                <w:bCs w:val="1"/>
                <w:color w:val="auto"/>
              </w:rPr>
              <w:t>For further information, please contact:</w:t>
            </w: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34"/>
        </w:trPr>
        <w:tc>
          <w:tcPr>
            <w:tcW w:w="5260" w:type="dxa"/>
            <w:vAlign w:val="bottom"/>
            <w:gridSpan w:val="3"/>
          </w:tcPr>
          <w:p>
            <w:pPr>
              <w:spacing w:after="0"/>
              <w:rPr>
                <w:sz w:val="20"/>
                <w:szCs w:val="20"/>
                <w:color w:val="auto"/>
              </w:rPr>
            </w:pPr>
            <w:r>
              <w:rPr>
                <w:rFonts w:ascii="Arial" w:cs="Arial" w:eastAsia="Arial" w:hAnsi="Arial"/>
                <w:sz w:val="15"/>
                <w:szCs w:val="15"/>
                <w:b w:val="1"/>
                <w:bCs w:val="1"/>
                <w:color w:val="auto"/>
              </w:rPr>
              <w:t>US Investors</w:t>
            </w:r>
          </w:p>
        </w:tc>
        <w:tc>
          <w:tcPr>
            <w:tcW w:w="3060" w:type="dxa"/>
            <w:vAlign w:val="bottom"/>
            <w:gridSpan w:val="3"/>
          </w:tcPr>
          <w:p>
            <w:pPr>
              <w:spacing w:after="0"/>
              <w:rPr>
                <w:sz w:val="20"/>
                <w:szCs w:val="20"/>
                <w:color w:val="auto"/>
              </w:rPr>
            </w:pPr>
            <w:r>
              <w:rPr>
                <w:rFonts w:ascii="Arial" w:cs="Arial" w:eastAsia="Arial" w:hAnsi="Arial"/>
                <w:sz w:val="15"/>
                <w:szCs w:val="15"/>
                <w:b w:val="1"/>
                <w:bCs w:val="1"/>
                <w:color w:val="auto"/>
              </w:rPr>
              <w:t>US Media</w:t>
            </w:r>
          </w:p>
        </w:tc>
      </w:tr>
      <w:tr>
        <w:trPr>
          <w:trHeight w:val="173"/>
        </w:trPr>
        <w:tc>
          <w:tcPr>
            <w:tcW w:w="5260" w:type="dxa"/>
            <w:vAlign w:val="bottom"/>
            <w:gridSpan w:val="3"/>
          </w:tcPr>
          <w:p>
            <w:pPr>
              <w:spacing w:after="0"/>
              <w:rPr>
                <w:sz w:val="20"/>
                <w:szCs w:val="20"/>
                <w:color w:val="auto"/>
              </w:rPr>
            </w:pPr>
            <w:r>
              <w:rPr>
                <w:rFonts w:ascii="Arial" w:cs="Arial" w:eastAsia="Arial" w:hAnsi="Arial"/>
                <w:sz w:val="15"/>
                <w:szCs w:val="15"/>
                <w:color w:val="auto"/>
              </w:rPr>
              <w:t>Joshua Drumm, Ph.D.</w:t>
            </w:r>
          </w:p>
        </w:tc>
        <w:tc>
          <w:tcPr>
            <w:tcW w:w="3060" w:type="dxa"/>
            <w:vAlign w:val="bottom"/>
            <w:gridSpan w:val="3"/>
          </w:tcPr>
          <w:p>
            <w:pPr>
              <w:spacing w:after="0"/>
              <w:rPr>
                <w:sz w:val="20"/>
                <w:szCs w:val="20"/>
                <w:color w:val="auto"/>
              </w:rPr>
            </w:pPr>
            <w:r>
              <w:rPr>
                <w:rFonts w:ascii="Arial" w:cs="Arial" w:eastAsia="Arial" w:hAnsi="Arial"/>
                <w:sz w:val="15"/>
                <w:szCs w:val="15"/>
                <w:color w:val="auto"/>
              </w:rPr>
              <w:t>Katie Gallagher or Sharon Correia</w:t>
            </w:r>
          </w:p>
        </w:tc>
      </w:tr>
      <w:tr>
        <w:trPr>
          <w:trHeight w:val="173"/>
        </w:trPr>
        <w:tc>
          <w:tcPr>
            <w:tcW w:w="5260" w:type="dxa"/>
            <w:vAlign w:val="bottom"/>
            <w:gridSpan w:val="3"/>
          </w:tcPr>
          <w:p>
            <w:pPr>
              <w:spacing w:after="0"/>
              <w:rPr>
                <w:sz w:val="20"/>
                <w:szCs w:val="20"/>
                <w:color w:val="auto"/>
              </w:rPr>
            </w:pPr>
            <w:r>
              <w:rPr>
                <w:rFonts w:ascii="Arial" w:cs="Arial" w:eastAsia="Arial" w:hAnsi="Arial"/>
                <w:sz w:val="15"/>
                <w:szCs w:val="15"/>
                <w:color w:val="auto"/>
              </w:rPr>
              <w:t>AC Immune Investor Relations</w:t>
            </w:r>
          </w:p>
        </w:tc>
        <w:tc>
          <w:tcPr>
            <w:tcW w:w="3060" w:type="dxa"/>
            <w:vAlign w:val="bottom"/>
            <w:gridSpan w:val="3"/>
          </w:tcPr>
          <w:p>
            <w:pPr>
              <w:spacing w:after="0"/>
              <w:rPr>
                <w:sz w:val="20"/>
                <w:szCs w:val="20"/>
                <w:color w:val="auto"/>
              </w:rPr>
            </w:pPr>
            <w:r>
              <w:rPr>
                <w:rFonts w:ascii="Arial" w:cs="Arial" w:eastAsia="Arial" w:hAnsi="Arial"/>
                <w:sz w:val="15"/>
                <w:szCs w:val="15"/>
                <w:color w:val="auto"/>
              </w:rPr>
              <w:t>LaVoieHealthScience</w:t>
            </w:r>
          </w:p>
        </w:tc>
      </w:tr>
      <w:tr>
        <w:trPr>
          <w:trHeight w:val="173"/>
        </w:trPr>
        <w:tc>
          <w:tcPr>
            <w:tcW w:w="5260" w:type="dxa"/>
            <w:vAlign w:val="bottom"/>
            <w:gridSpan w:val="3"/>
          </w:tcPr>
          <w:p>
            <w:pPr>
              <w:spacing w:after="0"/>
              <w:rPr>
                <w:sz w:val="20"/>
                <w:szCs w:val="20"/>
                <w:color w:val="auto"/>
              </w:rPr>
            </w:pPr>
            <w:r>
              <w:rPr>
                <w:rFonts w:ascii="Arial" w:cs="Arial" w:eastAsia="Arial" w:hAnsi="Arial"/>
                <w:sz w:val="15"/>
                <w:szCs w:val="15"/>
                <w:color w:val="auto"/>
              </w:rPr>
              <w:t>Phone: +1 646 876 5538</w:t>
            </w:r>
          </w:p>
        </w:tc>
        <w:tc>
          <w:tcPr>
            <w:tcW w:w="3060" w:type="dxa"/>
            <w:vAlign w:val="bottom"/>
            <w:gridSpan w:val="3"/>
          </w:tcPr>
          <w:p>
            <w:pPr>
              <w:spacing w:after="0"/>
              <w:rPr>
                <w:sz w:val="20"/>
                <w:szCs w:val="20"/>
                <w:color w:val="auto"/>
              </w:rPr>
            </w:pPr>
            <w:r>
              <w:rPr>
                <w:rFonts w:ascii="Arial" w:cs="Arial" w:eastAsia="Arial" w:hAnsi="Arial"/>
                <w:sz w:val="15"/>
                <w:szCs w:val="15"/>
                <w:color w:val="auto"/>
              </w:rPr>
              <w:t>Phone: +1 617 792 3937</w:t>
            </w:r>
          </w:p>
        </w:tc>
      </w:tr>
      <w:tr>
        <w:trPr>
          <w:trHeight w:val="151"/>
        </w:trPr>
        <w:tc>
          <w:tcPr>
            <w:tcW w:w="5260" w:type="dxa"/>
            <w:vAlign w:val="bottom"/>
            <w:gridSpan w:val="3"/>
          </w:tcPr>
          <w:p>
            <w:pPr>
              <w:spacing w:after="0" w:line="151" w:lineRule="exact"/>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color w:val="0000FF"/>
              </w:rPr>
              <w:t>joshua.drumm@acimmune.com</w:t>
            </w:r>
          </w:p>
        </w:tc>
        <w:tc>
          <w:tcPr>
            <w:tcW w:w="3060" w:type="dxa"/>
            <w:vAlign w:val="bottom"/>
            <w:gridSpan w:val="3"/>
          </w:tcPr>
          <w:p>
            <w:pPr>
              <w:spacing w:after="0" w:line="151" w:lineRule="exact"/>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color w:val="0000FF"/>
              </w:rPr>
              <w:t>kgallagher@lavoiehealthscience.com</w:t>
            </w:r>
          </w:p>
        </w:tc>
      </w:tr>
      <w:tr>
        <w:trPr>
          <w:trHeight w:val="20"/>
        </w:trPr>
        <w:tc>
          <w:tcPr>
            <w:tcW w:w="5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r>
      <w:tr>
        <w:trPr>
          <w:trHeight w:val="153"/>
        </w:trPr>
        <w:tc>
          <w:tcPr>
            <w:tcW w:w="5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260" w:type="dxa"/>
            <w:vAlign w:val="bottom"/>
            <w:tcBorders>
              <w:bottom w:val="single" w:sz="8" w:color="0000FF"/>
            </w:tcBorders>
            <w:gridSpan w:val="2"/>
          </w:tcPr>
          <w:p>
            <w:pPr>
              <w:spacing w:after="0" w:line="153" w:lineRule="exact"/>
              <w:rPr>
                <w:sz w:val="20"/>
                <w:szCs w:val="20"/>
                <w:color w:val="auto"/>
              </w:rPr>
            </w:pPr>
            <w:r>
              <w:rPr>
                <w:rFonts w:ascii="Arial" w:cs="Arial" w:eastAsia="Arial" w:hAnsi="Arial"/>
                <w:sz w:val="15"/>
                <w:szCs w:val="15"/>
                <w:color w:val="0000FF"/>
              </w:rPr>
              <w:t>scorreia@lavoiehealthscience.co</w:t>
            </w:r>
          </w:p>
        </w:tc>
        <w:tc>
          <w:tcPr>
            <w:tcW w:w="800" w:type="dxa"/>
            <w:vAlign w:val="bottom"/>
          </w:tcPr>
          <w:p>
            <w:pPr>
              <w:spacing w:after="0"/>
              <w:rPr>
                <w:sz w:val="13"/>
                <w:szCs w:val="13"/>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20" w:type="dxa"/>
            <w:vAlign w:val="bottom"/>
            <w:gridSpan w:val="3"/>
          </w:tcPr>
          <w:p>
            <w:pPr>
              <w:spacing w:after="0"/>
              <w:rPr>
                <w:sz w:val="20"/>
                <w:szCs w:val="20"/>
                <w:color w:val="auto"/>
              </w:rPr>
            </w:pPr>
            <w:r>
              <w:rPr>
                <w:rFonts w:ascii="Arial" w:cs="Arial" w:eastAsia="Arial" w:hAnsi="Arial"/>
                <w:sz w:val="15"/>
                <w:szCs w:val="15"/>
                <w:b w:val="1"/>
                <w:bCs w:val="1"/>
                <w:color w:val="auto"/>
              </w:rPr>
              <w:t>European Media</w:t>
            </w:r>
          </w:p>
        </w:tc>
        <w:tc>
          <w:tcPr>
            <w:tcW w:w="3540" w:type="dxa"/>
            <w:vAlign w:val="bottom"/>
            <w:gridSpan w:val="2"/>
          </w:tcPr>
          <w:p>
            <w:pPr>
              <w:ind w:left="1240"/>
              <w:spacing w:after="0"/>
              <w:rPr>
                <w:sz w:val="20"/>
                <w:szCs w:val="20"/>
                <w:color w:val="auto"/>
              </w:rPr>
            </w:pPr>
            <w:r>
              <w:rPr>
                <w:rFonts w:ascii="Arial" w:cs="Arial" w:eastAsia="Arial" w:hAnsi="Arial"/>
                <w:sz w:val="15"/>
                <w:szCs w:val="15"/>
                <w:b w:val="1"/>
                <w:bCs w:val="1"/>
                <w:color w:val="auto"/>
              </w:rPr>
              <w:t>European Investors &amp; Media</w:t>
            </w:r>
          </w:p>
        </w:tc>
      </w:tr>
      <w:tr>
        <w:trPr>
          <w:trHeight w:val="173"/>
        </w:trPr>
        <w:tc>
          <w:tcPr>
            <w:tcW w:w="4020" w:type="dxa"/>
            <w:vAlign w:val="bottom"/>
            <w:gridSpan w:val="3"/>
          </w:tcPr>
          <w:p>
            <w:pPr>
              <w:spacing w:after="0"/>
              <w:rPr>
                <w:sz w:val="20"/>
                <w:szCs w:val="20"/>
                <w:color w:val="auto"/>
              </w:rPr>
            </w:pPr>
            <w:r>
              <w:rPr>
                <w:rFonts w:ascii="Arial" w:cs="Arial" w:eastAsia="Arial" w:hAnsi="Arial"/>
                <w:sz w:val="15"/>
                <w:szCs w:val="15"/>
                <w:color w:val="auto"/>
              </w:rPr>
              <w:t>Judith Moore</w:t>
            </w:r>
          </w:p>
        </w:tc>
        <w:tc>
          <w:tcPr>
            <w:tcW w:w="3540" w:type="dxa"/>
            <w:vAlign w:val="bottom"/>
            <w:gridSpan w:val="2"/>
          </w:tcPr>
          <w:p>
            <w:pPr>
              <w:ind w:left="1240"/>
              <w:spacing w:after="0"/>
              <w:rPr>
                <w:sz w:val="20"/>
                <w:szCs w:val="20"/>
                <w:color w:val="auto"/>
              </w:rPr>
            </w:pPr>
            <w:r>
              <w:rPr>
                <w:rFonts w:ascii="Arial" w:cs="Arial" w:eastAsia="Arial" w:hAnsi="Arial"/>
                <w:sz w:val="15"/>
                <w:szCs w:val="15"/>
                <w:color w:val="auto"/>
              </w:rPr>
              <w:t>Chris Maggos</w:t>
            </w:r>
          </w:p>
        </w:tc>
      </w:tr>
      <w:tr>
        <w:trPr>
          <w:trHeight w:val="173"/>
        </w:trPr>
        <w:tc>
          <w:tcPr>
            <w:tcW w:w="4020" w:type="dxa"/>
            <w:vAlign w:val="bottom"/>
            <w:gridSpan w:val="3"/>
          </w:tcPr>
          <w:p>
            <w:pPr>
              <w:spacing w:after="0"/>
              <w:rPr>
                <w:sz w:val="20"/>
                <w:szCs w:val="20"/>
                <w:color w:val="auto"/>
              </w:rPr>
            </w:pPr>
            <w:r>
              <w:rPr>
                <w:rFonts w:ascii="Arial" w:cs="Arial" w:eastAsia="Arial" w:hAnsi="Arial"/>
                <w:sz w:val="15"/>
                <w:szCs w:val="15"/>
                <w:color w:val="auto"/>
              </w:rPr>
              <w:t>AC Immune Global Communication Lead</w:t>
            </w:r>
          </w:p>
        </w:tc>
        <w:tc>
          <w:tcPr>
            <w:tcW w:w="3540" w:type="dxa"/>
            <w:vAlign w:val="bottom"/>
            <w:gridSpan w:val="2"/>
          </w:tcPr>
          <w:p>
            <w:pPr>
              <w:ind w:left="1240"/>
              <w:spacing w:after="0"/>
              <w:rPr>
                <w:sz w:val="20"/>
                <w:szCs w:val="20"/>
                <w:color w:val="auto"/>
              </w:rPr>
            </w:pPr>
            <w:r>
              <w:rPr>
                <w:rFonts w:ascii="Arial" w:cs="Arial" w:eastAsia="Arial" w:hAnsi="Arial"/>
                <w:sz w:val="15"/>
                <w:szCs w:val="15"/>
                <w:color w:val="auto"/>
              </w:rPr>
              <w:t>LifeSci Advisors</w:t>
            </w:r>
          </w:p>
        </w:tc>
      </w:tr>
      <w:tr>
        <w:trPr>
          <w:trHeight w:val="173"/>
        </w:trPr>
        <w:tc>
          <w:tcPr>
            <w:tcW w:w="4020" w:type="dxa"/>
            <w:vAlign w:val="bottom"/>
            <w:gridSpan w:val="3"/>
          </w:tcPr>
          <w:p>
            <w:pPr>
              <w:spacing w:after="0"/>
              <w:rPr>
                <w:sz w:val="20"/>
                <w:szCs w:val="20"/>
                <w:color w:val="auto"/>
              </w:rPr>
            </w:pPr>
            <w:r>
              <w:rPr>
                <w:rFonts w:ascii="Arial" w:cs="Arial" w:eastAsia="Arial" w:hAnsi="Arial"/>
                <w:sz w:val="15"/>
                <w:szCs w:val="15"/>
                <w:color w:val="auto"/>
              </w:rPr>
              <w:t>Phone: +44 7932 053829</w:t>
            </w:r>
          </w:p>
        </w:tc>
        <w:tc>
          <w:tcPr>
            <w:tcW w:w="3540" w:type="dxa"/>
            <w:vAlign w:val="bottom"/>
            <w:gridSpan w:val="2"/>
          </w:tcPr>
          <w:p>
            <w:pPr>
              <w:ind w:left="1240"/>
              <w:spacing w:after="0"/>
              <w:rPr>
                <w:sz w:val="20"/>
                <w:szCs w:val="20"/>
                <w:color w:val="auto"/>
              </w:rPr>
            </w:pPr>
            <w:r>
              <w:rPr>
                <w:rFonts w:ascii="Arial" w:cs="Arial" w:eastAsia="Arial" w:hAnsi="Arial"/>
                <w:sz w:val="15"/>
                <w:szCs w:val="15"/>
                <w:color w:val="auto"/>
              </w:rPr>
              <w:t>Phone: +41 79 367 6254</w:t>
            </w:r>
          </w:p>
        </w:tc>
      </w:tr>
      <w:tr>
        <w:trPr>
          <w:trHeight w:val="151"/>
        </w:trPr>
        <w:tc>
          <w:tcPr>
            <w:tcW w:w="4020" w:type="dxa"/>
            <w:vAlign w:val="bottom"/>
            <w:gridSpan w:val="3"/>
          </w:tcPr>
          <w:p>
            <w:pPr>
              <w:spacing w:after="0" w:line="151" w:lineRule="exact"/>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color w:val="0000FF"/>
              </w:rPr>
              <w:t>judith.moore@acimmune.com</w:t>
            </w:r>
          </w:p>
        </w:tc>
        <w:tc>
          <w:tcPr>
            <w:tcW w:w="3540" w:type="dxa"/>
            <w:vAlign w:val="bottom"/>
            <w:gridSpan w:val="2"/>
          </w:tcPr>
          <w:p>
            <w:pPr>
              <w:ind w:left="1240"/>
              <w:spacing w:after="0" w:line="151" w:lineRule="exact"/>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color w:val="0000FF"/>
              </w:rPr>
              <w:t>chris@lifesciadvisors.com</w:t>
            </w:r>
          </w:p>
        </w:tc>
      </w:tr>
      <w:tr>
        <w:trPr>
          <w:trHeight w:val="20"/>
        </w:trPr>
        <w:tc>
          <w:tcPr>
            <w:tcW w:w="5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 looking statements</w:t>
      </w:r>
    </w:p>
    <w:p>
      <w:pPr>
        <w:spacing w:after="0" w:line="17"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290830</wp:posOffset>
            </wp:positionV>
            <wp:extent cx="726630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sectPr>
      <w:pgSz w:w="11900" w:h="16838" w:orient="portrait"/>
      <w:cols w:equalWidth="0" w:num="1">
        <w:col w:w="11440"/>
      </w:cols>
      <w:pgMar w:left="240" w:top="51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1"/>
    </w:lvl>
  </w:abstractNum>
  <w:abstractNum w:abstractNumId="1">
    <w:nsid w:val="66334873"/>
    <w:multiLevelType w:val="hybridMultilevel"/>
    <w:lvl w:ilvl="0">
      <w:lvlJc w:val="left"/>
      <w:lvlText w:val="%1."/>
      <w:numFmt w:val="upp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2019-12-01T07:57:13Z</dcterms:created>
  <dcterms:modified xsi:type="dcterms:W3CDTF">2019-12-01T07:57:13Z</dcterms:modified>
</cp:coreProperties>
</file>