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40" w:right="2740"/>
        <w:spacing w:after="0" w:line="263"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4)</w:t>
      </w:r>
      <w:r>
        <w:rPr>
          <w:rFonts w:ascii="Arial" w:cs="Arial" w:eastAsia="Arial" w:hAnsi="Arial"/>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AC Immune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Common Shares, par value CHF 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H00263105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January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both"/>
        <w:ind w:firstLine="8"/>
        <w:spacing w:after="0"/>
        <w:tabs>
          <w:tab w:leader="none" w:pos="815" w:val="left"/>
        </w:tabs>
        <w:numPr>
          <w:ilvl w:val="0"/>
          <w:numId w:val="4"/>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Biotechnology Value Fund, L.P.</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4,178,515</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4,178,515</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4,178,515</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144145</wp:posOffset>
            </wp:positionV>
            <wp:extent cx="351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27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6"/>
              </w:rPr>
              <w:t>BVF I GP LLC</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678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5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4,178,515</w:t>
            </w:r>
          </w:p>
        </w:tc>
        <w:tc>
          <w:tcPr>
            <w:tcW w:w="276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506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50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4,178,515</w:t>
            </w: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-3368675</wp:posOffset>
            </wp:positionV>
            <wp:extent cx="3511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1840" w:hanging="1026"/>
        <w:spacing w:after="0"/>
        <w:tabs>
          <w:tab w:leader="none" w:pos="1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jc w:val="right"/>
              <w:ind w:right="6510"/>
              <w:spacing w:after="0"/>
              <w:rPr>
                <w:sz w:val="20"/>
                <w:szCs w:val="20"/>
                <w:color w:val="auto"/>
              </w:rPr>
            </w:pPr>
            <w:r>
              <w:rPr>
                <w:rFonts w:ascii="Arial" w:cs="Arial" w:eastAsia="Arial" w:hAnsi="Arial"/>
                <w:sz w:val="18"/>
                <w:szCs w:val="18"/>
                <w:color w:val="auto"/>
              </w:rPr>
              <w:t>4,178,515</w:t>
            </w:r>
          </w:p>
        </w:tc>
        <w:tc>
          <w:tcPr>
            <w:tcW w:w="1640" w:type="dxa"/>
            <w:vAlign w:val="bottom"/>
            <w:tcBorders>
              <w:bottom w:val="single" w:sz="8" w:color="auto"/>
            </w:tcBorders>
          </w:tcPr>
          <w:p>
            <w:pPr>
              <w:spacing w:after="0"/>
              <w:rPr>
                <w:sz w:val="20"/>
                <w:szCs w:val="20"/>
                <w:color w:val="auto"/>
              </w:rPr>
            </w:pPr>
          </w:p>
        </w:tc>
      </w:tr>
      <w:tr>
        <w:trPr>
          <w:trHeight w:val="276"/>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8200" w:type="dxa"/>
            <w:vAlign w:val="bottom"/>
          </w:tcPr>
          <w:p>
            <w:pPr>
              <w:ind w:left="4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8200" w:type="dxa"/>
            <w:vAlign w:val="bottom"/>
          </w:tcPr>
          <w:p>
            <w:pPr>
              <w:ind w:left="4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Biotechnology Value Trading Fund II, L.P.</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3,078,248</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3,078,248</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3,078,248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9"/>
              </w:rPr>
              <w:t>BVF II GP LLC</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3,078,248</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3,078,248</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3,078,248</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-4620260</wp:posOffset>
            </wp:positionV>
            <wp:extent cx="3511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115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0</wp:posOffset>
            </wp:positionV>
            <wp:extent cx="3511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2280" w:right="6900" w:hanging="1512"/>
        <w:spacing w:after="0" w:line="527" w:lineRule="auto"/>
        <w:tabs>
          <w:tab w:leader="none" w:pos="18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Biotechnology Value Trading Fund OS LP</w:t>
            </w: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1"/>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505,763</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505,763</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505,763</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27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BVF Partners OS Ltd.</w:t>
            </w:r>
          </w:p>
        </w:tc>
        <w:tc>
          <w:tcPr>
            <w:tcW w:w="276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678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50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2"/>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1"/>
              </w:rPr>
              <w:t>Cayman Islands</w:t>
            </w:r>
          </w:p>
        </w:tc>
        <w:tc>
          <w:tcPr>
            <w:tcW w:w="50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500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500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505,763</w:t>
            </w:r>
          </w:p>
        </w:tc>
        <w:tc>
          <w:tcPr>
            <w:tcW w:w="276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505,763</w:t>
            </w: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-3368675</wp:posOffset>
            </wp:positionV>
            <wp:extent cx="3511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1840" w:hanging="1026"/>
        <w:spacing w:after="0"/>
        <w:tabs>
          <w:tab w:leader="none" w:pos="1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jc w:val="right"/>
              <w:ind w:right="6650"/>
              <w:spacing w:after="0"/>
              <w:rPr>
                <w:sz w:val="20"/>
                <w:szCs w:val="20"/>
                <w:color w:val="auto"/>
              </w:rPr>
            </w:pPr>
            <w:r>
              <w:rPr>
                <w:rFonts w:ascii="Arial" w:cs="Arial" w:eastAsia="Arial" w:hAnsi="Arial"/>
                <w:sz w:val="18"/>
                <w:szCs w:val="18"/>
                <w:color w:val="auto"/>
              </w:rPr>
              <w:t>505,763</w:t>
            </w:r>
          </w:p>
        </w:tc>
        <w:tc>
          <w:tcPr>
            <w:tcW w:w="1640" w:type="dxa"/>
            <w:vAlign w:val="bottom"/>
            <w:tcBorders>
              <w:bottom w:val="single" w:sz="8" w:color="auto"/>
            </w:tcBorders>
          </w:tcPr>
          <w:p>
            <w:pPr>
              <w:spacing w:after="0"/>
              <w:rPr>
                <w:sz w:val="20"/>
                <w:szCs w:val="20"/>
                <w:color w:val="auto"/>
              </w:rPr>
            </w:pPr>
          </w:p>
        </w:tc>
      </w:tr>
      <w:tr>
        <w:trPr>
          <w:trHeight w:val="276"/>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8200" w:type="dxa"/>
            <w:vAlign w:val="bottom"/>
          </w:tcPr>
          <w:p>
            <w:pPr>
              <w:ind w:left="4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8200" w:type="dxa"/>
            <w:vAlign w:val="bottom"/>
          </w:tcPr>
          <w:p>
            <w:pPr>
              <w:ind w:left="4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BVF GP HOLDINGS LLC</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7,256,763</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7,256,763</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7,256,763</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10.1%</w:t>
            </w:r>
          </w:p>
        </w:tc>
        <w:tc>
          <w:tcPr>
            <w:tcW w:w="6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-4619625</wp:posOffset>
            </wp:positionV>
            <wp:extent cx="3511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0</wp:posOffset>
            </wp:positionV>
            <wp:extent cx="3511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2280" w:right="6900" w:hanging="1512"/>
        <w:spacing w:after="0" w:line="527" w:lineRule="auto"/>
        <w:tabs>
          <w:tab w:leader="none" w:pos="18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BVF Partners L.P.</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7,916,658</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7,916,658</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7,916,658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11.0%</w:t>
            </w:r>
          </w:p>
        </w:tc>
        <w:tc>
          <w:tcPr>
            <w:tcW w:w="6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-4620260</wp:posOffset>
            </wp:positionV>
            <wp:extent cx="3511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2280" w:right="6900" w:hanging="1512"/>
        <w:spacing w:after="0" w:line="527" w:lineRule="auto"/>
        <w:tabs>
          <w:tab w:leader="none" w:pos="18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-576580</wp:posOffset>
            </wp:positionV>
            <wp:extent cx="3511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27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BVF Inc.</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678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5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7,916,658</w:t>
            </w:r>
          </w:p>
        </w:tc>
        <w:tc>
          <w:tcPr>
            <w:tcW w:w="276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506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50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7,916,658</w:t>
            </w: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-3368675</wp:posOffset>
            </wp:positionV>
            <wp:extent cx="3511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1840" w:hanging="1026"/>
        <w:spacing w:after="0"/>
        <w:tabs>
          <w:tab w:leader="none" w:pos="1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jc w:val="right"/>
              <w:ind w:right="6510"/>
              <w:spacing w:after="0"/>
              <w:rPr>
                <w:sz w:val="20"/>
                <w:szCs w:val="20"/>
                <w:color w:val="auto"/>
              </w:rPr>
            </w:pPr>
            <w:r>
              <w:rPr>
                <w:rFonts w:ascii="Arial" w:cs="Arial" w:eastAsia="Arial" w:hAnsi="Arial"/>
                <w:sz w:val="18"/>
                <w:szCs w:val="18"/>
                <w:color w:val="auto"/>
              </w:rPr>
              <w:t>7,916,658</w:t>
            </w:r>
          </w:p>
        </w:tc>
        <w:tc>
          <w:tcPr>
            <w:tcW w:w="1640" w:type="dxa"/>
            <w:vAlign w:val="bottom"/>
            <w:tcBorders>
              <w:bottom w:val="single" w:sz="8" w:color="auto"/>
            </w:tcBorders>
          </w:tcPr>
          <w:p>
            <w:pPr>
              <w:spacing w:after="0"/>
              <w:rPr>
                <w:sz w:val="20"/>
                <w:szCs w:val="20"/>
                <w:color w:val="auto"/>
              </w:rPr>
            </w:pPr>
          </w:p>
        </w:tc>
      </w:tr>
      <w:tr>
        <w:trPr>
          <w:trHeight w:val="276"/>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8200" w:type="dxa"/>
            <w:vAlign w:val="bottom"/>
          </w:tcPr>
          <w:p>
            <w:pPr>
              <w:ind w:left="4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8200" w:type="dxa"/>
            <w:vAlign w:val="bottom"/>
          </w:tcPr>
          <w:p>
            <w:pPr>
              <w:ind w:left="4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11.0%</w:t>
      </w:r>
    </w:p>
    <w:p>
      <w:pPr>
        <w:spacing w:after="0" w:line="23" w:lineRule="exact"/>
        <w:rPr>
          <w:sz w:val="20"/>
          <w:szCs w:val="20"/>
          <w:color w:val="auto"/>
        </w:rPr>
      </w:pPr>
    </w:p>
    <w:p>
      <w:pPr>
        <w:ind w:left="2280" w:right="6900" w:hanging="1512"/>
        <w:spacing w:after="0" w:line="527" w:lineRule="auto"/>
        <w:tabs>
          <w:tab w:leader="none" w:pos="18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-576580</wp:posOffset>
            </wp:positionV>
            <wp:extent cx="3511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p>
      <w:pPr>
        <w:ind w:left="1840" w:hanging="1026"/>
        <w:spacing w:after="0"/>
        <w:tabs>
          <w:tab w:leader="none" w:pos="1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Mark N. Lampert</w:t>
            </w:r>
          </w:p>
        </w:tc>
        <w:tc>
          <w:tcPr>
            <w:tcW w:w="2760" w:type="dxa"/>
            <w:vAlign w:val="bottom"/>
            <w:tcBorders>
              <w:bottom w:val="single" w:sz="8" w:color="auto"/>
            </w:tcBorders>
          </w:tcPr>
          <w:p>
            <w:pPr>
              <w:spacing w:after="0"/>
              <w:rPr>
                <w:sz w:val="20"/>
                <w:szCs w:val="20"/>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712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840" w:hanging="1026"/>
        <w:spacing w:after="0"/>
        <w:tabs>
          <w:tab w:leader="none" w:pos="1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United States</w:t>
            </w:r>
          </w:p>
        </w:tc>
        <w:tc>
          <w:tcPr>
            <w:tcW w:w="6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7,916,658</w:t>
            </w:r>
          </w:p>
        </w:tc>
        <w:tc>
          <w:tcPr>
            <w:tcW w:w="164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61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4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61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7,916,658</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7,916,658</w:t>
            </w:r>
          </w:p>
        </w:tc>
        <w:tc>
          <w:tcPr>
            <w:tcW w:w="6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AC Immune SA, a Switzerland corporation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EPFL Innovation Park, Building B</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1015 Lausanne, Switzerland</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Fund, L.P. (“BVF”)</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I GP LLC (“BVF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Fund II, L.P. (“BVF2”)</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II GP LLC (“BVF2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Trading Fund OS LP (“Trading Fund OS”)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540"/>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Partners OS Ltd. (“Partners OS”)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309 Ugland House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Grand Cayman, KY1-1104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Cayman Islands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Cayman Islands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GP Holdings LLC (“BVF GPH”)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Partners L.P. (“Partners”)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Mark N. Lampert (“Mr. Lampert”)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United States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Each of the foregoing is referred to as a “Reporting Person” and collectively as the “Reporting Persons.”</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Shares, par value CHF 0.02 per share (the “Shares”).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H00263105</w:t>
      </w: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or (c), Check Whether the Person Filing is 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rPr>
              <w:t>/x/</w:t>
            </w:r>
          </w:p>
        </w:tc>
        <w:tc>
          <w:tcPr>
            <w:tcW w:w="85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(a)</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(b)</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(c)</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(d)</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(e)</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(f)</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(g)</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(h)</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1860" w:type="dxa"/>
            <w:vAlign w:val="bottom"/>
          </w:tcPr>
          <w:p>
            <w:pPr>
              <w:ind w:left="1340"/>
              <w:spacing w:after="0"/>
              <w:rPr>
                <w:sz w:val="20"/>
                <w:szCs w:val="20"/>
                <w:color w:val="auto"/>
              </w:rPr>
            </w:pPr>
            <w:r>
              <w:rPr>
                <w:rFonts w:ascii="Arial" w:cs="Arial" w:eastAsia="Arial" w:hAnsi="Arial"/>
                <w:sz w:val="18"/>
                <w:szCs w:val="18"/>
                <w:color w:val="auto"/>
              </w:rPr>
              <w:t>(i)</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w w:val="98"/>
              </w:rPr>
              <w:t>A church plan that is excluded from the definition of an investment company under Section 3(c)(14) of the</w:t>
            </w:r>
          </w:p>
        </w:tc>
      </w:tr>
      <w:tr>
        <w:trPr>
          <w:trHeight w:val="230"/>
        </w:trPr>
        <w:tc>
          <w:tcPr>
            <w:tcW w:w="1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Investment Company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(j)</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Group, in accordance with Rule 13d-1(b)(1)(ii)(J).</w:t>
            </w:r>
          </w:p>
        </w:tc>
      </w:tr>
      <w:tr>
        <w:trPr>
          <w:trHeight w:val="418"/>
        </w:trPr>
        <w:tc>
          <w:tcPr>
            <w:tcW w:w="1860" w:type="dxa"/>
            <w:vAlign w:val="bottom"/>
          </w:tcPr>
          <w:p>
            <w:pPr>
              <w:ind w:left="1340"/>
              <w:spacing w:after="0"/>
              <w:rPr>
                <w:sz w:val="20"/>
                <w:szCs w:val="20"/>
                <w:color w:val="auto"/>
              </w:rPr>
            </w:pPr>
            <w:r>
              <w:rPr>
                <w:rFonts w:ascii="Arial" w:cs="Arial" w:eastAsia="Arial" w:hAnsi="Arial"/>
                <w:sz w:val="18"/>
                <w:szCs w:val="18"/>
                <w:color w:val="auto"/>
              </w:rPr>
              <w:t>(k)</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w w:val="98"/>
              </w:rPr>
              <w:t>Group, in accordance with Rule 240.13d-1(b)(1)(ii)(K). If filing as a non-U.S. institution in accordance with</w:t>
            </w:r>
          </w:p>
        </w:tc>
      </w:tr>
      <w:tr>
        <w:trPr>
          <w:trHeight w:val="230"/>
        </w:trPr>
        <w:tc>
          <w:tcPr>
            <w:tcW w:w="1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Rule 240.13d-1(b)(1)(ii)(J), please specify the type of institution: ____</w:t>
            </w:r>
          </w:p>
        </w:tc>
      </w:tr>
      <w:tr>
        <w:trPr>
          <w:trHeight w:val="540"/>
        </w:trPr>
        <w:tc>
          <w:tcPr>
            <w:tcW w:w="1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ind w:left="286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December 31, 2020, (i) BVF beneficially owned 5,137,258 Shares, (ii) BVF2 beneficially owned 3,839,744 Shares, and (iii) Trading Fund OS beneficially owned 665,571 Shares.</w:t>
      </w:r>
    </w:p>
    <w:p>
      <w:pPr>
        <w:spacing w:after="0" w:line="170" w:lineRule="exact"/>
        <w:rPr>
          <w:rFonts w:ascii="Arial" w:cs="Arial" w:eastAsia="Arial" w:hAnsi="Arial"/>
          <w:sz w:val="18"/>
          <w:szCs w:val="18"/>
          <w:color w:val="auto"/>
        </w:rPr>
      </w:pPr>
    </w:p>
    <w:p>
      <w:pPr>
        <w:ind w:left="1300" w:right="540"/>
        <w:spacing w:after="0" w:line="563" w:lineRule="auto"/>
        <w:rPr>
          <w:rFonts w:ascii="Arial" w:cs="Arial" w:eastAsia="Arial" w:hAnsi="Arial"/>
          <w:sz w:val="18"/>
          <w:szCs w:val="18"/>
          <w:color w:val="auto"/>
        </w:rPr>
      </w:pPr>
      <w:r>
        <w:rPr>
          <w:rFonts w:ascii="Arial" w:cs="Arial" w:eastAsia="Arial" w:hAnsi="Arial"/>
          <w:sz w:val="16"/>
          <w:szCs w:val="16"/>
          <w:color w:val="auto"/>
        </w:rPr>
        <w:t>BVF GP, as the general partner of BVF, may be deemed to beneficially own the 5,137,258 Shares beneficially owned by BVF. BVF2 GP, as the general partner of BVF2, may be deemed to beneficially own the 3,839,744 Shares beneficially owned by BVF2.</w:t>
      </w: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Partners OS, as the general partner of Trading Fund OS, may be deemed to beneficially own the 665,571 Shares beneficially owned by Trading Fund OS.</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BVF GPH, as the sole member of each of BVF GP and BVF2 GP, may be deemed to beneficially own the 8,977,002 Shares beneficially owned in the aggregate by BVF and BVF2.</w:t>
      </w:r>
    </w:p>
    <w:p>
      <w:pPr>
        <w:spacing w:after="0" w:line="170" w:lineRule="exact"/>
        <w:rPr>
          <w:rFonts w:ascii="Arial" w:cs="Arial" w:eastAsia="Arial" w:hAnsi="Arial"/>
          <w:sz w:val="18"/>
          <w:szCs w:val="18"/>
          <w:color w:val="auto"/>
        </w:rPr>
      </w:pPr>
    </w:p>
    <w:p>
      <w:pPr>
        <w:jc w:val="both"/>
        <w:ind w:left="1300"/>
        <w:spacing w:after="0" w:line="286" w:lineRule="auto"/>
        <w:rPr>
          <w:rFonts w:ascii="Arial" w:cs="Arial" w:eastAsia="Arial" w:hAnsi="Arial"/>
          <w:sz w:val="18"/>
          <w:szCs w:val="18"/>
          <w:color w:val="auto"/>
        </w:rPr>
      </w:pPr>
      <w:r>
        <w:rPr>
          <w:rFonts w:ascii="Arial" w:cs="Arial" w:eastAsia="Arial" w:hAnsi="Arial"/>
          <w:sz w:val="17"/>
          <w:szCs w:val="17"/>
          <w:color w:val="auto"/>
        </w:rPr>
        <w:t>Partners, as the investment manager of BVF, BVF2 and Trading Fund OS, and the sole member of Partners OS, may be deemed to beneficially own the 9,816,658 Shares beneficially owned in the aggregate by BVF, BVF2, Trading Fund OS, and a certain Partners managed account (the “Partners Managed Account”), including 174,085 Shares held in the Partners Managed Account.</w:t>
      </w:r>
    </w:p>
    <w:p>
      <w:pPr>
        <w:spacing w:after="0" w:line="16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BVF Inc., as the general partner of Partners, may be deemed to beneficially own the 9,816,658 Shares beneficially owned by Partners.</w:t>
      </w:r>
    </w:p>
    <w:p>
      <w:pPr>
        <w:spacing w:after="0" w:line="248"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Mr. Lampert, as a director and officer of BVF Inc., may be deemed to beneficially own the 9,816,658 Shares beneficially owned by BVF Inc.</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January 14, 2021 (i) BVF beneficially owned 4,178,515 Shares, (ii) BVF2 beneficially owned 3,078,248 Shares, and (iii) Trading Fund OS beneficially owned 505,763 Shares.</w:t>
      </w:r>
    </w:p>
    <w:p>
      <w:pPr>
        <w:spacing w:after="0" w:line="170" w:lineRule="exact"/>
        <w:rPr>
          <w:rFonts w:ascii="Arial" w:cs="Arial" w:eastAsia="Arial" w:hAnsi="Arial"/>
          <w:sz w:val="18"/>
          <w:szCs w:val="18"/>
          <w:color w:val="auto"/>
        </w:rPr>
      </w:pPr>
    </w:p>
    <w:p>
      <w:pPr>
        <w:ind w:left="1300" w:right="540"/>
        <w:spacing w:after="0" w:line="623" w:lineRule="auto"/>
        <w:rPr>
          <w:rFonts w:ascii="Arial" w:cs="Arial" w:eastAsia="Arial" w:hAnsi="Arial"/>
          <w:sz w:val="18"/>
          <w:szCs w:val="18"/>
          <w:color w:val="auto"/>
        </w:rPr>
      </w:pPr>
      <w:r>
        <w:rPr>
          <w:rFonts w:ascii="Arial" w:cs="Arial" w:eastAsia="Arial" w:hAnsi="Arial"/>
          <w:sz w:val="16"/>
          <w:szCs w:val="16"/>
          <w:color w:val="auto"/>
        </w:rPr>
        <w:t>BVF GP, as the general partner of BVF, may be deemed to beneficially own the 4,178,515 Shares beneficially owned by BVF. BVF2 GP, as the general partner of BVF2, may be deemed to beneficially own the 3,078,248 Shares beneficially owned by BVF2.</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Partners OS, as the general partner of Trading Fund OS, may be deemed to beneficially own the 505,763 Shares beneficially owned by Trading Fund OS.</w:t>
      </w:r>
    </w:p>
    <w:p>
      <w:pPr>
        <w:spacing w:after="0" w:line="17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BVF GPH, as the sole member of each of BVF GP and BVF2 GP, may be deemed to beneficially own the 7,256,763 Shares beneficially owned in the aggregate by BVF and BVF2.</w:t>
      </w:r>
    </w:p>
    <w:p>
      <w:pPr>
        <w:spacing w:after="0" w:line="170"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Partners, as the investment manager of BVF, BVF2 and Trading Fund OS, and the sole member of Partners OS, may be deemed to beneficially own the 7,916,658 Shares beneficially owned in the aggregate by BVF, BVF2, Trading Fund OS, and the Partners Managed Account, including 154,132 Shares held in the Partners Managed Account.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BVF Inc., as the general partner of Partners, may be deemed to beneficially own the 7,916,658 Shares beneficially owned by Partners.</w:t>
      </w:r>
    </w:p>
    <w:p>
      <w:pPr>
        <w:spacing w:after="0" w:line="248"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Mr. Lampert, as a director and officer of BVF Inc., may be deemed to beneficially own the 7,916,658 Shares beneficially owned by BVF Inc.</w:t>
      </w:r>
    </w:p>
    <w:p>
      <w:pPr>
        <w:spacing w:after="0" w:line="170"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Trading Fund OS, and the Partners Managed Account, and the filing of this statement shall not be construed as an admission that any such person or entity is the beneficial owner of any such securities.</w:t>
      </w:r>
    </w:p>
    <w:p>
      <w:pPr>
        <w:spacing w:after="0" w:line="177"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The following percentages are based on 71,741,285 Shares outstanding, as disclosed in the Issuer’s Registration Statement on Form F-3 filed with the Securities and Exchange Commission on October 23, 2020.</w:t>
      </w:r>
    </w:p>
    <w:p>
      <w:pPr>
        <w:spacing w:after="0" w:line="170" w:lineRule="exact"/>
        <w:rPr>
          <w:rFonts w:ascii="Arial" w:cs="Arial" w:eastAsia="Arial" w:hAnsi="Arial"/>
          <w:sz w:val="18"/>
          <w:szCs w:val="18"/>
          <w:color w:val="auto"/>
        </w:rPr>
      </w:pPr>
    </w:p>
    <w:p>
      <w:pPr>
        <w:jc w:val="both"/>
        <w:ind w:left="1300"/>
        <w:spacing w:after="0" w:line="272" w:lineRule="auto"/>
        <w:rPr>
          <w:rFonts w:ascii="Arial" w:cs="Arial" w:eastAsia="Arial" w:hAnsi="Arial"/>
          <w:sz w:val="18"/>
          <w:szCs w:val="18"/>
          <w:color w:val="auto"/>
        </w:rPr>
      </w:pPr>
      <w:r>
        <w:rPr>
          <w:rFonts w:ascii="Arial" w:cs="Arial" w:eastAsia="Arial" w:hAnsi="Arial"/>
          <w:sz w:val="17"/>
          <w:szCs w:val="17"/>
          <w:color w:val="auto"/>
        </w:rPr>
        <w:t>As of the close of business on December 31, 2020, (i) BVF beneficially owned approximately 7.2% of the outstanding Shares, (ii) BVF2 beneficially owned approximately 5.4% of the outstanding Shares, (iii) Trading Fund OS beneficially owned less than 1% of the outstanding Shares, (iv) BVF GP may be deemed to beneficially own approximately 7.2% of the outstanding Shares, (v) BVF2 GP may be deemed to beneficially own approximately 5.4% of the outstanding Shares, (vi) Partners OS may be deemed to beneficially own less than 1% of the outstanding Shares, (vii) BVF GPH may be deemed to beneficially own approximately 12.5% of the outstanding Shares, and (viii) each of Partners, BVF Inc. and Mr. Lampert may be deemed to beneficially own approximately 13.7% of the outstanding Shares (less than 1% of the outstanding Shares are held in the Partners Managed Account).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As of the close of business on January 14, 2021, (i) BVF beneficially owned approximately 5.8% of the outstanding Shares, (ii) BVF2 beneficially owned approximately 4.3% of the outstanding Shares, (iii) Trading Fund OS beneficially owned less than 1% of the outstanding Shares, (iv) BVF GP may be deemed to beneficially own approximately 5.8% of the outstanding Shares, (v) BVF2 GP may be deemed to beneficially own approximately 4.3% of the outstanding Shares, (vi) Partners OS may be deemed to beneficially own less than 1% of the outstanding Shares, (vii) BVF GPH may be deemed to beneficially own approximately 10.1% of the outstanding Shares, and (viii) each of Partners, BVF Inc. and Mr. Lampert may be deemed to beneficially own approximately 11.0% of the outstanding Shares (less than 1% of the outstanding Shares are held in the Partners Managed Account).</w:t>
      </w:r>
    </w:p>
    <w:p>
      <w:pPr>
        <w:spacing w:after="0" w:line="177"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spacing w:after="0" w:line="1" w:lineRule="exact"/>
        <w:rPr>
          <w:rFonts w:ascii="Arial" w:cs="Arial" w:eastAsia="Arial" w:hAnsi="Arial"/>
          <w:sz w:val="18"/>
          <w:szCs w:val="18"/>
          <w:color w:val="auto"/>
        </w:rPr>
      </w:pPr>
    </w:p>
    <w:p>
      <w:pPr>
        <w:ind w:left="1300" w:right="6940" w:hanging="644"/>
        <w:spacing w:after="0" w:line="50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spacing w:after="0" w:line="1" w:lineRule="exact"/>
        <w:rPr>
          <w:rFonts w:ascii="Arial" w:cs="Arial" w:eastAsia="Arial" w:hAnsi="Arial"/>
          <w:sz w:val="18"/>
          <w:szCs w:val="18"/>
          <w:color w:val="auto"/>
        </w:rPr>
      </w:pPr>
    </w:p>
    <w:p>
      <w:pPr>
        <w:ind w:left="1300" w:right="6220" w:hanging="644"/>
        <w:spacing w:after="0" w:line="50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spacing w:after="0" w:line="1" w:lineRule="exact"/>
        <w:rPr>
          <w:rFonts w:ascii="Arial" w:cs="Arial" w:eastAsia="Arial" w:hAnsi="Arial"/>
          <w:sz w:val="18"/>
          <w:szCs w:val="18"/>
          <w:color w:val="auto"/>
        </w:rPr>
      </w:pPr>
    </w:p>
    <w:p>
      <w:pPr>
        <w:ind w:left="1300" w:right="6040" w:hanging="644"/>
        <w:spacing w:after="0" w:line="50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BVF GP, BVF2 GP, BVF GPH, Partners, BVF Inc. and Mr. Lampert share voting and dispositive power over the Shares beneficially owned by BVF and BVF2. Partners, BVF Inc. and Mr. Lampert share voting and dispositive power over the Shares beneficially owned by Trading Fund OS and the Partners Managed Account.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jc w:val="both"/>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Exhibit 99.1 to Amendment No. 3 to the Schedule 13G filed with the Securities and Exchange Commission on February 14, 2020.</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220"/>
          </w:cols>
          <w:pgMar w:left="320" w:top="226" w:right="3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FUND II, L.P.</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sole member</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BIOTECHNOLOGY VALUE TRADING FUND OS LP</w:t>
      </w:r>
    </w:p>
    <w:p>
      <w:pPr>
        <w:spacing w:after="0" w:line="237"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Partners L.P., its investment manager</w:t>
      </w:r>
    </w:p>
    <w:p>
      <w:pPr>
        <w:spacing w:after="0" w:line="23"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Inc., its general partner</w:t>
      </w:r>
    </w:p>
    <w:p>
      <w:pPr>
        <w:spacing w:after="0" w:line="224"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14605</wp:posOffset>
            </wp:positionV>
            <wp:extent cx="32746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GP HOLDINGS LLC</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-130175</wp:posOffset>
            </wp:positionV>
            <wp:extent cx="32746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PARTNERS L.P.</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Inc., its general partner</w:t>
      </w:r>
    </w:p>
    <w:p>
      <w:pPr>
        <w:spacing w:after="0" w:line="239"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14605</wp:posOffset>
            </wp:positionV>
            <wp:extent cx="32746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INC.</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-130175</wp:posOffset>
            </wp:positionV>
            <wp:extent cx="32746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14605</wp:posOffset>
            </wp:positionV>
            <wp:extent cx="35572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MARK N. LAMPERT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2">
        <w:col w:w="4820" w:space="720"/>
        <w:col w:w="5680"/>
      </w:cols>
      <w:pgMar w:left="32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bullet"/>
      <w:start w:val="1"/>
    </w:lvl>
  </w:abstractNum>
  <w:abstractNum w:abstractNumId="4">
    <w:nsid w:val="7FDCC233"/>
    <w:multiLevelType w:val="hybridMultilevel"/>
    <w:lvl w:ilvl="0">
      <w:lvlJc w:val="left"/>
      <w:lvlText w:val="%1"/>
      <w:numFmt w:val="decimal"/>
      <w:start w:val="12"/>
    </w:lvl>
  </w:abstractNum>
  <w:abstractNum w:abstractNumId="5">
    <w:nsid w:val="1BEFD79F"/>
    <w:multiLevelType w:val="hybridMultilevel"/>
    <w:lvl w:ilvl="0">
      <w:lvlJc w:val="left"/>
      <w:lvlText w:val="9"/>
      <w:numFmt w:val="bullet"/>
      <w:start w:val="1"/>
    </w:lvl>
  </w:abstractNum>
  <w:abstractNum w:abstractNumId="6">
    <w:nsid w:val="41A7C4C9"/>
    <w:multiLevelType w:val="hybridMultilevel"/>
    <w:lvl w:ilvl="0">
      <w:lvlJc w:val="left"/>
      <w:lvlText w:val="%1"/>
      <w:numFmt w:val="decimal"/>
      <w:start w:val="12"/>
    </w:lvl>
  </w:abstractNum>
  <w:abstractNum w:abstractNumId="7">
    <w:nsid w:val="6B68079A"/>
    <w:multiLevelType w:val="hybridMultilevel"/>
    <w:lvl w:ilvl="0">
      <w:lvlJc w:val="left"/>
      <w:lvlText w:val="%1"/>
      <w:numFmt w:val="decimal"/>
      <w:start w:val="12"/>
    </w:lvl>
  </w:abstractNum>
  <w:abstractNum w:abstractNumId="8">
    <w:nsid w:val="4E6AFB66"/>
    <w:multiLevelType w:val="hybridMultilevel"/>
    <w:lvl w:ilvl="0">
      <w:lvlJc w:val="left"/>
      <w:lvlText w:val="%1"/>
      <w:numFmt w:val="decimal"/>
      <w:start w:val="12"/>
    </w:lvl>
  </w:abstractNum>
  <w:abstractNum w:abstractNumId="9">
    <w:nsid w:val="25E45D32"/>
    <w:multiLevelType w:val="hybridMultilevel"/>
    <w:lvl w:ilvl="0">
      <w:lvlJc w:val="left"/>
      <w:lvlText w:val="%1"/>
      <w:numFmt w:val="decimal"/>
      <w:start w:val="12"/>
    </w:lvl>
  </w:abstractNum>
  <w:abstractNum w:abstractNumId="10">
    <w:nsid w:val="519B500D"/>
    <w:multiLevelType w:val="hybridMultilevel"/>
    <w:lvl w:ilvl="0">
      <w:lvlJc w:val="left"/>
      <w:lvlText w:val="9"/>
      <w:numFmt w:val="bullet"/>
      <w:start w:val="1"/>
    </w:lvl>
  </w:abstractNum>
  <w:abstractNum w:abstractNumId="11">
    <w:nsid w:val="431BD7B7"/>
    <w:multiLevelType w:val="hybridMultilevel"/>
    <w:lvl w:ilvl="0">
      <w:lvlJc w:val="left"/>
      <w:lvlText w:val="%1"/>
      <w:numFmt w:val="decimal"/>
      <w:start w:val="12"/>
    </w:lvl>
  </w:abstractNum>
  <w:abstractNum w:abstractNumId="12">
    <w:nsid w:val="3F2DBA31"/>
    <w:multiLevelType w:val="hybridMultilevel"/>
    <w:lvl w:ilvl="0">
      <w:lvlJc w:val="left"/>
      <w:lvlText w:val="%1"/>
      <w:numFmt w:val="decimal"/>
      <w:start w:val="12"/>
    </w:lvl>
  </w:abstractNum>
  <w:abstractNum w:abstractNumId="13">
    <w:nsid w:val="7C83E458"/>
    <w:multiLevelType w:val="hybridMultilevel"/>
    <w:lvl w:ilvl="0">
      <w:lvlJc w:val="left"/>
      <w:lvlText w:val="%1"/>
      <w:numFmt w:val="decimal"/>
      <w:start w:val="12"/>
    </w:lvl>
  </w:abstractNum>
  <w:abstractNum w:abstractNumId="14">
    <w:nsid w:val="257130A3"/>
    <w:multiLevelType w:val="hybridMultilevel"/>
    <w:lvl w:ilvl="0">
      <w:lvlJc w:val="left"/>
      <w:lvlText w:val="9"/>
      <w:numFmt w:val="bullet"/>
      <w:start w:val="1"/>
    </w:lvl>
  </w:abstractNum>
  <w:abstractNum w:abstractNumId="15">
    <w:nsid w:val="62BBD95A"/>
    <w:multiLevelType w:val="hybridMultilevel"/>
    <w:lvl w:ilvl="0">
      <w:lvlJc w:val="left"/>
      <w:lvlText w:val="%1"/>
      <w:numFmt w:val="decimal"/>
      <w:start w:val="12"/>
    </w:lvl>
  </w:abstractNum>
  <w:abstractNum w:abstractNumId="16">
    <w:nsid w:val="436C6125"/>
    <w:multiLevelType w:val="hybridMultilevel"/>
    <w:lvl w:ilvl="0">
      <w:lvlJc w:val="left"/>
      <w:lvlText w:val="1"/>
      <w:numFmt w:val="bullet"/>
      <w:start w:val="1"/>
    </w:lvl>
  </w:abstractNum>
  <w:abstractNum w:abstractNumId="17">
    <w:nsid w:val="628C895D"/>
    <w:multiLevelType w:val="hybridMultilevel"/>
    <w:lvl w:ilvl="0">
      <w:lvlJc w:val="left"/>
      <w:lvlText w:val="3"/>
      <w:numFmt w:val="bullet"/>
      <w:start w:val="1"/>
    </w:lvl>
  </w:abstractNum>
  <w:abstractNum w:abstractNumId="18">
    <w:nsid w:val="333AB105"/>
    <w:multiLevelType w:val="hybridMultilevel"/>
    <w:lvl w:ilvl="0">
      <w:lvlJc w:val="left"/>
      <w:lvlText w:val="4"/>
      <w:numFmt w:val="bullet"/>
      <w:start w:val="1"/>
    </w:lvl>
  </w:abstractNum>
  <w:abstractNum w:abstractNumId="19">
    <w:nsid w:val="721DA317"/>
    <w:multiLevelType w:val="hybridMultilevel"/>
    <w:lvl w:ilvl="0">
      <w:lvlJc w:val="left"/>
      <w:lvlText w:val="%1"/>
      <w:numFmt w:val="decimal"/>
      <w:start w:val="12"/>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2"/>
    </w:lvl>
  </w:abstractNum>
  <w:abstractNum w:abstractNumId="22">
    <w:nsid w:val="6763845E"/>
    <w:multiLevelType w:val="hybridMultilevel"/>
    <w:lvl w:ilvl="0">
      <w:lvlJc w:val="left"/>
      <w:lvlText w:val="(%1)"/>
      <w:numFmt w:val="lowerLetter"/>
      <w:start w:val="3"/>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2021-01-14T15:49:16Z</dcterms:created>
  <dcterms:modified xsi:type="dcterms:W3CDTF">2021-01-14T15:49:16Z</dcterms:modified>
</cp:coreProperties>
</file>