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June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302260</wp:posOffset>
            </wp:positionV>
            <wp:extent cx="193802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8020" cy="4546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333-224694</w:t>
      </w:r>
    </w:p>
    <w:p>
      <w:pPr>
        <w:spacing w:after="0" w:line="200" w:lineRule="exact"/>
        <w:rPr>
          <w:sz w:val="24"/>
          <w:szCs w:val="24"/>
          <w:color w:val="auto"/>
        </w:rPr>
      </w:pPr>
    </w:p>
    <w:p>
      <w:pPr>
        <w:sectPr>
          <w:pgSz w:w="11900" w:h="16838" w:orient="portrait"/>
          <w:cols w:equalWidth="0" w:num="2">
            <w:col w:w="8220" w:space="720"/>
            <w:col w:w="2480"/>
          </w:cols>
          <w:pgMar w:left="240" w:top="44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Subscription Rights to Purchase up to 1,500,000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20" w:firstLine="415"/>
        <w:spacing w:after="0" w:line="290" w:lineRule="auto"/>
        <w:rPr>
          <w:sz w:val="20"/>
          <w:szCs w:val="20"/>
          <w:color w:val="auto"/>
        </w:rPr>
      </w:pPr>
      <w:r>
        <w:rPr>
          <w:rFonts w:ascii="Arial" w:cs="Arial" w:eastAsia="Arial" w:hAnsi="Arial"/>
          <w:sz w:val="16"/>
          <w:szCs w:val="16"/>
          <w:color w:val="auto"/>
        </w:rPr>
        <w:t>We are offering pre-emptive subscription rights to our existing shareholders who held common shares after close of trading on The Nasdaq Global Market on July 2, 2018 (“Record Shareholders,” and the close of the trading on The Nasdaq Global Market on July 2, 2018, the “Record Date”) to purchase up to 1,500,000 newly issued common shares (the “Rights Offering”) at the Offering Price referred to below. The subscription period in respect of the Rights Offering will begin at 3.00 a.m. (New York City time) on July 20, 2018 and will expire at 4:00 p.m. (New York City time) on July 27, 2018. Record Shareholders who fully exercise their pre-emptive subscription rights during the subscription period will also have the option of subscribing for additional common shares unclaimed by other Record Shareholders in the Rights Offering at the same Offering Price, as further described under “Subscription Rights Offering.” If and to the extent the pre-emptive subscription rights have not been validly exercised by the Record Shareholders during the subscription period in the Rights Offering, the remaining common shares will be available for allocation to current shareholders by our Board of Directors at its discretion.</w:t>
      </w:r>
    </w:p>
    <w:p>
      <w:pPr>
        <w:spacing w:after="0" w:line="166" w:lineRule="exact"/>
        <w:rPr>
          <w:sz w:val="24"/>
          <w:szCs w:val="24"/>
          <w:color w:val="auto"/>
        </w:rPr>
      </w:pPr>
    </w:p>
    <w:p>
      <w:pPr>
        <w:ind w:right="260" w:firstLine="415"/>
        <w:spacing w:after="0" w:line="259" w:lineRule="auto"/>
        <w:rPr>
          <w:sz w:val="20"/>
          <w:szCs w:val="20"/>
          <w:color w:val="auto"/>
        </w:rPr>
      </w:pPr>
      <w:r>
        <w:rPr>
          <w:rFonts w:ascii="Arial" w:cs="Arial" w:eastAsia="Arial" w:hAnsi="Arial"/>
          <w:sz w:val="18"/>
          <w:szCs w:val="18"/>
          <w:color w:val="auto"/>
        </w:rPr>
        <w:t>Under Swiss law and pursuant to the resolution by the annual general meeting held on July 6, 2018, our existing shareholders are entitled to statutory pre-emptive subscription rights to subscribe for any new issuance of common shares and, thus, the newly issued common shares referred to herein, in proportion to their existing shareholdings. The subscription rights are not transferrable. You may not sell, transfer, assign or give away your subscription rights. See “Subscription Rights Offering.”</w:t>
      </w:r>
    </w:p>
    <w:p>
      <w:pPr>
        <w:spacing w:after="0" w:line="187" w:lineRule="exact"/>
        <w:rPr>
          <w:sz w:val="24"/>
          <w:szCs w:val="24"/>
          <w:color w:val="auto"/>
        </w:rPr>
      </w:pPr>
    </w:p>
    <w:p>
      <w:pPr>
        <w:ind w:right="100" w:firstLine="415"/>
        <w:spacing w:after="0" w:line="277" w:lineRule="auto"/>
        <w:rPr>
          <w:sz w:val="20"/>
          <w:szCs w:val="20"/>
          <w:color w:val="auto"/>
        </w:rPr>
      </w:pPr>
      <w:r>
        <w:rPr>
          <w:rFonts w:ascii="Arial" w:cs="Arial" w:eastAsia="Arial" w:hAnsi="Arial"/>
          <w:sz w:val="18"/>
          <w:szCs w:val="18"/>
          <w:color w:val="auto"/>
        </w:rPr>
        <w:t>Our common shares trade on The Nasdaq Global Market under the trading symbol “ACIU”. On July 18, 2018, the last sale price of our common shares as reported on The Nasdaq Global Market was $11.78 per share.</w:t>
      </w:r>
    </w:p>
    <w:p>
      <w:pPr>
        <w:spacing w:after="0" w:line="170" w:lineRule="exact"/>
        <w:rPr>
          <w:sz w:val="24"/>
          <w:szCs w:val="24"/>
          <w:color w:val="auto"/>
        </w:rPr>
      </w:pPr>
    </w:p>
    <w:p>
      <w:pPr>
        <w:ind w:right="240" w:firstLine="415"/>
        <w:spacing w:after="0" w:line="293" w:lineRule="auto"/>
        <w:rPr>
          <w:sz w:val="20"/>
          <w:szCs w:val="20"/>
          <w:color w:val="auto"/>
        </w:rPr>
      </w:pPr>
      <w:r>
        <w:rPr>
          <w:rFonts w:ascii="Arial" w:cs="Arial" w:eastAsia="Arial" w:hAnsi="Arial"/>
          <w:sz w:val="16"/>
          <w:szCs w:val="16"/>
          <w:color w:val="auto"/>
        </w:rPr>
        <w:t xml:space="preserve">On July 17, 2018, we commenced a public offering (the “Public Offering”) of 7,391,305 of our common shares and granted the underwriters in the Public Offering an option for a period of 30 days from the date of the prospectus supplement for the Public Offering to purchase up to 1,108,695 additional shares from us at the public offering price of the commons shares offered in the Public Offering (the “Offering Price”), less underwriting discounts and commissions. Concurrently with the Public Offering, we commenced a pre-emptive subscription rights offering (the “Prior Rights Offering”) to Record Shareholders giving them the opportunity to subscribe for up to 8,500,000 of the common shares offered in the Public Offering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at the Offering Price. The subscription period for the Prior Rights Offering expired at 4:00 p.m. (New York City time) on July 18, 2018.</w:t>
      </w:r>
    </w:p>
    <w:p>
      <w:pPr>
        <w:spacing w:after="0" w:line="161" w:lineRule="exact"/>
        <w:rPr>
          <w:sz w:val="24"/>
          <w:szCs w:val="24"/>
          <w:color w:val="auto"/>
        </w:rPr>
      </w:pPr>
    </w:p>
    <w:p>
      <w:pPr>
        <w:ind w:right="340" w:firstLine="415"/>
        <w:spacing w:after="0" w:line="266"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are subject to reduced public company reporting requirements. See “Prospectus Supplement Summary—Implications of Being an Emerging Growth Company” and “—Implications of Being a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right="280" w:firstLine="405"/>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beginning on page S-9 of this prospectus supplement.</w:t>
      </w:r>
    </w:p>
    <w:p>
      <w:pPr>
        <w:spacing w:after="0" w:line="199" w:lineRule="exact"/>
        <w:rPr>
          <w:sz w:val="24"/>
          <w:szCs w:val="24"/>
          <w:color w:val="auto"/>
        </w:rPr>
      </w:pPr>
    </w:p>
    <w:p>
      <w:pPr>
        <w:ind w:firstLine="416"/>
        <w:spacing w:after="0" w:line="31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40" w:type="dxa"/>
            <w:vAlign w:val="bottom"/>
            <w:tcBorders>
              <w:bottom w:val="single" w:sz="8" w:color="D5EAEA"/>
            </w:tcBorders>
          </w:tcPr>
          <w:p>
            <w:pPr>
              <w:spacing w:after="0"/>
              <w:rPr>
                <w:sz w:val="20"/>
                <w:szCs w:val="20"/>
                <w:color w:val="auto"/>
              </w:rPr>
            </w:pPr>
          </w:p>
        </w:tc>
        <w:tc>
          <w:tcPr>
            <w:tcW w:w="158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1"/>
              </w:rPr>
              <w:t>Per Share</w:t>
            </w:r>
          </w:p>
        </w:tc>
        <w:tc>
          <w:tcPr>
            <w:tcW w:w="100" w:type="dxa"/>
            <w:vAlign w:val="bottom"/>
            <w:tcBorders>
              <w:bottom w:val="single" w:sz="8" w:color="D5EAEA"/>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17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11.75</w:t>
            </w:r>
          </w:p>
        </w:tc>
        <w:tc>
          <w:tcPr>
            <w:tcW w:w="2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w w:val="95"/>
              </w:rPr>
              <w:t>17,625,000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tcBorders>
              <w:top w:val="single" w:sz="8" w:color="D5EAEA"/>
            </w:tcBorders>
          </w:tcPr>
          <w:p>
            <w:pPr>
              <w:spacing w:after="0"/>
              <w:rPr>
                <w:sz w:val="17"/>
                <w:szCs w:val="17"/>
                <w:color w:val="auto"/>
              </w:rPr>
            </w:pPr>
          </w:p>
        </w:tc>
        <w:tc>
          <w:tcPr>
            <w:tcW w:w="1580" w:type="dxa"/>
            <w:vAlign w:val="bottom"/>
            <w:tcBorders>
              <w:top w:val="single" w:sz="8" w:color="D5EAEA"/>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17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11.75</w:t>
            </w:r>
          </w:p>
        </w:tc>
        <w:tc>
          <w:tcPr>
            <w:tcW w:w="2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w w:val="95"/>
              </w:rPr>
              <w:t>17,625,000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tcBorders>
              <w:top w:val="single" w:sz="8" w:color="D5EAEA"/>
            </w:tcBorders>
          </w:tcPr>
          <w:p>
            <w:pPr>
              <w:spacing w:after="0"/>
              <w:rPr>
                <w:sz w:val="17"/>
                <w:szCs w:val="17"/>
                <w:color w:val="auto"/>
              </w:rPr>
            </w:pPr>
          </w:p>
        </w:tc>
        <w:tc>
          <w:tcPr>
            <w:tcW w:w="1580" w:type="dxa"/>
            <w:vAlign w:val="bottom"/>
            <w:tcBorders>
              <w:top w:val="single" w:sz="8" w:color="D5EAEA"/>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Delivery of the common shares is expected to be made on or about July 31, 2018.</w:t>
            </w:r>
          </w:p>
        </w:tc>
        <w:tc>
          <w:tcPr>
            <w:tcW w:w="158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7160" w:type="dxa"/>
            <w:vAlign w:val="bottom"/>
            <w:gridSpan w:val="3"/>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c>
          <w:tcPr>
            <w:tcW w:w="68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800" w:type="dxa"/>
            <w:vAlign w:val="bottom"/>
          </w:tcPr>
          <w:p>
            <w:pPr>
              <w:jc w:val="center"/>
              <w:ind w:right="3850"/>
              <w:spacing w:after="0"/>
              <w:rPr>
                <w:sz w:val="20"/>
                <w:szCs w:val="20"/>
                <w:color w:val="auto"/>
              </w:rPr>
            </w:pPr>
            <w:r>
              <w:rPr>
                <w:rFonts w:ascii="Arial" w:cs="Arial" w:eastAsia="Arial" w:hAnsi="Arial"/>
                <w:sz w:val="18"/>
                <w:szCs w:val="18"/>
                <w:b w:val="1"/>
                <w:bCs w:val="1"/>
                <w:color w:val="auto"/>
                <w:w w:val="97"/>
              </w:rPr>
              <w:t>PROSPECTUS SUPPLEMENT</w:t>
            </w: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Presentation of Financial Information</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S-ii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Trademarks</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S-ii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About This Prospectus Supplement</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S-ii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9"/>
              </w:rPr>
              <w:t>Special Note Regarding Forward-Looking Statements</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S-iv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Prospectus Supplement Summary</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The Offering</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Risk Factors</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Use of Proceeds</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S-19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Dividend Policy</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84"/>
              </w:rPr>
              <w:t>S-20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Capitalization</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S-21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Dilution</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84"/>
              </w:rPr>
              <w:t>S-22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Subscription Rights Offering</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S-23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Price Range of Common Shares</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84"/>
              </w:rPr>
              <w:t>S-25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Tax Considerations</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Plan of Distribution</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84"/>
              </w:rPr>
              <w:t>S-33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Legal Matters</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S-37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Experts</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84"/>
              </w:rPr>
              <w:t>S-37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4"/>
              </w:rPr>
              <w:t>S-37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Incorporation By Reference</w:t>
            </w: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84"/>
              </w:rPr>
              <w:t>S-37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6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18"/>
                <w:szCs w:val="18"/>
                <w:color w:val="auto"/>
              </w:rPr>
            </w:pP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5"/>
              </w:rPr>
              <w:t>PROSPECTUS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D5EAEA"/>
          </w:tcPr>
          <w:p>
            <w:pPr>
              <w:spacing w:after="0"/>
              <w:rPr>
                <w:sz w:val="18"/>
                <w:szCs w:val="18"/>
                <w:color w:val="auto"/>
              </w:rPr>
            </w:pPr>
          </w:p>
        </w:tc>
        <w:tc>
          <w:tcPr>
            <w:tcW w:w="680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About This Prospectus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Where You Can Find More Information</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9"/>
              </w:rPr>
              <w:t>Special Note Regarding Forward-Looking Statements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AC Immune SA</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Risk Factors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Ratio of Earnings to Fixed Charges</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Use of Proceeds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w w:val="96"/>
              </w:rPr>
              <w:t>Description of Share Capital and Articles of Association</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Comparison of Swiss Law and Delaware Law</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Description of Debt Securities</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Description of Purchase Contracts</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Description of Units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Description of Subscription Rights</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Plan of Distribution</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Incorporation of Certain Information By Reference</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Enforcement of Judgments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Expenses</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Legal Matters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D5EAEA"/>
          </w:tcPr>
          <w:p>
            <w:pPr>
              <w:spacing w:after="0"/>
              <w:rPr>
                <w:sz w:val="20"/>
                <w:szCs w:val="20"/>
                <w:color w:val="auto"/>
              </w:rPr>
            </w:pPr>
            <w:r>
              <w:rPr>
                <w:rFonts w:ascii="Arial" w:cs="Arial" w:eastAsia="Arial" w:hAnsi="Arial"/>
                <w:sz w:val="18"/>
                <w:szCs w:val="18"/>
                <w:color w:val="auto"/>
              </w:rPr>
              <w:t>Experts</w:t>
            </w:r>
          </w:p>
        </w:tc>
        <w:tc>
          <w:tcPr>
            <w:tcW w:w="7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20" w:firstLine="415"/>
        <w:spacing w:after="0" w:line="287" w:lineRule="auto"/>
        <w:rPr>
          <w:sz w:val="20"/>
          <w:szCs w:val="20"/>
          <w:color w:val="auto"/>
        </w:rPr>
      </w:pPr>
      <w:r>
        <w:rPr>
          <w:rFonts w:ascii="Arial" w:cs="Arial" w:eastAsia="Arial" w:hAnsi="Arial"/>
          <w:sz w:val="16"/>
          <w:szCs w:val="16"/>
          <w:color w:val="auto"/>
        </w:rPr>
        <w:t>Our financial statements incorporated by reference herein are presented in Swiss Francs and in accordance with International Financial Reporting Standards, or IFRS, as issued by the International Accounting Standards Board, or IASB. None of the financial statements included in this prospectus supplement or incorporated by reference herein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0.9738 to CHF 1.00, the official exchange rate quoted as of December 29, 2017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 Our statutory (non-IFRS) financial statements for the year ending December 31, 2017, are included in this prospectus supplement for information purposes only. Unless explicitly mentioned otherwise herein, all references to our financial statements in this prospectus supplement are references to our IFRS financial statements exclusively.</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0" w:firstLine="415"/>
        <w:spacing w:after="0" w:line="273" w:lineRule="auto"/>
        <w:rPr>
          <w:sz w:val="20"/>
          <w:szCs w:val="20"/>
          <w:color w:val="auto"/>
        </w:rPr>
      </w:pPr>
      <w:r>
        <w:rPr>
          <w:rFonts w:ascii="Arial" w:cs="Arial" w:eastAsia="Arial" w:hAnsi="Arial"/>
          <w:sz w:val="17"/>
          <w:szCs w:val="17"/>
          <w:color w:val="auto"/>
        </w:rPr>
        <w:t>The Company owns various trademark registrations and applications, and unregistered trademarks, including Morphomer™, SupraAntigen™ and its corporate logo. All other trademarks, trade names and service marks of other companies appearing in this prospectus supplement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firstLine="415"/>
        <w:spacing w:after="0" w:line="264"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81"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right="20" w:firstLine="416"/>
        <w:spacing w:after="0" w:line="312"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and any related free writing prospectus filed by us with the SEC. We have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p>
      <w:pPr>
        <w:ind w:right="240"/>
        <w:spacing w:after="0" w:line="259" w:lineRule="auto"/>
        <w:rPr>
          <w:sz w:val="20"/>
          <w:szCs w:val="20"/>
          <w:color w:val="auto"/>
        </w:rPr>
      </w:pPr>
      <w:r>
        <w:rPr>
          <w:rFonts w:ascii="Arial" w:cs="Arial" w:eastAsia="Arial" w:hAnsi="Arial"/>
          <w:sz w:val="18"/>
          <w:szCs w:val="18"/>
          <w:color w:val="auto"/>
        </w:rPr>
        <w:t>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70" w:lineRule="exact"/>
        <w:rPr>
          <w:sz w:val="20"/>
          <w:szCs w:val="20"/>
          <w:color w:val="auto"/>
        </w:rPr>
      </w:pPr>
    </w:p>
    <w:p>
      <w:pPr>
        <w:ind w:right="180" w:firstLine="41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supplement to “AC Immune” or the “Company,” “we,” “our,” “ours,” “us” or similar terms refer to AC Immune SA, a Swiss stock corporation.</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80" w:firstLine="415"/>
        <w:spacing w:after="0" w:line="291" w:lineRule="auto"/>
        <w:rPr>
          <w:sz w:val="20"/>
          <w:szCs w:val="20"/>
          <w:color w:val="auto"/>
        </w:rPr>
      </w:pPr>
      <w:r>
        <w:rPr>
          <w:rFonts w:ascii="Arial" w:cs="Arial" w:eastAsia="Arial" w:hAnsi="Arial"/>
          <w:sz w:val="16"/>
          <w:szCs w:val="16"/>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within the meaning of Section 27A of the Securities Act of 1933, as amended, or the Securities Act, and Section 21E of the Exchange Act of 1934, as amended, or the Exchange Act. Many of the forward-looking statements contained in this prospectus supplement can be identified by the use of forward-looking words such as “anticipate,” “believe,” “could,” “expect,” “should,” “plan,” “intend,” “estimate,” “will” and “potential,” among others.</w:t>
      </w:r>
    </w:p>
    <w:p>
      <w:pPr>
        <w:spacing w:after="0" w:line="167"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supplement. These risks and uncertainties include factors relating to:</w:t>
      </w:r>
    </w:p>
    <w:p>
      <w:pPr>
        <w:spacing w:after="0" w:line="188" w:lineRule="exact"/>
        <w:rPr>
          <w:sz w:val="20"/>
          <w:szCs w:val="20"/>
          <w:color w:val="auto"/>
        </w:rPr>
      </w:pPr>
    </w:p>
    <w:p>
      <w:pPr>
        <w:ind w:left="1060" w:right="80" w:hanging="323"/>
        <w:spacing w:after="0" w:line="342"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success of our and our collaboration partners’ clinical studies, and our and their ability to obtain regulatory approval and to commercialize crenezumab, our anti-Tau antibody candidate, ACI-24, ACI-35, and our Tau-PET tracer as well as alpha-synuclein-PET tracer candidate;</w:t>
      </w:r>
    </w:p>
    <w:p>
      <w:pPr>
        <w:spacing w:after="0" w:line="123" w:lineRule="exact"/>
        <w:rPr>
          <w:rFonts w:ascii="Arial" w:cs="Arial" w:eastAsia="Arial" w:hAnsi="Arial"/>
          <w:sz w:val="16"/>
          <w:szCs w:val="16"/>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7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1060" w:hanging="323"/>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firstLine="416"/>
        <w:spacing w:after="0" w:line="271" w:lineRule="auto"/>
        <w:rPr>
          <w:sz w:val="20"/>
          <w:szCs w:val="20"/>
          <w:color w:val="auto"/>
        </w:rPr>
      </w:pPr>
      <w:r>
        <w:rPr>
          <w:rFonts w:ascii="Arial" w:cs="Arial" w:eastAsia="Arial" w:hAnsi="Arial"/>
          <w:sz w:val="17"/>
          <w:szCs w:val="17"/>
          <w:color w:val="auto"/>
        </w:rPr>
        <w:t>These forward-looking statements speak only as of the date of this prospectus supplement and are subject to a number of risks, uncertainties and assumptions described under the section in this prospectus supplement entitled “Risk Factors” and elsewhere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16140" cy="6905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140" cy="6905625"/>
                    </a:xfrm>
                    <a:prstGeom prst="rect">
                      <a:avLst/>
                    </a:prstGeom>
                    <a:noFill/>
                  </pic:spPr>
                </pic:pic>
              </a:graphicData>
            </a:graphic>
          </wp:anchor>
        </w:drawing>
        <w:t>PROSPECTUS SUPPLEMENT SUMMARY</w:t>
      </w:r>
    </w:p>
    <w:p>
      <w:pPr>
        <w:spacing w:after="0" w:line="229" w:lineRule="exact"/>
        <w:rPr>
          <w:sz w:val="20"/>
          <w:szCs w:val="20"/>
          <w:color w:val="auto"/>
        </w:rPr>
      </w:pPr>
    </w:p>
    <w:p>
      <w:pPr>
        <w:ind w:left="20" w:right="20" w:firstLine="401"/>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S-9 of this prospectus supplement, along with our consolidated financial statements and notes to those consolidated financial statements and the other information incorporated by reference in this prospectus supplement.</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clinical stage biopharmaceutical company focused on neurodegenerative diseases with five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340" w:top="432" w:right="459" w:bottom="1440" w:gutter="0" w:footer="0" w:header="0"/>
        </w:sectPr>
      </w:pPr>
    </w:p>
    <w:bookmarkStart w:id="7" w:name="page8"/>
    <w:bookmarkEnd w:id="7"/>
    <w:p>
      <w:pPr>
        <w:ind w:right="160"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16140" cy="6699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6699885"/>
                    </a:xfrm>
                    <a:prstGeom prst="rect">
                      <a:avLst/>
                    </a:prstGeom>
                    <a:noFill/>
                  </pic:spPr>
                </pic:pic>
              </a:graphicData>
            </a:graphic>
          </wp:anchor>
        </w:drawing>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 There remains a significant unmet medical need for reliable and accurate diagnostics to enable early diagnosis and disease-modifying treatments that slow the progress of neurodegenerative diseases.</w:t>
      </w:r>
    </w:p>
    <w:p>
      <w:pPr>
        <w:spacing w:after="0" w:line="18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Prof.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Our goal is to become a global leader in precision medicine for the treatment of neurodegenerative diseases. To that aim we are executing a clear business strategy around three pillars: (i) Alzheimer’s disease, (ii) other significant neurodegenerative diseases and neuro-orphan indications, and (iii) diagnostics.</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first pillar is Alzheimer’s disease, where we are developing best-in-class late stage assets, preventive or therapeutic vaccines in partnership or as fully owned assets and where we are working to establish a pipeline of disease modifying small molecules.</w:t>
      </w:r>
    </w:p>
    <w:p>
      <w:pPr>
        <w:spacing w:after="0" w:line="170"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second pillar is other non-AD neurodegenerative diseases and neuro-orphan indications, where we aim to discover therapeutic treatments for Parkinson’s disease and leverage our AD therapeutics in Down syndrome, progressive supranuclear palsy (PSP) and other neuro-orphan diseases.</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third pillar is represented by diagnostics, where we accelerate the diagnostic pipeline to late stage development and use the diagnostics to improve clinical trials and to establish external partnerships.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strategy continue to include:</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Advancing our product candidates, in partnership or alone, from clinical development to regulatory approval and potential commercialization. Our product candidates include:</w:t>
      </w:r>
    </w:p>
    <w:p>
      <w:pPr>
        <w:spacing w:after="0" w:line="166" w:lineRule="exact"/>
        <w:rPr>
          <w:sz w:val="20"/>
          <w:szCs w:val="20"/>
          <w:color w:val="auto"/>
        </w:rPr>
      </w:pPr>
    </w:p>
    <w:p>
      <w:pPr>
        <w:ind w:left="640" w:right="80" w:hanging="318"/>
        <w:spacing w:after="0" w:line="26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Crenezumab</w:t>
      </w:r>
      <w:r>
        <w:rPr>
          <w:rFonts w:ascii="Arial" w:cs="Arial" w:eastAsia="Arial" w:hAnsi="Arial"/>
          <w:sz w:val="18"/>
          <w:szCs w:val="18"/>
          <w:color w:val="auto"/>
        </w:rPr>
        <w:t>. Our collaboration partner, Genentech, will advance crenezumab through Phase 3 clinical studies and seek regulatory approval.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crenezumab’s efficacy, coupled with its safety profile, has the potential to become a best-in-class disease-modifying treatment for AD.</w:t>
      </w:r>
    </w:p>
    <w:p>
      <w:pPr>
        <w:spacing w:after="0" w:line="176" w:lineRule="exact"/>
        <w:rPr>
          <w:rFonts w:ascii="Arial" w:cs="Arial" w:eastAsia="Arial" w:hAnsi="Arial"/>
          <w:sz w:val="18"/>
          <w:szCs w:val="18"/>
          <w:color w:val="auto"/>
        </w:rPr>
      </w:pPr>
    </w:p>
    <w:p>
      <w:pPr>
        <w:ind w:left="640" w:hanging="318"/>
        <w:spacing w:after="0" w:line="274"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ACI-24</w:t>
      </w:r>
      <w:r>
        <w:rPr>
          <w:rFonts w:ascii="Arial" w:cs="Arial" w:eastAsia="Arial" w:hAnsi="Arial"/>
          <w:sz w:val="17"/>
          <w:szCs w:val="17"/>
          <w:color w:val="auto"/>
        </w:rPr>
        <w:t>. We will continue to advance ACI-24 through a Phase 2 clinical study in people with AD. In the first quarter of 2018, we reported the</w:t>
      </w:r>
      <w:r>
        <w:rPr>
          <w:rFonts w:ascii="Arial" w:cs="Arial" w:eastAsia="Arial" w:hAnsi="Arial"/>
          <w:sz w:val="17"/>
          <w:szCs w:val="17"/>
          <w:b w:val="1"/>
          <w:bCs w:val="1"/>
          <w:color w:val="auto"/>
        </w:rPr>
        <w:t xml:space="preserve"> </w:t>
      </w:r>
      <w:r>
        <w:rPr>
          <w:rFonts w:ascii="Arial" w:cs="Arial" w:eastAsia="Arial" w:hAnsi="Arial"/>
          <w:sz w:val="17"/>
          <w:szCs w:val="17"/>
          <w:color w:val="auto"/>
        </w:rPr>
        <w:t>safety data from our ongoing Phase 1/2a clinical study to evaluate the safety, tolerability, immunogenicity and biomarker endpoints in people with mild to moderate AD. Our Phase 1b clinical study of ACI-24 in people with Down syndrome is intended to assess safety and started in December 2015. We expect to present interim data from our Phase 1b clinical study in 2018. We have received the necessary approvals to begin our Phase 2 clinical study in patients with mild Alzheimer’s disease and expect to start screening our first patient in the third quarter of 2018. We own the global rights to ACI-24 and we intend to continue to develop ACI-24 in-house as a therapeutic candidate.</w:t>
      </w:r>
    </w:p>
    <w:p>
      <w:pPr>
        <w:spacing w:after="0" w:line="173" w:lineRule="exact"/>
        <w:rPr>
          <w:rFonts w:ascii="Arial" w:cs="Arial" w:eastAsia="Arial" w:hAnsi="Arial"/>
          <w:sz w:val="17"/>
          <w:szCs w:val="17"/>
          <w:color w:val="auto"/>
        </w:rPr>
      </w:pPr>
    </w:p>
    <w:p>
      <w:pPr>
        <w:ind w:left="640" w:right="440" w:hanging="318"/>
        <w:spacing w:after="0" w:line="313"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ACI-35</w:t>
      </w:r>
      <w:r>
        <w:rPr>
          <w:rFonts w:ascii="Arial" w:cs="Arial" w:eastAsia="Arial" w:hAnsi="Arial"/>
          <w:sz w:val="17"/>
          <w:szCs w:val="17"/>
          <w:color w:val="auto"/>
        </w:rPr>
        <w:t>. The Phase 1b clinical study delivered encouraging interim results. We and Janssen Pharmaceuticals will move the anti-Tau vaccine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forward through the next phase of development; this is supported by scientific advice from regulatory authorities.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40" w:top="436" w:right="379" w:bottom="1440" w:gutter="0" w:footer="0" w:header="0"/>
        </w:sectPr>
      </w:pPr>
    </w:p>
    <w:bookmarkStart w:id="8" w:name="page9"/>
    <w:bookmarkEnd w:id="8"/>
    <w:p>
      <w:pPr>
        <w:ind w:left="640" w:right="20" w:hanging="318"/>
        <w:spacing w:after="0" w:line="28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16140" cy="6030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6030595"/>
                    </a:xfrm>
                    <a:prstGeom prst="rect">
                      <a:avLst/>
                    </a:prstGeom>
                    <a:noFill/>
                  </pic:spPr>
                </pic:pic>
              </a:graphicData>
            </a:graphic>
          </wp:anchor>
        </w:drawing>
        <w:t>Our Anti-Tau antibody candidate</w:t>
      </w:r>
      <w:r>
        <w:rPr>
          <w:rFonts w:ascii="Arial" w:cs="Arial" w:eastAsia="Arial" w:hAnsi="Arial"/>
          <w:sz w:val="18"/>
          <w:szCs w:val="18"/>
          <w:color w:val="auto"/>
        </w:rPr>
        <w:t>. Our collaboration partner, Genentech, is advancing an anti-Tau antibody candidate through a Phase 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study, which started in the fourth quarter of 2017.</w:t>
      </w:r>
    </w:p>
    <w:p>
      <w:pPr>
        <w:spacing w:after="0" w:line="161" w:lineRule="exact"/>
        <w:rPr>
          <w:rFonts w:ascii="Arial" w:cs="Arial" w:eastAsia="Arial" w:hAnsi="Arial"/>
          <w:sz w:val="18"/>
          <w:szCs w:val="18"/>
          <w:color w:val="auto"/>
        </w:rPr>
      </w:pPr>
    </w:p>
    <w:p>
      <w:pPr>
        <w:ind w:left="640" w:right="540" w:hanging="318"/>
        <w:spacing w:after="0" w:line="26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Diagnostic candidates</w:t>
      </w:r>
      <w:r>
        <w:rPr>
          <w:rFonts w:ascii="Arial" w:cs="Arial" w:eastAsia="Arial" w:hAnsi="Arial"/>
          <w:sz w:val="18"/>
          <w:szCs w:val="18"/>
          <w:color w:val="auto"/>
        </w:rPr>
        <w:t>. In addition to the above product candidates, we will continue to develop our complementary diagnostic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for Tau, alpha-synuclein and TDP-43 to advance these through clinical development, either independently or with collaboration partners.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Expanding into other neurodegenerative and neuro-orphan diseases</w:t>
      </w:r>
    </w:p>
    <w:p>
      <w:pPr>
        <w:spacing w:after="0" w:line="22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We will continue to leverage our proprietary technology platforms to develop product candidates that share the same disease targets like misfolded Abeta, Tau, alpha-synuclein and TDP-43 proteins, which are the key features of many neurodegenerative diseases. We pursue selected neuro-orphan indications, such as progressive supranuclear palsy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Accelerating the advancement of our diagnostic portfolio</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also developing a complementary diagnostics portfolio. We currently have three diagnostics candidates in our pipeline that we developed using our Morphomer platform that targets Tau (enabling study expected in 2018), alpha-synuclein (enabling study expected in the first half of 2018 and lead selection expected in 2018) and TDP-43 (lead selection expected in 2018). Our Tau-PET imaging agent is currently undergoing Phase 1 studies and we are working with our partner, Piramal Imaging, to advance this product candidate through the clinical development process. We expect to undertake a longitudinal study of our Tau-PET imaging agent in 2018. We are also developing PET imaging diagnostics for diseases resulting from the misfolding of alpha-synuclein and TDP-43 proteins. We expect to start the Phase 1 clinical trial for our alpha-synuclein-PET tracer in the second half of 2018.</w:t>
      </w:r>
    </w:p>
    <w:p>
      <w:pPr>
        <w:spacing w:after="0" w:line="16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are leveraging the duality of our therapeutic and diagnostic approaches to seek to become the leader in precision treatment of neurodegenerative diseases. The goal of precision medicine is to deliver optimally targeted and timed interventions tailored to an individual's molecular drivers of disease.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Strategically collaborating or selectively partnering for the development and commercialization of product candidates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Historically, we have 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40" w:top="45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16140" cy="4641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4641850"/>
                    </a:xfrm>
                    <a:prstGeom prst="rect">
                      <a:avLst/>
                    </a:prstGeom>
                    <a:noFill/>
                  </pic:spPr>
                </pic:pic>
              </a:graphicData>
            </a:graphic>
          </wp:anchor>
        </w:drawing>
        <w:t>Recent Developments</w:t>
      </w:r>
    </w:p>
    <w:p>
      <w:pPr>
        <w:spacing w:after="0" w:line="229" w:lineRule="exact"/>
        <w:rPr>
          <w:sz w:val="20"/>
          <w:szCs w:val="20"/>
          <w:color w:val="auto"/>
        </w:rPr>
      </w:pPr>
    </w:p>
    <w:p>
      <w:pPr>
        <w:ind w:firstLine="396"/>
        <w:spacing w:after="0" w:line="293" w:lineRule="auto"/>
        <w:rPr>
          <w:sz w:val="20"/>
          <w:szCs w:val="20"/>
          <w:color w:val="auto"/>
        </w:rPr>
      </w:pPr>
      <w:r>
        <w:rPr>
          <w:rFonts w:ascii="Arial" w:cs="Arial" w:eastAsia="Arial" w:hAnsi="Arial"/>
          <w:sz w:val="16"/>
          <w:szCs w:val="16"/>
          <w:color w:val="auto"/>
        </w:rPr>
        <w:t xml:space="preserve">On July 17, 2018, we commenced the Public Offering of 7,391,305 of our common shares and granted the underwriters in the Public Offering an option for a period of 30 days from the date of the prospectus supplement for the Public Offering to purchase up to 1,108,695 additional shares from us at the public offering price of the commons shares offered in the Public Offering, less underwriting discounts and commissions. Concurrently with the Public Offering, we commenced the Prior Rights Offering to Record Shareholders giving them the opportunity to subscribe for up to 8,500,000 of the common shares offered in the Public Offering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at the Offering Price. The subscription period for the Prior Rights Offering expired at 4:00 p.m. (New York City time) on July 18, 2018. Delivery of the common shares sold in the Public Offering is expected to be made on or about July 23,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396"/>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The information contained on our website is not a part of this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right="80" w:firstLine="396"/>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Section 404 of the Sarbanes-Oxley Act of 2002.</w:t>
      </w:r>
    </w:p>
    <w:p>
      <w:pPr>
        <w:spacing w:after="0" w:line="187" w:lineRule="exact"/>
        <w:rPr>
          <w:sz w:val="20"/>
          <w:szCs w:val="20"/>
          <w:color w:val="auto"/>
        </w:rPr>
      </w:pPr>
    </w:p>
    <w:p>
      <w:pPr>
        <w:ind w:firstLine="396"/>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our initial public offering (2016). We may choose to take advantage of some but not all of these reduced burdens. For example, Section 107 of the JOBS Act provides that an emerging growth company can use the extended transition period provided in Section 7(a)(2)(B) of the Securities Act for complying with new or revised accounting standards. However, given that we currently report and expect to continue to report under IFRS, we have irrevocably elected not to avail ourselves of this extended transition period and, as a result, we will adopt new or revised accounting standards on the relevant dates on which adoption of such standards is required by the IASB.</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360" w:top="432" w:right="399" w:bottom="1440" w:gutter="0" w:footer="0" w:header="0"/>
        </w:sectPr>
      </w:pPr>
    </w:p>
    <w:bookmarkStart w:id="10" w:name="page11"/>
    <w:bookmarkEnd w:id="10"/>
    <w:p>
      <w:pPr>
        <w:ind w:left="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16140" cy="6288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140" cy="6288405"/>
                    </a:xfrm>
                    <a:prstGeom prst="rect">
                      <a:avLst/>
                    </a:prstGeom>
                    <a:noFill/>
                  </pic:spPr>
                </pic:pic>
              </a:graphicData>
            </a:graphic>
          </wp:anchor>
        </w:drawing>
        <w:t>Implications of Being a Foreign Private Issuer</w:t>
      </w:r>
    </w:p>
    <w:p>
      <w:pPr>
        <w:spacing w:after="0" w:line="229" w:lineRule="exact"/>
        <w:rPr>
          <w:sz w:val="20"/>
          <w:szCs w:val="20"/>
          <w:color w:val="auto"/>
        </w:rPr>
      </w:pPr>
    </w:p>
    <w:p>
      <w:pPr>
        <w:ind w:left="2" w:firstLine="396"/>
        <w:spacing w:after="0" w:line="312" w:lineRule="auto"/>
        <w:rPr>
          <w:sz w:val="20"/>
          <w:szCs w:val="20"/>
          <w:color w:val="auto"/>
        </w:rPr>
      </w:pPr>
      <w:r>
        <w:rPr>
          <w:rFonts w:ascii="Arial" w:cs="Arial" w:eastAsia="Arial" w:hAnsi="Arial"/>
          <w:sz w:val="16"/>
          <w:szCs w:val="16"/>
          <w:color w:val="auto"/>
        </w:rPr>
        <w:t>We are also considered a “foreign private issuer.” Accordingly, we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47" w:lineRule="exact"/>
        <w:rPr>
          <w:sz w:val="20"/>
          <w:szCs w:val="20"/>
          <w:color w:val="auto"/>
        </w:rPr>
      </w:pPr>
    </w:p>
    <w:p>
      <w:pPr>
        <w:ind w:left="622" w:right="340" w:hanging="318"/>
        <w:spacing w:after="0" w:line="277" w:lineRule="auto"/>
        <w:tabs>
          <w:tab w:leader="none" w:pos="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622" w:right="180" w:hanging="318"/>
        <w:spacing w:after="0" w:line="277" w:lineRule="auto"/>
        <w:tabs>
          <w:tab w:leader="none" w:pos="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622" w:right="100" w:hanging="318"/>
        <w:spacing w:after="0" w:line="264" w:lineRule="auto"/>
        <w:tabs>
          <w:tab w:leader="none" w:pos="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ind w:left="2" w:right="140" w:firstLine="401"/>
        <w:spacing w:after="0" w:line="342" w:lineRule="auto"/>
        <w:rPr>
          <w:sz w:val="20"/>
          <w:szCs w:val="20"/>
          <w:color w:val="auto"/>
        </w:rPr>
      </w:pPr>
      <w:r>
        <w:rPr>
          <w:rFonts w:ascii="Arial" w:cs="Arial" w:eastAsia="Arial" w:hAnsi="Arial"/>
          <w:sz w:val="16"/>
          <w:szCs w:val="16"/>
          <w:color w:val="auto"/>
        </w:rPr>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124" w:lineRule="exact"/>
        <w:rPr>
          <w:sz w:val="20"/>
          <w:szCs w:val="20"/>
          <w:color w:val="auto"/>
        </w:rPr>
      </w:pPr>
    </w:p>
    <w:p>
      <w:pPr>
        <w:ind w:left="2" w:right="60" w:firstLine="396"/>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2" w:right="40" w:hanging="2"/>
        <w:spacing w:after="0" w:line="261" w:lineRule="auto"/>
        <w:tabs>
          <w:tab w:leader="none" w:pos="2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 (ii) more than 50% of our assets are located in the United States or (iii) 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1"/>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2"/>
          </w:cols>
          <w:pgMar w:left="358" w:top="432" w:right="439" w:bottom="1440" w:gutter="0" w:footer="0" w:header="0"/>
        </w:sectPr>
      </w:pPr>
    </w:p>
    <w:bookmarkStart w:id="11" w:name="page12"/>
    <w:bookmarkEnd w:id="1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16140" cy="6030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6030595"/>
                    </a:xfrm>
                    <a:prstGeom prst="rect">
                      <a:avLst/>
                    </a:prstGeom>
                    <a:noFill/>
                  </pic:spPr>
                </pic:pic>
              </a:graphicData>
            </a:graphic>
          </wp:anchor>
        </w:drawing>
        <w:t>THE OFFERING</w:t>
      </w:r>
    </w:p>
    <w:p>
      <w:pPr>
        <w:spacing w:after="0" w:line="229" w:lineRule="exact"/>
        <w:rPr>
          <w:sz w:val="20"/>
          <w:szCs w:val="20"/>
          <w:color w:val="auto"/>
        </w:rPr>
      </w:pPr>
    </w:p>
    <w:p>
      <w:pPr>
        <w:ind w:left="120" w:right="140" w:firstLine="396"/>
        <w:spacing w:after="0" w:line="259"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Pr>
          <w:p>
            <w:pPr>
              <w:ind w:left="140"/>
              <w:spacing w:after="0"/>
              <w:rPr>
                <w:sz w:val="20"/>
                <w:szCs w:val="20"/>
                <w:color w:val="auto"/>
              </w:rPr>
            </w:pPr>
            <w:r>
              <w:rPr>
                <w:rFonts w:ascii="Arial" w:cs="Arial" w:eastAsia="Arial" w:hAnsi="Arial"/>
                <w:sz w:val="18"/>
                <w:szCs w:val="18"/>
                <w:b w:val="1"/>
                <w:bCs w:val="1"/>
                <w:color w:val="auto"/>
              </w:rPr>
              <w:t>Common shares offered by us</w:t>
            </w:r>
          </w:p>
        </w:tc>
        <w:tc>
          <w:tcPr>
            <w:tcW w:w="6720" w:type="dxa"/>
            <w:vAlign w:val="bottom"/>
          </w:tcPr>
          <w:p>
            <w:pPr>
              <w:ind w:left="160"/>
              <w:spacing w:after="0"/>
              <w:rPr>
                <w:sz w:val="20"/>
                <w:szCs w:val="20"/>
                <w:color w:val="auto"/>
              </w:rPr>
            </w:pPr>
            <w:r>
              <w:rPr>
                <w:rFonts w:ascii="Arial" w:cs="Arial" w:eastAsia="Arial" w:hAnsi="Arial"/>
                <w:sz w:val="18"/>
                <w:szCs w:val="18"/>
                <w:color w:val="auto"/>
                <w:w w:val="96"/>
              </w:rPr>
              <w:t>At the annual general meeting of shareholders held on July 6, 2018, our shareholders</w:t>
            </w:r>
          </w:p>
        </w:tc>
        <w:tc>
          <w:tcPr>
            <w:tcW w:w="60" w:type="dxa"/>
            <w:vAlign w:val="bottom"/>
          </w:tcPr>
          <w:p>
            <w:pPr>
              <w:spacing w:after="0"/>
              <w:rPr>
                <w:sz w:val="19"/>
                <w:szCs w:val="19"/>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1"/>
              </w:rPr>
              <w:t>approved an ordinary capital increase of up to 8,500,000 common shares, and an ordinary</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2"/>
              </w:rPr>
              <w:t>capital increase of up to 1,500,000 common shares to the extent resolutions approved at</w:t>
            </w:r>
          </w:p>
        </w:tc>
        <w:tc>
          <w:tcPr>
            <w:tcW w:w="6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1"/>
              </w:rPr>
              <w:t>the extraordinary shareholders’ meeting held on April 27, 2018 have not been carried out.</w:t>
            </w:r>
          </w:p>
        </w:tc>
        <w:tc>
          <w:tcPr>
            <w:tcW w:w="60" w:type="dxa"/>
            <w:vAlign w:val="bottom"/>
          </w:tcPr>
          <w:p>
            <w:pPr>
              <w:spacing w:after="0"/>
              <w:rPr>
                <w:sz w:val="20"/>
                <w:szCs w:val="20"/>
                <w:color w:val="auto"/>
              </w:rPr>
            </w:pPr>
          </w:p>
        </w:tc>
      </w:tr>
      <w:tr>
        <w:trPr>
          <w:trHeight w:val="418"/>
        </w:trPr>
        <w:tc>
          <w:tcPr>
            <w:tcW w:w="4640" w:type="dxa"/>
            <w:vAlign w:val="bottom"/>
          </w:tcPr>
          <w:p>
            <w:pPr>
              <w:spacing w:after="0"/>
              <w:rPr>
                <w:sz w:val="24"/>
                <w:szCs w:val="24"/>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5"/>
              </w:rPr>
              <w:t>The Rights Offering described below will be carried out based on the approved capital</w:t>
            </w:r>
          </w:p>
        </w:tc>
        <w:tc>
          <w:tcPr>
            <w:tcW w:w="60" w:type="dxa"/>
            <w:vAlign w:val="bottom"/>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2"/>
              </w:rPr>
              <w:t>increase with respect to up to the remaining newly issued 1,500,000 common shares (the</w:t>
            </w:r>
          </w:p>
        </w:tc>
        <w:tc>
          <w:tcPr>
            <w:tcW w:w="6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“Offered Shares”).</w:t>
            </w:r>
          </w:p>
        </w:tc>
        <w:tc>
          <w:tcPr>
            <w:tcW w:w="60" w:type="dxa"/>
            <w:vAlign w:val="bottom"/>
          </w:tcPr>
          <w:p>
            <w:pPr>
              <w:spacing w:after="0"/>
              <w:rPr>
                <w:sz w:val="20"/>
                <w:szCs w:val="20"/>
                <w:color w:val="auto"/>
              </w:rPr>
            </w:pPr>
          </w:p>
        </w:tc>
      </w:tr>
      <w:tr>
        <w:trPr>
          <w:trHeight w:val="418"/>
        </w:trPr>
        <w:tc>
          <w:tcPr>
            <w:tcW w:w="4640" w:type="dxa"/>
            <w:vAlign w:val="bottom"/>
          </w:tcPr>
          <w:p>
            <w:pPr>
              <w:ind w:left="140"/>
              <w:spacing w:after="0"/>
              <w:rPr>
                <w:sz w:val="20"/>
                <w:szCs w:val="20"/>
                <w:color w:val="auto"/>
              </w:rPr>
            </w:pPr>
            <w:r>
              <w:rPr>
                <w:rFonts w:ascii="Arial" w:cs="Arial" w:eastAsia="Arial" w:hAnsi="Arial"/>
                <w:sz w:val="18"/>
                <w:szCs w:val="18"/>
                <w:b w:val="1"/>
                <w:bCs w:val="1"/>
                <w:color w:val="auto"/>
              </w:rPr>
              <w:t>Offered Shares</w:t>
            </w:r>
          </w:p>
        </w:tc>
        <w:tc>
          <w:tcPr>
            <w:tcW w:w="6720" w:type="dxa"/>
            <w:vAlign w:val="bottom"/>
          </w:tcPr>
          <w:p>
            <w:pPr>
              <w:ind w:left="160"/>
              <w:spacing w:after="0"/>
              <w:rPr>
                <w:sz w:val="20"/>
                <w:szCs w:val="20"/>
                <w:color w:val="auto"/>
              </w:rPr>
            </w:pPr>
            <w:r>
              <w:rPr>
                <w:rFonts w:ascii="Arial" w:cs="Arial" w:eastAsia="Arial" w:hAnsi="Arial"/>
                <w:sz w:val="18"/>
                <w:szCs w:val="18"/>
                <w:color w:val="auto"/>
              </w:rPr>
              <w:t>The Offered Shares will have a nominal value of CHF 0.02 each. We will issue the</w:t>
            </w:r>
          </w:p>
        </w:tc>
        <w:tc>
          <w:tcPr>
            <w:tcW w:w="60" w:type="dxa"/>
            <w:vAlign w:val="bottom"/>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7"/>
              </w:rPr>
              <w:t>Offered Shares in an ordinary share capital increase against cash contributions. The</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5"/>
              </w:rPr>
              <w:t xml:space="preserve">Offered Shares will be fully fungible and rank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xml:space="preserve"> in all respects with each other</w:t>
            </w:r>
          </w:p>
        </w:tc>
        <w:tc>
          <w:tcPr>
            <w:tcW w:w="6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and with all of our existing shares.</w:t>
            </w:r>
          </w:p>
        </w:tc>
        <w:tc>
          <w:tcPr>
            <w:tcW w:w="60" w:type="dxa"/>
            <w:vAlign w:val="bottom"/>
          </w:tcPr>
          <w:p>
            <w:pPr>
              <w:spacing w:after="0"/>
              <w:rPr>
                <w:sz w:val="20"/>
                <w:szCs w:val="20"/>
                <w:color w:val="auto"/>
              </w:rPr>
            </w:pPr>
          </w:p>
        </w:tc>
      </w:tr>
      <w:tr>
        <w:trPr>
          <w:trHeight w:val="418"/>
        </w:trPr>
        <w:tc>
          <w:tcPr>
            <w:tcW w:w="4640" w:type="dxa"/>
            <w:vAlign w:val="bottom"/>
          </w:tcPr>
          <w:p>
            <w:pPr>
              <w:spacing w:after="0"/>
              <w:rPr>
                <w:sz w:val="24"/>
                <w:szCs w:val="24"/>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4"/>
              </w:rPr>
              <w:t>The Offered Shares will be issued as uncertificated securities (</w:t>
            </w:r>
            <w:r>
              <w:rPr>
                <w:rFonts w:ascii="Arial" w:cs="Arial" w:eastAsia="Arial" w:hAnsi="Arial"/>
                <w:sz w:val="18"/>
                <w:szCs w:val="18"/>
                <w:i w:val="1"/>
                <w:iCs w:val="1"/>
                <w:color w:val="auto"/>
                <w:w w:val="94"/>
              </w:rPr>
              <w:t>droits-valeurs</w:t>
            </w:r>
            <w:r>
              <w:rPr>
                <w:rFonts w:ascii="Arial" w:cs="Arial" w:eastAsia="Arial" w:hAnsi="Arial"/>
                <w:sz w:val="18"/>
                <w:szCs w:val="18"/>
                <w:color w:val="auto"/>
                <w:w w:val="94"/>
              </w:rPr>
              <w:t>, within the</w:t>
            </w:r>
          </w:p>
        </w:tc>
        <w:tc>
          <w:tcPr>
            <w:tcW w:w="60" w:type="dxa"/>
            <w:vAlign w:val="bottom"/>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4"/>
              </w:rPr>
              <w:t>meaning of Article 973c of the Swiss Code of Obligations) and, when administered by a</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within the meaning of the Federal Act on</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3"/>
              </w:rPr>
              <w:t>Intermediated Securities, “FISA”), qualify as intermediated securities (</w:t>
            </w:r>
            <w:r>
              <w:rPr>
                <w:rFonts w:ascii="Arial" w:cs="Arial" w:eastAsia="Arial" w:hAnsi="Arial"/>
                <w:sz w:val="18"/>
                <w:szCs w:val="18"/>
                <w:i w:val="1"/>
                <w:iCs w:val="1"/>
                <w:color w:val="auto"/>
                <w:w w:val="93"/>
              </w:rPr>
              <w:t>titres intermédiés</w:t>
            </w:r>
            <w:r>
              <w:rPr>
                <w:rFonts w:ascii="Arial" w:cs="Arial" w:eastAsia="Arial" w:hAnsi="Arial"/>
                <w:sz w:val="18"/>
                <w:szCs w:val="18"/>
                <w:color w:val="auto"/>
                <w:w w:val="93"/>
              </w:rPr>
              <w:t>,</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2"/>
              </w:rPr>
              <w:t>within the meaning of the FISA). The Offered Shares will be registered in the Company’s</w:t>
            </w:r>
          </w:p>
        </w:tc>
        <w:tc>
          <w:tcPr>
            <w:tcW w:w="6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18"/>
        </w:trPr>
        <w:tc>
          <w:tcPr>
            <w:tcW w:w="4640" w:type="dxa"/>
            <w:vAlign w:val="bottom"/>
          </w:tcPr>
          <w:p>
            <w:pPr>
              <w:ind w:left="140"/>
              <w:spacing w:after="0"/>
              <w:rPr>
                <w:sz w:val="20"/>
                <w:szCs w:val="20"/>
                <w:color w:val="auto"/>
              </w:rPr>
            </w:pPr>
            <w:r>
              <w:rPr>
                <w:rFonts w:ascii="Arial" w:cs="Arial" w:eastAsia="Arial" w:hAnsi="Arial"/>
                <w:sz w:val="18"/>
                <w:szCs w:val="18"/>
                <w:b w:val="1"/>
                <w:bCs w:val="1"/>
                <w:color w:val="auto"/>
              </w:rPr>
              <w:t>Rights Offering</w:t>
            </w:r>
          </w:p>
        </w:tc>
        <w:tc>
          <w:tcPr>
            <w:tcW w:w="6720" w:type="dxa"/>
            <w:vAlign w:val="bottom"/>
          </w:tcPr>
          <w:p>
            <w:pPr>
              <w:ind w:left="160"/>
              <w:spacing w:after="0"/>
              <w:rPr>
                <w:sz w:val="20"/>
                <w:szCs w:val="20"/>
                <w:color w:val="auto"/>
              </w:rPr>
            </w:pPr>
            <w:r>
              <w:rPr>
                <w:rFonts w:ascii="Arial" w:cs="Arial" w:eastAsia="Arial" w:hAnsi="Arial"/>
                <w:sz w:val="18"/>
                <w:szCs w:val="18"/>
                <w:color w:val="auto"/>
                <w:w w:val="90"/>
              </w:rPr>
              <w:t>Under Swiss law and pursuant to the resolution approved at the annual general meeting of</w:t>
            </w:r>
          </w:p>
        </w:tc>
        <w:tc>
          <w:tcPr>
            <w:tcW w:w="60" w:type="dxa"/>
            <w:vAlign w:val="bottom"/>
          </w:tcPr>
          <w:p>
            <w:pPr>
              <w:spacing w:after="0"/>
              <w:rPr>
                <w:sz w:val="24"/>
                <w:szCs w:val="24"/>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2"/>
              </w:rPr>
              <w:t>shareholders held on July 6, 2018, our existing shareholders are entitled to statutory pre-</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5"/>
              </w:rPr>
              <w:t>emptive subscription rights to subscribe for any new issuance of common shares and,</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2"/>
              </w:rPr>
              <w:t>thus, the Offered Shares, in proportion to their existing shareholdings. As a result, we are</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5"/>
              </w:rPr>
              <w:t>offering pre-emptive subscription rights to our Record Shareholders, who will have the</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6"/>
              </w:rPr>
              <w:t xml:space="preserve">opportunity to subscribe for up to 1,500,000 Offered Shares on a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basis at the</w:t>
            </w:r>
          </w:p>
        </w:tc>
        <w:tc>
          <w:tcPr>
            <w:tcW w:w="6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w w:val="95"/>
              </w:rPr>
              <w:t>Offering Price. The subscription rights are not transferrable. You may not sell, transfer,</w:t>
            </w:r>
          </w:p>
        </w:tc>
        <w:tc>
          <w:tcPr>
            <w:tcW w:w="6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assign or give away your subscription rights.</w:t>
            </w:r>
          </w:p>
        </w:tc>
        <w:tc>
          <w:tcPr>
            <w:tcW w:w="60" w:type="dxa"/>
            <w:vAlign w:val="bottom"/>
          </w:tcPr>
          <w:p>
            <w:pPr>
              <w:spacing w:after="0"/>
              <w:rPr>
                <w:sz w:val="20"/>
                <w:szCs w:val="20"/>
                <w:color w:val="auto"/>
              </w:rPr>
            </w:pPr>
          </w:p>
        </w:tc>
      </w:tr>
      <w:tr>
        <w:trPr>
          <w:trHeight w:val="432"/>
        </w:trPr>
        <w:tc>
          <w:tcPr>
            <w:tcW w:w="4640" w:type="dxa"/>
            <w:vAlign w:val="bottom"/>
          </w:tcPr>
          <w:p>
            <w:pPr>
              <w:spacing w:after="0"/>
              <w:rPr>
                <w:sz w:val="24"/>
                <w:szCs w:val="24"/>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See “Subscription Rights Offering” for more information.</w:t>
            </w:r>
          </w:p>
        </w:tc>
        <w:tc>
          <w:tcPr>
            <w:tcW w:w="60" w:type="dxa"/>
            <w:vAlign w:val="bottom"/>
          </w:tcPr>
          <w:p>
            <w:pPr>
              <w:spacing w:after="0"/>
              <w:rPr>
                <w:sz w:val="24"/>
                <w:szCs w:val="24"/>
                <w:color w:val="auto"/>
              </w:rPr>
            </w:pPr>
          </w:p>
        </w:tc>
      </w:tr>
      <w:tr>
        <w:trPr>
          <w:trHeight w:val="414"/>
        </w:trPr>
        <w:tc>
          <w:tcPr>
            <w:tcW w:w="4640" w:type="dxa"/>
            <w:vAlign w:val="bottom"/>
          </w:tcPr>
          <w:p>
            <w:pPr>
              <w:ind w:left="140"/>
              <w:spacing w:after="0"/>
              <w:rPr>
                <w:sz w:val="20"/>
                <w:szCs w:val="20"/>
                <w:color w:val="auto"/>
              </w:rPr>
            </w:pPr>
            <w:r>
              <w:rPr>
                <w:rFonts w:ascii="Arial" w:cs="Arial" w:eastAsia="Arial" w:hAnsi="Arial"/>
                <w:sz w:val="18"/>
                <w:szCs w:val="18"/>
                <w:b w:val="1"/>
                <w:bCs w:val="1"/>
                <w:color w:val="auto"/>
                <w:w w:val="91"/>
              </w:rPr>
              <w:t>Common shares to be outstanding immediately after this</w:t>
            </w:r>
          </w:p>
        </w:tc>
        <w:tc>
          <w:tcPr>
            <w:tcW w:w="6720" w:type="dxa"/>
            <w:vAlign w:val="bottom"/>
          </w:tcPr>
          <w:p>
            <w:pPr>
              <w:ind w:left="160"/>
              <w:spacing w:after="0"/>
              <w:rPr>
                <w:sz w:val="20"/>
                <w:szCs w:val="20"/>
                <w:color w:val="auto"/>
              </w:rPr>
            </w:pPr>
            <w:r>
              <w:rPr>
                <w:rFonts w:ascii="Arial" w:cs="Arial" w:eastAsia="Arial" w:hAnsi="Arial"/>
                <w:sz w:val="18"/>
                <w:szCs w:val="18"/>
                <w:color w:val="auto"/>
              </w:rPr>
              <w:t>66,253,995 common shares.</w:t>
            </w:r>
          </w:p>
        </w:tc>
        <w:tc>
          <w:tcPr>
            <w:tcW w:w="60" w:type="dxa"/>
            <w:vAlign w:val="bottom"/>
          </w:tcPr>
          <w:p>
            <w:pPr>
              <w:spacing w:after="0"/>
              <w:rPr>
                <w:sz w:val="24"/>
                <w:szCs w:val="24"/>
                <w:color w:val="auto"/>
              </w:rPr>
            </w:pPr>
          </w:p>
        </w:tc>
      </w:tr>
      <w:tr>
        <w:trPr>
          <w:trHeight w:val="234"/>
        </w:trPr>
        <w:tc>
          <w:tcPr>
            <w:tcW w:w="4640" w:type="dxa"/>
            <w:vAlign w:val="bottom"/>
          </w:tcPr>
          <w:p>
            <w:pPr>
              <w:ind w:left="140"/>
              <w:spacing w:after="0"/>
              <w:rPr>
                <w:sz w:val="20"/>
                <w:szCs w:val="20"/>
                <w:color w:val="auto"/>
              </w:rPr>
            </w:pPr>
            <w:r>
              <w:rPr>
                <w:rFonts w:ascii="Arial" w:cs="Arial" w:eastAsia="Arial" w:hAnsi="Arial"/>
                <w:sz w:val="18"/>
                <w:szCs w:val="18"/>
                <w:b w:val="1"/>
                <w:bCs w:val="1"/>
                <w:color w:val="auto"/>
              </w:rPr>
              <w:t>offering</w:t>
            </w:r>
          </w:p>
        </w:tc>
        <w:tc>
          <w:tcPr>
            <w:tcW w:w="6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7"/>
        </w:trPr>
        <w:tc>
          <w:tcPr>
            <w:tcW w:w="46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71"/>
        </w:trPr>
        <w:tc>
          <w:tcPr>
            <w:tcW w:w="46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S-6</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Allocation of rights under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Offering and subscription ratio</w:t>
      </w:r>
    </w:p>
    <w:p>
      <w:pPr>
        <w:spacing w:after="0" w:line="20" w:lineRule="exact"/>
        <w:rPr>
          <w:sz w:val="20"/>
          <w:szCs w:val="20"/>
          <w:color w:val="auto"/>
        </w:rPr>
      </w:pPr>
      <w:r>
        <w:rPr>
          <w:sz w:val="20"/>
          <w:szCs w:val="20"/>
          <w:color w:val="auto"/>
        </w:rPr>
        <w:br w:type="column"/>
      </w:r>
    </w:p>
    <w:p>
      <w:pPr>
        <w:ind w:right="160"/>
        <w:spacing w:after="0" w:line="271" w:lineRule="auto"/>
        <w:rPr>
          <w:sz w:val="20"/>
          <w:szCs w:val="20"/>
          <w:color w:val="auto"/>
        </w:rPr>
      </w:pPr>
      <w:r>
        <w:rPr>
          <w:rFonts w:ascii="Arial" w:cs="Arial" w:eastAsia="Arial" w:hAnsi="Arial"/>
          <w:sz w:val="17"/>
          <w:szCs w:val="17"/>
          <w:color w:val="auto"/>
        </w:rPr>
        <w:t>Each Record Shareholder will be entitled to one pre-emptive subscription right for each existing common share held by such Record Shareholder on the Record Date, and may subscribe for one Offered Share for every 38.24 pre-emptive subscription rights held by such Record Shareholder in the Rights Offering. Record Shareholders who fully exercise their pre-emptive subscription rights during the subscription period will also have the option of subscribing for additional common shares unclaimed by other Record Shareholders in the Rights Offering at the same Offering Price. See “Subscription Rights Offering”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-1325880</wp:posOffset>
            </wp:positionV>
            <wp:extent cx="7216140" cy="639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639127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820" w:space="720"/>
            <w:col w:w="6580"/>
          </w:cols>
          <w:pgMar w:left="380" w:top="459" w:right="399" w:bottom="1440" w:gutter="0" w:footer="0" w:header="0"/>
        </w:sectPr>
      </w:pPr>
    </w:p>
    <w:p>
      <w:pPr>
        <w:spacing w:after="0"/>
        <w:rPr>
          <w:sz w:val="20"/>
          <w:szCs w:val="20"/>
          <w:color w:val="auto"/>
        </w:rPr>
      </w:pPr>
      <w:r>
        <w:rPr>
          <w:rFonts w:ascii="Arial" w:cs="Arial" w:eastAsia="Arial" w:hAnsi="Arial"/>
          <w:sz w:val="16"/>
          <w:szCs w:val="16"/>
          <w:b w:val="1"/>
          <w:bCs w:val="1"/>
          <w:color w:val="auto"/>
        </w:rPr>
        <w:t>Subscription period for the Rights Offering</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subscription period for Record Shareholders to exercise their pre-emptive subscription rights to acquire Offered Shares pursuant to the Rights Offering will begin concurrently with the Public Offering at 3:00 a.m. (New York City time) on July 20, 2018 and will expire at 4:00 p.m. (New York City time) on July 27, 2018.</w:t>
      </w:r>
    </w:p>
    <w:p>
      <w:pPr>
        <w:spacing w:after="0" w:line="187" w:lineRule="exact"/>
        <w:rPr>
          <w:sz w:val="20"/>
          <w:szCs w:val="20"/>
          <w:color w:val="auto"/>
        </w:rPr>
      </w:pPr>
    </w:p>
    <w:p>
      <w:pPr>
        <w:sectPr>
          <w:pgSz w:w="11900" w:h="16838" w:orient="portrait"/>
          <w:cols w:equalWidth="0" w:num="2">
            <w:col w:w="3820" w:space="720"/>
            <w:col w:w="6580"/>
          </w:cols>
          <w:pgMar w:left="380" w:top="459" w:right="399" w:bottom="1440" w:gutter="0" w:footer="0" w:header="0"/>
          <w:type w:val="continuous"/>
        </w:sectPr>
      </w:pPr>
    </w:p>
    <w:p>
      <w:pPr>
        <w:ind w:left="4540" w:right="80"/>
        <w:spacing w:after="0" w:line="264" w:lineRule="auto"/>
        <w:rPr>
          <w:sz w:val="20"/>
          <w:szCs w:val="20"/>
          <w:color w:val="auto"/>
        </w:rPr>
      </w:pPr>
      <w:r>
        <w:rPr>
          <w:rFonts w:ascii="Arial" w:cs="Arial" w:eastAsia="Arial" w:hAnsi="Arial"/>
          <w:sz w:val="18"/>
          <w:szCs w:val="18"/>
          <w:color w:val="auto"/>
        </w:rPr>
        <w:t>Each exercise of pre-emptive subscription rights in the Rights Offering will be effective at the Offering Price, will be irrevocable and may not be cancelled, modified, rescinded or withdrawn.</w:t>
      </w:r>
    </w:p>
    <w:p>
      <w:pPr>
        <w:sectPr>
          <w:pgSz w:w="11900" w:h="16838" w:orient="portrait"/>
          <w:cols w:equalWidth="0" w:num="1">
            <w:col w:w="11120"/>
          </w:cols>
          <w:pgMar w:left="380" w:top="459" w:right="3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price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Offering Price is $11.75 per common share. The Offering Price was determined by us and the underwriters in connection with the Public Offering after the close of trading on The Nasdaq Global Market on July 18, 2018, on the basis of the number of common shares for which pre-emptive subscription rights were exercised in the Prior Rights Offering, investor demand resulting from an accelerated book-building procedure, the price on The Nasdaq Global Market for our existing common shares and prevailing market conditions.</w:t>
      </w:r>
    </w:p>
    <w:p>
      <w:pPr>
        <w:spacing w:after="0" w:line="161" w:lineRule="exact"/>
        <w:rPr>
          <w:sz w:val="20"/>
          <w:szCs w:val="20"/>
          <w:color w:val="auto"/>
        </w:rPr>
      </w:pPr>
    </w:p>
    <w:p>
      <w:pPr>
        <w:sectPr>
          <w:pgSz w:w="11900" w:h="16838" w:orient="portrait"/>
          <w:cols w:equalWidth="0" w:num="2">
            <w:col w:w="3820" w:space="720"/>
            <w:col w:w="6580"/>
          </w:cols>
          <w:pgMar w:left="380" w:top="459" w:right="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 fractional common shares</w:t>
      </w:r>
    </w:p>
    <w:p>
      <w:pPr>
        <w:spacing w:after="0" w:line="20" w:lineRule="exact"/>
        <w:rPr>
          <w:sz w:val="20"/>
          <w:szCs w:val="20"/>
          <w:color w:val="auto"/>
        </w:rPr>
      </w:pPr>
      <w:r>
        <w:rPr>
          <w:sz w:val="20"/>
          <w:szCs w:val="20"/>
          <w:color w:val="auto"/>
        </w:rPr>
        <w:br w:type="column"/>
      </w:r>
    </w:p>
    <w:p>
      <w:pPr>
        <w:ind w:right="440"/>
        <w:spacing w:after="0" w:line="264" w:lineRule="auto"/>
        <w:rPr>
          <w:sz w:val="20"/>
          <w:szCs w:val="20"/>
          <w:color w:val="auto"/>
        </w:rPr>
      </w:pPr>
      <w:r>
        <w:rPr>
          <w:rFonts w:ascii="Arial" w:cs="Arial" w:eastAsia="Arial" w:hAnsi="Arial"/>
          <w:sz w:val="18"/>
          <w:szCs w:val="18"/>
          <w:color w:val="auto"/>
        </w:rPr>
        <w:t>We will accept subscriptions for whole Offered Shares only and will round down any subscription submitted for fractional Offered Shares to the nearest whole number of Offered Shares.</w:t>
      </w:r>
    </w:p>
    <w:p>
      <w:pPr>
        <w:spacing w:after="0" w:line="177" w:lineRule="exact"/>
        <w:rPr>
          <w:sz w:val="20"/>
          <w:szCs w:val="20"/>
          <w:color w:val="auto"/>
        </w:rPr>
      </w:pPr>
    </w:p>
    <w:p>
      <w:pPr>
        <w:sectPr>
          <w:pgSz w:w="11900" w:h="16838" w:orient="portrait"/>
          <w:cols w:equalWidth="0" w:num="2">
            <w:col w:w="3820" w:space="720"/>
            <w:col w:w="6580"/>
          </w:cols>
          <w:pgMar w:left="380" w:top="459"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 rights trading</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The pre-emptive subscription rights will not be listed on any securities exchange or tradeable.</w:t>
      </w:r>
    </w:p>
    <w:p>
      <w:pPr>
        <w:spacing w:after="0" w:line="166" w:lineRule="exact"/>
        <w:rPr>
          <w:sz w:val="20"/>
          <w:szCs w:val="20"/>
          <w:color w:val="auto"/>
        </w:rPr>
      </w:pPr>
    </w:p>
    <w:p>
      <w:pPr>
        <w:sectPr>
          <w:pgSz w:w="11900" w:h="16838" w:orient="portrait"/>
          <w:cols w:equalWidth="0" w:num="2">
            <w:col w:w="3820" w:space="720"/>
            <w:col w:w="6580"/>
          </w:cols>
          <w:pgMar w:left="380" w:top="459" w:right="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unsubscribed common shares</w:t>
      </w:r>
    </w:p>
    <w:p>
      <w:pPr>
        <w:spacing w:after="0" w:line="20" w:lineRule="exact"/>
        <w:rPr>
          <w:sz w:val="20"/>
          <w:szCs w:val="20"/>
          <w:color w:val="auto"/>
        </w:rPr>
      </w:pPr>
      <w:r>
        <w:rPr>
          <w:sz w:val="20"/>
          <w:szCs w:val="20"/>
          <w:color w:val="auto"/>
        </w:rPr>
        <w:br w:type="column"/>
      </w:r>
    </w:p>
    <w:p>
      <w:pPr>
        <w:ind w:right="20"/>
        <w:spacing w:after="0" w:line="293" w:lineRule="auto"/>
        <w:rPr>
          <w:sz w:val="20"/>
          <w:szCs w:val="20"/>
          <w:color w:val="auto"/>
        </w:rPr>
      </w:pPr>
      <w:r>
        <w:rPr>
          <w:rFonts w:ascii="Arial" w:cs="Arial" w:eastAsia="Arial" w:hAnsi="Arial"/>
          <w:sz w:val="16"/>
          <w:szCs w:val="16"/>
          <w:color w:val="auto"/>
        </w:rPr>
        <w:t>At the expiration of the subscription period of the Rights Offering, the Company will issue up to 1,500,000 common shares. Any pre-emptive subscription rights that have not been validly exercised during the subscription period of the Rights Offering will expire and become null and void without compensation. Any Offered Shares not subscribed for will be available for allocation by the Board of Directors at its discretion in first priority to current shareholders and in second priority to institutional investors in a private placement.</w:t>
      </w:r>
    </w:p>
    <w:p>
      <w:pPr>
        <w:spacing w:after="0" w:line="200" w:lineRule="exact"/>
        <w:rPr>
          <w:sz w:val="20"/>
          <w:szCs w:val="20"/>
          <w:color w:val="auto"/>
        </w:rPr>
      </w:pPr>
    </w:p>
    <w:p>
      <w:pPr>
        <w:sectPr>
          <w:pgSz w:w="11900" w:h="16838" w:orient="portrait"/>
          <w:cols w:equalWidth="0" w:num="2">
            <w:col w:w="3820" w:space="720"/>
            <w:col w:w="6580"/>
          </w:cols>
          <w:pgMar w:left="38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38100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380" w:top="459" w:right="39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5"/>
          <w:szCs w:val="15"/>
          <w:b w:val="1"/>
          <w:bCs w:val="1"/>
          <w:color w:val="auto"/>
        </w:rPr>
        <w:t>Issuance and delivery of new common shares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After expiration of the subscription period, the Offered Shares which have been validly subscribed and paid for in accordance with the terms of the Rights Offering will be, upon registration of the corresponding share capital increase into the Commercial Register of the Canton of Vaud, validly issued. The delivery of Offered Shares shall be carried out by Computershare Trust Company, N.A. acting as transfer agent and registrar for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-1025525</wp:posOffset>
            </wp:positionV>
            <wp:extent cx="7216140" cy="6288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140" cy="628840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840" w:space="720"/>
            <w:col w:w="6580"/>
          </w:cols>
          <w:pgMar w:left="360" w:top="432" w:right="399" w:bottom="1440" w:gutter="0" w:footer="0" w:header="0"/>
        </w:sectPr>
      </w:pPr>
    </w:p>
    <w:p>
      <w:pPr>
        <w:ind w:left="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80"/>
        <w:spacing w:after="0" w:line="255" w:lineRule="auto"/>
        <w:rPr>
          <w:sz w:val="20"/>
          <w:szCs w:val="20"/>
          <w:color w:val="auto"/>
        </w:rPr>
      </w:pPr>
      <w:r>
        <w:rPr>
          <w:rFonts w:ascii="Arial" w:cs="Arial" w:eastAsia="Arial" w:hAnsi="Arial"/>
          <w:sz w:val="18"/>
          <w:szCs w:val="18"/>
          <w:color w:val="auto"/>
        </w:rPr>
        <w:t>We estimate that the net proceeds to us from this offering will be approximately $17.6 million, after deducting estimated offering expenses payable by us. We intend to use the net proceeds from this offering, together with our other cash resources, primarily to fund research and development expenses for our clinical and pre-clinical research and development activities and for working capital and general corporate purposes. See “Use of Proceeds.”</w:t>
      </w:r>
    </w:p>
    <w:p>
      <w:pPr>
        <w:spacing w:after="0" w:line="189" w:lineRule="exact"/>
        <w:rPr>
          <w:sz w:val="20"/>
          <w:szCs w:val="20"/>
          <w:color w:val="auto"/>
        </w:rPr>
      </w:pPr>
    </w:p>
    <w:p>
      <w:pPr>
        <w:sectPr>
          <w:pgSz w:w="11900" w:h="16838" w:orient="portrait"/>
          <w:cols w:equalWidth="0" w:num="2">
            <w:col w:w="3840" w:space="720"/>
            <w:col w:w="6580"/>
          </w:cols>
          <w:pgMar w:left="360" w:top="432" w:right="39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308" w:lineRule="auto"/>
        <w:rPr>
          <w:sz w:val="20"/>
          <w:szCs w:val="20"/>
          <w:color w:val="auto"/>
        </w:rPr>
      </w:pPr>
      <w:r>
        <w:rPr>
          <w:rFonts w:ascii="Arial" w:cs="Arial" w:eastAsia="Arial" w:hAnsi="Arial"/>
          <w:sz w:val="17"/>
          <w:szCs w:val="17"/>
          <w:color w:val="auto"/>
        </w:rPr>
        <w:t>You should read the “Risk Factors” section of this prospectus supplement for a discussion of factors to consider carefully before deciding to purchase our securities.</w:t>
      </w:r>
    </w:p>
    <w:p>
      <w:pPr>
        <w:spacing w:after="0" w:line="143" w:lineRule="exact"/>
        <w:rPr>
          <w:sz w:val="20"/>
          <w:szCs w:val="20"/>
          <w:color w:val="auto"/>
        </w:rPr>
      </w:pPr>
    </w:p>
    <w:p>
      <w:pPr>
        <w:sectPr>
          <w:pgSz w:w="11900" w:h="16838" w:orient="portrait"/>
          <w:cols w:equalWidth="0" w:num="2">
            <w:col w:w="3840" w:space="720"/>
            <w:col w:w="6580"/>
          </w:cols>
          <w:pgMar w:left="360" w:top="432" w:right="39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“ACIU”</w:t>
      </w:r>
    </w:p>
    <w:p>
      <w:pPr>
        <w:spacing w:after="0" w:line="200" w:lineRule="exact"/>
        <w:rPr>
          <w:sz w:val="20"/>
          <w:szCs w:val="20"/>
          <w:color w:val="auto"/>
        </w:rPr>
      </w:pPr>
    </w:p>
    <w:p>
      <w:pPr>
        <w:sectPr>
          <w:pgSz w:w="11900" w:h="16838" w:orient="portrait"/>
          <w:cols w:equalWidth="0" w:num="2">
            <w:col w:w="3840" w:space="720"/>
            <w:col w:w="6580"/>
          </w:cols>
          <w:pgMar w:left="360" w:top="432" w:right="399" w:bottom="1440" w:gutter="0" w:footer="0" w:header="0"/>
          <w:type w:val="continuous"/>
        </w:sectPr>
      </w:pPr>
    </w:p>
    <w:p>
      <w:pPr>
        <w:spacing w:after="0" w:line="25" w:lineRule="exact"/>
        <w:rPr>
          <w:sz w:val="20"/>
          <w:szCs w:val="20"/>
          <w:color w:val="auto"/>
        </w:rPr>
      </w:pPr>
    </w:p>
    <w:p>
      <w:pPr>
        <w:ind w:right="80" w:firstLine="396"/>
        <w:spacing w:after="0" w:line="255" w:lineRule="auto"/>
        <w:rPr>
          <w:sz w:val="20"/>
          <w:szCs w:val="20"/>
          <w:color w:val="auto"/>
        </w:rPr>
      </w:pPr>
      <w:r>
        <w:rPr>
          <w:rFonts w:ascii="Arial" w:cs="Arial" w:eastAsia="Arial" w:hAnsi="Arial"/>
          <w:sz w:val="18"/>
          <w:szCs w:val="18"/>
          <w:color w:val="auto"/>
        </w:rPr>
        <w:t>As of the date of this prospectus supplement and including our ongoing registration of 8,500,000 common shares in connection with the Public Offering, our issued share capital registered in the commercial register of the Canton of Vaud is CHF 1,317,253.80, consisting of 65,862,690 common shares with a nominal value of CHF 0.02 each. The number of our common shares to be outstanding immediately after this offering is based on 57,362,690 common shares outstanding as of March 31, 2018, but excludes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Unless otherwise indicated, all information contained in this prospectus also reflects and assumes:</w:t>
      </w:r>
    </w:p>
    <w:p>
      <w:pPr>
        <w:spacing w:after="0" w:line="225" w:lineRule="exact"/>
        <w:rPr>
          <w:sz w:val="20"/>
          <w:szCs w:val="20"/>
          <w:color w:val="auto"/>
        </w:rPr>
      </w:pPr>
    </w:p>
    <w:p>
      <w:pPr>
        <w:ind w:left="620" w:hanging="318"/>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of 8,500,000 common shares, of which 7,391,305 common shares will be sold in the Public Offering and the Prior Rights Offering and 1,108,695 were reserved for possible issuance upon exercise of the option granted to the underwriters in the Public Offering to purchase up to such number of shares;</w:t>
      </w:r>
    </w:p>
    <w:p>
      <w:pPr>
        <w:spacing w:after="0" w:line="181" w:lineRule="exact"/>
        <w:rPr>
          <w:rFonts w:ascii="Arial" w:cs="Arial" w:eastAsia="Arial" w:hAnsi="Arial"/>
          <w:sz w:val="18"/>
          <w:szCs w:val="18"/>
          <w:color w:val="auto"/>
        </w:rPr>
      </w:pPr>
    </w:p>
    <w:p>
      <w:pPr>
        <w:ind w:left="620" w:right="20" w:hanging="318"/>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the option granted to the underwriters in the Public Offering to purchase up to an additional 1,108,695 of our common shares at the Offering Price, less underwriting discounts and commissions; and</w:t>
      </w:r>
    </w:p>
    <w:p>
      <w:pPr>
        <w:spacing w:after="0" w:line="170" w:lineRule="exact"/>
        <w:rPr>
          <w:rFonts w:ascii="Arial" w:cs="Arial" w:eastAsia="Arial" w:hAnsi="Arial"/>
          <w:sz w:val="18"/>
          <w:szCs w:val="18"/>
          <w:color w:val="auto"/>
        </w:rPr>
      </w:pPr>
    </w:p>
    <w:p>
      <w:pPr>
        <w:ind w:left="620" w:hanging="31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exercise in full of the subscription rights offered to existing shareholders pursuant to the Rights Offering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360" w:top="432" w:right="399"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15"/>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73" w:lineRule="exact"/>
        <w:rPr>
          <w:sz w:val="20"/>
          <w:szCs w:val="20"/>
          <w:color w:val="auto"/>
        </w:rPr>
      </w:pPr>
    </w:p>
    <w:p>
      <w:pPr>
        <w:ind w:right="260" w:firstLine="415"/>
        <w:spacing w:after="0" w:line="259" w:lineRule="auto"/>
        <w:rPr>
          <w:sz w:val="20"/>
          <w:szCs w:val="20"/>
          <w:color w:val="auto"/>
        </w:rPr>
      </w:pPr>
      <w:r>
        <w:rPr>
          <w:rFonts w:ascii="Arial" w:cs="Arial" w:eastAsia="Arial" w:hAnsi="Arial"/>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2017, and our other filings with the Securities and Exchange Commission that are also incorporated by reference into this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 and the Rights Offering</w:t>
      </w:r>
    </w:p>
    <w:p>
      <w:pPr>
        <w:spacing w:after="0" w:line="229"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If you subscribe for Offered Shares in the Rights Offering such subscription will be binding and irrevocable and may be different, perhaps materially, than the price of our common shares on The Nasdaq Global Market.</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Offering Price was determined by us and the underwriters in connection with the Public Offering after the close of trading on The Nasdaq Global Market on July 18, 2018, on the basis of the number of common shares for which pre-emptive subscription rights were exercised in the Prior Rights Offering, investor demand resulting from an accelerated book-building procedure, the price on The Nasdaq Global Market for our existing common shares and prevailing market conditions.</w:t>
      </w:r>
    </w:p>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Subscriptions for Offered Shares pursuant to the exercise of the pre-emptive subscription rights in the Rights Offering will be binding and irrevocable and the Offering Price may be different, perhaps materially, than the price of the Company’s common shares on The Nasdaq Global Market at the time of delivery of such Offered Shares. The Company cannot assure Record Shareholders that the price on The Nasdaq Global Market will not decline below the Offering Price and that, following the exercise of the pre-emptive subscription rights in the Rights Offering, shareholders will be able to sell the Offered Shares at a price equal to or greater than the Offering Price.</w:t>
      </w:r>
    </w:p>
    <w:p>
      <w:pPr>
        <w:spacing w:after="0" w:line="188"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If you fail to exercise your pre-emptive subscription rights, your pre-emptive subscription rights will lapse without compensation and result in dilution of your shareholding.</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pre-emptive subscription rights of Record Shareholders who fail to exercise their pre-emptive subscription rights prior to the end of the subscription period will expire and become null and void, and Record Shareholders will not receive any compensation for them. The proportionate ownership and voting interest in our Company of Record Shareholders who fail (or are unable) to exercise their pre-emptive subscription rights will be diluted. We will receive the net proceeds of any sale of Offered Shares in respect of which any Record Shareholder does not validly exercise its rights. Even if a Record Shareholder timely exercises its pre-emptive subscriptions rights, such Record Shareholder and its broker will be responsible for complying with the requirements set by the Company in order to have such rights honored.</w:t>
      </w:r>
    </w:p>
    <w:p>
      <w:pPr>
        <w:spacing w:after="0" w:line="193"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Because shareholders’ resolutions regarding a capital increase may be challenged, it is not certain that the share capital increase in connection with the offering will occur when anticipated.</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issuance of the Offered Shares requires registration of the share capital increase with the commercial register of the Canton of Vaud. The Rights Offering is based upon the resolution regarding an ordinary capital increase that was approved at the annual general meeting held on July 6, 2018. All shareholders’ resolutions of Swiss corporations are subject to a possible challenge pursuant to articles 706 and 706a of the Swiss Code of Obligations. The right to challenge lapses if the action is not brought within two months of the shareholders’ meeting. In connection with such a challenge, the registration of the capital increase in the commercial register may be blocked and therefore prevent or delay the completion of an offering such as the Rights Offering, including a delay in the settlement. Therefore, although the resolution of the shareholders to increase the share capital is scheduled to be registered with the</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 w:name="page16"/>
    <w:bookmarkEnd w:id="15"/>
    <w:p>
      <w:pPr>
        <w:ind w:right="40"/>
        <w:spacing w:after="0" w:line="264" w:lineRule="auto"/>
        <w:rPr>
          <w:sz w:val="20"/>
          <w:szCs w:val="20"/>
          <w:color w:val="auto"/>
        </w:rPr>
      </w:pPr>
      <w:r>
        <w:rPr>
          <w:rFonts w:ascii="Arial" w:cs="Arial" w:eastAsia="Arial" w:hAnsi="Arial"/>
          <w:sz w:val="18"/>
          <w:szCs w:val="18"/>
          <w:color w:val="auto"/>
        </w:rPr>
        <w:t>commercial register in a timely manner, such registration may, for reasons beyond our control, not take place in time to enable the Offered Shares to be traded on a timely basis. Consequently, investors may suffer losses, in particular, if they entered into short selling transactions and are unable to meet their obligations to deliver Offered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Shareholders may not be able to exercise pre-emptive subscription rights.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Under laws and regulations of jurisdictions outside Switzerland, including the European Economic Area, Record Shareholders in those jurisdictions may not be able to exercise or sell their pre-emptive subscription rights unless we take action to register or otherwise qualify the Rights Offering under the laws of that jurisdiction. If Record Shareholders in such jurisdictions are unable to exercise or sell their pre-emptive subscription rights, their ownership interest in us would be diluted. Furthermore, the short subscription period may create a logistical challenge for Record Shareholders to exercise their statutory pre-emptive subscription rights. Furthermore, the Company may withdraw, cancel or modify any orders of a Record Shareholder who has elected to participate in the Rights Offering if such Record Shareholder, or its bank, broker or other intermediary, respectively, does not have a brokerage account which prevents the ability of the Company to timely verify the eligibility of such Record Shareholder or to execute the order from such Record Shareholder. The pre-emptive subscription rights of any Record Shareholder that is not permitted or unable to exercise such rights during the subscription period will expire and become null and void, and such Record Shareholder will not receive any compensation in respect of any such unexercised or invalid rights.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 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 term, decline in the market price of our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180" w:right="48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of the date hereof, shareholders reported as each controlling 5% or more of our common shares will, in the aggregate, hold approximately 51.3% of our common shares. The limited free float may have a negative impact on the liquidity of our common shares and result in a low trading volume of our common shares, which could adversely affect the price of our common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Certain of our existing shareholders exercise significant control over us, and your interests may conflict with the interests of our existing shareholders.</w:t>
      </w:r>
    </w:p>
    <w:p>
      <w:pPr>
        <w:spacing w:after="0" w:line="26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 of March 31, 2018, certain principal shareholders as well as our executive officers and directors together beneficially owned approximately 60.5%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We will be required to file an amendment to our registration statement on Form F-3 on or prior to August 27, 2018 to register up to 18,041,000 common shares held by one of our shareholders pursuant to these rights. In addition, we have adopted a new omnibus equity incentive plan under which we have the discretion to grant a broad range of equity-based awards to eligible participants. These shares were registered pursuant to the registration statement on Form S-8 that we filed with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225"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The Offering Price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You will experience immediate dilution of $8.59 (CHF 8.19) per common share, representing the difference between our as adjusted net tangible book value per common share after giving effect to this offering and the Offering Price. To the extent outstanding options or warrants are exercised, you will incur further dilution. See “Dilution.”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may not use them effectively.</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management will have broad discretion in the application of our cash and cash equivalents.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t>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We regularly review the designation of each program as core or seed, and terminate those programs which do not meet our development criteria.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Under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jurisdictions.</w:t>
      </w:r>
    </w:p>
    <w:p>
      <w:pPr>
        <w:spacing w:after="0" w:line="21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w:t>
      </w:r>
    </w:p>
    <w:p>
      <w:pPr>
        <w:spacing w:after="0" w:line="21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14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Any ordinary share capital increase resolution preserving pre-emptive subscription rights requires a simple majority of the votes cast at the shareholders’ meeting regardless of abstentions and empty or invalid votes and shall be implemented within three months.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color w:val="auto"/>
        </w:rPr>
        <w:t>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2017, the Company has CHF 179.4 million of reserves from capital contributions and CHF 1,146,983.80 of issued share capital (consisting of 57,349,190 common shares each with a nominal value of CHF 0.02 and no preferred shares) on its audited statutory balance sheet.</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tax law or other restrictions. In addition, over the long term, the amount of par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158" w:lineRule="exact"/>
        <w:rPr>
          <w:sz w:val="20"/>
          <w:szCs w:val="20"/>
          <w:color w:val="auto"/>
        </w:rPr>
      </w:pPr>
    </w:p>
    <w:p>
      <w:pPr>
        <w:ind w:left="180" w:right="54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20"/>
        <w:spacing w:after="0" w:line="291" w:lineRule="auto"/>
        <w:rPr>
          <w:sz w:val="20"/>
          <w:szCs w:val="20"/>
          <w:color w:val="auto"/>
        </w:rPr>
      </w:pPr>
      <w:r>
        <w:rPr>
          <w:rFonts w:ascii="Arial" w:cs="Arial" w:eastAsia="Arial" w:hAnsi="Arial"/>
          <w:sz w:val="16"/>
          <w:szCs w:val="16"/>
          <w:color w:val="auto"/>
        </w:rPr>
        <w:t>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97"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jc w:val="both"/>
        <w:ind w:right="400" w:firstLine="324"/>
        <w:spacing w:after="0" w:line="288"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w:t>
      </w:r>
    </w:p>
    <w:p>
      <w:pPr>
        <w:ind w:right="100"/>
        <w:spacing w:after="0" w:line="255" w:lineRule="auto"/>
        <w:rPr>
          <w:sz w:val="20"/>
          <w:szCs w:val="20"/>
          <w:color w:val="auto"/>
        </w:rPr>
      </w:pPr>
      <w:r>
        <w:rPr>
          <w:rFonts w:ascii="Arial" w:cs="Arial" w:eastAsia="Arial" w:hAnsi="Arial"/>
          <w:sz w:val="18"/>
          <w:szCs w:val="18"/>
          <w:color w:val="auto"/>
        </w:rPr>
        <w:t>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640"/>
        <w:spacing w:after="0" w:line="277" w:lineRule="auto"/>
        <w:rPr>
          <w:sz w:val="20"/>
          <w:szCs w:val="20"/>
          <w:color w:val="auto"/>
        </w:rPr>
      </w:pPr>
      <w:r>
        <w:rPr>
          <w:rFonts w:ascii="Arial" w:cs="Arial" w:eastAsia="Arial" w:hAnsi="Arial"/>
          <w:sz w:val="18"/>
          <w:szCs w:val="18"/>
          <w:color w:val="auto"/>
        </w:rPr>
        <w:t>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See “Tax Considerations—Swiss Tax Considerations” for a summary of certain Swiss tax consequences regarding dividends distributed to holders of our common shares.</w:t>
      </w:r>
    </w:p>
    <w:p>
      <w:pPr>
        <w:spacing w:after="0" w:line="170"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Francs against such other currency.</w:t>
      </w:r>
    </w:p>
    <w:p>
      <w:pPr>
        <w:spacing w:after="0" w:line="181"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be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73"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54"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ind w:right="200"/>
        <w:spacing w:after="0" w:line="302" w:lineRule="auto"/>
        <w:rPr>
          <w:sz w:val="20"/>
          <w:szCs w:val="20"/>
          <w:color w:val="auto"/>
        </w:rPr>
      </w:pPr>
      <w:r>
        <w:rPr>
          <w:rFonts w:ascii="Arial" w:cs="Arial" w:eastAsia="Arial" w:hAnsi="Arial"/>
          <w:sz w:val="16"/>
          <w:szCs w:val="16"/>
          <w:color w:val="auto"/>
        </w:rPr>
        <w:t>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above, you may not have the same protections afforded to shareholders of companies that are not foreign private issuers.</w:t>
      </w:r>
    </w:p>
    <w:p>
      <w:pPr>
        <w:spacing w:after="0" w:line="237"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2019 (or the end of our second fiscal quarter in any subsequent fiscal year), which would require us to comply with all of the periodic disclosure and current reporting requirements of the Exchange Act applicable to U.S. domestic issuers as of January 1, 2019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$700 million as of any 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7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incur additional costs and we may not manage to comply with our internal control procedures and corporate governance structures.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a public company, we incur additional legal, insurance, accounting and other expenses that we did not incur as a private company. For example, as a public company, we needed to adopt additional internal controls and disclosure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ind w:right="80"/>
        <w:spacing w:after="0" w:line="259" w:lineRule="auto"/>
        <w:rPr>
          <w:sz w:val="20"/>
          <w:szCs w:val="20"/>
          <w:color w:val="auto"/>
        </w:rPr>
      </w:pPr>
      <w:r>
        <w:rPr>
          <w:rFonts w:ascii="Arial" w:cs="Arial" w:eastAsia="Arial" w:hAnsi="Arial"/>
          <w:sz w:val="18"/>
          <w:szCs w:val="18"/>
          <w:color w:val="auto"/>
        </w:rPr>
        <w:t>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87" w:lineRule="exact"/>
        <w:rPr>
          <w:sz w:val="20"/>
          <w:szCs w:val="20"/>
          <w:color w:val="auto"/>
        </w:rPr>
      </w:pPr>
    </w:p>
    <w:p>
      <w:pPr>
        <w:ind w:left="180" w:right="2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9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increase in our tax rate could occur, which could adversely affect our financial results.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Swiss Federal government had proposed changes to align Swiss corporate taxation with international recommendations but voters in Switzerland voted against such proposals in a national referendum on February 12, 2017. On June 6, 2018, the Swiss Federal Council has published the draft bill of the new tax reform named “Tax Proposal 17” (</w:t>
      </w:r>
      <w:r>
        <w:rPr>
          <w:rFonts w:ascii="Arial" w:cs="Arial" w:eastAsia="Arial" w:hAnsi="Arial"/>
          <w:sz w:val="18"/>
          <w:szCs w:val="18"/>
          <w:i w:val="1"/>
          <w:iCs w:val="1"/>
          <w:color w:val="auto"/>
        </w:rPr>
        <w:t>Steuervorlage 17</w:t>
      </w:r>
      <w:r>
        <w:rPr>
          <w:rFonts w:ascii="Arial" w:cs="Arial" w:eastAsia="Arial" w:hAnsi="Arial"/>
          <w:sz w:val="18"/>
          <w:szCs w:val="18"/>
          <w:color w:val="auto"/>
        </w:rPr>
        <w:t>) and the accompanying report (</w:t>
      </w:r>
      <w:r>
        <w:rPr>
          <w:rFonts w:ascii="Arial" w:cs="Arial" w:eastAsia="Arial" w:hAnsi="Arial"/>
          <w:sz w:val="18"/>
          <w:szCs w:val="18"/>
          <w:i w:val="1"/>
          <w:iCs w:val="1"/>
          <w:color w:val="auto"/>
        </w:rPr>
        <w:t>Botschaft</w:t>
      </w:r>
      <w:r>
        <w:rPr>
          <w:rFonts w:ascii="Arial" w:cs="Arial" w:eastAsia="Arial" w:hAnsi="Arial"/>
          <w:sz w:val="18"/>
          <w:szCs w:val="18"/>
          <w:color w:val="auto"/>
        </w:rPr>
        <w:t>) that is currently being debated by the Swiss Parliament. Thus, uncertainty will continue about the future level of Swiss Federal corporate income taxes that may apply to us until revised proposals are put forward and gain acceptance. The Tax Proposal 17 is expected to come into force no earlier than January 1, 2020. The Tax Proposal 17 includes – amongst other measures – the following measures:</w:t>
      </w:r>
    </w:p>
    <w:p>
      <w:pPr>
        <w:spacing w:after="0" w:line="19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repealing the status companies at the cantonal level as well as certain tax practices at the federal level, including transitional measures;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a mandatory patent box regime at the cantonal level;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an optional R&amp;D “super deduction” at the cantonal level.</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ind w:right="60" w:firstLine="324"/>
        <w:spacing w:after="0" w:line="286" w:lineRule="auto"/>
        <w:rPr>
          <w:sz w:val="20"/>
          <w:szCs w:val="20"/>
          <w:color w:val="auto"/>
        </w:rPr>
      </w:pPr>
      <w:r>
        <w:rPr>
          <w:rFonts w:ascii="Arial" w:cs="Arial" w:eastAsia="Arial" w:hAnsi="Arial"/>
          <w:sz w:val="17"/>
          <w:szCs w:val="17"/>
          <w:color w:val="auto"/>
        </w:rPr>
        <w:t>In 2017, the voters of the Canton of Vaud have approved a change of the Vaud cantonal tax law which includes, among other changes, a reduction of the combined effective Swiss income tax rate from currently 20.5% to 13.8%. The government of the Canton of Vaud has proposed to implement early such corporate tax reform in the Canton of Vaud on January 1, 2019 independent from the entry into force of the Tax Proposal 17.</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expect that, if these measure come into force, it is likely that our combined effective Swiss income tax rate would decline from approximately 20.5% to 13.8%.</w:t>
      </w:r>
    </w:p>
    <w:p>
      <w:pPr>
        <w:spacing w:after="0" w:line="170" w:lineRule="exact"/>
        <w:rPr>
          <w:sz w:val="20"/>
          <w:szCs w:val="20"/>
          <w:color w:val="auto"/>
        </w:rPr>
      </w:pPr>
    </w:p>
    <w:p>
      <w:pPr>
        <w:ind w:left="18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2017, and we do not expect to be a PFIC in the immediately foreseeable future, if we were a PFIC U.S. shareholders may be subject to adverse U.S. federal income tax consequences.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 substantial amount of passive assets, including cash, (ii) the amount and composition of our income as passive or non-passive may vary substantially over time, and (iii)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7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the section in this prospectus supplement entitled “Tax Considerations.”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estimate that the net proceeds to us from this offering will be approximately $17.6 million, after deducting estimated offering expenses payable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11" w:lineRule="exact"/>
        <w:rPr>
          <w:sz w:val="20"/>
          <w:szCs w:val="20"/>
          <w:color w:val="auto"/>
        </w:rPr>
      </w:pPr>
    </w:p>
    <w:p>
      <w:pPr>
        <w:jc w:val="both"/>
        <w:ind w:firstLine="416"/>
        <w:spacing w:after="0" w:line="264" w:lineRule="auto"/>
        <w:rPr>
          <w:sz w:val="20"/>
          <w:szCs w:val="20"/>
          <w:color w:val="auto"/>
        </w:rPr>
      </w:pPr>
      <w:r>
        <w:rPr>
          <w:rFonts w:ascii="Arial" w:cs="Arial" w:eastAsia="Arial" w:hAnsi="Arial"/>
          <w:sz w:val="18"/>
          <w:szCs w:val="18"/>
          <w:color w:val="auto"/>
        </w:rPr>
        <w:t>As of March 31, 2018, after giving effect to the Public Offering, we would have had had cash and cash equivalents of CHF 109.7 million. We anticipate that we will use our existing liquidity and the net proceeds from the Rights Offering primarily to fund research and development expenses for our clinical and pre-clinical research and development activities and for working capital and general corporate purposes.</w:t>
      </w:r>
    </w:p>
    <w:p>
      <w:pPr>
        <w:spacing w:after="0" w:line="181" w:lineRule="exact"/>
        <w:rPr>
          <w:sz w:val="20"/>
          <w:szCs w:val="20"/>
          <w:color w:val="auto"/>
        </w:rPr>
      </w:pPr>
    </w:p>
    <w:p>
      <w:pPr>
        <w:ind w:right="60" w:firstLine="41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the Rights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the Rights Offering, and investors will be relying on our judgment regarding the application of the net proceeds. In addition, we might decide to postpone or not pursue certain pre-clinical activities or clinical studies if the net proceeds from the Rights Offering and our other sources of cash are less than expected.</w:t>
      </w:r>
    </w:p>
    <w:p>
      <w:pPr>
        <w:spacing w:after="0" w:line="189" w:lineRule="exact"/>
        <w:rPr>
          <w:sz w:val="20"/>
          <w:szCs w:val="20"/>
          <w:color w:val="auto"/>
        </w:rPr>
      </w:pPr>
    </w:p>
    <w:p>
      <w:pPr>
        <w:ind w:right="220" w:firstLine="416"/>
        <w:spacing w:after="0" w:line="264" w:lineRule="auto"/>
        <w:rPr>
          <w:sz w:val="20"/>
          <w:szCs w:val="20"/>
          <w:color w:val="auto"/>
        </w:rPr>
      </w:pPr>
      <w:r>
        <w:rPr>
          <w:rFonts w:ascii="Arial" w:cs="Arial" w:eastAsia="Arial" w:hAnsi="Arial"/>
          <w:sz w:val="18"/>
          <w:szCs w:val="18"/>
          <w:color w:val="auto"/>
        </w:rPr>
        <w:t>Pending the use of the proceeds from the Rights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the Rights Offering.</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15"/>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nominal value of a corporation’s issued shares, may be made only by way of a share capital reduction.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sets forth our cash and cash equivalents and our total capitalization (defined as total debt and equity) as of March 31, 2018:</w:t>
      </w:r>
    </w:p>
    <w:p>
      <w:pPr>
        <w:spacing w:after="0" w:line="23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as adjusted basis to give effect to our issuance and sale of 7,391,305 common shares in the Public Offering and the Prior Rights Offering, at the Offering Price after deducting estimated offering expenses payable by us; and</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our issuance and sale of 1,500,000 common shares in connection with the Rights Offering, at the Offering Price after deducting estimated offering expenses payable by us.</w:t>
      </w:r>
    </w:p>
    <w:p>
      <w:pPr>
        <w:spacing w:after="0" w:line="170"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Investors should read this table in conjunction with our consolidated financial statements and related notes included in this prospectus supplement and incorporated by reference herein. For more details on how you can obtain the documents incorporated by reference in this prospectus supplement and the accompanying prospectus, see “Where You Can Find More Information” and “Incorporation by Reference.”</w:t>
      </w:r>
    </w:p>
    <w:p>
      <w:pPr>
        <w:spacing w:after="0" w:line="181" w:lineRule="exact"/>
        <w:rPr>
          <w:sz w:val="20"/>
          <w:szCs w:val="20"/>
          <w:color w:val="auto"/>
        </w:rPr>
      </w:pPr>
    </w:p>
    <w:p>
      <w:pPr>
        <w:ind w:right="60" w:firstLine="416"/>
        <w:spacing w:after="0" w:line="277" w:lineRule="auto"/>
        <w:rPr>
          <w:sz w:val="20"/>
          <w:szCs w:val="20"/>
          <w:color w:val="auto"/>
        </w:rPr>
      </w:pPr>
      <w:r>
        <w:rPr>
          <w:rFonts w:ascii="Arial" w:cs="Arial" w:eastAsia="Arial" w:hAnsi="Arial"/>
          <w:sz w:val="18"/>
          <w:szCs w:val="18"/>
          <w:color w:val="auto"/>
        </w:rPr>
        <w:t>The following table assumes that (i) the subscription rights offered to existing shareholders pursuant to the Rights Offering are exercised in full, and (ii) the underwriters’ option to purchase additional shares in the Public Offering has not been exercised.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Common shares, nominal value CHF 0.02 per share 57,362,690 shares issued and outstanding on an actual basis, 64,753,995 issued and outstanding on a pro forma basis, as adjusted and 66,253,995 issued and outstanding on a pro forma basis, as further adjusted 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 of March 31, 2018</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As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3069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spacing w:after="0"/>
        <w:tabs>
          <w:tab w:leader="none" w:pos="1020" w:val="left"/>
          <w:tab w:leader="none" w:pos="236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As Adjusted</w:t>
      </w:r>
      <w:r>
        <w:rPr>
          <w:sz w:val="20"/>
          <w:szCs w:val="20"/>
          <w:color w:val="auto"/>
        </w:rPr>
        <w:tab/>
      </w:r>
      <w:r>
        <w:rPr>
          <w:rFonts w:ascii="Arial" w:cs="Arial" w:eastAsia="Arial" w:hAnsi="Arial"/>
          <w:sz w:val="16"/>
          <w:szCs w:val="16"/>
          <w:b w:val="1"/>
          <w:bCs w:val="1"/>
          <w:color w:val="auto"/>
        </w:rPr>
        <w:t>Adjusted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thousands of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3069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5" w:lineRule="exact"/>
        <w:rPr>
          <w:sz w:val="20"/>
          <w:szCs w:val="20"/>
          <w:color w:val="auto"/>
        </w:rPr>
      </w:pPr>
    </w:p>
    <w:p>
      <w:pPr>
        <w:ind w:left="120"/>
        <w:spacing w:after="0"/>
        <w:tabs>
          <w:tab w:leader="none" w:pos="1360" w:val="left"/>
          <w:tab w:leader="none" w:pos="2540" w:val="left"/>
        </w:tabs>
        <w:rPr>
          <w:sz w:val="20"/>
          <w:szCs w:val="20"/>
          <w:color w:val="auto"/>
        </w:rPr>
      </w:pPr>
      <w:r>
        <w:rPr>
          <w:rFonts w:ascii="Arial" w:cs="Arial" w:eastAsia="Arial" w:hAnsi="Arial"/>
          <w:sz w:val="18"/>
          <w:szCs w:val="18"/>
          <w:color w:val="auto"/>
        </w:rPr>
        <w:t>109,669</w:t>
      </w:r>
      <w:r>
        <w:rPr>
          <w:sz w:val="20"/>
          <w:szCs w:val="20"/>
          <w:color w:val="auto"/>
        </w:rPr>
        <w:tab/>
      </w:r>
      <w:r>
        <w:rPr>
          <w:rFonts w:ascii="Arial" w:cs="Arial" w:eastAsia="Arial" w:hAnsi="Arial"/>
          <w:sz w:val="18"/>
          <w:szCs w:val="18"/>
          <w:color w:val="auto"/>
        </w:rPr>
        <w:t>186,798</w:t>
      </w:r>
      <w:r>
        <w:rPr>
          <w:sz w:val="20"/>
          <w:szCs w:val="20"/>
          <w:color w:val="auto"/>
        </w:rPr>
        <w:tab/>
      </w:r>
      <w:r>
        <w:rPr>
          <w:rFonts w:ascii="Arial" w:cs="Arial" w:eastAsia="Arial" w:hAnsi="Arial"/>
          <w:sz w:val="16"/>
          <w:szCs w:val="16"/>
          <w:color w:val="auto"/>
        </w:rPr>
        <w:t>203,598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23069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0" w:type="dxa"/>
            <w:vAlign w:val="bottom"/>
          </w:tcPr>
          <w:p>
            <w:pPr>
              <w:jc w:val="right"/>
              <w:ind w:right="290"/>
              <w:spacing w:after="0"/>
              <w:rPr>
                <w:sz w:val="20"/>
                <w:szCs w:val="20"/>
                <w:color w:val="auto"/>
              </w:rPr>
            </w:pPr>
            <w:r>
              <w:rPr>
                <w:rFonts w:ascii="Arial" w:cs="Arial" w:eastAsia="Arial" w:hAnsi="Arial"/>
                <w:sz w:val="18"/>
                <w:szCs w:val="18"/>
                <w:color w:val="auto"/>
              </w:rPr>
              <w:t>1,147</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1,295</w:t>
            </w: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960" w:type="dxa"/>
            <w:vAlign w:val="bottom"/>
          </w:tcPr>
          <w:p>
            <w:pPr>
              <w:jc w:val="right"/>
              <w:ind w:right="290"/>
              <w:spacing w:after="0"/>
              <w:rPr>
                <w:sz w:val="20"/>
                <w:szCs w:val="20"/>
                <w:color w:val="auto"/>
              </w:rPr>
            </w:pPr>
            <w:r>
              <w:rPr>
                <w:rFonts w:ascii="Arial" w:cs="Arial" w:eastAsia="Arial" w:hAnsi="Arial"/>
                <w:sz w:val="18"/>
                <w:szCs w:val="18"/>
                <w:color w:val="auto"/>
                <w:w w:val="86"/>
              </w:rPr>
              <w:t>188,357</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265,338</w:t>
            </w:r>
          </w:p>
        </w:tc>
        <w:tc>
          <w:tcPr>
            <w:tcW w:w="940" w:type="dxa"/>
            <w:vAlign w:val="bottom"/>
          </w:tcPr>
          <w:p>
            <w:pPr>
              <w:jc w:val="right"/>
              <w:spacing w:after="0"/>
              <w:rPr>
                <w:sz w:val="20"/>
                <w:szCs w:val="20"/>
                <w:color w:val="auto"/>
              </w:rPr>
            </w:pPr>
            <w:r>
              <w:rPr>
                <w:rFonts w:ascii="Arial" w:cs="Arial" w:eastAsia="Arial" w:hAnsi="Arial"/>
                <w:sz w:val="18"/>
                <w:szCs w:val="18"/>
                <w:color w:val="auto"/>
              </w:rPr>
              <w:t>282,108</w:t>
            </w:r>
          </w:p>
        </w:tc>
      </w:tr>
      <w:tr>
        <w:trPr>
          <w:trHeight w:val="230"/>
        </w:trPr>
        <w:tc>
          <w:tcPr>
            <w:tcW w:w="960" w:type="dxa"/>
            <w:vAlign w:val="bottom"/>
          </w:tcPr>
          <w:p>
            <w:pPr>
              <w:jc w:val="right"/>
              <w:ind w:right="230"/>
              <w:spacing w:after="0"/>
              <w:rPr>
                <w:sz w:val="20"/>
                <w:szCs w:val="20"/>
                <w:color w:val="auto"/>
              </w:rPr>
            </w:pPr>
            <w:r>
              <w:rPr>
                <w:rFonts w:ascii="Arial" w:cs="Arial" w:eastAsia="Arial" w:hAnsi="Arial"/>
                <w:sz w:val="18"/>
                <w:szCs w:val="18"/>
                <w:color w:val="auto"/>
                <w:w w:val="92"/>
              </w:rPr>
              <w:t>(83,676)</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(83,676)</w:t>
            </w:r>
          </w:p>
        </w:tc>
        <w:tc>
          <w:tcPr>
            <w:tcW w:w="940" w:type="dxa"/>
            <w:vAlign w:val="bottom"/>
          </w:tcPr>
          <w:p>
            <w:pPr>
              <w:jc w:val="right"/>
              <w:spacing w:after="0"/>
              <w:rPr>
                <w:sz w:val="20"/>
                <w:szCs w:val="20"/>
                <w:color w:val="auto"/>
              </w:rPr>
            </w:pPr>
            <w:r>
              <w:rPr>
                <w:rFonts w:ascii="Arial" w:cs="Arial" w:eastAsia="Arial" w:hAnsi="Arial"/>
                <w:sz w:val="18"/>
                <w:szCs w:val="18"/>
                <w:color w:val="auto"/>
              </w:rPr>
              <w:t>(83,676)</w:t>
            </w:r>
          </w:p>
        </w:tc>
      </w:tr>
    </w:tbl>
    <w:p>
      <w:pPr>
        <w:spacing w:after="0" w:line="1" w:lineRule="exact"/>
        <w:rPr>
          <w:sz w:val="20"/>
          <w:szCs w:val="20"/>
          <w:color w:val="auto"/>
        </w:rPr>
      </w:pPr>
    </w:p>
    <w:p>
      <w:pPr>
        <w:sectPr>
          <w:pgSz w:w="11900" w:h="16838" w:orient="portrait"/>
          <w:cols w:equalWidth="0" w:num="2">
            <w:col w:w="7480" w:space="640"/>
            <w:col w:w="33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D5EAEA"/>
            </w:tcBorders>
          </w:tcPr>
          <w:p>
            <w:pPr>
              <w:ind w:left="340"/>
              <w:spacing w:after="0"/>
              <w:rPr>
                <w:sz w:val="20"/>
                <w:szCs w:val="20"/>
                <w:color w:val="auto"/>
              </w:rPr>
            </w:pPr>
            <w:r>
              <w:rPr>
                <w:rFonts w:ascii="Arial" w:cs="Arial" w:eastAsia="Arial" w:hAnsi="Arial"/>
                <w:sz w:val="18"/>
                <w:szCs w:val="18"/>
                <w:color w:val="auto"/>
              </w:rPr>
              <w:t>Total equity</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105,828</w:t>
            </w:r>
          </w:p>
        </w:tc>
        <w:tc>
          <w:tcPr>
            <w:tcW w:w="14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182,957</w:t>
            </w:r>
          </w:p>
        </w:tc>
        <w:tc>
          <w:tcPr>
            <w:tcW w:w="10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199,757</w:t>
            </w:r>
          </w:p>
        </w:tc>
      </w:tr>
      <w:tr>
        <w:trPr>
          <w:trHeight w:val="223"/>
        </w:trPr>
        <w:tc>
          <w:tcPr>
            <w:tcW w:w="7780" w:type="dxa"/>
            <w:vAlign w:val="bottom"/>
            <w:tcBorders>
              <w:bottom w:val="single" w:sz="8" w:color="D5EAEA"/>
            </w:tcBorders>
            <w:shd w:val="clear" w:color="auto" w:fill="D5EAEA"/>
          </w:tcPr>
          <w:p>
            <w:pPr>
              <w:ind w:left="480"/>
              <w:spacing w:after="0"/>
              <w:rPr>
                <w:sz w:val="20"/>
                <w:szCs w:val="20"/>
                <w:color w:val="auto"/>
              </w:rPr>
            </w:pPr>
            <w:r>
              <w:rPr>
                <w:rFonts w:ascii="Arial" w:cs="Arial" w:eastAsia="Arial" w:hAnsi="Arial"/>
                <w:sz w:val="18"/>
                <w:szCs w:val="18"/>
                <w:color w:val="auto"/>
              </w:rPr>
              <w:t>Total capitalization</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105,828</w:t>
            </w:r>
          </w:p>
        </w:tc>
        <w:tc>
          <w:tcPr>
            <w:tcW w:w="14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182,957</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199,757</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number of common shares in the table above excludes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15"/>
        <w:spacing w:after="0" w:line="277" w:lineRule="auto"/>
        <w:rPr>
          <w:sz w:val="20"/>
          <w:szCs w:val="20"/>
          <w:color w:val="auto"/>
        </w:rPr>
      </w:pPr>
      <w:r>
        <w:rPr>
          <w:rFonts w:ascii="Arial" w:cs="Arial" w:eastAsia="Arial" w:hAnsi="Arial"/>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70" w:lineRule="exact"/>
        <w:rPr>
          <w:sz w:val="20"/>
          <w:szCs w:val="20"/>
          <w:color w:val="auto"/>
        </w:rPr>
      </w:pPr>
    </w:p>
    <w:p>
      <w:pPr>
        <w:ind w:right="100" w:firstLine="416"/>
        <w:spacing w:after="0" w:line="276" w:lineRule="auto"/>
        <w:rPr>
          <w:sz w:val="20"/>
          <w:szCs w:val="20"/>
          <w:color w:val="auto"/>
        </w:rPr>
      </w:pPr>
      <w:r>
        <w:rPr>
          <w:rFonts w:ascii="Arial" w:cs="Arial" w:eastAsia="Arial" w:hAnsi="Arial"/>
          <w:sz w:val="17"/>
          <w:szCs w:val="17"/>
          <w:color w:val="auto"/>
        </w:rPr>
        <w:t>Our net tangible book value as of March 31, 2018 was $111.0 million (CHF 105.8 million), or $1.94 per common share (CHF 1.84 per common share), based on 57,362,690 common shares then outstanding, excluding 1,594,943 of our common shares issuable upon exercise of options, non-vested restricted shares and non-vested restricted share units outstanding under our existing equity incentive plans at a weighted-average exercise price of CHF 3.52 per common share. Net tangible book value per share represents the amount of our total assets less our total liabilities, excluding intangible assets, divided by 57,362,690, the total number of our common shares issued and outstanding at March 31, 2018.</w:t>
      </w:r>
    </w:p>
    <w:p>
      <w:pPr>
        <w:spacing w:after="0" w:line="173"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After giving effect to (i) the issuance and sale by us of 1,500,000 common shares in connection with this offering at the Offering Price and (ii) the issuance and sale by us of 7,391,305 common shares in connection with the Public Offering and the Prior Rights Offering, in each case less estimated offering expenses and the underwriting discounts, our net tangible book value at March 31, 2018 would have been $209.6 million, or $3.16 per common share. This represents an immediate increase in net tangible book value of $1.23 per share to existing shareholders and an immediate dilution of $8.59 per share to investors in this offering. The following table illustrates this per share dilution: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80" w:type="dxa"/>
            <w:vAlign w:val="bottom"/>
          </w:tcPr>
          <w:p>
            <w:pPr>
              <w:spacing w:after="0"/>
              <w:rPr>
                <w:sz w:val="17"/>
                <w:szCs w:val="17"/>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b w:val="1"/>
                <w:bCs w:val="1"/>
                <w:color w:val="auto"/>
              </w:rPr>
              <w:t>(in USD)</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(in CHF)</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D5EAEA"/>
          </w:tcPr>
          <w:p>
            <w:pPr>
              <w:spacing w:after="0"/>
              <w:rPr>
                <w:sz w:val="20"/>
                <w:szCs w:val="20"/>
                <w:color w:val="auto"/>
              </w:rPr>
            </w:pPr>
            <w:r>
              <w:rPr>
                <w:rFonts w:ascii="Arial" w:cs="Arial" w:eastAsia="Arial" w:hAnsi="Arial"/>
                <w:sz w:val="18"/>
                <w:szCs w:val="18"/>
                <w:color w:val="auto"/>
              </w:rPr>
              <w:t>Offering Price per share</w:t>
            </w:r>
          </w:p>
        </w:tc>
        <w:tc>
          <w:tcPr>
            <w:tcW w:w="980" w:type="dxa"/>
            <w:vAlign w:val="bottom"/>
            <w:gridSpan w:val="2"/>
            <w:shd w:val="clear" w:color="auto" w:fill="D5EAEA"/>
          </w:tcPr>
          <w:p>
            <w:pPr>
              <w:jc w:val="center"/>
              <w:ind w:left="230"/>
              <w:spacing w:after="0"/>
              <w:rPr>
                <w:sz w:val="20"/>
                <w:szCs w:val="20"/>
                <w:color w:val="auto"/>
              </w:rPr>
            </w:pPr>
            <w:r>
              <w:rPr>
                <w:rFonts w:ascii="Arial" w:cs="Arial" w:eastAsia="Arial" w:hAnsi="Arial"/>
                <w:sz w:val="18"/>
                <w:szCs w:val="18"/>
                <w:color w:val="auto"/>
                <w:w w:val="84"/>
              </w:rPr>
              <w:t>11.75</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11.20</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80"/>
              <w:spacing w:after="0"/>
              <w:rPr>
                <w:sz w:val="20"/>
                <w:szCs w:val="20"/>
                <w:color w:val="auto"/>
              </w:rPr>
            </w:pPr>
            <w:r>
              <w:rPr>
                <w:rFonts w:ascii="Arial" w:cs="Arial" w:eastAsia="Arial" w:hAnsi="Arial"/>
                <w:sz w:val="18"/>
                <w:szCs w:val="18"/>
                <w:color w:val="auto"/>
              </w:rPr>
              <w:t>Historical net tangible book value per share as of March 31, 2018</w:t>
            </w:r>
          </w:p>
        </w:tc>
        <w:tc>
          <w:tcPr>
            <w:tcW w:w="980" w:type="dxa"/>
            <w:vAlign w:val="bottom"/>
            <w:gridSpan w:val="2"/>
          </w:tcPr>
          <w:p>
            <w:pPr>
              <w:jc w:val="center"/>
              <w:ind w:left="230"/>
              <w:spacing w:after="0"/>
              <w:rPr>
                <w:sz w:val="20"/>
                <w:szCs w:val="20"/>
                <w:color w:val="auto"/>
              </w:rPr>
            </w:pPr>
            <w:r>
              <w:rPr>
                <w:rFonts w:ascii="Arial" w:cs="Arial" w:eastAsia="Arial" w:hAnsi="Arial"/>
                <w:sz w:val="18"/>
                <w:szCs w:val="18"/>
                <w:color w:val="auto"/>
                <w:w w:val="85"/>
              </w:rPr>
              <w:t>1.94</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D5EAEA"/>
          </w:tcPr>
          <w:p>
            <w:pPr>
              <w:ind w:left="380"/>
              <w:spacing w:after="0"/>
              <w:rPr>
                <w:sz w:val="20"/>
                <w:szCs w:val="20"/>
                <w:color w:val="auto"/>
              </w:rPr>
            </w:pPr>
            <w:r>
              <w:rPr>
                <w:rFonts w:ascii="Arial" w:cs="Arial" w:eastAsia="Arial" w:hAnsi="Arial"/>
                <w:sz w:val="18"/>
                <w:szCs w:val="18"/>
                <w:color w:val="auto"/>
              </w:rPr>
              <w:t>Increase per share attributable to new investors purchasing shares in this offering</w:t>
            </w:r>
          </w:p>
        </w:tc>
        <w:tc>
          <w:tcPr>
            <w:tcW w:w="980" w:type="dxa"/>
            <w:vAlign w:val="bottom"/>
            <w:gridSpan w:val="2"/>
            <w:shd w:val="clear" w:color="auto" w:fill="D5EAEA"/>
          </w:tcPr>
          <w:p>
            <w:pPr>
              <w:jc w:val="center"/>
              <w:ind w:left="230"/>
              <w:spacing w:after="0"/>
              <w:rPr>
                <w:sz w:val="20"/>
                <w:szCs w:val="20"/>
                <w:color w:val="auto"/>
              </w:rPr>
            </w:pPr>
            <w:r>
              <w:rPr>
                <w:rFonts w:ascii="Arial" w:cs="Arial" w:eastAsia="Arial" w:hAnsi="Arial"/>
                <w:sz w:val="18"/>
                <w:szCs w:val="18"/>
                <w:color w:val="auto"/>
                <w:w w:val="85"/>
              </w:rPr>
              <w:t>1.23</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1.17</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380"/>
              <w:spacing w:after="0" w:line="201" w:lineRule="exact"/>
              <w:rPr>
                <w:sz w:val="20"/>
                <w:szCs w:val="20"/>
                <w:color w:val="auto"/>
              </w:rPr>
            </w:pPr>
            <w:r>
              <w:rPr>
                <w:rFonts w:ascii="Arial" w:cs="Arial" w:eastAsia="Arial" w:hAnsi="Arial"/>
                <w:sz w:val="18"/>
                <w:szCs w:val="18"/>
                <w:color w:val="auto"/>
                <w:w w:val="95"/>
              </w:rPr>
              <w:t>As adjusted net tangible book value per share after giving effect to this offering, the Public Offering and the Prior</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560"/>
              <w:spacing w:after="0"/>
              <w:rPr>
                <w:sz w:val="20"/>
                <w:szCs w:val="20"/>
                <w:color w:val="auto"/>
              </w:rPr>
            </w:pPr>
            <w:r>
              <w:rPr>
                <w:rFonts w:ascii="Arial" w:cs="Arial" w:eastAsia="Arial" w:hAnsi="Arial"/>
                <w:sz w:val="18"/>
                <w:szCs w:val="18"/>
                <w:color w:val="auto"/>
              </w:rPr>
              <w:t>Rights Offering</w:t>
            </w:r>
          </w:p>
        </w:tc>
        <w:tc>
          <w:tcPr>
            <w:tcW w:w="980" w:type="dxa"/>
            <w:vAlign w:val="bottom"/>
            <w:gridSpan w:val="2"/>
          </w:tcPr>
          <w:p>
            <w:pPr>
              <w:jc w:val="center"/>
              <w:ind w:left="230"/>
              <w:spacing w:after="0"/>
              <w:rPr>
                <w:sz w:val="20"/>
                <w:szCs w:val="20"/>
                <w:color w:val="auto"/>
              </w:rPr>
            </w:pPr>
            <w:r>
              <w:rPr>
                <w:rFonts w:ascii="Arial" w:cs="Arial" w:eastAsia="Arial" w:hAnsi="Arial"/>
                <w:sz w:val="18"/>
                <w:szCs w:val="18"/>
                <w:color w:val="auto"/>
                <w:w w:val="85"/>
              </w:rPr>
              <w:t>3.16</w:t>
            </w:r>
          </w:p>
        </w:tc>
        <w:tc>
          <w:tcPr>
            <w:tcW w:w="5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3.02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D5EAEA"/>
          </w:tcPr>
          <w:p>
            <w:pPr>
              <w:ind w:left="380"/>
              <w:spacing w:after="0"/>
              <w:rPr>
                <w:sz w:val="20"/>
                <w:szCs w:val="20"/>
                <w:color w:val="auto"/>
              </w:rPr>
            </w:pPr>
            <w:r>
              <w:rPr>
                <w:rFonts w:ascii="Arial" w:cs="Arial" w:eastAsia="Arial" w:hAnsi="Arial"/>
                <w:sz w:val="18"/>
                <w:szCs w:val="18"/>
                <w:color w:val="auto"/>
              </w:rPr>
              <w:t>Dilution per share to new investors</w:t>
            </w:r>
          </w:p>
        </w:tc>
        <w:tc>
          <w:tcPr>
            <w:tcW w:w="980" w:type="dxa"/>
            <w:vAlign w:val="bottom"/>
            <w:gridSpan w:val="2"/>
            <w:shd w:val="clear" w:color="auto" w:fill="D5EAEA"/>
          </w:tcPr>
          <w:p>
            <w:pPr>
              <w:jc w:val="center"/>
              <w:ind w:left="230"/>
              <w:spacing w:after="0"/>
              <w:rPr>
                <w:sz w:val="20"/>
                <w:szCs w:val="20"/>
                <w:color w:val="auto"/>
              </w:rPr>
            </w:pPr>
            <w:r>
              <w:rPr>
                <w:rFonts w:ascii="Arial" w:cs="Arial" w:eastAsia="Arial" w:hAnsi="Arial"/>
                <w:sz w:val="18"/>
                <w:szCs w:val="18"/>
                <w:color w:val="auto"/>
                <w:w w:val="85"/>
              </w:rPr>
              <w:t>8.59</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8.19</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common share for new investors</w:t>
            </w:r>
          </w:p>
        </w:tc>
        <w:tc>
          <w:tcPr>
            <w:tcW w:w="9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73.08%</w:t>
            </w:r>
          </w:p>
        </w:tc>
        <w:tc>
          <w:tcPr>
            <w:tcW w:w="5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73.08%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Swiss Franc amounts have been translated into U.S. dollars at a rate of CHF 0.9532 to USD 1.00, the official exchange rate quoted as of March 31, 2018 by the U.S. Federal Reserve Bank. Such U.S. dollar amounts are not necessarily indicative of the amounts of U.S. dollars that could actually have been purchased upon exchange of Swiss Francs on March 31, 2018 and have been provided solely for the convenience of the reader. The above table assumes that</w:t>
      </w:r>
    </w:p>
    <w:p>
      <w:pPr>
        <w:ind w:right="260" w:firstLine="8"/>
        <w:spacing w:after="0" w:line="26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subscription rights offered to existing shareholders pursuant to the Rights Offering are exercised in full, and (ii) the underwriters’ option to purchase additional shares in the Public Offering has not been exercised.</w:t>
      </w:r>
    </w:p>
    <w:p>
      <w:pPr>
        <w:spacing w:after="0" w:line="184" w:lineRule="exact"/>
        <w:rPr>
          <w:sz w:val="20"/>
          <w:szCs w:val="20"/>
          <w:color w:val="auto"/>
        </w:rPr>
      </w:pPr>
    </w:p>
    <w:p>
      <w:pPr>
        <w:ind w:right="100" w:firstLine="416"/>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SUBSCRIPTION RIGHTS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 Offering</w:t>
      </w:r>
    </w:p>
    <w:p>
      <w:pPr>
        <w:spacing w:after="0" w:line="229"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 xml:space="preserve">Under Swiss law and pursuant to the resolution by the annual general meeting held on July 6, 2018, our existing shareholders are entitled to statutory pre-emptive subscription rights to subscribe for the Offered Shares in proportion to their existing shareholdings. As a result, we are offering pre-emptive subscription rights to our Record Shareholders, who will have the opportunity to subscribe for up to 1,500,000 Offered Shares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at the Offering Price.</w:t>
      </w:r>
    </w:p>
    <w:p>
      <w:pPr>
        <w:spacing w:after="0" w:line="187"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Each Record Shareholder will be entitled to one pre-emptive subscription right for each existing common share held by such Record Shareholder after the close of trading on The Nasdaq Global Market on July 2, 2018. Accordingly, such Record Shareholder may, during the subscription period described below, subscribe for one Offered Share for every 38.24 pre-emptive subscription rights held by such Record Shareholder. We refer to this exercise of subscription rights as the basic subscription right.</w:t>
      </w:r>
    </w:p>
    <w:p>
      <w:pPr>
        <w:spacing w:after="0" w:line="187" w:lineRule="exact"/>
        <w:rPr>
          <w:sz w:val="20"/>
          <w:szCs w:val="20"/>
          <w:color w:val="auto"/>
        </w:rPr>
      </w:pPr>
    </w:p>
    <w:p>
      <w:pPr>
        <w:jc w:val="both"/>
        <w:ind w:right="80" w:firstLine="416"/>
        <w:spacing w:after="0" w:line="257" w:lineRule="auto"/>
        <w:rPr>
          <w:sz w:val="20"/>
          <w:szCs w:val="20"/>
          <w:color w:val="auto"/>
        </w:rPr>
      </w:pPr>
      <w:r>
        <w:rPr>
          <w:rFonts w:ascii="Arial" w:cs="Arial" w:eastAsia="Arial" w:hAnsi="Arial"/>
          <w:sz w:val="18"/>
          <w:szCs w:val="18"/>
          <w:color w:val="auto"/>
        </w:rPr>
        <w:t>Record Shareholders who fully exercise their pre-emptive subscription rights under the basic subscription right will also have the option of subscribing for additional Offered Shares unclaimed by other Record Shareholders in the Rights Offering, at the same Offering Price. We refer to this option as the over-subscription privilege. If an insufficient number of Offered Shares are available to fully satisfy all over-subscription privilege requests, the available Offered Shares will be distributed proportionally among Record Shareholders who exercised their over-subscription privilege based on the number of Offered Shares they subscribed for under the basic subscription right.</w:t>
      </w:r>
    </w:p>
    <w:p>
      <w:pPr>
        <w:spacing w:after="0" w:line="18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Record Shareholders who wish to exercise their over-subscription privilege must deliver the subscription payment for exercise of such privilege before expiration of the subscription period. Because we will not know the total number of unsubscribed Offered Shares before the expiration of the subscription period, Record Shareholders who wish to maximize the number of Offered Shares they wish to purchase pursuant to the over-subscription privilege will need to deliver payment in an amount equal to the Offering Price multiplied by the maximum number of Offered Shares they wish to purchase. Computershare Trust Company, N.A., as subscription agent, will return any excess payments by mail without interest or deduction promptly after the expiration of the subscription period.</w:t>
      </w:r>
    </w:p>
    <w:p>
      <w:pPr>
        <w:spacing w:after="0" w:line="193" w:lineRule="exact"/>
        <w:rPr>
          <w:sz w:val="20"/>
          <w:szCs w:val="20"/>
          <w:color w:val="auto"/>
        </w:rPr>
      </w:pPr>
    </w:p>
    <w:p>
      <w:pPr>
        <w:ind w:right="100" w:firstLine="416"/>
        <w:spacing w:after="0" w:line="277" w:lineRule="auto"/>
        <w:rPr>
          <w:sz w:val="20"/>
          <w:szCs w:val="20"/>
          <w:color w:val="auto"/>
        </w:rPr>
      </w:pPr>
      <w:r>
        <w:rPr>
          <w:rFonts w:ascii="Arial" w:cs="Arial" w:eastAsia="Arial" w:hAnsi="Arial"/>
          <w:sz w:val="18"/>
          <w:szCs w:val="18"/>
          <w:color w:val="auto"/>
        </w:rPr>
        <w:t>Any Offered Shares not subscribed for will be available for allocation by the Board of Directors at its discretion in first priority to current shareholders and in second priority to institutional investors in a private placement.</w:t>
      </w:r>
    </w:p>
    <w:p>
      <w:pPr>
        <w:spacing w:after="0" w:line="170" w:lineRule="exact"/>
        <w:rPr>
          <w:sz w:val="20"/>
          <w:szCs w:val="20"/>
          <w:color w:val="auto"/>
        </w:rPr>
      </w:pPr>
    </w:p>
    <w:p>
      <w:pPr>
        <w:ind w:right="320" w:firstLine="416"/>
        <w:spacing w:after="0" w:line="312" w:lineRule="auto"/>
        <w:rPr>
          <w:sz w:val="20"/>
          <w:szCs w:val="20"/>
          <w:color w:val="auto"/>
        </w:rPr>
      </w:pPr>
      <w:r>
        <w:rPr>
          <w:rFonts w:ascii="Arial" w:cs="Arial" w:eastAsia="Arial" w:hAnsi="Arial"/>
          <w:sz w:val="16"/>
          <w:szCs w:val="16"/>
          <w:color w:val="auto"/>
        </w:rPr>
        <w:t>Record Shareholders may exercise their pre-emptive subscription rights to acquire the Offered Shares during the subscription period from 3:00 a.m. (New York City time) on July 20, 2018 to 4:00 p.m. (New York City time) on July 27, 2018. Record Shareholders must exercise their pre-emptive subscription rights before the end of such subscription period. We reserve the right to suspend or extend the subscription period for the Rights Offering.</w:t>
      </w:r>
    </w:p>
    <w:p>
      <w:pPr>
        <w:spacing w:after="0" w:line="14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Any pre-emptive subscription rights that have not been validly exercised prior to the end of the subscription period will expire and become null and void without compensation. The Company may withdraw, cancel or modify any orders of a Record Shareholder who has elected to participate in the Rights Offering if the Company cannot verify the eligibility of such Record Shareholder with such shareholder, or its bank, broker or other intermediary, respectively, Each exercise of pre-emptive subscription rights in the Rights Offering will be effective at the Offering Price, is irrevocable and may not be cancelled, modified, rescinded or withdrawn. We will accept subscriptions for whole Offered Shares only and will round down any subscription submitted for fractional Offered Shares to the nearest whole number of Offered Shares.</w:t>
      </w:r>
    </w:p>
    <w:p>
      <w:pPr>
        <w:spacing w:after="0" w:line="193"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The pre-emptive subscription rights will not be listed on any securities exchange or tradeable. The subscription rights are not transferrable. You may not sell, transfer, assign or give away your subscription rights.</w:t>
      </w:r>
    </w:p>
    <w:p>
      <w:pPr>
        <w:spacing w:after="0" w:line="170" w:lineRule="exact"/>
        <w:rPr>
          <w:sz w:val="20"/>
          <w:szCs w:val="20"/>
          <w:color w:val="auto"/>
        </w:rPr>
      </w:pPr>
    </w:p>
    <w:p>
      <w:pPr>
        <w:jc w:val="both"/>
        <w:ind w:right="40" w:firstLine="416"/>
        <w:spacing w:after="0" w:line="312" w:lineRule="auto"/>
        <w:rPr>
          <w:sz w:val="20"/>
          <w:szCs w:val="20"/>
          <w:color w:val="auto"/>
        </w:rPr>
      </w:pPr>
      <w:r>
        <w:rPr>
          <w:rFonts w:ascii="Arial" w:cs="Arial" w:eastAsia="Arial" w:hAnsi="Arial"/>
          <w:sz w:val="16"/>
          <w:szCs w:val="16"/>
          <w:color w:val="auto"/>
        </w:rPr>
        <w:t>Any eligible Record Shareholder interested in participating in the Rights Offering should direct the bank, broker or other intermediary administering its securities account to which such eligible Record Shareholder’s existing common shares are credited to contact Georgeson LLC, acting as information agent, by calling (888) 613-9817 or +1 781-575-2137 prior to the expiration of the subscription period and indicate how many pre-emptive subscription</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rights such Record Shareholder wishes to exercise under the basic subscription right and the over-subscription privilege.</w:t>
      </w:r>
    </w:p>
    <w:p>
      <w:pPr>
        <w:spacing w:after="0" w:line="225" w:lineRule="exact"/>
        <w:rPr>
          <w:sz w:val="20"/>
          <w:szCs w:val="20"/>
          <w:color w:val="auto"/>
        </w:rPr>
      </w:pPr>
    </w:p>
    <w:p>
      <w:pPr>
        <w:ind w:right="360" w:firstLine="416"/>
        <w:spacing w:after="0" w:line="264" w:lineRule="auto"/>
        <w:rPr>
          <w:sz w:val="20"/>
          <w:szCs w:val="20"/>
          <w:color w:val="auto"/>
        </w:rPr>
      </w:pPr>
      <w:r>
        <w:rPr>
          <w:rFonts w:ascii="Arial" w:cs="Arial" w:eastAsia="Arial" w:hAnsi="Arial"/>
          <w:sz w:val="18"/>
          <w:szCs w:val="18"/>
          <w:color w:val="auto"/>
        </w:rPr>
        <w:t>At the annual general meeting held on July 6, 2018, our shareholders approved an ordinary capital increase of up to 1,500,000 common shares. The Rights Offering will be carried out based on this approved ordinary capital increase. The wording of the resolutions pertaining to the Rights Offering as approved by our shareholders is the following:</w:t>
      </w:r>
    </w:p>
    <w:p>
      <w:pPr>
        <w:spacing w:after="0" w:line="181" w:lineRule="exact"/>
        <w:rPr>
          <w:sz w:val="20"/>
          <w:szCs w:val="20"/>
          <w:color w:val="auto"/>
        </w:rPr>
      </w:pPr>
    </w:p>
    <w:p>
      <w:pPr>
        <w:ind w:left="1060" w:right="4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 capital of the Company is increased by way of an ordinary increase by up to CHF 30,000 by issuing up to 1,500,000 registered shares with a nominal value of CHF 0.02 each;</w:t>
      </w:r>
    </w:p>
    <w:p>
      <w:pPr>
        <w:spacing w:after="0" w:line="170" w:lineRule="exact"/>
        <w:rPr>
          <w:rFonts w:ascii="Arial" w:cs="Arial" w:eastAsia="Arial" w:hAnsi="Arial"/>
          <w:sz w:val="18"/>
          <w:szCs w:val="18"/>
          <w:color w:val="auto"/>
        </w:rPr>
      </w:pPr>
    </w:p>
    <w:p>
      <w:pPr>
        <w:ind w:left="1060" w:right="100" w:hanging="323"/>
        <w:spacing w:after="0" w:line="25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pre-emptive subscription rights of the shareholders for the newly issued registered shares shall be preserved; the Board of Directors shall credit each shareholder with a corresponding number of non-tradable subscription rights with identical terms as offered to institution investors in the ordinary share capital increase resolution resolved today. Such subscription rights may be exercised during a subscription period of at least six business days; any new shares not subscribed shall be allocated by the Board of Directors at its discretion in first priority to current shareholders;</w:t>
      </w:r>
    </w:p>
    <w:p>
      <w:pPr>
        <w:spacing w:after="0" w:line="188"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technical issuance price of the new shares to be paid in cash shall be determined by the Board of Directors;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shares are entitled to dividends for the business year starting January 1, 2018;</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shares are subject to the transfer restrictions as outlined in article 4 of the Articles of Association;</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stamp duty shall be paid by the Company; and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Board of Directors is authorized and instructed to implement and register this capital increase with the competent commercial register.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Offered Shares</w:t>
      </w:r>
    </w:p>
    <w:p>
      <w:pPr>
        <w:spacing w:after="0" w:line="229"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 xml:space="preserve">The Offered Shares will have a nominal value of CHF 0.02 each. We will issue the Offered Shares in an ordinary share capital increase against cash contributions approved by our shareholders at the annual general meeting held on July 6, 2018. The Offered Shares will be fully fungible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each other and with all of our existing common shares. The Offered Shares are subject to the transfer restrictions as set forth in article 4 of our articles of association.</w:t>
      </w:r>
    </w:p>
    <w:p>
      <w:pPr>
        <w:spacing w:after="0" w:line="187"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The Offered Shares will be issued as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Article 973c of the Swiss Code of Obligations)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The Offered Shares will be registered in our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w:t>
      </w:r>
    </w:p>
    <w:p>
      <w:pPr>
        <w:spacing w:after="0" w:line="187"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After expiration of the subscription period of the Rights Offering, the Offered Shares which have been validly subscribed and paid for in accordance with the terms of the Rights Offering will be, upon registration of the corresponding share capital increase into the Commercial Register of the Canton of Vaud, validly issued. The delivery of Offered Shares shall be carried out by Computershare Trust Company, N.A. acting as transfer agent and registrar for our common shares.</w:t>
      </w:r>
    </w:p>
    <w:p>
      <w:pPr>
        <w:spacing w:after="0" w:line="187" w:lineRule="exact"/>
        <w:rPr>
          <w:sz w:val="20"/>
          <w:szCs w:val="20"/>
          <w:color w:val="auto"/>
        </w:rPr>
      </w:pPr>
    </w:p>
    <w:p>
      <w:pPr>
        <w:ind w:right="40" w:firstLine="416"/>
        <w:spacing w:after="0" w:line="277" w:lineRule="auto"/>
        <w:rPr>
          <w:sz w:val="20"/>
          <w:szCs w:val="20"/>
          <w:color w:val="auto"/>
        </w:rPr>
      </w:pPr>
      <w:r>
        <w:rPr>
          <w:rFonts w:ascii="Arial" w:cs="Arial" w:eastAsia="Arial" w:hAnsi="Arial"/>
          <w:sz w:val="18"/>
          <w:szCs w:val="18"/>
          <w:color w:val="auto"/>
        </w:rPr>
        <w:t>Shareholders participating in the Rights Offerings will be obligated to pay for the subscription price of the common shares allocated to them on the date determined by the Company at the end of the subscription period.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PRICE RANGE OF COMMON SHARES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common shares of the Company are listed on The Nasdaq Global Market under the symbol “ACIU”.</w:t>
      </w:r>
    </w:p>
    <w:p>
      <w:pPr>
        <w:spacing w:after="0" w:line="225"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The following table sets forth the highest and lowest intraday sales prices for the common shares as reported by The Nasdaq Global Market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Nasdaq Global Market</w:t>
            </w:r>
          </w:p>
        </w:tc>
        <w:tc>
          <w:tcPr>
            <w:tcW w:w="0" w:type="dxa"/>
            <w:vAlign w:val="bottom"/>
          </w:tcPr>
          <w:p>
            <w:pPr>
              <w:spacing w:after="0"/>
              <w:rPr>
                <w:sz w:val="1"/>
                <w:szCs w:val="1"/>
                <w:color w:val="auto"/>
              </w:rPr>
            </w:pPr>
          </w:p>
        </w:tc>
      </w:tr>
      <w:tr>
        <w:trPr>
          <w:trHeight w:val="223"/>
        </w:trPr>
        <w:tc>
          <w:tcPr>
            <w:tcW w:w="8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10"/>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Third Quarter (through July 18, 2018)</w:t>
            </w:r>
          </w:p>
        </w:tc>
        <w:tc>
          <w:tcPr>
            <w:tcW w:w="120" w:type="dxa"/>
            <w:vAlign w:val="bottom"/>
            <w:shd w:val="clear" w:color="auto" w:fill="D5EAEA"/>
          </w:tcPr>
          <w:p>
            <w:pPr>
              <w:spacing w:after="0"/>
              <w:rPr>
                <w:sz w:val="18"/>
                <w:szCs w:val="18"/>
                <w:color w:val="auto"/>
              </w:rPr>
            </w:pPr>
          </w:p>
        </w:tc>
        <w:tc>
          <w:tcPr>
            <w:tcW w:w="4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First Quarter</w:t>
            </w:r>
          </w:p>
        </w:tc>
        <w:tc>
          <w:tcPr>
            <w:tcW w:w="540" w:type="dxa"/>
            <w:vAlign w:val="bottom"/>
            <w:gridSpan w:val="2"/>
            <w:shd w:val="clear" w:color="auto" w:fill="D5EAEA"/>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13.91</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Nasdaq Global Market</w:t>
            </w:r>
          </w:p>
        </w:tc>
        <w:tc>
          <w:tcPr>
            <w:tcW w:w="0" w:type="dxa"/>
            <w:vAlign w:val="bottom"/>
          </w:tcPr>
          <w:p>
            <w:pPr>
              <w:spacing w:after="0"/>
              <w:rPr>
                <w:sz w:val="1"/>
                <w:szCs w:val="1"/>
                <w:color w:val="auto"/>
              </w:rPr>
            </w:pPr>
          </w:p>
        </w:tc>
      </w:tr>
      <w:tr>
        <w:trPr>
          <w:trHeight w:val="223"/>
        </w:trPr>
        <w:tc>
          <w:tcPr>
            <w:tcW w:w="8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10"/>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D5EAEA"/>
          </w:tcPr>
          <w:p>
            <w:pPr>
              <w:spacing w:after="0"/>
              <w:rPr>
                <w:sz w:val="18"/>
                <w:szCs w:val="18"/>
                <w:color w:val="auto"/>
              </w:rPr>
            </w:pPr>
          </w:p>
        </w:tc>
        <w:tc>
          <w:tcPr>
            <w:tcW w:w="4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Third Quarter</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2"/>
            <w:shd w:val="clear" w:color="auto" w:fill="D5EAEA"/>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10.50</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First Quarter</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2016</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Nasdaq Global Market</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vMerge w:val="continue"/>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10"/>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4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Third Quarter (beginning on September 23, 2016)</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458"/>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Most recent six months</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Nasdaq Global Market</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vMerge w:val="continue"/>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10"/>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July (through July 18, 2018)</w:t>
            </w:r>
          </w:p>
        </w:tc>
        <w:tc>
          <w:tcPr>
            <w:tcW w:w="4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June</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May</w:t>
            </w:r>
          </w:p>
        </w:tc>
        <w:tc>
          <w:tcPr>
            <w:tcW w:w="466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10.75</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April 2018</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March 2018</w:t>
            </w:r>
          </w:p>
        </w:tc>
        <w:tc>
          <w:tcPr>
            <w:tcW w:w="466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12.55</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February 2018</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January 2018</w:t>
            </w:r>
          </w:p>
        </w:tc>
        <w:tc>
          <w:tcPr>
            <w:tcW w:w="466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13.91</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324"/>
        </w:trPr>
        <w:tc>
          <w:tcPr>
            <w:tcW w:w="4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3"/>
          </w:tcPr>
          <w:p>
            <w:pPr>
              <w:jc w:val="right"/>
              <w:ind w:right="3270"/>
              <w:spacing w:after="0"/>
              <w:rPr>
                <w:sz w:val="20"/>
                <w:szCs w:val="20"/>
                <w:color w:val="auto"/>
              </w:rPr>
            </w:pPr>
            <w:r>
              <w:rPr>
                <w:rFonts w:ascii="Arial" w:cs="Arial" w:eastAsia="Arial" w:hAnsi="Arial"/>
                <w:sz w:val="18"/>
                <w:szCs w:val="18"/>
                <w:color w:val="auto"/>
              </w:rPr>
              <w:t>S-25</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i w:val="1"/>
          <w:iCs w:val="1"/>
          <w:color w:val="auto"/>
        </w:rPr>
        <w:t>The following summary contains a description of the principal Swiss tax consequences of the allotment and exercise of pre-emptive subscription rights and the acquisition, ownership and disposition of Offered Shares, but it does not purport to be a comprehensive description of all of the Swiss tax considerations that may be relevant to a decision to exercise of the pre-emptive subscription rights and to purchase, own or dispose of Offered Shares. In particular, the summary does not take into account the specific circumstances of any particular investor.</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 Investors are urged to consult their own tax advisors regarding the Swiss tax consequences of allotting and exercising of pre-emptive subscription rights and of acquiring, owning and disposing of Offered Shares or the receipt of dividends or distributions, if any, on Offered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pre-emptive subscription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Withholding Tax</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Neither the allotment nor exercising of pre-emptive subscription rights are taxable distributions or transactions for purposes of Swiss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Securities Turnover Tax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Neither the allotment nor exercising of pre-emptive subscription rights are taxable transactions for purposes of Swiss securities turnover tax (</w:t>
      </w:r>
      <w:r>
        <w:rPr>
          <w:rFonts w:ascii="Arial" w:cs="Arial" w:eastAsia="Arial" w:hAnsi="Arial"/>
          <w:sz w:val="18"/>
          <w:szCs w:val="18"/>
          <w:i w:val="1"/>
          <w:iCs w:val="1"/>
          <w:color w:val="auto"/>
        </w:rPr>
        <w:t>droit de</w:t>
      </w:r>
      <w:r>
        <w:rPr>
          <w:rFonts w:ascii="Arial" w:cs="Arial" w:eastAsia="Arial" w:hAnsi="Arial"/>
          <w:sz w:val="18"/>
          <w:szCs w:val="18"/>
          <w:color w:val="auto"/>
        </w:rPr>
        <w:t xml:space="preserve"> </w:t>
      </w:r>
      <w:r>
        <w:rPr>
          <w:rFonts w:ascii="Arial" w:cs="Arial" w:eastAsia="Arial" w:hAnsi="Arial"/>
          <w:sz w:val="18"/>
          <w:szCs w:val="18"/>
          <w:i w:val="1"/>
          <w:iCs w:val="1"/>
          <w:color w:val="auto"/>
        </w:rPr>
        <w:t>timbre de négotiation</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by holders resident outside of Switzerland and with no trade or business in Switzerland</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allotment or exercising of pre-emptive subscription rights to or by holders who are not resident in Switzerland for tax purposes, and who, during the relevant taxation year, have not engaged in a trade or business carried on through a permanent establishment in Switzerland for Swiss tax purposes are not subject to any Swiss federal, cantonal or communal income tax. See “—</w:t>
      </w:r>
      <w:r>
        <w:rPr>
          <w:rFonts w:ascii="Arial" w:cs="Arial" w:eastAsia="Arial" w:hAnsi="Arial"/>
          <w:sz w:val="16"/>
          <w:szCs w:val="16"/>
          <w:i w:val="1"/>
          <w:iCs w:val="1"/>
          <w:color w:val="auto"/>
        </w:rPr>
        <w:t>Swiss Withholding Tax</w:t>
      </w:r>
      <w:r>
        <w:rPr>
          <w:rFonts w:ascii="Arial" w:cs="Arial" w:eastAsia="Arial" w:hAnsi="Arial"/>
          <w:sz w:val="16"/>
          <w:szCs w:val="16"/>
          <w:color w:val="auto"/>
        </w:rPr>
        <w:t>” above for a summary on the Swiss withholding tax treatment of pre-emptive subscription rights. See “—</w:t>
      </w:r>
      <w:r>
        <w:rPr>
          <w:rFonts w:ascii="Arial" w:cs="Arial" w:eastAsia="Arial" w:hAnsi="Arial"/>
          <w:sz w:val="16"/>
          <w:szCs w:val="16"/>
          <w:i w:val="1"/>
          <w:iCs w:val="1"/>
          <w:color w:val="auto"/>
        </w:rPr>
        <w:t>International Automatic Exchange of Information</w:t>
      </w:r>
      <w:r>
        <w:rPr>
          <w:rFonts w:ascii="Arial" w:cs="Arial" w:eastAsia="Arial" w:hAnsi="Arial"/>
          <w:sz w:val="16"/>
          <w:szCs w:val="16"/>
          <w:color w:val="auto"/>
        </w:rPr>
        <w:t>” below for a summary on the exchange of information in respect of holding pre-emptive subscription rights in an account or deposit with a financial institution or paying agent in Switzerland.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by Swiss resident individuals as private investments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Pre-emptive subscription rights allotted with respect to existing common shares of the Company held by a Swiss resident individual as private investments take on the same classification as private investments as the existing common shares. For such a holder neither the allotment, holding nor exercising of the pre-emptive subscription rights allotted are subject to Swiss federal, cantonal or communal income tax. A capital loss incurred by such a holder for reason of not having validly exercised pre-emptive subscription rights during the subscription period (with the consequence of the pre-emptive subscription rights expiring without compensation) will not be tax-deductible.</w:t>
      </w:r>
    </w:p>
    <w:p>
      <w:pPr>
        <w:spacing w:after="0" w:line="18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pre-emptive subscription rights held as assets of a Swiss business</w:t>
      </w:r>
      <w:r>
        <w:rPr>
          <w:rFonts w:ascii="Arial" w:cs="Arial" w:eastAsia="Arial" w:hAnsi="Arial"/>
          <w:sz w:val="18"/>
          <w:szCs w:val="18"/>
          <w:color w:val="auto"/>
        </w:rPr>
        <w:t>” below for a summary on the taxation treatment of individuals who are classified as “professional securities dealers.”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as assets of a Swiss business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allotment of pre-emptive subscription rights to corporate or individual holders, who hold existing common shares with respect to which such pre-emptive subscription rights are allotted, and consequentially the pre-emptive subscription rights, as part of a trade or business carried on through a permanent establishment in Switzerland, and the exercise of such pre-emptive subscription rights for the purchase of Offered Shares, are generally treated by such holders as a non-recognition transaction for statutory accounting purposes. Consequently, tax following generally the statutory accounting treatment, neither the allotment nor the exercise of such pre-emptive subscription rights are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normally taxable transactions for such holders for purposes of Swiss federal, cantonal and communal corporate or individual income tax.</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 capital loss realized in respect of pre-emptive subscription rights allotted for existing common shares which are held as business assets, and which pre-emptive subscription rights therefore take on the classification of the existing common shares of the Company as business assets, for reason of not having validly exercised such pre-emptive subscription rights (with the consequence of them expiring without compensation), are includible in, or deductible from, gross income in the relevant taxation period for such a holder for purposes of Swiss federal, cantonal and communal corporate or individual income tax.</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taxation treatment also applies to Swiss-resident private individuals who, for income tax purposes, are classified as “professional securities dealers” for reasons of, among other things, frequent dealing, or leveraging their investments, in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Offered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Swiss federal withholding tax on dividends and similar distributions on the Offered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Dividends on Offered Shares made or paid by the Company out of capital contribution reserves (</w:t>
      </w:r>
      <w:r>
        <w:rPr>
          <w:rFonts w:ascii="Arial" w:cs="Arial" w:eastAsia="Arial" w:hAnsi="Arial"/>
          <w:sz w:val="18"/>
          <w:szCs w:val="18"/>
          <w:i w:val="1"/>
          <w:iCs w:val="1"/>
          <w:color w:val="auto"/>
        </w:rPr>
        <w:t>apports de capital</w:t>
      </w:r>
      <w:r>
        <w:rPr>
          <w:rFonts w:ascii="Arial" w:cs="Arial" w:eastAsia="Arial" w:hAnsi="Arial"/>
          <w:sz w:val="18"/>
          <w:szCs w:val="18"/>
          <w:color w:val="auto"/>
        </w:rPr>
        <w:t>) and distributions on Offered Shares made or paid by the Company based upon a reduction of nominal value of Offered Shares (</w:t>
      </w:r>
      <w:r>
        <w:rPr>
          <w:rFonts w:ascii="Arial" w:cs="Arial" w:eastAsia="Arial" w:hAnsi="Arial"/>
          <w:sz w:val="18"/>
          <w:szCs w:val="18"/>
          <w:i w:val="1"/>
          <w:iCs w:val="1"/>
          <w:color w:val="auto"/>
        </w:rPr>
        <w:t>Nennwertherabsetzung</w:t>
      </w:r>
      <w:r>
        <w:rPr>
          <w:rFonts w:ascii="Arial" w:cs="Arial" w:eastAsia="Arial" w:hAnsi="Arial"/>
          <w:sz w:val="18"/>
          <w:szCs w:val="18"/>
          <w:color w:val="auto"/>
        </w:rPr>
        <w:t>) are exempt from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Any other dividends and cash or in-kind distributions (including scrip or stock dividends) on Offered Shares made or paid by the Company are subject to Swiss federal withholding tax at a rate of 35%. The withholding tax must be withheld by the Company on the gross amount of the dividend or distribution and be remitted to the Swiss Federal Tax Administration. Capital gains realized on the sale of Offered Shares are not subject to the withholding tax.</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Swiss-resident recipients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relevant Swiss tax authority will refund or credit the Swiss federal withholding tax deducted by the Company on dividends or distributions on Offered Shares in full to holders of Offered Shares who are resident in Switzerland and to holders who hold the Offered Shares as part of a trade or business in Switzerland,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non-resident recipients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 In General</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holder who is not a resident of Switzerland and who does not hold the Offered Shares as part of a trade or business in Switzerland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withholding tax at source is not provided for by Switzerland for portfolio holdings and, 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withholding tax.</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 Residents of the U.S.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apply for a full refund of the withholding tax in the case of qualified US pension funds or in excess of the amount of the 15% treaty rate in all other cases. 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right="80"/>
        <w:spacing w:after="0" w:line="264" w:lineRule="auto"/>
        <w:rPr>
          <w:sz w:val="20"/>
          <w:szCs w:val="20"/>
          <w:color w:val="auto"/>
        </w:rPr>
      </w:pPr>
      <w:r>
        <w:rPr>
          <w:rFonts w:ascii="Arial" w:cs="Arial" w:eastAsia="Arial" w:hAnsi="Arial"/>
          <w:sz w:val="18"/>
          <w:szCs w:val="18"/>
          <w:color w:val="auto"/>
        </w:rPr>
        <w:t>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holders resident outside of Switzerland and with no trade or business in Switzerland</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Holders of Offered Shares who are not resident in Switzerland for tax purposes, and who, during the respective taxation year, have not engaged in a trade or business carried on through a permanent establishment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Arial" w:cs="Arial" w:eastAsia="Arial" w:hAnsi="Arial"/>
          <w:sz w:val="16"/>
          <w:szCs w:val="16"/>
          <w:i w:val="1"/>
          <w:iCs w:val="1"/>
          <w:color w:val="auto"/>
        </w:rPr>
        <w:t>―Swiss federal withholding tax</w:t>
      </w:r>
      <w:r>
        <w:rPr>
          <w:rFonts w:ascii="Arial" w:cs="Arial" w:eastAsia="Arial" w:hAnsi="Arial"/>
          <w:sz w:val="16"/>
          <w:szCs w:val="16"/>
          <w:color w:val="auto"/>
        </w:rPr>
        <w:t>” above for a summary on the Swiss withholding tax treatment of dividends and distributions on Offered Shares. Refer to “</w:t>
      </w:r>
      <w:r>
        <w:rPr>
          <w:rFonts w:ascii="Arial" w:cs="Arial" w:eastAsia="Arial" w:hAnsi="Arial"/>
          <w:sz w:val="16"/>
          <w:szCs w:val="16"/>
          <w:i w:val="1"/>
          <w:iCs w:val="1"/>
          <w:color w:val="auto"/>
        </w:rPr>
        <w:t>―International Automatic Exchange of Information</w:t>
      </w:r>
      <w:r>
        <w:rPr>
          <w:rFonts w:ascii="Arial" w:cs="Arial" w:eastAsia="Arial" w:hAnsi="Arial"/>
          <w:sz w:val="16"/>
          <w:szCs w:val="16"/>
          <w:color w:val="auto"/>
        </w:rPr>
        <w:t>” below for a summary on the international exchange of information in tax matters by Switzerland in respect of Offered Shares held in accounts or deposits with a paying agent in Switzerland. Refer to “</w:t>
      </w:r>
      <w:r>
        <w:rPr>
          <w:rFonts w:ascii="Arial" w:cs="Arial" w:eastAsia="Arial" w:hAnsi="Arial"/>
          <w:sz w:val="16"/>
          <w:szCs w:val="16"/>
          <w:i w:val="1"/>
          <w:iCs w:val="1"/>
          <w:color w:val="auto"/>
        </w:rPr>
        <w:t>―Swiss</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Implementation of the US Foreign Account Tax Compliance Act</w:t>
      </w:r>
      <w:r>
        <w:rPr>
          <w:rFonts w:ascii="Arial" w:cs="Arial" w:eastAsia="Arial" w:hAnsi="Arial"/>
          <w:sz w:val="16"/>
          <w:szCs w:val="16"/>
          <w:color w:val="auto"/>
        </w:rPr>
        <w:t>” below for a summary on the implementation of FATCA by Switzerland.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Swiss resident individuals as private investments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Dividends and other distributions, if any, on Offered Shares, made or paid by the Company out of reserves from capital contributions (</w:t>
      </w:r>
      <w:r>
        <w:rPr>
          <w:rFonts w:ascii="Arial" w:cs="Arial" w:eastAsia="Arial" w:hAnsi="Arial"/>
          <w:sz w:val="18"/>
          <w:szCs w:val="18"/>
          <w:i w:val="1"/>
          <w:iCs w:val="1"/>
          <w:color w:val="auto"/>
        </w:rPr>
        <w:t>apports de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and distributions made or paid by the Company on Offered Shares based upon a capital reduction (</w:t>
      </w:r>
      <w:r>
        <w:rPr>
          <w:rFonts w:ascii="Arial" w:cs="Arial" w:eastAsia="Arial" w:hAnsi="Arial"/>
          <w:sz w:val="18"/>
          <w:szCs w:val="18"/>
          <w:i w:val="1"/>
          <w:iCs w:val="1"/>
          <w:color w:val="auto"/>
        </w:rPr>
        <w:t>reduction de la valeur nominale</w:t>
      </w:r>
      <w:r>
        <w:rPr>
          <w:rFonts w:ascii="Arial" w:cs="Arial" w:eastAsia="Arial" w:hAnsi="Arial"/>
          <w:sz w:val="18"/>
          <w:szCs w:val="18"/>
          <w:color w:val="auto"/>
        </w:rPr>
        <w:t>), if any, are</w:t>
      </w:r>
      <w:r>
        <w:rPr>
          <w:rFonts w:ascii="Arial" w:cs="Arial" w:eastAsia="Arial" w:hAnsi="Arial"/>
          <w:sz w:val="18"/>
          <w:szCs w:val="18"/>
          <w:i w:val="1"/>
          <w:iCs w:val="1"/>
          <w:color w:val="auto"/>
        </w:rPr>
        <w:t xml:space="preserve"> </w:t>
      </w:r>
      <w:r>
        <w:rPr>
          <w:rFonts w:ascii="Arial" w:cs="Arial" w:eastAsia="Arial" w:hAnsi="Arial"/>
          <w:sz w:val="18"/>
          <w:szCs w:val="18"/>
          <w:color w:val="auto"/>
        </w:rPr>
        <w:t>exempt from Swiss federal, cantonal and communal income taxes for holders of Offered Shares who are individuals resident in Switzerland for tax purposes and who hold the Offered Shares as private capital investments. Other dividends and distributions, if any, on Offered Shares will be subject to Swiss federal, cantonal or communal income taxes for such holders.</w:t>
      </w:r>
    </w:p>
    <w:p>
      <w:pPr>
        <w:spacing w:after="0" w:line="18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 capital gain realized by an individual resident in Switzerland on the sale of Offered Shares held by her or him as private capital investments classifies as tax-exempt private capital gain and, conversely, a capital loss as non-tax deductible private capital loss for purposes of Swiss federal, cantonal and communal income taxes. Refer to “—Offered Shares held as assets of a Swiss business” for information on the taxation of individuals classified as “professional securities dealers.”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as assets of a Swiss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Corporate taxpayers may be eligible for dividend relief (</w:t>
      </w:r>
      <w:r>
        <w:rPr>
          <w:rFonts w:ascii="Arial" w:cs="Arial" w:eastAsia="Arial" w:hAnsi="Arial"/>
          <w:sz w:val="18"/>
          <w:szCs w:val="18"/>
          <w:i w:val="1"/>
          <w:iCs w:val="1"/>
          <w:color w:val="auto"/>
        </w:rPr>
        <w:t>réductions pour participations</w:t>
      </w:r>
      <w:r>
        <w:rPr>
          <w:rFonts w:ascii="Arial" w:cs="Arial" w:eastAsia="Arial" w:hAnsi="Arial"/>
          <w:sz w:val="18"/>
          <w:szCs w:val="18"/>
          <w:color w:val="auto"/>
        </w:rPr>
        <w:t>) in respect of dividends and distributions, if any, on Offered Shares held as part of a Swiss business if the market value of the Offered Shares held by them equals or exceeds CHF 1 million or represents 10% or more of, the share capital or the dividend rights, of the Company.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issuance stamp tax</w:t>
      </w:r>
    </w:p>
    <w:p>
      <w:pPr>
        <w:spacing w:after="0" w:line="225" w:lineRule="exact"/>
        <w:rPr>
          <w:sz w:val="20"/>
          <w:szCs w:val="20"/>
          <w:color w:val="auto"/>
        </w:rPr>
      </w:pPr>
    </w:p>
    <w:p>
      <w:pPr>
        <w:ind w:right="40" w:firstLine="321"/>
        <w:spacing w:after="0" w:line="277" w:lineRule="auto"/>
        <w:rPr>
          <w:sz w:val="20"/>
          <w:szCs w:val="20"/>
          <w:color w:val="auto"/>
        </w:rPr>
      </w:pPr>
      <w:r>
        <w:rPr>
          <w:rFonts w:ascii="Arial" w:cs="Arial" w:eastAsia="Arial" w:hAnsi="Arial"/>
          <w:sz w:val="18"/>
          <w:szCs w:val="18"/>
          <w:color w:val="auto"/>
        </w:rPr>
        <w:t>The Company will be subject to the Swiss issuance stamp tax (</w:t>
      </w:r>
      <w:r>
        <w:rPr>
          <w:rFonts w:ascii="Arial" w:cs="Arial" w:eastAsia="Arial" w:hAnsi="Arial"/>
          <w:sz w:val="18"/>
          <w:szCs w:val="18"/>
          <w:i w:val="1"/>
          <w:iCs w:val="1"/>
          <w:color w:val="auto"/>
        </w:rPr>
        <w:t>droit de timbre d'émission</w:t>
      </w:r>
      <w:r>
        <w:rPr>
          <w:rFonts w:ascii="Arial" w:cs="Arial" w:eastAsia="Arial" w:hAnsi="Arial"/>
          <w:sz w:val="18"/>
          <w:szCs w:val="18"/>
          <w:color w:val="auto"/>
        </w:rPr>
        <w:t>) on the issuance of the Offered Shares of 1% of the subscription price, net of certain deductions.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securities turnover tax</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purchases of Offered Shares in the Offering</w:t>
      </w:r>
    </w:p>
    <w:p>
      <w:pPr>
        <w:spacing w:after="0" w:line="225" w:lineRule="exact"/>
        <w:rPr>
          <w:sz w:val="20"/>
          <w:szCs w:val="20"/>
          <w:color w:val="auto"/>
        </w:rPr>
      </w:pPr>
    </w:p>
    <w:p>
      <w:pPr>
        <w:ind w:right="680" w:firstLine="321"/>
        <w:spacing w:after="0" w:line="277" w:lineRule="auto"/>
        <w:rPr>
          <w:sz w:val="20"/>
          <w:szCs w:val="20"/>
          <w:color w:val="auto"/>
        </w:rPr>
      </w:pPr>
      <w:r>
        <w:rPr>
          <w:rFonts w:ascii="Arial" w:cs="Arial" w:eastAsia="Arial" w:hAnsi="Arial"/>
          <w:sz w:val="18"/>
          <w:szCs w:val="18"/>
          <w:color w:val="auto"/>
        </w:rPr>
        <w:t>The delivery of Offered Shares against payment of the subscription price is exempt from Swiss federal securities turnover tax (</w:t>
      </w:r>
      <w:r>
        <w:rPr>
          <w:rFonts w:ascii="Arial" w:cs="Arial" w:eastAsia="Arial" w:hAnsi="Arial"/>
          <w:sz w:val="18"/>
          <w:szCs w:val="18"/>
          <w:i w:val="1"/>
          <w:iCs w:val="1"/>
          <w:color w:val="auto"/>
        </w:rPr>
        <w:t>droit de timbre de</w:t>
      </w:r>
      <w:r>
        <w:rPr>
          <w:rFonts w:ascii="Arial" w:cs="Arial" w:eastAsia="Arial" w:hAnsi="Arial"/>
          <w:sz w:val="18"/>
          <w:szCs w:val="18"/>
          <w:color w:val="auto"/>
        </w:rPr>
        <w:t xml:space="preserve"> </w:t>
      </w:r>
      <w:r>
        <w:rPr>
          <w:rFonts w:ascii="Arial" w:cs="Arial" w:eastAsia="Arial" w:hAnsi="Arial"/>
          <w:sz w:val="18"/>
          <w:szCs w:val="18"/>
          <w:i w:val="1"/>
          <w:iCs w:val="1"/>
          <w:color w:val="auto"/>
        </w:rPr>
        <w:t>négotiation</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other transactions in Offered Shares</w:t>
      </w:r>
    </w:p>
    <w:p>
      <w:pPr>
        <w:spacing w:after="0" w:line="225" w:lineRule="exact"/>
        <w:rPr>
          <w:sz w:val="20"/>
          <w:szCs w:val="20"/>
          <w:color w:val="auto"/>
        </w:rPr>
      </w:pPr>
    </w:p>
    <w:p>
      <w:pPr>
        <w:ind w:right="80" w:firstLine="321"/>
        <w:spacing w:after="0" w:line="264" w:lineRule="auto"/>
        <w:rPr>
          <w:sz w:val="20"/>
          <w:szCs w:val="20"/>
          <w:color w:val="auto"/>
        </w:rPr>
      </w:pPr>
      <w:r>
        <w:rPr>
          <w:rFonts w:ascii="Arial" w:cs="Arial" w:eastAsia="Arial" w:hAnsi="Arial"/>
          <w:sz w:val="18"/>
          <w:szCs w:val="18"/>
          <w:color w:val="auto"/>
        </w:rPr>
        <w:t>Any transactions in the Offered Shares after the offering, where a bank or another securities dealer in Switzerland, as defined in the Swiss Federal Stamp Tax Act, acts as an intermediary, or is a party, to the transaction, is subject to Swiss federal securities turnover tax at a tax rate of up to 0.15% of the consideration paid for such Offered Shares.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color w:val="auto"/>
        </w:rPr>
        <w:t>Subject to applicable statutory exemptions in respect of the one or the other party to such a transaction, half of the tax is customarily charged to the one party to the transaction and the other half to the other party to the transaction.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International Automatic Exchange of Information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Switzerland has concluded a multilateral agreement with the EU on the international automatic exchange of information (AEOI) in tax matters. The agreement applies to all 28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accounts held by U.S. persons with Swiss financial institutions, which accounts may include Offered Shares and income derived thereon,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Treaty.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9" w:lineRule="exact"/>
        <w:rPr>
          <w:rFonts w:ascii="Arial" w:cs="Arial" w:eastAsia="Arial" w:hAnsi="Arial"/>
          <w:sz w:val="18"/>
          <w:szCs w:val="18"/>
          <w:color w:val="auto"/>
        </w:rPr>
      </w:pPr>
    </w:p>
    <w:p>
      <w:pPr>
        <w:ind w:left="1080" w:right="140" w:hanging="316"/>
        <w:spacing w:after="0" w:line="250"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or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11" w:lineRule="exact"/>
        <w:rPr>
          <w:sz w:val="20"/>
          <w:szCs w:val="20"/>
          <w:color w:val="auto"/>
        </w:rPr>
      </w:pPr>
    </w:p>
    <w:p>
      <w:pPr>
        <w:ind w:right="380" w:firstLine="441"/>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jc w:val="both"/>
        <w:ind w:right="200" w:firstLine="441"/>
        <w:spacing w:after="0" w:line="286" w:lineRule="auto"/>
        <w:rPr>
          <w:sz w:val="20"/>
          <w:szCs w:val="20"/>
          <w:color w:val="auto"/>
        </w:rPr>
      </w:pPr>
      <w:r>
        <w:rPr>
          <w:rFonts w:ascii="Arial" w:cs="Arial" w:eastAsia="Arial" w:hAnsi="Arial"/>
          <w:sz w:val="17"/>
          <w:szCs w:val="17"/>
          <w:color w:val="auto"/>
        </w:rPr>
        <w:t>This discussion does not address the U.S. federal income tax consequences of the Rights Offering, including the acquisition of newly-issued common shares by our existing shareholders in either such offering. Current holders of our common shares should consult their tax advisers with respect to the U.S. federal income tax consequences of the Rights Offering and the acquisition of any common shares in such offering.</w:t>
      </w:r>
    </w:p>
    <w:p>
      <w:pPr>
        <w:spacing w:after="0" w:line="166"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 w:lineRule="exact"/>
        <w:rPr>
          <w:rFonts w:ascii="Arial" w:cs="Arial" w:eastAsia="Arial" w:hAnsi="Arial"/>
          <w:sz w:val="18"/>
          <w:szCs w:val="18"/>
          <w:color w:val="auto"/>
        </w:rPr>
      </w:pPr>
    </w:p>
    <w:p>
      <w:pPr>
        <w:ind w:left="1080" w:right="280" w:hanging="316"/>
        <w:spacing w:after="0" w:line="250"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1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and will own after the completion of this offering, a substantial amount of passive assets, including cash, (ii) the amount and composition of our income as passive or non-passive may vary substantially over time, and (iii)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7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w:t>
      </w:r>
      <w:r>
        <w:rPr>
          <w:rFonts w:ascii="Arial" w:cs="Arial" w:eastAsia="Arial" w:hAnsi="Arial"/>
          <w:sz w:val="16"/>
          <w:szCs w:val="16"/>
          <w:i w:val="1"/>
          <w:iCs w:val="1"/>
          <w:color w:val="auto"/>
        </w:rPr>
        <w:t>pro rata</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420"/>
        <w:spacing w:after="0" w:line="264" w:lineRule="auto"/>
        <w:rPr>
          <w:sz w:val="20"/>
          <w:szCs w:val="20"/>
          <w:color w:val="auto"/>
        </w:rPr>
      </w:pPr>
      <w:r>
        <w:rPr>
          <w:rFonts w:ascii="Arial" w:cs="Arial" w:eastAsia="Arial" w:hAnsi="Arial"/>
          <w:sz w:val="18"/>
          <w:szCs w:val="18"/>
          <w:color w:val="auto"/>
        </w:rPr>
        <w:t>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81"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2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4"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Any eligible Record Shareholder interested in participating in the Rights Offering should direct the bank, broker or other intermediary administering its securities account to which such eligible Record Shareholder’s existing common shares are credited to contact Georgeson LLC, acting as information agent, by calling (888) 613- 9817 or +1 781-575-2137 prior to the expiration of the subscription period and indicate how many pre-emptive subscription rights such Record Shareholder wishes to exercise under the basic subscription right and the over-subscription privilege. See “Subscription Rights Offering.”</w:t>
      </w:r>
    </w:p>
    <w:p>
      <w:pPr>
        <w:spacing w:after="0" w:line="154"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We have agreed to pay the information agent and the transfer agent and registrar customary fees plus certain expenses in connection with the Rights Offering. We have not employed any brokers, dealers or underwriters in connection with the solicitation or exercise of the pre-emptive subscription rights offered 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Investors in the European Economic Area</w:t>
      </w:r>
    </w:p>
    <w:p>
      <w:pPr>
        <w:spacing w:after="0" w:line="225"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no offer of our common shares to the public in that Relevant Member State will take place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158"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2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81"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Company of a prospectus pursuant to Article 3 of the Prospectus Directive.</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Investors in the United Kingdom</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prospectus supplement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supplement must not be acted on or relied on by persons who are not Relevant Persons. Any investment or investment activity to which this prospectus supplement relates is available only to relevant persons and will be engaged in with Relevant Persons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prospectuses under art. 27 ff. of the SIX Listing Rules or the listing rules of any other stock exchange or regulated trading facility in Switzerland.</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22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right="40"/>
        <w:spacing w:after="0" w:line="264" w:lineRule="auto"/>
        <w:rPr>
          <w:sz w:val="20"/>
          <w:szCs w:val="20"/>
          <w:color w:val="auto"/>
        </w:rPr>
      </w:pPr>
      <w:r>
        <w:rPr>
          <w:rFonts w:ascii="Arial" w:cs="Arial" w:eastAsia="Arial" w:hAnsi="Arial"/>
          <w:sz w:val="18"/>
          <w:szCs w:val="18"/>
          <w:color w:val="auto"/>
        </w:rPr>
        <w:t>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165" w:lineRule="exact"/>
        <w:rPr>
          <w:sz w:val="20"/>
          <w:szCs w:val="20"/>
          <w:color w:val="auto"/>
        </w:rPr>
      </w:pPr>
    </w:p>
    <w:p>
      <w:pPr>
        <w:ind w:left="1300" w:right="8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Canadian Residents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Resale Restrictions</w:t>
      </w:r>
    </w:p>
    <w:p>
      <w:pPr>
        <w:spacing w:after="0" w:line="225"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Representations of Canadian Purchasers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1300" w:hanging="320"/>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common shares without the benefit of a prospectus qualified under those securities laws as it is an “accredited investor” as defined under National Instrument 45-106 – Prospectus Exemptions,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ind w:left="1300" w:right="46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Statutory Rights of Action</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Enforcement of Legal Rights</w:t>
      </w:r>
    </w:p>
    <w:p>
      <w:pPr>
        <w:spacing w:after="0" w:line="22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Taxation and Eligibility for Investment</w:t>
      </w:r>
    </w:p>
    <w:p>
      <w:pPr>
        <w:spacing w:after="0" w:line="22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validity of our common shares and certain other matters of Swiss law will be passed upon for us by Vischer AG, Zurich, Switzerland.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40" w:firstLine="441"/>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Forms 6-K filed on March 20, 2018 (only with respect to “Item 1.C—2017 Board Compensation” and “Item 2.C—2017 Executive Compensation” of Exhibit 99.3), March 22, 2018, March 26, 2018, April 27, 2018, May 2, 2018 (only with respect to Exhibits 99.1 and 99.2), June 7, 2018, July 7, 2018 and July 17, 2018;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3" w:name="page44"/>
    <w:bookmarkEnd w:id="43"/>
    <w:p>
      <w:pPr>
        <w:ind w:firstLine="416"/>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at EPFL Innovation Park Building B, 1015 Lausanne, Switzerland or via telephone at +41 21 345 91 21.</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STATUTORY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02945" cy="780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78041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Ernst &amp; Young Ltd</w:t>
      </w:r>
    </w:p>
    <w:p>
      <w:pPr>
        <w:spacing w:after="0" w:line="3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Rue de Chancey 59</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CH-1213 Lancy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Phone  +41 58 286 86 86</w:t>
      </w:r>
    </w:p>
    <w:p>
      <w:pPr>
        <w:spacing w:after="0" w:line="46"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+41 58 286 86 00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www.ey.com/ch</w:t>
      </w:r>
    </w:p>
    <w:p>
      <w:pPr>
        <w:spacing w:after="0" w:line="200" w:lineRule="exact"/>
        <w:rPr>
          <w:sz w:val="20"/>
          <w:szCs w:val="20"/>
          <w:color w:val="auto"/>
        </w:rPr>
      </w:pPr>
    </w:p>
    <w:p>
      <w:pPr>
        <w:sectPr>
          <w:pgSz w:w="11900" w:h="16838" w:orient="portrait"/>
          <w:cols w:equalWidth="0" w:num="2">
            <w:col w:w="5340" w:space="720"/>
            <w:col w:w="5280"/>
          </w:cols>
          <w:pgMar w:left="240" w:top="337" w:right="31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To the General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 Immune SA, Ecublens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Lancy, 20 March 2018</w:t>
      </w:r>
    </w:p>
    <w:p>
      <w:pPr>
        <w:spacing w:after="0" w:line="430" w:lineRule="exact"/>
        <w:rPr>
          <w:sz w:val="20"/>
          <w:szCs w:val="20"/>
          <w:color w:val="auto"/>
        </w:rPr>
      </w:pPr>
    </w:p>
    <w:p>
      <w:pPr>
        <w:sectPr>
          <w:pgSz w:w="11900" w:h="16838" w:orient="portrait"/>
          <w:cols w:equalWidth="0" w:num="2">
            <w:col w:w="7060" w:space="720"/>
            <w:col w:w="3560"/>
          </w:cols>
          <w:pgMar w:left="240" w:top="33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statutory auditor on the financial statements</w:t>
      </w:r>
    </w:p>
    <w:p>
      <w:pPr>
        <w:spacing w:after="0" w:line="229" w:lineRule="exact"/>
        <w:rPr>
          <w:sz w:val="20"/>
          <w:szCs w:val="20"/>
          <w:color w:val="auto"/>
        </w:rPr>
      </w:pPr>
    </w:p>
    <w:p>
      <w:pPr>
        <w:ind w:left="1680" w:right="160"/>
        <w:spacing w:after="0" w:line="277" w:lineRule="auto"/>
        <w:rPr>
          <w:sz w:val="20"/>
          <w:szCs w:val="20"/>
          <w:color w:val="auto"/>
        </w:rPr>
      </w:pPr>
      <w:r>
        <w:rPr>
          <w:rFonts w:ascii="Arial" w:cs="Arial" w:eastAsia="Arial" w:hAnsi="Arial"/>
          <w:sz w:val="18"/>
          <w:szCs w:val="18"/>
          <w:color w:val="auto"/>
        </w:rPr>
        <w:t>As statutory auditor, we have audited the accompanying financial statements of AC Immune SA, which comprise the balance sheet, income statement and notes, for the year ended 31 December 2017.</w:t>
      </w:r>
    </w:p>
    <w:p>
      <w:pPr>
        <w:spacing w:after="0" w:line="17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1495"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 cy="445770"/>
                    </a:xfrm>
                    <a:prstGeom prst="rect">
                      <a:avLst/>
                    </a:prstGeom>
                    <a:noFill/>
                  </pic:spPr>
                </pic:pic>
              </a:graphicData>
            </a:graphic>
          </wp:anchor>
        </w:drawing>
      </w:r>
    </w:p>
    <w:p>
      <w:pPr>
        <w:spacing w:after="0" w:line="3" w:lineRule="exact"/>
        <w:rPr>
          <w:sz w:val="20"/>
          <w:szCs w:val="20"/>
          <w:color w:val="auto"/>
        </w:rPr>
      </w:pPr>
    </w:p>
    <w:p>
      <w:pPr>
        <w:jc w:val="both"/>
        <w:ind w:left="1680"/>
        <w:spacing w:after="0" w:line="253"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requirements of Swiss law and the company’s articles of incorporation. This responsibility includes designing, implementing and maintaining an internal control system relevant to the preparation of financial statements that are free from material misstatement, whether due to fraud or error. The Board of Directors is further responsible for selecting and applying appropriate accounting policies and making accounting estimates that are reasonable in the circumstances.</w:t>
      </w:r>
    </w:p>
    <w:p>
      <w:pPr>
        <w:spacing w:after="0" w:line="19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7205" cy="600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7205" cy="600075"/>
                    </a:xfrm>
                    <a:prstGeom prst="rect">
                      <a:avLst/>
                    </a:prstGeom>
                    <a:noFill/>
                  </pic:spPr>
                </pic:pic>
              </a:graphicData>
            </a:graphic>
          </wp:anchor>
        </w:drawing>
      </w:r>
    </w:p>
    <w:p>
      <w:pPr>
        <w:spacing w:after="0" w:line="3" w:lineRule="exact"/>
        <w:rPr>
          <w:sz w:val="20"/>
          <w:szCs w:val="20"/>
          <w:color w:val="auto"/>
        </w:rPr>
      </w:pPr>
    </w:p>
    <w:p>
      <w:pPr>
        <w:ind w:left="1680" w:right="280"/>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Swiss law and Swiss Auditing Standards. Those standards require that we plan and perform the audit to obtain reasonable assurance whether the financial statements are free from material misstatement.</w:t>
      </w:r>
    </w:p>
    <w:p>
      <w:pPr>
        <w:spacing w:after="0" w:line="190" w:lineRule="exact"/>
        <w:rPr>
          <w:sz w:val="20"/>
          <w:szCs w:val="20"/>
          <w:color w:val="auto"/>
        </w:rPr>
      </w:pPr>
    </w:p>
    <w:p>
      <w:pPr>
        <w:ind w:left="1680" w:right="40"/>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of the financial statements in order to design audit procedures that are appropriate in the circumstances, but not for the purpose of expressing an opinion on the effectiveness of the entity’s internal control system. An audit also includes evaluating the appropriateness of the accounting policies used and the reasonableness of accounting estimates made, as well as evaluating the overall presentation of the financial statements. We believe that the audit evidence we have obtained is sufficient and appropriate to provide a basis for our audit opinion.</w:t>
      </w:r>
    </w:p>
    <w:p>
      <w:pPr>
        <w:spacing w:after="0" w:line="17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0370"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0370" cy="368935"/>
                    </a:xfrm>
                    <a:prstGeom prst="rect">
                      <a:avLst/>
                    </a:prstGeom>
                    <a:noFill/>
                  </pic:spPr>
                </pic:pic>
              </a:graphicData>
            </a:graphic>
          </wp:anchor>
        </w:drawing>
      </w:r>
    </w:p>
    <w:p>
      <w:pPr>
        <w:spacing w:after="0" w:line="3" w:lineRule="exact"/>
        <w:rPr>
          <w:sz w:val="20"/>
          <w:szCs w:val="20"/>
          <w:color w:val="auto"/>
        </w:rPr>
      </w:pPr>
    </w:p>
    <w:p>
      <w:pPr>
        <w:ind w:left="1680" w:right="200"/>
        <w:spacing w:after="0" w:line="261" w:lineRule="auto"/>
        <w:rPr>
          <w:sz w:val="20"/>
          <w:szCs w:val="20"/>
          <w:color w:val="auto"/>
        </w:rPr>
      </w:pPr>
      <w:r>
        <w:rPr>
          <w:rFonts w:ascii="Arial" w:cs="Arial" w:eastAsia="Arial" w:hAnsi="Arial"/>
          <w:sz w:val="18"/>
          <w:szCs w:val="18"/>
          <w:color w:val="auto"/>
        </w:rPr>
        <w:t>In our opinion, the financial statements for the year ended 31 December 2017 comply with Swiss law and the company’s articles of incorporation.</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type w:val="continuous"/>
        </w:sectPr>
      </w:pPr>
    </w:p>
    <w:bookmarkStart w:id="45" w:name="page46"/>
    <w:bookmarkEnd w:id="45"/>
    <w:p>
      <w:pPr>
        <w:ind w:left="2040"/>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 on key audit matters based on the circular 1/2015 of the Federal Audit Oversight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565785" cy="462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 cy="462915"/>
                    </a:xfrm>
                    <a:prstGeom prst="rect">
                      <a:avLst/>
                    </a:prstGeom>
                    <a:noFill/>
                  </pic:spPr>
                </pic:pic>
              </a:graphicData>
            </a:graphic>
          </wp:anchor>
        </w:drawing>
      </w:r>
    </w:p>
    <w:p>
      <w:pPr>
        <w:spacing w:after="0" w:line="205"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Key audit matters are those matters that, in our professional judgment,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 For each matter below, our description of how our audit addressed the matter is provided in that context.</w:t>
      </w:r>
    </w:p>
    <w:p>
      <w:pPr>
        <w:spacing w:after="0" w:line="187" w:lineRule="exact"/>
        <w:rPr>
          <w:sz w:val="20"/>
          <w:szCs w:val="20"/>
          <w:color w:val="auto"/>
        </w:rPr>
      </w:pPr>
    </w:p>
    <w:p>
      <w:pPr>
        <w:ind w:left="420" w:right="40"/>
        <w:spacing w:after="0" w:line="279" w:lineRule="auto"/>
        <w:rPr>
          <w:sz w:val="20"/>
          <w:szCs w:val="20"/>
          <w:color w:val="auto"/>
        </w:rPr>
      </w:pPr>
      <w:r>
        <w:rPr>
          <w:rFonts w:ascii="Arial" w:cs="Arial" w:eastAsia="Arial" w:hAnsi="Arial"/>
          <w:sz w:val="17"/>
          <w:szCs w:val="17"/>
          <w:color w:val="auto"/>
        </w:rPr>
        <w:t xml:space="preserve">We have fulfilled the responsibilities described in the </w:t>
      </w:r>
      <w:r>
        <w:rPr>
          <w:rFonts w:ascii="Arial" w:cs="Arial" w:eastAsia="Arial" w:hAnsi="Arial"/>
          <w:sz w:val="17"/>
          <w:szCs w:val="17"/>
          <w:i w:val="1"/>
          <w:iCs w:val="1"/>
          <w:color w:val="auto"/>
        </w:rPr>
        <w:t>Auditor’s responsibilities</w:t>
      </w:r>
      <w:r>
        <w:rPr>
          <w:rFonts w:ascii="Arial" w:cs="Arial" w:eastAsia="Arial" w:hAnsi="Arial"/>
          <w:sz w:val="17"/>
          <w:szCs w:val="17"/>
          <w:color w:val="auto"/>
        </w:rPr>
        <w:t xml:space="preserve"> section of our report, including in relation to these matters. Accordingly, our audit included the performance of procedures designed to respond to our assessment of the risks of material misstatement of the financial statements. The results of our audit procedures, including the procedures performed to address the matters below, provide the basis for our audit opinion on the accompanying financial statements.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Collaboration arrangements - revenue recognition</w:t>
      </w:r>
    </w:p>
    <w:p>
      <w:pPr>
        <w:spacing w:after="0" w:line="27" w:lineRule="exact"/>
        <w:rPr>
          <w:sz w:val="20"/>
          <w:szCs w:val="20"/>
          <w:color w:val="auto"/>
        </w:rPr>
      </w:pPr>
    </w:p>
    <w:p>
      <w:pPr>
        <w:ind w:left="2140" w:right="80" w:hanging="1714"/>
        <w:spacing w:after="0" w:line="275" w:lineRule="auto"/>
        <w:tabs>
          <w:tab w:leader="none" w:pos="2120" w:val="left"/>
        </w:tabs>
        <w:rPr>
          <w:sz w:val="20"/>
          <w:szCs w:val="20"/>
          <w:color w:val="auto"/>
        </w:rPr>
      </w:pPr>
      <w:r>
        <w:rPr>
          <w:rFonts w:ascii="Arial" w:cs="Arial" w:eastAsia="Arial" w:hAnsi="Arial"/>
          <w:sz w:val="18"/>
          <w:szCs w:val="18"/>
          <w:b w:val="1"/>
          <w:bCs w:val="1"/>
          <w:color w:val="auto"/>
        </w:rPr>
        <w:t>Area of focus</w:t>
      </w:r>
      <w:r>
        <w:rPr>
          <w:sz w:val="20"/>
          <w:szCs w:val="20"/>
          <w:color w:val="auto"/>
        </w:rPr>
        <w:tab/>
      </w:r>
      <w:r>
        <w:rPr>
          <w:rFonts w:ascii="Arial" w:cs="Arial" w:eastAsia="Arial" w:hAnsi="Arial"/>
          <w:sz w:val="17"/>
          <w:szCs w:val="17"/>
          <w:color w:val="auto"/>
        </w:rPr>
        <w:t>AC Immune SA has entered into material revenue generating collaboration agreements with various collaboration partners. These arrangements vary in type and structure; however, typically include up-front fees, performance milestones and contain separate Research and Development (R&amp;D) service deliverables. Revenue is recognized as Contract Revenue on the Income Statement over the estimated performance or agreement period or upon successful accomplishment of pre-defined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-710565</wp:posOffset>
            </wp:positionV>
            <wp:extent cx="6226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56" w:lineRule="exact"/>
        <w:rPr>
          <w:sz w:val="20"/>
          <w:szCs w:val="20"/>
          <w:color w:val="auto"/>
        </w:rPr>
      </w:pPr>
    </w:p>
    <w:p>
      <w:pPr>
        <w:ind w:left="2140" w:right="100"/>
        <w:spacing w:after="0" w:line="277" w:lineRule="auto"/>
        <w:rPr>
          <w:sz w:val="20"/>
          <w:szCs w:val="20"/>
          <w:color w:val="auto"/>
        </w:rPr>
      </w:pPr>
      <w:r>
        <w:rPr>
          <w:rFonts w:ascii="Arial" w:cs="Arial" w:eastAsia="Arial" w:hAnsi="Arial"/>
          <w:sz w:val="18"/>
          <w:szCs w:val="18"/>
          <w:color w:val="auto"/>
        </w:rPr>
        <w:t>Given the nature of the collaboration agreements and the complexity and judgement involved, we consider this area as significant to our audit.</w:t>
      </w:r>
    </w:p>
    <w:p>
      <w:pPr>
        <w:spacing w:after="0" w:line="170"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Refer to Note 2 and Note 11 in the Financial Statements for AC Immune's accounting policy and further details.</w:t>
      </w:r>
    </w:p>
    <w:p>
      <w:pPr>
        <w:spacing w:after="0" w:line="46" w:lineRule="exact"/>
        <w:rPr>
          <w:sz w:val="20"/>
          <w:szCs w:val="20"/>
          <w:color w:val="auto"/>
        </w:rPr>
      </w:pPr>
    </w:p>
    <w:p>
      <w:pPr>
        <w:ind w:left="2140" w:right="140" w:hanging="1714"/>
        <w:spacing w:after="0" w:line="259" w:lineRule="auto"/>
        <w:tabs>
          <w:tab w:leader="none" w:pos="2120" w:val="left"/>
        </w:tabs>
        <w:rPr>
          <w:sz w:val="20"/>
          <w:szCs w:val="20"/>
          <w:color w:val="auto"/>
        </w:rPr>
      </w:pPr>
      <w:r>
        <w:rPr>
          <w:rFonts w:ascii="Arial" w:cs="Arial" w:eastAsia="Arial" w:hAnsi="Arial"/>
          <w:sz w:val="18"/>
          <w:szCs w:val="18"/>
          <w:b w:val="1"/>
          <w:bCs w:val="1"/>
          <w:color w:val="auto"/>
        </w:rPr>
        <w:t>Our audit response</w:t>
      </w:r>
      <w:r>
        <w:rPr>
          <w:sz w:val="20"/>
          <w:szCs w:val="20"/>
          <w:color w:val="auto"/>
        </w:rPr>
        <w:tab/>
      </w:r>
      <w:r>
        <w:rPr>
          <w:rFonts w:ascii="Arial" w:cs="Arial" w:eastAsia="Arial" w:hAnsi="Arial"/>
          <w:sz w:val="18"/>
          <w:szCs w:val="18"/>
          <w:color w:val="auto"/>
        </w:rPr>
        <w:t>Our audit procedures included assessing the application of the accounting policy for collaboration agreements. For each significant transaction, we evaluated the revenue recognition timing compared to the timing of fulfillment of contractual terms and conditions and corroborated the key judgements applied in this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-566420</wp:posOffset>
            </wp:positionV>
            <wp:extent cx="6226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6" w:name="page47"/>
    <w:bookmarkEnd w:id="46"/>
    <w:p>
      <w:pPr>
        <w:ind w:left="2040"/>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Report on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626110" cy="608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110" cy="608965"/>
                    </a:xfrm>
                    <a:prstGeom prst="rect">
                      <a:avLst/>
                    </a:prstGeom>
                    <a:noFill/>
                  </pic:spPr>
                </pic:pic>
              </a:graphicData>
            </a:graphic>
          </wp:anchor>
        </w:drawing>
      </w:r>
    </w:p>
    <w:p>
      <w:pPr>
        <w:spacing w:after="0" w:line="7" w:lineRule="exact"/>
        <w:rPr>
          <w:sz w:val="20"/>
          <w:szCs w:val="20"/>
          <w:color w:val="auto"/>
        </w:rPr>
      </w:pPr>
    </w:p>
    <w:p>
      <w:pPr>
        <w:ind w:left="420"/>
        <w:spacing w:after="0" w:line="290" w:lineRule="auto"/>
        <w:rPr>
          <w:sz w:val="20"/>
          <w:szCs w:val="20"/>
          <w:color w:val="auto"/>
        </w:rPr>
      </w:pPr>
      <w:r>
        <w:rPr>
          <w:rFonts w:ascii="Arial" w:cs="Arial" w:eastAsia="Arial" w:hAnsi="Arial"/>
          <w:sz w:val="17"/>
          <w:szCs w:val="17"/>
          <w:color w:val="auto"/>
        </w:rPr>
        <w:t>We confirm that we meet the legal requirements on licensing according to the Auditor Oversight Act (AOA) and independence (article 728 CO and article 11 AOA) and that there are no circumstances incompatible with our independence.</w:t>
      </w:r>
    </w:p>
    <w:p>
      <w:pPr>
        <w:spacing w:after="0" w:line="162" w:lineRule="exact"/>
        <w:rPr>
          <w:sz w:val="20"/>
          <w:szCs w:val="20"/>
          <w:color w:val="auto"/>
        </w:rPr>
      </w:pPr>
    </w:p>
    <w:p>
      <w:pPr>
        <w:ind w:left="420" w:right="20"/>
        <w:spacing w:after="0" w:line="342" w:lineRule="auto"/>
        <w:rPr>
          <w:sz w:val="20"/>
          <w:szCs w:val="20"/>
          <w:color w:val="auto"/>
        </w:rPr>
      </w:pPr>
      <w:r>
        <w:rPr>
          <w:rFonts w:ascii="Arial" w:cs="Arial" w:eastAsia="Arial" w:hAnsi="Arial"/>
          <w:sz w:val="16"/>
          <w:szCs w:val="16"/>
          <w:color w:val="auto"/>
        </w:rPr>
        <w:t>In accordance with article 728a para. 1 item 3 CO and Swiss Auditing Standard 890, we confirm that an internal control system exists, which has been designed for the preparation of financial statements according to the instructions of the Board of Directors.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Ernst &amp; Young Ltd</w:t>
      </w:r>
    </w:p>
    <w:p>
      <w:pPr>
        <w:sectPr>
          <w:pgSz w:w="11900" w:h="16838" w:orient="portrait"/>
          <w:cols w:equalWidth="0" w:num="1">
            <w:col w:w="10120"/>
          </w:cols>
          <w:pgMar w:left="14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Jürg Zürcher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Licensed audit expert</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(Auditor in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Paulina Korecka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w:t>
      </w:r>
    </w:p>
    <w:p>
      <w:pPr>
        <w:spacing w:after="0" w:line="439" w:lineRule="exact"/>
        <w:rPr>
          <w:sz w:val="20"/>
          <w:szCs w:val="20"/>
          <w:color w:val="auto"/>
        </w:rPr>
      </w:pPr>
    </w:p>
    <w:p>
      <w:pPr>
        <w:sectPr>
          <w:pgSz w:w="11900" w:h="16838" w:orient="portrait"/>
          <w:cols w:equalWidth="0" w:num="2">
            <w:col w:w="4820" w:space="720"/>
            <w:col w:w="4580"/>
          </w:cols>
          <w:pgMar w:left="14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420"/>
        <w:spacing w:after="0"/>
        <w:rPr>
          <w:sz w:val="20"/>
          <w:szCs w:val="20"/>
          <w:color w:val="auto"/>
        </w:rPr>
      </w:pPr>
      <w:r>
        <w:rPr>
          <w:sz w:val="1"/>
          <w:szCs w:val="1"/>
          <w:color w:val="auto"/>
        </w:rPr>
        <w:drawing>
          <wp:inline distT="0" distB="0" distL="0" distR="0">
            <wp:extent cx="111760" cy="9461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94615"/>
                    </a:xfrm>
                    <a:prstGeom prst="rect">
                      <a:avLst/>
                    </a:prstGeom>
                    <a:noFill/>
                    <a:ln>
                      <a:noFill/>
                    </a:ln>
                  </pic:spPr>
                </pic:pic>
              </a:graphicData>
            </a:graphic>
          </wp:inline>
        </w:drawing>
      </w:r>
      <w:r>
        <w:rPr>
          <w:rFonts w:ascii="Arial" w:cs="Arial" w:eastAsia="Arial" w:hAnsi="Arial"/>
          <w:sz w:val="15"/>
          <w:szCs w:val="15"/>
          <w:color w:val="auto"/>
        </w:rPr>
        <w:t xml:space="preserve"> Financial statements (balance sheet, income statement and notes)</w:t>
      </w:r>
    </w:p>
    <w:p>
      <w:pPr>
        <w:spacing w:after="0" w:line="1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type w:val="continuous"/>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940" w:type="dxa"/>
            <w:vAlign w:val="bottom"/>
            <w:vMerge w:val="restart"/>
          </w:tcPr>
          <w:p>
            <w:pPr>
              <w:ind w:left="4100"/>
              <w:spacing w:after="0"/>
              <w:rPr>
                <w:sz w:val="20"/>
                <w:szCs w:val="20"/>
                <w:color w:val="auto"/>
              </w:rPr>
            </w:pPr>
            <w:r>
              <w:rPr>
                <w:rFonts w:ascii="Arial" w:cs="Arial" w:eastAsia="Arial" w:hAnsi="Arial"/>
                <w:sz w:val="18"/>
                <w:szCs w:val="18"/>
                <w:b w:val="1"/>
                <w:bCs w:val="1"/>
                <w:color w:val="auto"/>
              </w:rPr>
              <w:t>Notes</w:t>
            </w:r>
          </w:p>
        </w:tc>
        <w:tc>
          <w:tcPr>
            <w:tcW w:w="214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4940" w:type="dxa"/>
            <w:vAlign w:val="bottom"/>
            <w:vMerge w:val="continue"/>
          </w:tcPr>
          <w:p>
            <w:pPr>
              <w:spacing w:after="0"/>
              <w:rPr>
                <w:sz w:val="18"/>
                <w:szCs w:val="18"/>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4940" w:type="dxa"/>
            <w:vAlign w:val="bottom"/>
            <w:shd w:val="clear" w:color="auto" w:fill="D5EAEA"/>
          </w:tcPr>
          <w:p>
            <w:pPr>
              <w:jc w:val="center"/>
              <w:ind w:left="3590"/>
              <w:spacing w:after="0"/>
              <w:rPr>
                <w:sz w:val="20"/>
                <w:szCs w:val="20"/>
                <w:color w:val="auto"/>
              </w:rPr>
            </w:pPr>
            <w:r>
              <w:rPr>
                <w:rFonts w:ascii="Arial" w:cs="Arial" w:eastAsia="Arial" w:hAnsi="Arial"/>
                <w:sz w:val="18"/>
                <w:szCs w:val="18"/>
                <w:color w:val="auto"/>
                <w:w w:val="99"/>
              </w:rPr>
              <w:t>5</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124,631</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 Third parties</w:t>
            </w:r>
          </w:p>
        </w:tc>
        <w:tc>
          <w:tcPr>
            <w:tcW w:w="4940" w:type="dxa"/>
            <w:vAlign w:val="bottom"/>
            <w:shd w:val="clear" w:color="auto" w:fill="D5EAEA"/>
          </w:tcPr>
          <w:p>
            <w:pPr>
              <w:jc w:val="center"/>
              <w:ind w:left="3590"/>
              <w:spacing w:after="0"/>
              <w:rPr>
                <w:sz w:val="20"/>
                <w:szCs w:val="20"/>
                <w:color w:val="auto"/>
              </w:rPr>
            </w:pPr>
            <w:r>
              <w:rPr>
                <w:rFonts w:ascii="Arial" w:cs="Arial" w:eastAsia="Arial" w:hAnsi="Arial"/>
                <w:sz w:val="18"/>
                <w:szCs w:val="18"/>
                <w:color w:val="auto"/>
                <w:w w:val="99"/>
              </w:rPr>
              <w:t>6</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4940" w:type="dxa"/>
            <w:vAlign w:val="bottom"/>
          </w:tcPr>
          <w:p>
            <w:pPr>
              <w:jc w:val="center"/>
              <w:ind w:left="359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4940" w:type="dxa"/>
            <w:vAlign w:val="bottom"/>
            <w:shd w:val="clear" w:color="auto" w:fill="D5EAEA"/>
          </w:tcPr>
          <w:p>
            <w:pPr>
              <w:jc w:val="center"/>
              <w:ind w:left="3590"/>
              <w:spacing w:after="0"/>
              <w:rPr>
                <w:sz w:val="20"/>
                <w:szCs w:val="20"/>
                <w:color w:val="auto"/>
              </w:rPr>
            </w:pPr>
            <w:r>
              <w:rPr>
                <w:rFonts w:ascii="Arial" w:cs="Arial" w:eastAsia="Arial" w:hAnsi="Arial"/>
                <w:sz w:val="18"/>
                <w:szCs w:val="18"/>
                <w:color w:val="auto"/>
                <w:w w:val="99"/>
              </w:rPr>
              <w:t>7</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Accrued income</w:t>
            </w:r>
          </w:p>
        </w:tc>
        <w:tc>
          <w:tcPr>
            <w:tcW w:w="494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494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129,825</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156,535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Financial assets</w:t>
            </w:r>
          </w:p>
        </w:tc>
        <w:tc>
          <w:tcPr>
            <w:tcW w:w="4940" w:type="dxa"/>
            <w:vAlign w:val="bottom"/>
          </w:tcPr>
          <w:p>
            <w:pPr>
              <w:jc w:val="center"/>
              <w:ind w:left="3590"/>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4940" w:type="dxa"/>
            <w:vAlign w:val="bottom"/>
            <w:shd w:val="clear" w:color="auto" w:fill="D5EAEA"/>
          </w:tcPr>
          <w:p>
            <w:pPr>
              <w:jc w:val="center"/>
              <w:ind w:left="3590"/>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Prepaid expenses</w:t>
            </w:r>
          </w:p>
        </w:tc>
        <w:tc>
          <w:tcPr>
            <w:tcW w:w="4940" w:type="dxa"/>
            <w:vAlign w:val="bottom"/>
            <w:tcBorders>
              <w:bottom w:val="single" w:sz="8" w:color="D5EAEA"/>
            </w:tcBorders>
          </w:tcPr>
          <w:p>
            <w:pPr>
              <w:jc w:val="center"/>
              <w:ind w:left="3590"/>
              <w:spacing w:after="0"/>
              <w:rPr>
                <w:sz w:val="20"/>
                <w:szCs w:val="20"/>
                <w:color w:val="auto"/>
              </w:rPr>
            </w:pPr>
            <w:r>
              <w:rPr>
                <w:rFonts w:ascii="Arial" w:cs="Arial" w:eastAsia="Arial" w:hAnsi="Arial"/>
                <w:sz w:val="18"/>
                <w:szCs w:val="18"/>
                <w:color w:val="auto"/>
                <w:w w:val="99"/>
              </w:rPr>
              <w:t>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494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2,496</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494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Trade payables</w:t>
            </w: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 To third parties</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 To shareholders</w:t>
            </w:r>
          </w:p>
        </w:tc>
        <w:tc>
          <w:tcPr>
            <w:tcW w:w="49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 and deferred income</w:t>
            </w:r>
          </w:p>
        </w:tc>
        <w:tc>
          <w:tcPr>
            <w:tcW w:w="494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940" w:type="dxa"/>
            <w:vAlign w:val="bottom"/>
          </w:tcPr>
          <w:p>
            <w:pPr>
              <w:jc w:val="center"/>
              <w:ind w:left="3590"/>
              <w:spacing w:after="0"/>
              <w:rPr>
                <w:sz w:val="20"/>
                <w:szCs w:val="20"/>
                <w:color w:val="auto"/>
              </w:rPr>
            </w:pPr>
            <w:r>
              <w:rPr>
                <w:rFonts w:ascii="Arial" w:cs="Arial" w:eastAsia="Arial" w:hAnsi="Arial"/>
                <w:sz w:val="18"/>
                <w:szCs w:val="18"/>
                <w:color w:val="auto"/>
                <w:w w:val="99"/>
              </w:rPr>
              <w:t>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9,754</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financing obligation</w:t>
            </w:r>
          </w:p>
        </w:tc>
        <w:tc>
          <w:tcPr>
            <w:tcW w:w="4940" w:type="dxa"/>
            <w:vAlign w:val="bottom"/>
            <w:tcBorders>
              <w:bottom w:val="single" w:sz="8" w:color="D5EAEA"/>
            </w:tcBorders>
          </w:tcPr>
          <w:p>
            <w:pPr>
              <w:jc w:val="center"/>
              <w:ind w:left="3590"/>
              <w:spacing w:after="0"/>
              <w:rPr>
                <w:sz w:val="20"/>
                <w:szCs w:val="20"/>
                <w:color w:val="auto"/>
              </w:rPr>
            </w:pPr>
            <w:r>
              <w:rPr>
                <w:rFonts w:ascii="Arial" w:cs="Arial" w:eastAsia="Arial" w:hAnsi="Arial"/>
                <w:sz w:val="18"/>
                <w:szCs w:val="18"/>
                <w:color w:val="auto"/>
                <w:w w:val="99"/>
              </w:rPr>
              <w:t>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494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Share capital</w:t>
            </w:r>
          </w:p>
        </w:tc>
        <w:tc>
          <w:tcPr>
            <w:tcW w:w="4940" w:type="dxa"/>
            <w:vAlign w:val="bottom"/>
          </w:tcPr>
          <w:p>
            <w:pPr>
              <w:jc w:val="center"/>
              <w:ind w:left="359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Reserves from capital contributions</w:t>
            </w: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179,352</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49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Loss for the year</w:t>
            </w:r>
          </w:p>
        </w:tc>
        <w:tc>
          <w:tcPr>
            <w:tcW w:w="494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494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122,073</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147,819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D5EAEA"/>
          </w:tcPr>
          <w:p>
            <w:pPr>
              <w:spacing w:after="0"/>
              <w:rPr>
                <w:sz w:val="18"/>
                <w:szCs w:val="18"/>
                <w:color w:val="auto"/>
              </w:rPr>
            </w:pPr>
          </w:p>
        </w:tc>
        <w:tc>
          <w:tcPr>
            <w:tcW w:w="494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94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F-4</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7"/>
              </w:rPr>
              <w:t>For the Years Ended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5480" w:type="dxa"/>
            <w:vAlign w:val="bottom"/>
          </w:tcPr>
          <w:p>
            <w:pPr>
              <w:jc w:val="center"/>
              <w:ind w:left="4130"/>
              <w:spacing w:after="0"/>
              <w:rPr>
                <w:sz w:val="20"/>
                <w:szCs w:val="20"/>
                <w:color w:val="auto"/>
              </w:rPr>
            </w:pPr>
            <w:r>
              <w:rPr>
                <w:rFonts w:ascii="Arial" w:cs="Arial" w:eastAsia="Arial" w:hAnsi="Arial"/>
                <w:sz w:val="18"/>
                <w:szCs w:val="18"/>
                <w:b w:val="1"/>
                <w:bCs w:val="1"/>
                <w:color w:val="auto"/>
                <w:w w:val="83"/>
              </w:rPr>
              <w:t>Notes</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Contract revenue</w:t>
            </w:r>
          </w:p>
        </w:tc>
        <w:tc>
          <w:tcPr>
            <w:tcW w:w="5480" w:type="dxa"/>
            <w:vAlign w:val="bottom"/>
            <w:shd w:val="clear" w:color="auto" w:fill="D5EAEA"/>
          </w:tcPr>
          <w:p>
            <w:pPr>
              <w:jc w:val="center"/>
              <w:ind w:left="4130"/>
              <w:spacing w:after="0"/>
              <w:rPr>
                <w:sz w:val="20"/>
                <w:szCs w:val="20"/>
                <w:color w:val="auto"/>
              </w:rPr>
            </w:pPr>
            <w:r>
              <w:rPr>
                <w:rFonts w:ascii="Arial" w:cs="Arial" w:eastAsia="Arial" w:hAnsi="Arial"/>
                <w:sz w:val="18"/>
                <w:szCs w:val="18"/>
                <w:color w:val="auto"/>
                <w:w w:val="89"/>
              </w:rPr>
              <w:t>11</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20,255</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expenses</w:t>
            </w:r>
          </w:p>
        </w:tc>
        <w:tc>
          <w:tcPr>
            <w:tcW w:w="54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480" w:type="dxa"/>
            <w:vAlign w:val="bottom"/>
          </w:tcPr>
          <w:p>
            <w:pPr>
              <w:jc w:val="center"/>
              <w:ind w:left="4130"/>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5480" w:type="dxa"/>
            <w:vAlign w:val="bottom"/>
            <w:shd w:val="clear" w:color="auto" w:fill="D5EAEA"/>
          </w:tcPr>
          <w:p>
            <w:pPr>
              <w:jc w:val="center"/>
              <w:ind w:left="4130"/>
              <w:spacing w:after="0"/>
              <w:rPr>
                <w:sz w:val="20"/>
                <w:szCs w:val="20"/>
                <w:color w:val="auto"/>
              </w:rPr>
            </w:pPr>
            <w:r>
              <w:rPr>
                <w:rFonts w:ascii="Arial" w:cs="Arial" w:eastAsia="Arial" w:hAnsi="Arial"/>
                <w:sz w:val="18"/>
                <w:szCs w:val="18"/>
                <w:color w:val="auto"/>
                <w:w w:val="89"/>
              </w:rPr>
              <w:t>12</w:t>
            </w: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(27,098)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of fixed assets</w:t>
            </w:r>
          </w:p>
        </w:tc>
        <w:tc>
          <w:tcPr>
            <w:tcW w:w="5480" w:type="dxa"/>
            <w:vAlign w:val="bottom"/>
            <w:tcBorders>
              <w:bottom w:val="single" w:sz="8" w:color="D5EAEA"/>
            </w:tcBorders>
          </w:tcPr>
          <w:p>
            <w:pPr>
              <w:jc w:val="center"/>
              <w:ind w:left="4130"/>
              <w:spacing w:after="0"/>
              <w:rPr>
                <w:sz w:val="20"/>
                <w:szCs w:val="20"/>
                <w:color w:val="auto"/>
              </w:rPr>
            </w:pPr>
            <w:r>
              <w:rPr>
                <w:rFonts w:ascii="Arial" w:cs="Arial" w:eastAsia="Arial" w:hAnsi="Arial"/>
                <w:sz w:val="18"/>
                <w:szCs w:val="18"/>
                <w:color w:val="auto"/>
                <w:w w:val="89"/>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548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(40,884)</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(35,945)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loss</w:t>
            </w:r>
          </w:p>
        </w:tc>
        <w:tc>
          <w:tcPr>
            <w:tcW w:w="548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(20,629)</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(12,731)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5480" w:type="dxa"/>
            <w:vAlign w:val="bottom"/>
            <w:shd w:val="clear" w:color="auto" w:fill="D5EAEA"/>
          </w:tcPr>
          <w:p>
            <w:pPr>
              <w:jc w:val="center"/>
              <w:ind w:left="4130"/>
              <w:spacing w:after="0"/>
              <w:rPr>
                <w:sz w:val="20"/>
                <w:szCs w:val="20"/>
                <w:color w:val="auto"/>
              </w:rPr>
            </w:pPr>
            <w:r>
              <w:rPr>
                <w:rFonts w:ascii="Arial" w:cs="Arial" w:eastAsia="Arial" w:hAnsi="Arial"/>
                <w:sz w:val="18"/>
                <w:szCs w:val="18"/>
                <w:color w:val="auto"/>
                <w:w w:val="89"/>
              </w:rPr>
              <w:t>13</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expenses</w:t>
            </w:r>
          </w:p>
        </w:tc>
        <w:tc>
          <w:tcPr>
            <w:tcW w:w="5480" w:type="dxa"/>
            <w:vAlign w:val="bottom"/>
            <w:tcBorders>
              <w:bottom w:val="single" w:sz="8" w:color="D5EAEA"/>
            </w:tcBorders>
          </w:tcPr>
          <w:p>
            <w:pPr>
              <w:jc w:val="center"/>
              <w:ind w:left="4130"/>
              <w:spacing w:after="0"/>
              <w:rPr>
                <w:sz w:val="20"/>
                <w:szCs w:val="20"/>
                <w:color w:val="auto"/>
              </w:rPr>
            </w:pPr>
            <w:r>
              <w:rPr>
                <w:rFonts w:ascii="Arial" w:cs="Arial" w:eastAsia="Arial" w:hAnsi="Arial"/>
                <w:sz w:val="18"/>
                <w:szCs w:val="18"/>
                <w:color w:val="auto"/>
                <w:w w:val="89"/>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548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(25,868)</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(7,628)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F-5</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13 February 2003 in Basel and effective 25 August 2003 was transformed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2017 were authorized for issue in accordance with a resolution of the Board of Directors on 19 March 2018 and will be submitted to the next Ordinary General Assembly.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2017 and 2016, AC Immune had an annual average of more than 50 but less than 250 full time equivalent positions.</w:t>
      </w:r>
    </w:p>
    <w:p>
      <w:pPr>
        <w:spacing w:after="0" w:line="22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principles</w:t>
      </w:r>
    </w:p>
    <w:p>
      <w:pPr>
        <w:spacing w:after="0" w:line="233" w:lineRule="exact"/>
        <w:rPr>
          <w:sz w:val="20"/>
          <w:szCs w:val="20"/>
          <w:color w:val="auto"/>
        </w:rPr>
      </w:pPr>
    </w:p>
    <w:p>
      <w:pPr>
        <w:jc w:val="both"/>
        <w:ind w:right="120" w:firstLine="324"/>
        <w:spacing w:after="0" w:line="221" w:lineRule="auto"/>
        <w:rPr>
          <w:sz w:val="20"/>
          <w:szCs w:val="20"/>
          <w:color w:val="auto"/>
        </w:rPr>
      </w:pPr>
      <w:r>
        <w:rPr>
          <w:rFonts w:ascii="Arial" w:cs="Arial" w:eastAsia="Arial" w:hAnsi="Arial"/>
          <w:sz w:val="18"/>
          <w:szCs w:val="18"/>
          <w:color w:val="auto"/>
        </w:rPr>
        <w:t xml:space="preserve">The present annual accounts have been prepared in accordance with the provisions of the Swiss law on accounting and financial reporting (32 </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presentation of the financial statements for 2017 and 2016, certain amounts were reclassified in 2016 to conform to the 2017 financial statement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Given the stage of development of the Company’s products, all research expenditures are recognized as expenses when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external research contracts accrued expenses are generally estimated based on a rate of completion related to each research project in a clinical study.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its accrued expenses as of the balance sheet date in the financial statement based on facts and circumstances known at the time.</w:t>
      </w:r>
    </w:p>
    <w:p>
      <w:pPr>
        <w:spacing w:after="0" w:line="23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Total research and development related costs, inclusive of operating expenses, payroll related expenses, and depreciation were CHF 32.1M in 2017 and CHF 25.2M in 2016. R&amp;D expenses in Alzheimer’s disease were driven by the investments related to the completion of the Phase 1b study for ACI-35, as well as costs related to the combined Phase 1/2a study for ACI-24 AD. In addition, the Company incurred costs for the next stages of clinical development for each of these respective candidates. In Non-Alzheimer’s diseases, the Company continues to incur costs in ACI-24 for Down syndrome’s Phase 1b clinical study. Diagnostic investments entail predominantly increases in spending related to our alpha-synuclein and TDP-43 PET tracer programs. New discovery programs increase CHF 3.8 million driven by CHF 3.3 million related to finalizing the proof-of-concept and manufacturing activities for studies related to our lead compounds in the Anti-Tau Morphomers and investments in new therapeutic and preventive vaccine technology. R&amp;D Expenses not allocated to specific programs increased CHF 2.5 million predominantly driven by a CHF 1.9 million increase in salaries and related costs, CHF 0.3 million in depreciation expense and CHF 0.1 million in regulatory costs. Our total research and development costs are likely to rise substantially in the coming years as the Company continues to develop and advance product candidates from the pre-clinical to clinical stages across its three-pillar strategy.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Property, plant and 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D5EAEA"/>
          </w:tcPr>
          <w:p>
            <w:pPr>
              <w:ind w:left="40"/>
              <w:spacing w:after="0"/>
              <w:rPr>
                <w:sz w:val="20"/>
                <w:szCs w:val="20"/>
                <w:color w:val="auto"/>
              </w:rPr>
            </w:pPr>
            <w:r>
              <w:rPr>
                <w:rFonts w:ascii="Arial" w:cs="Arial" w:eastAsia="Arial" w:hAnsi="Arial"/>
                <w:sz w:val="18"/>
                <w:szCs w:val="18"/>
                <w:color w:val="auto"/>
              </w:rPr>
              <w:t>IT equipment</w:t>
            </w:r>
          </w:p>
        </w:tc>
        <w:tc>
          <w:tcPr>
            <w:tcW w:w="7240" w:type="dxa"/>
            <w:vAlign w:val="bottom"/>
            <w:shd w:val="clear" w:color="auto" w:fill="D5EAEA"/>
          </w:tcPr>
          <w:p>
            <w:pPr>
              <w:ind w:left="1540"/>
              <w:spacing w:after="0"/>
              <w:rPr>
                <w:sz w:val="20"/>
                <w:szCs w:val="20"/>
                <w:color w:val="auto"/>
              </w:rPr>
            </w:pPr>
            <w:r>
              <w:rPr>
                <w:rFonts w:ascii="Arial" w:cs="Arial" w:eastAsia="Arial" w:hAnsi="Arial"/>
                <w:sz w:val="18"/>
                <w:szCs w:val="18"/>
                <w:color w:val="auto"/>
              </w:rPr>
              <w:t>3 years</w:t>
            </w:r>
          </w:p>
        </w:tc>
      </w:t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Laboratory equipment</w:t>
            </w:r>
          </w:p>
        </w:tc>
        <w:tc>
          <w:tcPr>
            <w:tcW w:w="7240" w:type="dxa"/>
            <w:vAlign w:val="bottom"/>
          </w:tcPr>
          <w:p>
            <w:pPr>
              <w:ind w:left="1540"/>
              <w:spacing w:after="0"/>
              <w:rPr>
                <w:sz w:val="20"/>
                <w:szCs w:val="20"/>
                <w:color w:val="auto"/>
              </w:rPr>
            </w:pPr>
            <w:r>
              <w:rPr>
                <w:rFonts w:ascii="Arial" w:cs="Arial" w:eastAsia="Arial" w:hAnsi="Arial"/>
                <w:sz w:val="18"/>
                <w:szCs w:val="18"/>
                <w:color w:val="auto"/>
              </w:rPr>
              <w:t>5 years</w:t>
            </w:r>
          </w:p>
        </w:tc>
      </w:tr>
      <w:tr>
        <w:trPr>
          <w:trHeight w:val="216"/>
        </w:trPr>
        <w:tc>
          <w:tcPr>
            <w:tcW w:w="4180" w:type="dxa"/>
            <w:vAlign w:val="bottom"/>
            <w:shd w:val="clear" w:color="auto" w:fill="D5EAEA"/>
          </w:tcPr>
          <w:p>
            <w:pPr>
              <w:ind w:left="40"/>
              <w:spacing w:after="0"/>
              <w:rPr>
                <w:sz w:val="20"/>
                <w:szCs w:val="20"/>
                <w:color w:val="auto"/>
              </w:rPr>
            </w:pPr>
            <w:r>
              <w:rPr>
                <w:rFonts w:ascii="Arial" w:cs="Arial" w:eastAsia="Arial" w:hAnsi="Arial"/>
                <w:sz w:val="18"/>
                <w:szCs w:val="18"/>
                <w:color w:val="auto"/>
              </w:rPr>
              <w:t>Leasehold improvements / furniture</w:t>
            </w:r>
          </w:p>
        </w:tc>
        <w:tc>
          <w:tcPr>
            <w:tcW w:w="7240" w:type="dxa"/>
            <w:vAlign w:val="bottom"/>
            <w:shd w:val="clear" w:color="auto" w:fill="D5EAEA"/>
          </w:tcPr>
          <w:p>
            <w:pPr>
              <w:ind w:left="154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 and a long-term financing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less than 3 months’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 obligation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long-term financing obligation is measured as of the period end date based on the repayment terms when originated.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Significant Shareholders</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Principal shareholders who own more than 5 percent of the voting rights: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Shares Owned</w:t>
            </w: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87"/>
              </w:rPr>
              <w:t>Shares Owned</w:t>
            </w:r>
          </w:p>
        </w:tc>
        <w:tc>
          <w:tcPr>
            <w:tcW w:w="0" w:type="dxa"/>
            <w:vAlign w:val="bottom"/>
          </w:tcPr>
          <w:p>
            <w:pPr>
              <w:spacing w:after="0"/>
              <w:rPr>
                <w:sz w:val="1"/>
                <w:szCs w:val="1"/>
                <w:color w:val="auto"/>
              </w:rPr>
            </w:pPr>
          </w:p>
        </w:tc>
      </w:tr>
      <w:tr>
        <w:trPr>
          <w:trHeight w:val="234"/>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Percent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5% Shareholders</w:t>
            </w: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820" w:type="dxa"/>
            <w:vAlign w:val="bottom"/>
            <w:gridSpan w:val="2"/>
            <w:shd w:val="clear" w:color="auto" w:fill="D5EAEA"/>
          </w:tcPr>
          <w:p>
            <w:pPr>
              <w:spacing w:after="0" w:line="283"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32"/>
                <w:szCs w:val="32"/>
                <w:color w:val="auto"/>
                <w:vertAlign w:val="superscript"/>
              </w:rPr>
              <w:t>(1)</w:t>
            </w:r>
          </w:p>
        </w:tc>
        <w:tc>
          <w:tcPr>
            <w:tcW w:w="12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w w:val="99"/>
              </w:rPr>
              <w:t>18,041,000</w:t>
            </w: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D5EAEA"/>
          </w:tcPr>
          <w:p>
            <w:pPr>
              <w:spacing w:after="0"/>
              <w:rPr>
                <w:sz w:val="24"/>
                <w:szCs w:val="24"/>
                <w:color w:val="auto"/>
              </w:rPr>
            </w:pPr>
          </w:p>
        </w:tc>
        <w:tc>
          <w:tcPr>
            <w:tcW w:w="120" w:type="dxa"/>
            <w:vAlign w:val="bottom"/>
            <w:shd w:val="clear" w:color="auto" w:fill="D5EAEA"/>
          </w:tcPr>
          <w:p>
            <w:pPr>
              <w:spacing w:after="0"/>
              <w:rPr>
                <w:sz w:val="24"/>
                <w:szCs w:val="24"/>
                <w:color w:val="auto"/>
              </w:rPr>
            </w:pP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w w:val="97"/>
              </w:rPr>
              <w:t>18,041,000</w:t>
            </w: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84"/>
        </w:trPr>
        <w:tc>
          <w:tcPr>
            <w:tcW w:w="6820" w:type="dxa"/>
            <w:vAlign w:val="bottom"/>
            <w:gridSpan w:val="2"/>
          </w:tcPr>
          <w:p>
            <w:pPr>
              <w:spacing w:after="0" w:line="283" w:lineRule="exact"/>
              <w:rPr>
                <w:sz w:val="20"/>
                <w:szCs w:val="20"/>
                <w:color w:val="auto"/>
              </w:rPr>
            </w:pPr>
            <w:r>
              <w:rPr>
                <w:rFonts w:ascii="Arial" w:cs="Arial" w:eastAsia="Arial" w:hAnsi="Arial"/>
                <w:sz w:val="18"/>
                <w:szCs w:val="18"/>
                <w:color w:val="auto"/>
              </w:rPr>
              <w:t>Varuma AG</w:t>
            </w:r>
            <w:r>
              <w:rPr>
                <w:rFonts w:ascii="Arial" w:cs="Arial" w:eastAsia="Arial" w:hAnsi="Arial"/>
                <w:sz w:val="32"/>
                <w:szCs w:val="32"/>
                <w:color w:val="auto"/>
                <w:vertAlign w:val="superscript"/>
              </w:rPr>
              <w:t>(2)</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11,410,700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11,400,000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Andrea Pfeifer, Chief Executive Officer</w:t>
            </w:r>
          </w:p>
        </w:tc>
        <w:tc>
          <w:tcPr>
            <w:tcW w:w="12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2,908,500</w:t>
            </w: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who is a managing director of dievini Hopp BioTech holding CmbH &amp; Co KG. The address for dievini Hopp BioTech holding CmbH &amp; Co KG, Friedrich von Bohlen und Halbach is Johann-Jakob-Astor Str. 57, 69190 Walldorf, Germany.</w:t>
      </w:r>
    </w:p>
    <w:p>
      <w:pPr>
        <w:spacing w:after="0" w:line="188"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5 percent held at 31December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We have been a tenant at our current location in the EPFL Innovation Park in Lausanne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As of 31 December 2017, total minimum liability for the remaining term was CHF 243 thousand.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840" w:firstLine="324"/>
        <w:spacing w:after="0" w:line="342" w:lineRule="auto"/>
        <w:rPr>
          <w:sz w:val="20"/>
          <w:szCs w:val="20"/>
          <w:color w:val="auto"/>
        </w:rPr>
      </w:pPr>
      <w:r>
        <w:rPr>
          <w:rFonts w:ascii="Arial" w:cs="Arial" w:eastAsia="Arial" w:hAnsi="Arial"/>
          <w:sz w:val="16"/>
          <w:szCs w:val="16"/>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12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90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10"/>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Furniture</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IT equipment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Lab equipment</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2,793</w:t>
            </w:r>
          </w:p>
        </w:tc>
      </w:tr>
      <w:tr>
        <w:trPr>
          <w:trHeight w:val="230"/>
        </w:trPr>
        <w:tc>
          <w:tcPr>
            <w:tcW w:w="90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10"/>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Total property, plant and equipment</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3,275</w:t>
            </w:r>
          </w:p>
        </w:tc>
      </w:tr>
      <w:tr>
        <w:trPr>
          <w:trHeight w:val="210"/>
        </w:trPr>
        <w:tc>
          <w:tcPr>
            <w:tcW w:w="90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depreciation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r>
      <w:tr>
        <w:trPr>
          <w:trHeight w:val="223"/>
        </w:trPr>
        <w:tc>
          <w:tcPr>
            <w:tcW w:w="90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1,120</w:t>
            </w:r>
          </w:p>
        </w:tc>
      </w:tr>
      <w:tr>
        <w:trPr>
          <w:trHeight w:val="20"/>
        </w:trPr>
        <w:tc>
          <w:tcPr>
            <w:tcW w:w="9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r>
              <w:rPr>
                <w:rFonts w:ascii="Arial" w:cs="Arial" w:eastAsia="Arial" w:hAnsi="Arial"/>
                <w:sz w:val="18"/>
                <w:szCs w:val="18"/>
                <w:b w:val="1"/>
                <w:bCs w:val="1"/>
                <w:color w:val="auto"/>
              </w:rPr>
              <w:t>4.  Financial assets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6"/>
        </w:trPr>
        <w:tc>
          <w:tcPr>
            <w:tcW w:w="904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90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10"/>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Rental deposit (restricted cash)</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w:t>
            </w:r>
          </w:p>
        </w:tc>
      </w:tr>
      <w:tr>
        <w:trPr>
          <w:trHeight w:val="230"/>
        </w:trPr>
        <w:tc>
          <w:tcPr>
            <w:tcW w:w="90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Security deposit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90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9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in CHF thousands</w:t>
            </w:r>
          </w:p>
        </w:tc>
        <w:tc>
          <w:tcPr>
            <w:tcW w:w="508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Cash</w:t>
            </w:r>
          </w:p>
        </w:tc>
        <w:tc>
          <w:tcPr>
            <w:tcW w:w="508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80,631</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Short term deposits</w:t>
            </w:r>
          </w:p>
        </w:tc>
        <w:tc>
          <w:tcPr>
            <w:tcW w:w="6240" w:type="dxa"/>
            <w:vAlign w:val="bottom"/>
            <w:gridSpan w:val="2"/>
          </w:tcPr>
          <w:p>
            <w:pPr>
              <w:jc w:val="right"/>
              <w:ind w:right="30"/>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124,631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By Currency</w:t>
            </w:r>
          </w:p>
        </w:tc>
        <w:tc>
          <w:tcPr>
            <w:tcW w:w="508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CHF</w:t>
            </w:r>
          </w:p>
        </w:tc>
        <w:tc>
          <w:tcPr>
            <w:tcW w:w="6240" w:type="dxa"/>
            <w:vAlign w:val="bottom"/>
            <w:gridSpan w:val="2"/>
          </w:tcPr>
          <w:p>
            <w:pPr>
              <w:jc w:val="right"/>
              <w:ind w:right="30"/>
              <w:spacing w:after="0"/>
              <w:rPr>
                <w:sz w:val="20"/>
                <w:szCs w:val="20"/>
                <w:color w:val="auto"/>
              </w:rPr>
            </w:pPr>
            <w:r>
              <w:rPr>
                <w:rFonts w:ascii="Arial" w:cs="Arial" w:eastAsia="Arial" w:hAnsi="Arial"/>
                <w:sz w:val="18"/>
                <w:szCs w:val="18"/>
                <w:color w:val="auto"/>
              </w:rPr>
              <w:t>103,272</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EUR</w:t>
            </w:r>
          </w:p>
        </w:tc>
        <w:tc>
          <w:tcPr>
            <w:tcW w:w="62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USD</w:t>
            </w:r>
          </w:p>
        </w:tc>
        <w:tc>
          <w:tcPr>
            <w:tcW w:w="6240" w:type="dxa"/>
            <w:vAlign w:val="bottom"/>
            <w:gridSpan w:val="2"/>
          </w:tcPr>
          <w:p>
            <w:pPr>
              <w:jc w:val="right"/>
              <w:ind w:right="30"/>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124,631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w:t>
            </w:r>
          </w:p>
        </w:tc>
        <w:tc>
          <w:tcPr>
            <w:tcW w:w="37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Other current receivables</w:t>
            </w:r>
          </w:p>
        </w:tc>
        <w:tc>
          <w:tcPr>
            <w:tcW w:w="5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gridSpan w:val="2"/>
            <w:vMerge w:val="continue"/>
          </w:tcPr>
          <w:p>
            <w:pPr>
              <w:spacing w:after="0"/>
              <w:rPr>
                <w:sz w:val="24"/>
                <w:szCs w:val="24"/>
                <w:color w:val="auto"/>
              </w:rPr>
            </w:pPr>
          </w:p>
        </w:tc>
        <w:tc>
          <w:tcPr>
            <w:tcW w:w="3720" w:type="dxa"/>
            <w:vAlign w:val="bottom"/>
            <w:vMerge w:val="continue"/>
          </w:tcPr>
          <w:p>
            <w:pPr>
              <w:spacing w:after="0"/>
              <w:rPr>
                <w:sz w:val="24"/>
                <w:szCs w:val="24"/>
                <w:color w:val="auto"/>
              </w:rPr>
            </w:pPr>
          </w:p>
        </w:tc>
        <w:tc>
          <w:tcPr>
            <w:tcW w:w="5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in CHF thousands</w:t>
            </w:r>
          </w:p>
        </w:tc>
        <w:tc>
          <w:tcPr>
            <w:tcW w:w="508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3960" w:type="dxa"/>
            <w:vAlign w:val="bottom"/>
            <w:gridSpan w:val="3"/>
          </w:tcPr>
          <w:p>
            <w:pPr>
              <w:spacing w:after="0"/>
              <w:rPr>
                <w:sz w:val="20"/>
                <w:szCs w:val="20"/>
                <w:color w:val="auto"/>
              </w:rPr>
            </w:pPr>
            <w:r>
              <w:rPr>
                <w:rFonts w:ascii="Arial" w:cs="Arial" w:eastAsia="Arial" w:hAnsi="Arial"/>
                <w:sz w:val="18"/>
                <w:szCs w:val="18"/>
                <w:color w:val="auto"/>
              </w:rPr>
              <w:t>Other current receivables</w:t>
            </w:r>
          </w:p>
        </w:tc>
        <w:tc>
          <w:tcPr>
            <w:tcW w:w="5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 from third parties</w:t>
            </w:r>
          </w:p>
        </w:tc>
        <w:tc>
          <w:tcPr>
            <w:tcW w:w="62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 short-term financial receivables</w:t>
            </w:r>
          </w:p>
        </w:tc>
        <w:tc>
          <w:tcPr>
            <w:tcW w:w="624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w:t>
            </w:r>
          </w:p>
        </w:tc>
        <w:tc>
          <w:tcPr>
            <w:tcW w:w="37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Prepaid expenses</w:t>
            </w:r>
          </w:p>
        </w:tc>
        <w:tc>
          <w:tcPr>
            <w:tcW w:w="5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gridSpan w:val="2"/>
            <w:vMerge w:val="continue"/>
          </w:tcPr>
          <w:p>
            <w:pPr>
              <w:spacing w:after="0"/>
              <w:rPr>
                <w:sz w:val="24"/>
                <w:szCs w:val="24"/>
                <w:color w:val="auto"/>
              </w:rPr>
            </w:pPr>
          </w:p>
        </w:tc>
        <w:tc>
          <w:tcPr>
            <w:tcW w:w="3720" w:type="dxa"/>
            <w:vAlign w:val="bottom"/>
            <w:vMerge w:val="continue"/>
          </w:tcPr>
          <w:p>
            <w:pPr>
              <w:spacing w:after="0"/>
              <w:rPr>
                <w:sz w:val="24"/>
                <w:szCs w:val="24"/>
                <w:color w:val="auto"/>
              </w:rPr>
            </w:pPr>
          </w:p>
        </w:tc>
        <w:tc>
          <w:tcPr>
            <w:tcW w:w="5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in CHF thousands</w:t>
            </w:r>
          </w:p>
        </w:tc>
        <w:tc>
          <w:tcPr>
            <w:tcW w:w="508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Prepaid expenses (current)</w:t>
            </w:r>
          </w:p>
        </w:tc>
        <w:tc>
          <w:tcPr>
            <w:tcW w:w="62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Prepaid expenses (non-current)</w:t>
            </w:r>
          </w:p>
        </w:tc>
        <w:tc>
          <w:tcPr>
            <w:tcW w:w="624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color w:val="auto"/>
              </w:rPr>
              <w:t>F-10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Trade payables and accrued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904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 to third parties</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 to shareholders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Accrued payroll expenses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Accrued R&amp;D costs</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Current portion of deferred Income</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accrued expenses and deferred income</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9,754</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Long-term financing obligation</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Accrued interest – long-term</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financing obligation</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D5EAEA"/>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D5EAEA"/>
            </w:tcBorders>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at 31 December 2017, the issued share capital amounted to CHF 1,146,984 is comprised of 57,349,190 common shares at a par value of CHF 0.02 per common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11. Revenues</w:t>
            </w:r>
          </w:p>
        </w:tc>
        <w:tc>
          <w:tcPr>
            <w:tcW w:w="5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December,</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55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67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20,255</w:t>
            </w:r>
          </w:p>
        </w:tc>
        <w:tc>
          <w:tcPr>
            <w:tcW w:w="100" w:type="dxa"/>
            <w:vAlign w:val="bottom"/>
            <w:shd w:val="clear" w:color="auto" w:fill="D5EAEA"/>
          </w:tcPr>
          <w:p>
            <w:pPr>
              <w:spacing w:after="0"/>
              <w:rPr>
                <w:sz w:val="19"/>
                <w:szCs w:val="19"/>
                <w:color w:val="auto"/>
              </w:rPr>
            </w:pPr>
          </w:p>
        </w:tc>
        <w:tc>
          <w:tcPr>
            <w:tcW w:w="360" w:type="dxa"/>
            <w:vAlign w:val="bottom"/>
            <w:shd w:val="clear" w:color="auto" w:fill="D5EAEA"/>
          </w:tcPr>
          <w:p>
            <w:pPr>
              <w:spacing w:after="0"/>
              <w:rPr>
                <w:sz w:val="19"/>
                <w:szCs w:val="19"/>
                <w:color w:val="auto"/>
              </w:rPr>
            </w:pPr>
          </w:p>
        </w:tc>
        <w:tc>
          <w:tcPr>
            <w:tcW w:w="7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5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20,255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4"/>
          </w:tcPr>
          <w:p>
            <w:pPr>
              <w:ind w:left="2060"/>
              <w:spacing w:after="0"/>
              <w:rPr>
                <w:sz w:val="20"/>
                <w:szCs w:val="20"/>
                <w:color w:val="auto"/>
              </w:rPr>
            </w:pPr>
            <w:r>
              <w:rPr>
                <w:rFonts w:ascii="Arial" w:cs="Arial" w:eastAsia="Arial" w:hAnsi="Arial"/>
                <w:sz w:val="18"/>
                <w:szCs w:val="18"/>
                <w:color w:val="auto"/>
              </w:rPr>
              <w:t>F-11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20" w:type="dxa"/>
            <w:vAlign w:val="bottom"/>
          </w:tcPr>
          <w:p>
            <w:pPr>
              <w:ind w:left="3220"/>
              <w:spacing w:after="0"/>
              <w:rPr>
                <w:sz w:val="20"/>
                <w:szCs w:val="20"/>
                <w:color w:val="auto"/>
              </w:rPr>
            </w:pPr>
            <w:r>
              <w:rPr>
                <w:rFonts w:ascii="Arial" w:cs="Arial" w:eastAsia="Arial" w:hAnsi="Arial"/>
                <w:sz w:val="18"/>
                <w:szCs w:val="18"/>
                <w:b w:val="1"/>
                <w:bCs w:val="1"/>
                <w:color w:val="auto"/>
              </w:rPr>
              <w:t>STATUTORY FINANCIAL STATEMENTS – AC IMMUNE SA</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12. Operating expenses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December,</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426"/>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Salaries and related costs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 related to research and development</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7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related to general administrative</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D5EAE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13,206</w:t>
            </w:r>
          </w:p>
        </w:tc>
        <w:tc>
          <w:tcPr>
            <w:tcW w:w="100" w:type="dxa"/>
            <w:vAlign w:val="bottom"/>
            <w:shd w:val="clear" w:color="auto" w:fill="D5EAEA"/>
          </w:tcPr>
          <w:p>
            <w:pPr>
              <w:spacing w:after="0"/>
              <w:rPr>
                <w:sz w:val="18"/>
                <w:szCs w:val="18"/>
                <w:color w:val="auto"/>
              </w:rPr>
            </w:pPr>
          </w:p>
        </w:tc>
        <w:tc>
          <w:tcPr>
            <w:tcW w:w="360" w:type="dxa"/>
            <w:vAlign w:val="bottom"/>
            <w:tcBorders>
              <w:bottom w:val="single" w:sz="8" w:color="auto"/>
            </w:tcBorders>
            <w:shd w:val="clear" w:color="auto" w:fill="D5EAEA"/>
          </w:tcPr>
          <w:p>
            <w:pPr>
              <w:spacing w:after="0"/>
              <w:rPr>
                <w:sz w:val="18"/>
                <w:szCs w:val="18"/>
                <w:color w:val="auto"/>
              </w:rPr>
            </w:pPr>
          </w:p>
        </w:tc>
        <w:tc>
          <w:tcPr>
            <w:tcW w:w="7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7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related to research and development expense</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23,242</w:t>
            </w:r>
          </w:p>
        </w:tc>
        <w:tc>
          <w:tcPr>
            <w:tcW w:w="100" w:type="dxa"/>
            <w:vAlign w:val="bottom"/>
            <w:tcBorders>
              <w:bottom w:val="single" w:sz="8" w:color="D5EAE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23,242</w:t>
            </w:r>
          </w:p>
        </w:tc>
        <w:tc>
          <w:tcPr>
            <w:tcW w:w="100" w:type="dxa"/>
            <w:vAlign w:val="bottom"/>
            <w:shd w:val="clear" w:color="auto" w:fill="D5EAEA"/>
          </w:tcPr>
          <w:p>
            <w:pPr>
              <w:spacing w:after="0"/>
              <w:rPr>
                <w:sz w:val="18"/>
                <w:szCs w:val="18"/>
                <w:color w:val="auto"/>
              </w:rPr>
            </w:pPr>
          </w:p>
        </w:tc>
        <w:tc>
          <w:tcPr>
            <w:tcW w:w="360" w:type="dxa"/>
            <w:vAlign w:val="bottom"/>
            <w:tcBorders>
              <w:bottom w:val="single" w:sz="8" w:color="auto"/>
            </w:tcBorders>
            <w:shd w:val="clear" w:color="auto" w:fill="D5EAEA"/>
          </w:tcPr>
          <w:p>
            <w:pPr>
              <w:spacing w:after="0"/>
              <w:rPr>
                <w:sz w:val="18"/>
                <w:szCs w:val="18"/>
                <w:color w:val="auto"/>
              </w:rPr>
            </w:pPr>
          </w:p>
        </w:tc>
        <w:tc>
          <w:tcPr>
            <w:tcW w:w="7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7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 related to regular general and administrative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 related to IPO</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360" w:type="dxa"/>
            <w:vAlign w:val="bottom"/>
            <w:tcBorders>
              <w:bottom w:val="single" w:sz="8" w:color="auto"/>
            </w:tcBorders>
            <w:shd w:val="clear" w:color="auto" w:fill="D5EAEA"/>
          </w:tcPr>
          <w:p>
            <w:pPr>
              <w:spacing w:after="0"/>
              <w:rPr>
                <w:sz w:val="19"/>
                <w:szCs w:val="19"/>
                <w:color w:val="auto"/>
              </w:rPr>
            </w:pPr>
          </w:p>
        </w:tc>
        <w:tc>
          <w:tcPr>
            <w:tcW w:w="7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D5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18"/>
                <w:szCs w:val="18"/>
                <w:color w:val="auto"/>
              </w:rPr>
            </w:pPr>
          </w:p>
        </w:tc>
        <w:tc>
          <w:tcPr>
            <w:tcW w:w="116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60" w:type="dxa"/>
            <w:vAlign w:val="bottom"/>
            <w:tcBorders>
              <w:bottom w:val="single" w:sz="8" w:color="auto"/>
            </w:tcBorders>
            <w:shd w:val="clear" w:color="auto" w:fill="D5EAEA"/>
          </w:tcPr>
          <w:p>
            <w:pPr>
              <w:spacing w:after="0"/>
              <w:rPr>
                <w:sz w:val="18"/>
                <w:szCs w:val="18"/>
                <w:color w:val="auto"/>
              </w:rPr>
            </w:pPr>
          </w:p>
        </w:tc>
        <w:tc>
          <w:tcPr>
            <w:tcW w:w="760" w:type="dxa"/>
            <w:vAlign w:val="bottom"/>
            <w:tcBorders>
              <w:bottom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shd w:val="clear" w:color="auto" w:fill="D5EAEA"/>
          </w:tcPr>
          <w:p>
            <w:pPr>
              <w:spacing w:after="0"/>
              <w:rPr>
                <w:sz w:val="19"/>
                <w:szCs w:val="19"/>
                <w:color w:val="auto"/>
              </w:rPr>
            </w:pPr>
          </w:p>
        </w:tc>
        <w:tc>
          <w:tcPr>
            <w:tcW w:w="1160" w:type="dxa"/>
            <w:vAlign w:val="bottom"/>
            <w:tcBorders>
              <w:bottom w:val="single" w:sz="8" w:color="auto"/>
            </w:tcBorders>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360" w:type="dxa"/>
            <w:vAlign w:val="bottom"/>
            <w:tcBorders>
              <w:bottom w:val="single" w:sz="8" w:color="auto"/>
            </w:tcBorders>
            <w:shd w:val="clear" w:color="auto" w:fill="D5EAEA"/>
          </w:tcPr>
          <w:p>
            <w:pPr>
              <w:spacing w:after="0"/>
              <w:rPr>
                <w:sz w:val="19"/>
                <w:szCs w:val="19"/>
                <w:color w:val="auto"/>
              </w:rPr>
            </w:pPr>
          </w:p>
        </w:tc>
        <w:tc>
          <w:tcPr>
            <w:tcW w:w="760" w:type="dxa"/>
            <w:vAlign w:val="bottom"/>
            <w:tcBorders>
              <w:bottom w:val="single" w:sz="8" w:color="auto"/>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40,884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35,945</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Financial income and expenses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December,</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426"/>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Financial income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 interest income</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7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foreign exchange gains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D5EAE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income</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D5EAEA"/>
            </w:tcBorders>
            <w:shd w:val="clear" w:color="auto" w:fill="D5EAEA"/>
          </w:tcPr>
          <w:p>
            <w:pPr>
              <w:spacing w:after="0"/>
              <w:rPr>
                <w:sz w:val="19"/>
                <w:szCs w:val="19"/>
                <w:color w:val="auto"/>
              </w:rPr>
            </w:pPr>
          </w:p>
        </w:tc>
        <w:tc>
          <w:tcPr>
            <w:tcW w:w="360" w:type="dxa"/>
            <w:vAlign w:val="bottom"/>
            <w:tcBorders>
              <w:bottom w:val="single" w:sz="8" w:color="auto"/>
            </w:tcBorders>
            <w:shd w:val="clear" w:color="auto" w:fill="D5EAEA"/>
          </w:tcPr>
          <w:p>
            <w:pPr>
              <w:spacing w:after="0"/>
              <w:rPr>
                <w:sz w:val="19"/>
                <w:szCs w:val="19"/>
                <w:color w:val="auto"/>
              </w:rPr>
            </w:pPr>
          </w:p>
        </w:tc>
        <w:tc>
          <w:tcPr>
            <w:tcW w:w="7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Financial expenses</w:t>
            </w: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7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 foreign exchange (losses)</w:t>
            </w:r>
          </w:p>
        </w:tc>
        <w:tc>
          <w:tcPr>
            <w:tcW w:w="1160" w:type="dxa"/>
            <w:vAlign w:val="bottom"/>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D5EAEA"/>
          </w:tcPr>
          <w:p>
            <w:pPr>
              <w:spacing w:after="0"/>
              <w:rPr>
                <w:sz w:val="20"/>
                <w:szCs w:val="20"/>
                <w:color w:val="auto"/>
              </w:rPr>
            </w:pPr>
            <w:r>
              <w:rPr>
                <w:rFonts w:ascii="Arial" w:cs="Arial" w:eastAsia="Arial" w:hAnsi="Arial"/>
                <w:sz w:val="18"/>
                <w:szCs w:val="18"/>
                <w:color w:val="auto"/>
              </w:rPr>
              <w:t>- bank fees</w:t>
            </w: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7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interest expense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D5EAEA"/>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expenses</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D5EAEA"/>
            </w:tcBorders>
            <w:shd w:val="clear" w:color="auto" w:fill="D5EAEA"/>
          </w:tcPr>
          <w:p>
            <w:pPr>
              <w:spacing w:after="0"/>
              <w:rPr>
                <w:sz w:val="19"/>
                <w:szCs w:val="19"/>
                <w:color w:val="auto"/>
              </w:rPr>
            </w:pPr>
          </w:p>
        </w:tc>
        <w:tc>
          <w:tcPr>
            <w:tcW w:w="360" w:type="dxa"/>
            <w:vAlign w:val="bottom"/>
            <w:tcBorders>
              <w:bottom w:val="single" w:sz="8" w:color="auto"/>
            </w:tcBorders>
            <w:shd w:val="clear" w:color="auto" w:fill="D5EAEA"/>
          </w:tcPr>
          <w:p>
            <w:pPr>
              <w:spacing w:after="0"/>
              <w:rPr>
                <w:sz w:val="19"/>
                <w:szCs w:val="19"/>
                <w:color w:val="auto"/>
              </w:rPr>
            </w:pPr>
          </w:p>
        </w:tc>
        <w:tc>
          <w:tcPr>
            <w:tcW w:w="7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rights and equity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on the allocation of shares and equity awards to executive officers, directors and employees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43" w:lineRule="exact"/>
        <w:rPr>
          <w:sz w:val="20"/>
          <w:szCs w:val="20"/>
          <w:color w:val="auto"/>
        </w:rPr>
      </w:pPr>
    </w:p>
    <w:p>
      <w:pPr>
        <w:ind w:right="1860"/>
        <w:spacing w:after="0" w:line="258" w:lineRule="auto"/>
        <w:rPr>
          <w:sz w:val="20"/>
          <w:szCs w:val="20"/>
          <w:color w:val="auto"/>
        </w:rPr>
      </w:pPr>
      <w:r>
        <w:rPr>
          <w:rFonts w:ascii="Arial" w:cs="Arial" w:eastAsia="Arial" w:hAnsi="Arial"/>
          <w:sz w:val="18"/>
          <w:szCs w:val="18"/>
          <w:color w:val="auto"/>
        </w:rPr>
        <w:t>Issued to executive officers and directors Issued to employees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1000" w:type="dxa"/>
        <w:tblCellMar>
          <w:top w:w="0" w:type="dxa"/>
          <w:left w:w="0" w:type="dxa"/>
          <w:bottom w:w="0" w:type="dxa"/>
          <w:right w:w="0" w:type="dxa"/>
        </w:tblCellMar>
      </w:tblPr>
      <w:tr>
        <w:trPr>
          <w:trHeight w:val="234"/>
        </w:trPr>
        <w:tc>
          <w:tcPr>
            <w:tcW w:w="154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6"/>
              </w:rPr>
              <w:t>Shares</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Equity Awards</w:t>
            </w:r>
          </w:p>
        </w:tc>
      </w:tr>
      <w:tr>
        <w:trPr>
          <w:trHeight w:val="223"/>
        </w:trPr>
        <w:tc>
          <w:tcPr>
            <w:tcW w:w="1540" w:type="dxa"/>
            <w:vAlign w:val="bottom"/>
            <w:gridSpan w:val="3"/>
          </w:tcPr>
          <w:p>
            <w:pPr>
              <w:ind w:left="280"/>
              <w:spacing w:after="0"/>
              <w:rPr>
                <w:sz w:val="20"/>
                <w:szCs w:val="20"/>
                <w:color w:val="auto"/>
              </w:rPr>
            </w:pPr>
            <w:r>
              <w:rPr>
                <w:rFonts w:ascii="Arial" w:cs="Arial" w:eastAsia="Arial" w:hAnsi="Arial"/>
                <w:sz w:val="18"/>
                <w:szCs w:val="18"/>
                <w:color w:val="auto"/>
              </w:rPr>
              <w:t>Number</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KCHF</w:t>
            </w:r>
          </w:p>
        </w:tc>
        <w:tc>
          <w:tcPr>
            <w:tcW w:w="12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Number</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KCHF</w:t>
            </w:r>
          </w:p>
        </w:tc>
      </w:tr>
      <w:tr>
        <w:trPr>
          <w:trHeight w:val="425"/>
        </w:trPr>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4,657,882</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58,922</w:t>
            </w:r>
          </w:p>
        </w:tc>
        <w:tc>
          <w:tcPr>
            <w:tcW w:w="120" w:type="dxa"/>
            <w:vAlign w:val="bottom"/>
          </w:tcPr>
          <w:p>
            <w:pPr>
              <w:spacing w:after="0"/>
              <w:rPr>
                <w:sz w:val="24"/>
                <w:szCs w:val="24"/>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930,748</w:t>
            </w:r>
          </w:p>
        </w:tc>
        <w:tc>
          <w:tcPr>
            <w:tcW w:w="100" w:type="dxa"/>
            <w:vAlign w:val="bottom"/>
          </w:tcPr>
          <w:p>
            <w:pPr>
              <w:spacing w:after="0"/>
              <w:rPr>
                <w:sz w:val="24"/>
                <w:szCs w:val="24"/>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3,473</w:t>
            </w:r>
          </w:p>
        </w:tc>
      </w:tr>
      <w:tr>
        <w:trPr>
          <w:trHeight w:val="23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504,664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6,384</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479,725</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w:t>
            </w:r>
          </w:p>
        </w:tc>
      </w:tr>
      <w:tr>
        <w:trPr>
          <w:trHeight w:val="223"/>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5,162,546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65,306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1,410,473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-462280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-179705</wp:posOffset>
            </wp:positionV>
            <wp:extent cx="72466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820" w:space="720"/>
            <w:col w:w="5880"/>
          </w:cols>
          <w:pgMar w:left="240" w:top="121"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Share values are based on the Company’s share price of $12.80 (CHF 12.65). Equity awards are comprised of options and non-vested stock (restricted shares and restricted share units) awards. The fair value of our options is determined using the Black-Scholes Merton Model and our non-vested stock awards are valued using a reasonable estimate of market value of the common stock on the date of the award. Total shares are derived from our transfer agent’s records as at 31 December 2017.</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table below presents beneficial ownership of executive officers and directors, including affiliated entities, if applicable, in accordance with Article 663c CO as at 31 December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Equity Awards</w:t>
            </w:r>
          </w:p>
        </w:tc>
      </w:tr>
      <w:tr>
        <w:trPr>
          <w:trHeight w:val="234"/>
        </w:trPr>
        <w:tc>
          <w:tcPr>
            <w:tcW w:w="9040" w:type="dxa"/>
            <w:vAlign w:val="bottom"/>
            <w:tcBorders>
              <w:bottom w:val="single" w:sz="8" w:color="D5EAEA"/>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D5EAEA"/>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2,596,809</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339,352</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Jörg Hornstein, Chief Financial Officer</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113,981</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Andreas Muhs, Ph.D., Chief Scientific Officer</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475,050</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373,867</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Jean-Fabien Monin, Chief Administrative Officer</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63,923</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Martin Velasco, Chairman and Director</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469,250</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16,125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Detlev Riesner, Ph.D., Director</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759,000</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5,875</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Friedrich von Bohlen und Halbach, Director</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78,750</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5,875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Peter Bollmann, Director</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5,875</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Thomas Graney, Director</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Post balance sheet events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On February 2, 2018, we entered into an additional lease with the EPFL Innovation Park to expand our premises by more than 4,300 square feet effective March 1, 2018. As part of this expansion, the Company agreed to purchase CHF 750 thousand of the previous tenant’s lab equipment.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of the Board of Directors to the annual Shareholders’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of the Board for the accumulated losses to be carried forward, subject to the approval of the Annual Shareholders’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49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 carried forward</w:t>
            </w:r>
          </w:p>
        </w:tc>
        <w:tc>
          <w:tcPr>
            <w:tcW w:w="6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for the year</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accumulated losses</w:t>
            </w:r>
          </w:p>
        </w:tc>
        <w:tc>
          <w:tcPr>
            <w:tcW w:w="496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(58,426)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color w:val="auto"/>
              </w:rPr>
              <w:t>F-13</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$350,000,000</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191770</wp:posOffset>
            </wp:positionV>
            <wp:extent cx="1938020" cy="454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80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40"/>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(incorporated in Switzerland)</w:t>
      </w:r>
    </w:p>
    <w:p>
      <w:pPr>
        <w:spacing w:after="0" w:line="20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common shares are listed on the NASDAQ Global Market under the symbol “ACIU.” On May 22, 2018, the last sale price of our common shares as reported by the NASDAQ Global Market was $10.23 per common share. As of May 22, 2018, the aggregate market value of our outstanding common shares held by non-affiliates was approximately $238,164,456 based on approximately 57,400,565 shares of outstanding common shares, of which approximately 23,280,983 shares were held by non-affiliates. We have not offered any securities pursuant to General Instruction I.B.5 of Form F-3 during the prior 12 calendar month period that ends on, and includes, the date of this prospectus.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June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8" w:name="page59"/>
    <w:bookmarkEnd w:id="58"/>
    <w:p>
      <w:pPr>
        <w:ind w:right="80"/>
        <w:spacing w:after="0" w:line="276" w:lineRule="auto"/>
        <w:rPr>
          <w:sz w:val="20"/>
          <w:szCs w:val="20"/>
          <w:color w:val="auto"/>
        </w:rPr>
      </w:pPr>
      <w:r>
        <w:rPr>
          <w:rFonts w:ascii="Arial" w:cs="Arial" w:eastAsia="Arial" w:hAnsi="Arial"/>
          <w:sz w:val="17"/>
          <w:szCs w:val="17"/>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24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880" w:type="dxa"/>
            <w:vAlign w:val="bottom"/>
          </w:tcPr>
          <w:p>
            <w:pPr>
              <w:jc w:val="right"/>
              <w:ind w:right="3890"/>
              <w:spacing w:after="0"/>
              <w:rPr>
                <w:sz w:val="20"/>
                <w:szCs w:val="20"/>
                <w:color w:val="auto"/>
              </w:rPr>
            </w:pPr>
            <w:r>
              <w:rPr>
                <w:rFonts w:ascii="Arial" w:cs="Arial" w:eastAsia="Arial" w:hAnsi="Arial"/>
                <w:sz w:val="18"/>
                <w:szCs w:val="18"/>
                <w:b w:val="1"/>
                <w:bCs w:val="1"/>
                <w:color w:val="auto"/>
                <w:w w:val="92"/>
              </w:rPr>
              <w:t>_______________________________</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240" w:type="dxa"/>
            <w:vAlign w:val="bottom"/>
            <w:gridSpan w:val="3"/>
          </w:tcPr>
          <w:p>
            <w:pPr>
              <w:ind w:left="6880"/>
              <w:spacing w:after="0" w:line="190" w:lineRule="exact"/>
              <w:rPr>
                <w:sz w:val="20"/>
                <w:szCs w:val="20"/>
                <w:color w:val="auto"/>
              </w:rPr>
            </w:pPr>
            <w:r>
              <w:rPr>
                <w:rFonts w:ascii="Arial" w:cs="Arial" w:eastAsia="Arial" w:hAnsi="Arial"/>
                <w:sz w:val="18"/>
                <w:szCs w:val="18"/>
                <w:color w:val="auto"/>
                <w:w w:val="90"/>
              </w:rPr>
              <w:t>P</w:t>
            </w:r>
            <w:r>
              <w:rPr>
                <w:rFonts w:ascii="Arial" w:cs="Arial" w:eastAsia="Arial" w:hAnsi="Arial"/>
                <w:sz w:val="12"/>
                <w:szCs w:val="12"/>
                <w:color w:val="auto"/>
                <w:w w:val="90"/>
              </w:rPr>
              <w:t>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About This Prospectus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w w:val="97"/>
              </w:rPr>
              <w:t>Special Note Regarding Forward-Looking Statements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 Immune SA</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Risk Factors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Use of Proceeds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Description of Share Capital and Articles of Association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Comparison of Swiss Law and Delaware Law</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Description of Warrants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Description of Units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Description of Subscription Rights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Plan of Distribution</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Enforcement of Judgments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Expenses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D5EAEA"/>
          </w:tcPr>
          <w:p>
            <w:pPr>
              <w:spacing w:after="0"/>
              <w:rPr>
                <w:sz w:val="20"/>
                <w:szCs w:val="20"/>
                <w:color w:val="auto"/>
              </w:rPr>
            </w:pPr>
            <w:r>
              <w:rPr>
                <w:rFonts w:ascii="Arial" w:cs="Arial" w:eastAsia="Arial" w:hAnsi="Arial"/>
                <w:sz w:val="18"/>
                <w:szCs w:val="18"/>
                <w:color w:val="auto"/>
              </w:rPr>
              <w:t>Legal Matters</w:t>
            </w:r>
          </w:p>
        </w:tc>
        <w:tc>
          <w:tcPr>
            <w:tcW w:w="7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Experts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3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23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65" w:lineRule="exact"/>
        <w:rPr>
          <w:sz w:val="20"/>
          <w:szCs w:val="20"/>
          <w:color w:val="auto"/>
        </w:rPr>
      </w:pPr>
    </w:p>
    <w:p>
      <w:pPr>
        <w:ind w:right="460" w:firstLine="324"/>
        <w:spacing w:after="0" w:line="27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66"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Fiscal Year Ended December 31,</w:t>
      </w:r>
    </w:p>
    <w:p>
      <w:pPr>
        <w:spacing w:after="0" w:line="27" w:lineRule="exact"/>
        <w:rPr>
          <w:sz w:val="20"/>
          <w:szCs w:val="20"/>
          <w:color w:val="auto"/>
        </w:rPr>
      </w:pPr>
    </w:p>
    <w:p>
      <w:pPr>
        <w:ind w:left="7800"/>
        <w:spacing w:after="0"/>
        <w:tabs>
          <w:tab w:leader="none" w:pos="9160" w:val="left"/>
          <w:tab w:leader="none" w:pos="105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D5EAEA"/>
          </w:tcPr>
          <w:p>
            <w:pPr>
              <w:jc w:val="right"/>
              <w:ind w:right="570"/>
              <w:spacing w:after="0"/>
              <w:rPr>
                <w:sz w:val="20"/>
                <w:szCs w:val="20"/>
                <w:color w:val="auto"/>
              </w:rPr>
            </w:pPr>
            <w:r>
              <w:rPr>
                <w:rFonts w:ascii="Arial" w:cs="Arial" w:eastAsia="Arial" w:hAnsi="Arial"/>
                <w:sz w:val="18"/>
                <w:szCs w:val="18"/>
                <w:color w:val="auto"/>
              </w:rPr>
              <w:t>*</w:t>
            </w:r>
          </w:p>
        </w:tc>
        <w:tc>
          <w:tcPr>
            <w:tcW w:w="80" w:type="dxa"/>
            <w:vAlign w:val="bottom"/>
            <w:shd w:val="clear" w:color="auto" w:fill="D5EAEA"/>
          </w:tcPr>
          <w:p>
            <w:pPr>
              <w:spacing w:after="0"/>
              <w:rPr>
                <w:sz w:val="18"/>
                <w:szCs w:val="18"/>
                <w:color w:val="auto"/>
              </w:rPr>
            </w:pPr>
          </w:p>
        </w:tc>
        <w:tc>
          <w:tcPr>
            <w:tcW w:w="1180" w:type="dxa"/>
            <w:vAlign w:val="bottom"/>
            <w:tcBorders>
              <w:top w:val="single" w:sz="8" w:color="auto"/>
            </w:tcBorders>
            <w:shd w:val="clear" w:color="auto" w:fill="D5EAEA"/>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390"/>
              <w:spacing w:after="0"/>
              <w:rPr>
                <w:sz w:val="20"/>
                <w:szCs w:val="20"/>
                <w:color w:val="auto"/>
              </w:rPr>
            </w:pPr>
            <w:r>
              <w:rPr>
                <w:rFonts w:ascii="Arial" w:cs="Arial" w:eastAsia="Arial" w:hAnsi="Arial"/>
                <w:sz w:val="18"/>
                <w:szCs w:val="18"/>
                <w:color w:val="auto"/>
              </w:rPr>
              <w:t>1,062</w:t>
            </w:r>
          </w:p>
        </w:tc>
      </w:tr>
      <w:tr>
        <w:trPr>
          <w:trHeight w:val="218"/>
        </w:trPr>
        <w:tc>
          <w:tcPr>
            <w:tcW w:w="7320" w:type="dxa"/>
            <w:vAlign w:val="bottom"/>
          </w:tcPr>
          <w:p>
            <w:pPr>
              <w:spacing w:after="0"/>
              <w:rPr>
                <w:sz w:val="20"/>
                <w:szCs w:val="20"/>
                <w:color w:val="auto"/>
              </w:rPr>
            </w:pPr>
            <w:r>
              <w:rPr>
                <w:rFonts w:ascii="Arial" w:cs="Arial" w:eastAsia="Arial" w:hAnsi="Arial"/>
                <w:sz w:val="18"/>
                <w:szCs w:val="18"/>
                <w:color w:val="auto"/>
              </w:rPr>
              <w:t>____________________</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ind w:right="280" w:firstLine="332"/>
        <w:spacing w:after="0" w:line="259" w:lineRule="auto"/>
        <w:tabs>
          <w:tab w:leader="none" w:pos="4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of CHF 174 thousand and CHF 27 thousand for the years ended December 31, 2017 and 2016, respectively.</w:t>
      </w:r>
    </w:p>
    <w:p>
      <w:pPr>
        <w:spacing w:after="0" w:line="186"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our sale of the securities will be used for general corporate purposes and other business opportunities.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the date of this prospectus, our issued share capital is CHF 1,147,253.80, consisting of 57,362,690 common shares. 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March 26, 2018, we adopted the articles of association and when we refer to our articles of association in this prospectus, we refer to the articles of association as filed as Exhibit 4.1 hereto.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left="180" w:right="40"/>
        <w:spacing w:after="0" w:line="276" w:lineRule="auto"/>
        <w:rPr>
          <w:sz w:val="20"/>
          <w:szCs w:val="20"/>
          <w:color w:val="auto"/>
        </w:rPr>
      </w:pPr>
      <w:r>
        <w:rPr>
          <w:rFonts w:ascii="Arial" w:cs="Arial" w:eastAsia="Arial" w:hAnsi="Arial"/>
          <w:sz w:val="17"/>
          <w:szCs w:val="17"/>
          <w:b w:val="1"/>
          <w:bCs w:val="1"/>
          <w:i w:val="1"/>
          <w:iCs w:val="1"/>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 Ordinary Capital Increase, Authorized and Conditional Share Capital</w:t>
      </w:r>
    </w:p>
    <w:p>
      <w:pPr>
        <w:spacing w:after="0" w:line="1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6" w:lineRule="exact"/>
        <w:rPr>
          <w:sz w:val="20"/>
          <w:szCs w:val="20"/>
          <w:color w:val="auto"/>
        </w:rPr>
      </w:pPr>
    </w:p>
    <w:p>
      <w:pPr>
        <w:ind w:left="660" w:right="12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CO, shareholders have pre-emptive subscription rights (</w:t>
      </w:r>
      <w:r>
        <w:rPr>
          <w:rFonts w:ascii="Arial" w:cs="Arial" w:eastAsia="Arial" w:hAnsi="Arial"/>
          <w:sz w:val="18"/>
          <w:szCs w:val="18"/>
          <w:i w:val="1"/>
          <w:iCs w:val="1"/>
          <w:color w:val="auto"/>
        </w:rPr>
        <w:t>droits de souscription</w:t>
      </w:r>
      <w:r>
        <w:rPr>
          <w:rFonts w:ascii="Arial" w:cs="Arial" w:eastAsia="Arial" w:hAnsi="Arial"/>
          <w:sz w:val="18"/>
          <w:szCs w:val="18"/>
          <w:color w:val="auto"/>
        </w:rPr>
        <w:t>) to subscribe for new issuances of shares. With respect to conditional capital in connection with the issuance of conversion rights,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ind w:right="560"/>
        <w:spacing w:after="0" w:line="277" w:lineRule="auto"/>
        <w:rPr>
          <w:sz w:val="20"/>
          <w:szCs w:val="20"/>
          <w:color w:val="auto"/>
        </w:rPr>
      </w:pPr>
      <w:r>
        <w:rPr>
          <w:rFonts w:ascii="Arial" w:cs="Arial" w:eastAsia="Arial" w:hAnsi="Arial"/>
          <w:sz w:val="18"/>
          <w:szCs w:val="18"/>
          <w:color w:val="auto"/>
        </w:rPr>
        <w:t>convertible bonds or similar debt instruments, shareholders have advance subscription rights (</w:t>
      </w:r>
      <w:r>
        <w:rPr>
          <w:rFonts w:ascii="Arial" w:cs="Arial" w:eastAsia="Arial" w:hAnsi="Arial"/>
          <w:sz w:val="18"/>
          <w:szCs w:val="18"/>
          <w:i w:val="1"/>
          <w:iCs w:val="1"/>
          <w:color w:val="auto"/>
        </w:rPr>
        <w:t>droit de souscrire préalablement</w:t>
      </w:r>
      <w:r>
        <w:rPr>
          <w:rFonts w:ascii="Arial" w:cs="Arial" w:eastAsia="Arial" w:hAnsi="Arial"/>
          <w:sz w:val="18"/>
          <w:szCs w:val="18"/>
          <w:color w:val="auto"/>
        </w:rPr>
        <w:t>) for the subscription of conversion rights, convertible bonds or similar debt instruments.</w:t>
      </w:r>
    </w:p>
    <w:p>
      <w:pPr>
        <w:spacing w:after="0" w:line="1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pre-emptive subscription rights are granted, but not exercised, the board of directors may allocate the pre-emptive subscription rights as it elects.</w:t>
      </w:r>
    </w:p>
    <w:p>
      <w:pPr>
        <w:spacing w:after="0" w:line="23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6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Article 3a of our articles of association, the authorization granted to our board of directors to increase our nominal share capital has expired.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170" w:lineRule="exact"/>
        <w:rPr>
          <w:sz w:val="20"/>
          <w:szCs w:val="20"/>
          <w:color w:val="auto"/>
        </w:rPr>
      </w:pPr>
    </w:p>
    <w:p>
      <w:pPr>
        <w:ind w:left="660" w:right="2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 the extent that the advance subscription rights are withdrawn, (i) the convertible bonds are to be issued at market conditions; (ii) the term to exercise the option or conversion rights may not exceed ten years as of the date of</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ind w:right="600"/>
        <w:spacing w:after="0" w:line="277" w:lineRule="auto"/>
        <w:rPr>
          <w:sz w:val="20"/>
          <w:szCs w:val="20"/>
          <w:color w:val="auto"/>
        </w:rPr>
      </w:pPr>
      <w:r>
        <w:rPr>
          <w:rFonts w:ascii="Arial" w:cs="Arial" w:eastAsia="Arial" w:hAnsi="Arial"/>
          <w:sz w:val="18"/>
          <w:szCs w:val="18"/>
          <w:color w:val="auto"/>
        </w:rPr>
        <w:t>the convertible bond issue and twenty years for conversion rights; and (iii) the exercise price for the new shares must at least correspond to the market conditions at the time of the convertible bond issuance.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 droits-valeurs</w:t>
      </w:r>
      <w:r>
        <w:rPr>
          <w:rFonts w:ascii="Arial" w:cs="Arial" w:eastAsia="Arial" w:hAnsi="Arial"/>
          <w:sz w:val="17"/>
          <w:szCs w:val="17"/>
          <w:color w:val="auto"/>
        </w:rPr>
        <w:t>). We may at any time convert uncertificated securities into share certificates (including global certificates), one kind of certificate into another,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discharging the members of the board of directors and executive management from liability with respect to their tenure in the previous financial year;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line="312" w:lineRule="auto"/>
        <w:rPr>
          <w:sz w:val="20"/>
          <w:szCs w:val="20"/>
          <w:color w:val="auto"/>
        </w:rPr>
      </w:pPr>
      <w:r>
        <w:rPr>
          <w:rFonts w:ascii="Arial" w:cs="Arial" w:eastAsia="Arial" w:hAnsi="Arial"/>
          <w:sz w:val="16"/>
          <w:szCs w:val="16"/>
          <w:color w:val="auto"/>
        </w:rPr>
        <w:t>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specific assets and granting specific benefits;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331⁄3%;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6" w:name="page67"/>
    <w:bookmarkEnd w:id="66"/>
    <w:p>
      <w:pPr>
        <w:ind w:right="24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7" w:lineRule="exact"/>
        <w:rPr>
          <w:sz w:val="20"/>
          <w:szCs w:val="20"/>
          <w:color w:val="auto"/>
        </w:rPr>
      </w:pPr>
    </w:p>
    <w:p>
      <w:pPr>
        <w:ind w:left="660" w:right="3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0" w:firstLine="324"/>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ind w:right="20"/>
        <w:spacing w:after="0" w:line="277" w:lineRule="auto"/>
        <w:rPr>
          <w:sz w:val="20"/>
          <w:szCs w:val="20"/>
          <w:color w:val="auto"/>
        </w:rPr>
      </w:pPr>
      <w:r>
        <w:rPr>
          <w:rFonts w:ascii="Arial" w:cs="Arial" w:eastAsia="Arial" w:hAnsi="Arial"/>
          <w:sz w:val="18"/>
          <w:szCs w:val="18"/>
          <w:color w:val="auto"/>
        </w:rPr>
        <w:t>to reserves required by Swiss law and the articles of association have been deducted. We are not permitted to pay interim dividends out of profit of the current business year.</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9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the shareholders’ inspection rights as outlined above prove to be insufficient in the judgment of the shareholder, any shareholder may propose to the general meeting of shareholders that specific facts be examined by a special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t>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8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0" w:name="page71"/>
    <w:bookmarkEnd w:id="70"/>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5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1" w:name="page72"/>
    <w:bookmarkEnd w:id="71"/>
    <w:p>
      <w:pPr>
        <w:ind w:right="200" w:firstLine="324"/>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74" w:lineRule="exact"/>
        <w:rPr>
          <w:sz w:val="20"/>
          <w:szCs w:val="20"/>
          <w:color w:val="auto"/>
        </w:rPr>
      </w:pPr>
    </w:p>
    <w:p>
      <w:pPr>
        <w:ind w:left="152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72" w:lineRule="exact"/>
        <w:rPr>
          <w:sz w:val="20"/>
          <w:szCs w:val="20"/>
          <w:color w:val="auto"/>
        </w:rPr>
      </w:pPr>
    </w:p>
    <w:p>
      <w:pPr>
        <w:sectPr>
          <w:pgSz w:w="11900" w:h="16838" w:orient="portrait"/>
          <w:cols w:equalWidth="0" w:num="2">
            <w:col w:w="5700" w:space="120"/>
            <w:col w:w="560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2"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720" w:space="100"/>
            <w:col w:w="5600"/>
          </w:cols>
          <w:pgMar w:left="240" w:top="121" w:right="239" w:bottom="1440" w:gutter="0" w:footer="0" w:header="0"/>
          <w:type w:val="continuous"/>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3" w:name="page74"/>
    <w:bookmarkEnd w:id="73"/>
    <w:p>
      <w:pPr>
        <w:ind w:left="152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Swiss Ordinance against excessive compensation in listed stock corporations (</w:t>
      </w:r>
      <w:r>
        <w:rPr>
          <w:rFonts w:ascii="Arial" w:cs="Arial" w:eastAsia="Arial" w:hAnsi="Arial"/>
          <w:sz w:val="17"/>
          <w:szCs w:val="17"/>
          <w:i w:val="1"/>
          <w:iCs w:val="1"/>
          <w:color w:val="auto"/>
        </w:rPr>
        <w:t>Ordonnance contre les rémunérations abusives dans les</w:t>
      </w:r>
      <w:r>
        <w:rPr>
          <w:rFonts w:ascii="Arial" w:cs="Arial" w:eastAsia="Arial" w:hAnsi="Arial"/>
          <w:sz w:val="17"/>
          <w:szCs w:val="17"/>
          <w:color w:val="auto"/>
        </w:rPr>
        <w:t xml:space="preserve"> </w:t>
      </w:r>
      <w:r>
        <w:rPr>
          <w:rFonts w:ascii="Arial" w:cs="Arial" w:eastAsia="Arial" w:hAnsi="Arial"/>
          <w:sz w:val="17"/>
          <w:szCs w:val="17"/>
          <w:i w:val="1"/>
          <w:iCs w:val="1"/>
          <w:color w:val="auto"/>
        </w:rPr>
        <w:t>sociétés anonymes cotées en bourse</w:t>
      </w:r>
      <w:r>
        <w:rPr>
          <w:rFonts w:ascii="Arial" w:cs="Arial" w:eastAsia="Arial" w:hAnsi="Arial"/>
          <w:sz w:val="17"/>
          <w:szCs w:val="17"/>
          <w:color w:val="auto"/>
        </w:rPr>
        <w:t>), the general meeting of shareholders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non-transferable right, amongst others, to vote on the fixed and on the variable compensation of the members of the board of directors, of the executive management and of the advisory boards.</w:t>
      </w:r>
    </w:p>
    <w:p>
      <w:pPr>
        <w:spacing w:after="0" w:line="178" w:lineRule="exact"/>
        <w:rPr>
          <w:sz w:val="20"/>
          <w:szCs w:val="20"/>
          <w:color w:val="auto"/>
        </w:rPr>
      </w:pPr>
    </w:p>
    <w:p>
      <w:pPr>
        <w:sectPr>
          <w:pgSz w:w="11900" w:h="16838" w:orient="portrait"/>
          <w:cols w:equalWidth="0" w:num="2">
            <w:col w:w="5520" w:space="300"/>
            <w:col w:w="560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561" w:lineRule="exact"/>
        <w:rPr>
          <w:sz w:val="20"/>
          <w:szCs w:val="20"/>
          <w:color w:val="auto"/>
        </w:rPr>
      </w:pPr>
    </w:p>
    <w:p>
      <w:pPr>
        <w:sectPr>
          <w:pgSz w:w="11900" w:h="16838" w:orient="portrait"/>
          <w:cols w:equalWidth="0" w:num="2">
            <w:col w:w="5480" w:space="340"/>
            <w:col w:w="5600"/>
          </w:cols>
          <w:pgMar w:left="240" w:top="121"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3" w:lineRule="exact"/>
        <w:rPr>
          <w:sz w:val="20"/>
          <w:szCs w:val="20"/>
          <w:color w:val="auto"/>
        </w:rPr>
      </w:pPr>
    </w:p>
    <w:p>
      <w:pPr>
        <w:ind w:left="340" w:right="760" w:hanging="202"/>
        <w:spacing w:after="0" w:line="277" w:lineRule="auto"/>
        <w:tabs>
          <w:tab w:leader="none" w:pos="2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340" w:hanging="202"/>
        <w:spacing w:after="0" w:line="277" w:lineRule="auto"/>
        <w:tabs>
          <w:tab w:leader="none" w:pos="2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340" w:right="340" w:hanging="202"/>
        <w:spacing w:after="0" w:line="277" w:lineRule="auto"/>
        <w:tabs>
          <w:tab w:leader="none" w:pos="2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340" w:right="420" w:hanging="202"/>
        <w:spacing w:after="0" w:line="277" w:lineRule="auto"/>
        <w:tabs>
          <w:tab w:leader="none" w:pos="2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15" w:lineRule="exact"/>
        <w:rPr>
          <w:sz w:val="20"/>
          <w:szCs w:val="20"/>
          <w:color w:val="auto"/>
        </w:rPr>
      </w:pPr>
    </w:p>
    <w:p>
      <w:pPr>
        <w:sectPr>
          <w:pgSz w:w="11900" w:h="16838" w:orient="portrait"/>
          <w:cols w:equalWidth="0" w:num="2">
            <w:col w:w="5700" w:space="120"/>
            <w:col w:w="5600"/>
          </w:cols>
          <w:pgMar w:left="240" w:top="121" w:right="239" w:bottom="1440" w:gutter="0" w:footer="0" w:header="0"/>
          <w:type w:val="continuous"/>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4" w:name="page75"/>
    <w:bookmarkEnd w:id="74"/>
    <w:p>
      <w:pPr>
        <w:ind w:left="152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400"/>
          </w:cols>
          <w:pgMar w:left="240" w:top="121" w:right="259" w:bottom="1440" w:gutter="0" w:footer="0" w:header="0"/>
        </w:sectPr>
      </w:pP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80" w:hanging="14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80" w:hanging="14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8" w:lineRule="exact"/>
        <w:rPr>
          <w:sz w:val="20"/>
          <w:szCs w:val="20"/>
          <w:color w:val="auto"/>
        </w:rPr>
      </w:pPr>
    </w:p>
    <w:p>
      <w:pPr>
        <w:ind w:left="340" w:right="700" w:hanging="201"/>
        <w:spacing w:after="0" w:line="277"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280" w:hanging="141"/>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jc w:val="both"/>
        <w:ind w:left="340" w:right="560" w:hanging="201"/>
        <w:spacing w:after="0" w:line="342" w:lineRule="auto"/>
        <w:tabs>
          <w:tab w:leader="none" w:pos="2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organization of the accounting, financial control and financial planning systems as required for management of the corporation;</w:t>
      </w:r>
    </w:p>
    <w:p>
      <w:pPr>
        <w:spacing w:after="0" w:line="123" w:lineRule="exact"/>
        <w:rPr>
          <w:rFonts w:ascii="Arial" w:cs="Arial" w:eastAsia="Arial" w:hAnsi="Arial"/>
          <w:sz w:val="16"/>
          <w:szCs w:val="16"/>
          <w:color w:val="auto"/>
        </w:rPr>
      </w:pPr>
    </w:p>
    <w:p>
      <w:pPr>
        <w:ind w:left="340" w:right="200" w:hanging="201"/>
        <w:spacing w:after="0" w:line="277"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ind w:left="340" w:hanging="201"/>
        <w:spacing w:after="0" w:line="264"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181" w:lineRule="exact"/>
        <w:rPr>
          <w:rFonts w:ascii="Arial" w:cs="Arial" w:eastAsia="Arial" w:hAnsi="Arial"/>
          <w:sz w:val="18"/>
          <w:szCs w:val="18"/>
          <w:color w:val="auto"/>
        </w:rPr>
      </w:pPr>
    </w:p>
    <w:p>
      <w:pPr>
        <w:ind w:left="340" w:right="40" w:hanging="201"/>
        <w:spacing w:after="0" w:line="308" w:lineRule="auto"/>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280" w:hanging="141"/>
        <w:spacing w:after="0"/>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47"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124" w:lineRule="exact"/>
        <w:rPr>
          <w:sz w:val="20"/>
          <w:szCs w:val="20"/>
          <w:color w:val="auto"/>
        </w:rPr>
      </w:pPr>
    </w:p>
    <w:p>
      <w:pPr>
        <w:sectPr>
          <w:pgSz w:w="11900" w:h="16838" w:orient="portrait"/>
          <w:cols w:equalWidth="0" w:num="2">
            <w:col w:w="5640" w:space="180"/>
            <w:col w:w="5580"/>
          </w:cols>
          <w:pgMar w:left="240" w:top="121"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00"/>
          </w:cols>
          <w:pgMar w:left="240" w:top="121" w:right="259" w:bottom="1440" w:gutter="0" w:footer="0" w:header="0"/>
          <w:type w:val="continuous"/>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540" w:space="80"/>
            <w:col w:w="5780"/>
          </w:cols>
          <w:pgMar w:left="240" w:top="121" w:right="259" w:bottom="1440" w:gutter="0" w:footer="0" w:header="0"/>
          <w:type w:val="continuous"/>
        </w:sectPr>
      </w:pPr>
    </w:p>
    <w:bookmarkStart w:id="75" w:name="page76"/>
    <w:bookmarkEnd w:id="75"/>
    <w:p>
      <w:pPr>
        <w:ind w:left="152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400"/>
          </w:cols>
          <w:pgMar w:left="240" w:top="121" w:right="259" w:bottom="1440" w:gutter="0" w:footer="0" w:header="0"/>
        </w:sectPr>
      </w:pP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340" w:right="140" w:hanging="201"/>
        <w:spacing w:after="0" w:line="264"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1" w:lineRule="exact"/>
        <w:rPr>
          <w:rFonts w:ascii="Arial" w:cs="Arial" w:eastAsia="Arial" w:hAnsi="Arial"/>
          <w:sz w:val="18"/>
          <w:szCs w:val="18"/>
          <w:color w:val="auto"/>
        </w:rPr>
      </w:pPr>
    </w:p>
    <w:p>
      <w:pPr>
        <w:ind w:left="340" w:right="20" w:hanging="201"/>
        <w:spacing w:after="0" w:line="302" w:lineRule="auto"/>
        <w:tabs>
          <w:tab w:leader="none" w:pos="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and the names of the candidates have been included as an agenda item.</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78" w:lineRule="exact"/>
        <w:rPr>
          <w:sz w:val="20"/>
          <w:szCs w:val="20"/>
          <w:color w:val="auto"/>
        </w:rPr>
      </w:pPr>
    </w:p>
    <w:p>
      <w:pPr>
        <w:sectPr>
          <w:pgSz w:w="11900" w:h="16838" w:orient="portrait"/>
          <w:cols w:equalWidth="0" w:num="2">
            <w:col w:w="5720" w:space="100"/>
            <w:col w:w="5580"/>
          </w:cols>
          <w:pgMar w:left="240" w:top="121"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00"/>
          </w:cols>
          <w:pgMar w:left="240" w:top="121" w:right="259" w:bottom="1440" w:gutter="0" w:footer="0" w:header="0"/>
          <w:type w:val="continuous"/>
        </w:sectPr>
      </w:pP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61" w:lineRule="exact"/>
        <w:rPr>
          <w:sz w:val="20"/>
          <w:szCs w:val="20"/>
          <w:color w:val="auto"/>
        </w:rPr>
      </w:pPr>
    </w:p>
    <w:p>
      <w:pPr>
        <w:sectPr>
          <w:pgSz w:w="11900" w:h="16838" w:orient="portrait"/>
          <w:cols w:equalWidth="0" w:num="2">
            <w:col w:w="5680" w:space="140"/>
            <w:col w:w="5580"/>
          </w:cols>
          <w:pgMar w:left="240" w:top="121"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572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DELAWARE CORPORATE LAW</w:t>
            </w:r>
          </w:p>
        </w:tc>
        <w:tc>
          <w:tcPr>
            <w:tcW w:w="100" w:type="dxa"/>
            <w:vAlign w:val="bottom"/>
          </w:tcPr>
          <w:p>
            <w:pPr>
              <w:spacing w:after="0"/>
              <w:rPr>
                <w:sz w:val="20"/>
                <w:szCs w:val="20"/>
                <w:color w:val="auto"/>
              </w:rPr>
            </w:pPr>
          </w:p>
        </w:tc>
        <w:tc>
          <w:tcPr>
            <w:tcW w:w="560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SWISS CORPORATE LAW</w:t>
            </w:r>
          </w:p>
        </w:tc>
      </w:tr>
      <w:tr>
        <w:trPr>
          <w:trHeight w:val="411"/>
        </w:trPr>
        <w:tc>
          <w:tcPr>
            <w:tcW w:w="11420" w:type="dxa"/>
            <w:vAlign w:val="bottom"/>
            <w:gridSpan w:val="3"/>
          </w:tcPr>
          <w:p>
            <w:pPr>
              <w:ind w:left="4960"/>
              <w:spacing w:after="0"/>
              <w:rPr>
                <w:sz w:val="20"/>
                <w:szCs w:val="20"/>
                <w:color w:val="auto"/>
              </w:rPr>
            </w:pPr>
            <w:r>
              <w:rPr>
                <w:rFonts w:ascii="Arial" w:cs="Arial" w:eastAsia="Arial" w:hAnsi="Arial"/>
                <w:sz w:val="18"/>
                <w:szCs w:val="18"/>
                <w:i w:val="1"/>
                <w:iCs w:val="1"/>
                <w:color w:val="auto"/>
              </w:rPr>
              <w:t>Removal of directors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9"/>
              </w:rPr>
              <w:t>A Delaware corporation with a classified board may be removed only for</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A Swiss corporation may remove, with or without cause, any director at any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0"/>
              </w:rPr>
              <w:t>cause with the approval of a majority of the outstanding shares entitled to vote,</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time with a resolution passed by a simple majority of the shares represented</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unless the certificate of incorporation provides otherwise.</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at a general meeting of shareholders concerned. The articles of association</w:t>
            </w:r>
          </w:p>
        </w:tc>
      </w:tr>
      <w:tr>
        <w:trPr>
          <w:trHeight w:val="216"/>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may require the approval by a qualified majority of the shares represented at</w:t>
            </w:r>
          </w:p>
        </w:tc>
      </w:tr>
      <w:tr>
        <w:trPr>
          <w:trHeight w:val="230"/>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 meeting for the removal of a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Transactions with interested shareholders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328" w:lineRule="exact"/>
        <w:rPr>
          <w:sz w:val="20"/>
          <w:szCs w:val="20"/>
          <w:color w:val="auto"/>
        </w:rPr>
      </w:pPr>
    </w:p>
    <w:p>
      <w:pPr>
        <w:sectPr>
          <w:pgSz w:w="11900" w:h="16838" w:orient="portrait"/>
          <w:cols w:equalWidth="0" w:num="2">
            <w:col w:w="5420" w:space="400"/>
            <w:col w:w="5600"/>
          </w:cols>
          <w:pgMar w:left="240" w:top="121"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90" w:lineRule="exact"/>
        <w:rPr>
          <w:sz w:val="20"/>
          <w:szCs w:val="20"/>
          <w:color w:val="auto"/>
        </w:rPr>
      </w:pPr>
    </w:p>
    <w:p>
      <w:pPr>
        <w:sectPr>
          <w:pgSz w:w="11900" w:h="16838" w:orient="portrait"/>
          <w:cols w:equalWidth="0" w:num="2">
            <w:col w:w="5680" w:space="140"/>
            <w:col w:w="560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70" w:lineRule="exact"/>
        <w:rPr>
          <w:sz w:val="20"/>
          <w:szCs w:val="20"/>
          <w:color w:val="auto"/>
        </w:rPr>
      </w:pPr>
    </w:p>
    <w:p>
      <w:pPr>
        <w:sectPr>
          <w:pgSz w:w="11900" w:h="16838" w:orient="portrait"/>
          <w:cols w:equalWidth="0" w:num="2">
            <w:col w:w="5220" w:space="600"/>
            <w:col w:w="560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380" w:space="240"/>
            <w:col w:w="5800"/>
          </w:cols>
          <w:pgMar w:left="240" w:top="121" w:right="239" w:bottom="1440" w:gutter="0" w:footer="0" w:header="0"/>
          <w:type w:val="continuous"/>
        </w:sectPr>
      </w:pPr>
    </w:p>
    <w:bookmarkStart w:id="77" w:name="page78"/>
    <w:bookmarkEnd w:id="77"/>
    <w:p>
      <w:pPr>
        <w:ind w:left="152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380"/>
          </w:cols>
          <w:pgMar w:left="240" w:top="121" w:right="27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66" w:lineRule="exact"/>
        <w:rPr>
          <w:sz w:val="20"/>
          <w:szCs w:val="20"/>
          <w:color w:val="auto"/>
        </w:rPr>
      </w:pPr>
    </w:p>
    <w:p>
      <w:pPr>
        <w:sectPr>
          <w:pgSz w:w="11900" w:h="16838" w:orient="portrait"/>
          <w:cols w:equalWidth="0" w:num="2">
            <w:col w:w="5680" w:space="140"/>
            <w:col w:w="5560"/>
          </w:cols>
          <w:pgMar w:left="240" w:top="121"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380"/>
          </w:cols>
          <w:pgMar w:left="240" w:top="121" w:right="27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280" w:hanging="14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340" w:right="100" w:hanging="202"/>
        <w:spacing w:after="0" w:line="342" w:lineRule="auto"/>
        <w:tabs>
          <w:tab w:leader="none" w:pos="2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600" w:space="220"/>
            <w:col w:w="5560"/>
          </w:cols>
          <w:pgMar w:left="240" w:top="121" w:right="279" w:bottom="1440" w:gutter="0" w:footer="0" w:header="0"/>
          <w:type w:val="continuous"/>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380"/>
          </w:cols>
          <w:pgMar w:left="240" w:top="121" w:right="279" w:bottom="1440" w:gutter="0" w:footer="0" w:header="0"/>
          <w:type w:val="continuous"/>
        </w:sect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74" w:lineRule="exact"/>
        <w:rPr>
          <w:sz w:val="20"/>
          <w:szCs w:val="20"/>
          <w:color w:val="auto"/>
        </w:rPr>
      </w:pPr>
    </w:p>
    <w:p>
      <w:pPr>
        <w:sectPr>
          <w:pgSz w:w="11900" w:h="16838" w:orient="portrait"/>
          <w:cols w:equalWidth="0" w:num="2">
            <w:col w:w="5620" w:space="200"/>
            <w:col w:w="5560"/>
          </w:cols>
          <w:pgMar w:left="240" w:top="121"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78" w:name="page79"/>
    <w:bookmarkEnd w:id="78"/>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0" w:name="page81"/>
    <w:bookmarkEnd w:id="80"/>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 equity securities issued by us.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jc w:val="center"/>
        <w:ind w:right="-4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common shares, debt securities, warrants or any combination of such securities.</w:t>
      </w:r>
    </w:p>
    <w:p>
      <w:pPr>
        <w:spacing w:after="0" w:line="2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121" w:right="659" w:bottom="1440" w:gutter="0" w:footer="0" w:header="0"/>
        </w:sectPr>
      </w:pPr>
    </w:p>
    <w:bookmarkStart w:id="82" w:name="page83"/>
    <w:bookmarkEnd w:id="82"/>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common shares or warrants for those securities will be offered under the shareholder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exercise price payable for each security upon the exercise of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and terms of the securities which may be purchased per each subscription right;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Standby Arrangements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83" w:name="page84"/>
    <w:bookmarkEnd w:id="83"/>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340" w:right="2380" w:firstLine="316"/>
        <w:spacing w:after="0" w:line="501" w:lineRule="auto"/>
        <w:tabs>
          <w:tab w:leader="none" w:pos="9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 The prospectus supplement will state the terms of the offering of the securities, including:</w:t>
      </w: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84" w:name="page85"/>
    <w:bookmarkEnd w:id="84"/>
    <w:p>
      <w:pPr>
        <w:ind w:right="64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Underwriters and agents may be customers of, engage in transactions with, or perform services for us and our affiliates in the ordinary course of business.</w:t>
      </w:r>
    </w:p>
    <w:p>
      <w:pPr>
        <w:spacing w:after="0" w:line="2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20, 2018 (only with respect to “Item 1.C—2017 Board Compensation” and “Item 2.C— 2017 Executive Compensation” of Exhibit 99.3), March 22, 2018, March 26, 2018, April 27, 2018, and May 2, 2018 (only with respect to Exhibits 99.1 and 99.2); and</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ind w:right="20"/>
        <w:spacing w:after="0" w:line="290" w:lineRule="auto"/>
        <w:rPr>
          <w:sz w:val="20"/>
          <w:szCs w:val="20"/>
          <w:color w:val="auto"/>
        </w:rPr>
      </w:pPr>
      <w:r>
        <w:rPr>
          <w:rFonts w:ascii="Arial" w:cs="Arial" w:eastAsia="Arial" w:hAnsi="Arial"/>
          <w:sz w:val="16"/>
          <w:szCs w:val="16"/>
          <w:color w:val="auto"/>
        </w:rPr>
        <w:t>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6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6320" w:type="dxa"/>
            <w:vAlign w:val="bottom"/>
            <w:tcBorders>
              <w:bottom w:val="single" w:sz="8" w:color="D5EAEA"/>
            </w:tcBorders>
          </w:tcPr>
          <w:p>
            <w:pPr>
              <w:spacing w:after="0"/>
              <w:rPr>
                <w:sz w:val="20"/>
                <w:szCs w:val="20"/>
                <w:color w:val="auto"/>
              </w:rPr>
            </w:pPr>
          </w:p>
        </w:tc>
        <w:tc>
          <w:tcPr>
            <w:tcW w:w="3980" w:type="dxa"/>
            <w:vAlign w:val="bottom"/>
            <w:tcBorders>
              <w:bottom w:val="single" w:sz="8" w:color="D5EAEA"/>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 Be Paid</w:t>
            </w:r>
          </w:p>
        </w:tc>
        <w:tc>
          <w:tcPr>
            <w:tcW w:w="0" w:type="dxa"/>
            <w:vAlign w:val="bottom"/>
          </w:tcPr>
          <w:p>
            <w:pPr>
              <w:spacing w:after="0"/>
              <w:rPr>
                <w:sz w:val="1"/>
                <w:szCs w:val="1"/>
                <w:color w:val="auto"/>
              </w:rPr>
            </w:pPr>
          </w:p>
        </w:tc>
      </w:tr>
      <w:tr>
        <w:trPr>
          <w:trHeight w:val="210"/>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398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9"/>
              </w:rPr>
              <w:t>$  43,575.00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FINRA filing fee</w:t>
            </w:r>
          </w:p>
        </w:tc>
        <w:tc>
          <w:tcPr>
            <w:tcW w:w="5100" w:type="dxa"/>
            <w:vAlign w:val="bottom"/>
            <w:gridSpan w:val="2"/>
          </w:tcPr>
          <w:p>
            <w:pPr>
              <w:jc w:val="right"/>
              <w:ind w:right="10"/>
              <w:spacing w:after="0"/>
              <w:rPr>
                <w:sz w:val="20"/>
                <w:szCs w:val="20"/>
                <w:color w:val="auto"/>
              </w:rPr>
            </w:pPr>
            <w:r>
              <w:rPr>
                <w:rFonts w:ascii="Arial" w:cs="Arial" w:eastAsia="Arial" w:hAnsi="Arial"/>
                <w:sz w:val="18"/>
                <w:szCs w:val="18"/>
                <w:color w:val="auto"/>
              </w:rPr>
              <w:t>53,000.00</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51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51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D5EAEA"/>
          </w:tcPr>
          <w:p>
            <w:pPr>
              <w:spacing w:after="0"/>
              <w:rPr>
                <w:sz w:val="20"/>
                <w:szCs w:val="20"/>
                <w:color w:val="auto"/>
              </w:rPr>
            </w:pPr>
            <w:r>
              <w:rPr>
                <w:rFonts w:ascii="Arial" w:cs="Arial" w:eastAsia="Arial" w:hAnsi="Arial"/>
                <w:sz w:val="18"/>
                <w:szCs w:val="18"/>
                <w:color w:val="auto"/>
              </w:rPr>
              <w:t>Miscellaneous</w:t>
            </w:r>
          </w:p>
        </w:tc>
        <w:tc>
          <w:tcPr>
            <w:tcW w:w="51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3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22"/>
                <w:szCs w:val="22"/>
                <w:color w:val="auto"/>
              </w:rPr>
              <w:t>_______________</w:t>
            </w:r>
          </w:p>
        </w:tc>
        <w:tc>
          <w:tcPr>
            <w:tcW w:w="3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320" w:type="dxa"/>
            <w:vAlign w:val="bottom"/>
            <w:vMerge w:val="continue"/>
          </w:tcPr>
          <w:p>
            <w:pPr>
              <w:spacing w:after="0"/>
              <w:rPr>
                <w:sz w:val="19"/>
                <w:szCs w:val="19"/>
                <w:color w:val="auto"/>
              </w:rPr>
            </w:pPr>
          </w:p>
        </w:tc>
        <w:tc>
          <w:tcPr>
            <w:tcW w:w="3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205"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Such financial statements are incorporated herein by reference in reliance upon such report given the authority of such firm as experts in accounting and auditing.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33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2816225</wp:posOffset>
            </wp:positionH>
            <wp:positionV relativeFrom="page">
              <wp:posOffset>1272540</wp:posOffset>
            </wp:positionV>
            <wp:extent cx="1938020" cy="454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9380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436880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203200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July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848995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Roman"/>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lowerRoman"/>
      <w:start w:val="3"/>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Roman"/>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Roman"/>
      <w:start w:val="2"/>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lowerLetter"/>
      <w:start w:val="2"/>
    </w:lvl>
    <w:lvl w:ilvl="1">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2"/>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3"/>
    </w:lvl>
  </w:abstractNum>
  <w:abstractNum w:abstractNumId="26">
    <w:nsid w:val="5E884ADC"/>
    <w:multiLevelType w:val="hybridMultilevel"/>
    <w:lvl w:ilvl="0">
      <w:lvlJc w:val="left"/>
      <w:lvlText w:val="%1."/>
      <w:numFmt w:val="decimal"/>
      <w:start w:val="5"/>
    </w:lvl>
  </w:abstractNum>
  <w:abstractNum w:abstractNumId="27">
    <w:nsid w:val="51EAD36B"/>
    <w:multiLevelType w:val="hybridMultilevel"/>
    <w:lvl w:ilvl="0">
      <w:lvlJc w:val="left"/>
      <w:lvlText w:val="%1."/>
      <w:numFmt w:val="decimal"/>
      <w:start w:val="8"/>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2019-12-08T13:14:25Z</dcterms:created>
  <dcterms:modified xsi:type="dcterms:W3CDTF">2019-12-08T13:14:25Z</dcterms:modified>
</cp:coreProperties>
</file>