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25, 2018</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333-224694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9"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 IMMUNE SA</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07" w:lineRule="exact"/>
        <w:rPr>
          <w:sz w:val="24"/>
          <w:szCs w:val="24"/>
          <w:color w:val="auto"/>
        </w:rPr>
      </w:pPr>
    </w:p>
    <w:tbl>
      <w:tblPr>
        <w:tblLayout w:type="fixed"/>
        <w:tblInd w:w="1660" w:type="dxa"/>
        <w:tblCellMar>
          <w:top w:w="0" w:type="dxa"/>
          <w:left w:w="0" w:type="dxa"/>
          <w:bottom w:w="0" w:type="dxa"/>
          <w:right w:w="0" w:type="dxa"/>
        </w:tblCellMar>
      </w:tblPr>
      <w:tr>
        <w:trPr>
          <w:trHeight w:val="216"/>
        </w:trPr>
        <w:tc>
          <w:tcPr>
            <w:tcW w:w="4220" w:type="dxa"/>
            <w:vAlign w:val="bottom"/>
          </w:tcPr>
          <w:p>
            <w:pPr>
              <w:jc w:val="center"/>
              <w:ind w:right="1730"/>
              <w:spacing w:after="0"/>
              <w:rPr>
                <w:sz w:val="20"/>
                <w:szCs w:val="20"/>
                <w:color w:val="auto"/>
              </w:rPr>
            </w:pPr>
            <w:r>
              <w:rPr>
                <w:rFonts w:ascii="Arial" w:cs="Arial" w:eastAsia="Arial" w:hAnsi="Arial"/>
                <w:sz w:val="18"/>
                <w:szCs w:val="18"/>
                <w:b w:val="1"/>
                <w:bCs w:val="1"/>
                <w:color w:val="auto"/>
                <w:w w:val="91"/>
              </w:rPr>
              <w:t>Switzerland</w:t>
            </w:r>
          </w:p>
        </w:tc>
        <w:tc>
          <w:tcPr>
            <w:tcW w:w="3580" w:type="dxa"/>
            <w:vAlign w:val="bottom"/>
          </w:tcPr>
          <w:p>
            <w:pPr>
              <w:jc w:val="center"/>
              <w:ind w:left="1710"/>
              <w:spacing w:after="0"/>
              <w:rPr>
                <w:sz w:val="20"/>
                <w:szCs w:val="20"/>
                <w:color w:val="auto"/>
              </w:rPr>
            </w:pPr>
            <w:r>
              <w:rPr>
                <w:rFonts w:ascii="Arial" w:cs="Arial" w:eastAsia="Arial" w:hAnsi="Arial"/>
                <w:sz w:val="18"/>
                <w:szCs w:val="18"/>
                <w:b w:val="1"/>
                <w:bCs w:val="1"/>
                <w:color w:val="auto"/>
                <w:w w:val="90"/>
              </w:rPr>
              <w:t>Not Applicable</w:t>
            </w:r>
          </w:p>
        </w:tc>
      </w:tr>
      <w:tr>
        <w:trPr>
          <w:trHeight w:val="216"/>
        </w:trPr>
        <w:tc>
          <w:tcPr>
            <w:tcW w:w="4220" w:type="dxa"/>
            <w:vAlign w:val="bottom"/>
          </w:tcPr>
          <w:p>
            <w:pPr>
              <w:jc w:val="center"/>
              <w:ind w:right="1770"/>
              <w:spacing w:after="0"/>
              <w:rPr>
                <w:sz w:val="20"/>
                <w:szCs w:val="20"/>
                <w:color w:val="auto"/>
              </w:rPr>
            </w:pPr>
            <w:r>
              <w:rPr>
                <w:rFonts w:ascii="Arial" w:cs="Arial" w:eastAsia="Arial" w:hAnsi="Arial"/>
                <w:sz w:val="18"/>
                <w:szCs w:val="18"/>
                <w:b w:val="1"/>
                <w:bCs w:val="1"/>
                <w:color w:val="auto"/>
                <w:w w:val="90"/>
              </w:rPr>
              <w:t>(State or Other Jurisdiction of</w:t>
            </w:r>
          </w:p>
        </w:tc>
        <w:tc>
          <w:tcPr>
            <w:tcW w:w="358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220" w:type="dxa"/>
            <w:vAlign w:val="bottom"/>
          </w:tcPr>
          <w:p>
            <w:pPr>
              <w:jc w:val="center"/>
              <w:ind w:right="1710"/>
              <w:spacing w:after="0"/>
              <w:rPr>
                <w:sz w:val="20"/>
                <w:szCs w:val="20"/>
                <w:color w:val="auto"/>
              </w:rPr>
            </w:pPr>
            <w:r>
              <w:rPr>
                <w:rFonts w:ascii="Arial" w:cs="Arial" w:eastAsia="Arial" w:hAnsi="Arial"/>
                <w:sz w:val="18"/>
                <w:szCs w:val="18"/>
                <w:b w:val="1"/>
                <w:bCs w:val="1"/>
                <w:color w:val="auto"/>
                <w:w w:val="93"/>
              </w:rPr>
              <w:t>Incorporation or Organization)</w:t>
            </w:r>
          </w:p>
        </w:tc>
        <w:tc>
          <w:tcPr>
            <w:tcW w:w="3580" w:type="dxa"/>
            <w:vAlign w:val="bottom"/>
          </w:tcPr>
          <w:p>
            <w:pPr>
              <w:jc w:val="center"/>
              <w:ind w:left="171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1015 Lausanne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Switzerland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and Telephone Number of Registrant’s Principal Executive Offices)</w:t>
      </w:r>
    </w:p>
    <w:p>
      <w:pPr>
        <w:spacing w:after="0" w:line="207"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 East 40th Street, 10th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and Telephone Number of Agent For Service)</w:t>
      </w:r>
    </w:p>
    <w:p>
      <w:pPr>
        <w:spacing w:after="0" w:line="9"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Derek J. Dostal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Richard D. Truesdell, Jr.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Davis Polk &amp; Wardwell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450-4000</w:t>
      </w:r>
    </w:p>
    <w:p>
      <w:pPr>
        <w:spacing w:after="0" w:line="9" w:lineRule="exact"/>
        <w:rPr>
          <w:rFonts w:ascii="Arial" w:cs="Arial" w:eastAsia="Arial" w:hAnsi="Arial"/>
          <w:sz w:val="18"/>
          <w:szCs w:val="18"/>
          <w:b w:val="1"/>
          <w:bCs w:val="1"/>
          <w:color w:val="auto"/>
        </w:rPr>
      </w:pPr>
    </w:p>
    <w:p>
      <w:pPr>
        <w:ind w:left="3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_______________________________________________________</w:t>
      </w:r>
    </w:p>
    <w:p>
      <w:pPr>
        <w:spacing w:after="0" w:line="207" w:lineRule="exact"/>
        <w:rPr>
          <w:sz w:val="24"/>
          <w:szCs w:val="24"/>
          <w:color w:val="auto"/>
        </w:rPr>
      </w:pPr>
    </w:p>
    <w:p>
      <w:pPr>
        <w:ind w:left="340"/>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From time to time after this Registration Statement becomes effective.</w:t>
      </w:r>
    </w:p>
    <w:p>
      <w:pPr>
        <w:spacing w:after="0" w:line="24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w:t>
      </w:r>
    </w:p>
    <w:p>
      <w:pPr>
        <w:spacing w:after="0" w:line="4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43"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160" w:firstLine="324"/>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38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140" w:firstLine="324"/>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30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193"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472" w:right="239" w:bottom="0" w:gutter="0" w:footer="0" w:header="0"/>
        </w:sectPr>
      </w:pPr>
    </w:p>
    <w:bookmarkStart w:id="1" w:name="page2"/>
    <w:bookmarkEnd w:id="1"/>
    <w:p>
      <w:pPr>
        <w:jc w:val="both"/>
        <w:ind w:firstLine="324"/>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84" w:lineRule="exact"/>
        <w:rPr>
          <w:sz w:val="20"/>
          <w:szCs w:val="20"/>
          <w:color w:val="auto"/>
        </w:rPr>
      </w:pPr>
    </w:p>
    <w:p>
      <w:pPr>
        <w:ind w:right="8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220" w:firstLine="332"/>
        <w:spacing w:after="0" w:line="258" w:lineRule="auto"/>
        <w:tabs>
          <w:tab w:leader="none" w:pos="45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_______________________________________________________</w:t>
      </w:r>
    </w:p>
    <w:p>
      <w:pPr>
        <w:sectPr>
          <w:pgSz w:w="11900" w:h="16838" w:orient="portrait"/>
          <w:cols w:equalWidth="0" w:num="1">
            <w:col w:w="11340"/>
          </w:cols>
          <w:pgMar w:left="240" w:top="341"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58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178"/>
        </w:trPr>
        <w:tc>
          <w:tcPr>
            <w:tcW w:w="45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8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86"/>
              </w:rPr>
              <w:t>Proposed</w:t>
            </w:r>
          </w:p>
        </w:tc>
        <w:tc>
          <w:tcPr>
            <w:tcW w:w="178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86"/>
              </w:rPr>
              <w:t>Proposed</w:t>
            </w:r>
          </w:p>
        </w:tc>
        <w:tc>
          <w:tcPr>
            <w:tcW w:w="1640" w:type="dxa"/>
            <w:vAlign w:val="bottom"/>
          </w:tcPr>
          <w:p>
            <w:pPr>
              <w:spacing w:after="0"/>
              <w:rPr>
                <w:sz w:val="15"/>
                <w:szCs w:val="15"/>
                <w:color w:val="auto"/>
              </w:rPr>
            </w:pPr>
          </w:p>
        </w:tc>
      </w:tr>
      <w:tr>
        <w:trPr>
          <w:trHeight w:val="216"/>
        </w:trPr>
        <w:tc>
          <w:tcPr>
            <w:tcW w:w="4580" w:type="dxa"/>
            <w:vAlign w:val="bottom"/>
          </w:tcPr>
          <w:p>
            <w:pPr>
              <w:ind w:left="1480"/>
              <w:spacing w:after="0"/>
              <w:rPr>
                <w:sz w:val="20"/>
                <w:szCs w:val="20"/>
                <w:color w:val="auto"/>
              </w:rPr>
            </w:pPr>
            <w:r>
              <w:rPr>
                <w:rFonts w:ascii="Arial" w:cs="Arial" w:eastAsia="Arial" w:hAnsi="Arial"/>
                <w:sz w:val="18"/>
                <w:szCs w:val="18"/>
                <w:b w:val="1"/>
                <w:bCs w:val="1"/>
                <w:color w:val="auto"/>
              </w:rPr>
              <w:t>Title of Each Class of</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c>
          <w:tcPr>
            <w:tcW w:w="34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Maximum Aggregate Maximum Aggregate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41"/>
        </w:trPr>
        <w:tc>
          <w:tcPr>
            <w:tcW w:w="4580" w:type="dxa"/>
            <w:vAlign w:val="bottom"/>
            <w:tcBorders>
              <w:bottom w:val="single" w:sz="8" w:color="auto"/>
            </w:tcBorders>
          </w:tcPr>
          <w:p>
            <w:pPr>
              <w:ind w:left="1280"/>
              <w:spacing w:after="0"/>
              <w:rPr>
                <w:sz w:val="20"/>
                <w:szCs w:val="20"/>
                <w:color w:val="auto"/>
              </w:rPr>
            </w:pPr>
            <w:r>
              <w:rPr>
                <w:rFonts w:ascii="Arial" w:cs="Arial" w:eastAsia="Arial" w:hAnsi="Arial"/>
                <w:sz w:val="18"/>
                <w:szCs w:val="18"/>
                <w:b w:val="1"/>
                <w:bCs w:val="1"/>
                <w:color w:val="auto"/>
              </w:rPr>
              <w:t>Securities to be Registered</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 be Registered(1)</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Price per Unit(2)</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Price(3)</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 Fee(3)</w:t>
            </w:r>
          </w:p>
        </w:tc>
      </w:tr>
      <w:tr>
        <w:trPr>
          <w:trHeight w:val="216"/>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Shares, par value CHF 0.02 per share</w:t>
            </w:r>
          </w:p>
        </w:tc>
        <w:tc>
          <w:tcPr>
            <w:tcW w:w="17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r>
      <w:tr>
        <w:trPr>
          <w:trHeight w:val="210"/>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Debt Securities</w:t>
            </w:r>
          </w:p>
        </w:tc>
        <w:tc>
          <w:tcPr>
            <w:tcW w:w="17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r>
      <w:tr>
        <w:trPr>
          <w:trHeight w:val="210"/>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Warrants</w:t>
            </w:r>
          </w:p>
        </w:tc>
        <w:tc>
          <w:tcPr>
            <w:tcW w:w="17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r>
      <w:tr>
        <w:trPr>
          <w:trHeight w:val="210"/>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Purchase Contracts</w:t>
            </w:r>
          </w:p>
        </w:tc>
        <w:tc>
          <w:tcPr>
            <w:tcW w:w="17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r>
      <w:tr>
        <w:trPr>
          <w:trHeight w:val="210"/>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Units</w:t>
            </w:r>
          </w:p>
        </w:tc>
        <w:tc>
          <w:tcPr>
            <w:tcW w:w="17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r>
      <w:tr>
        <w:trPr>
          <w:trHeight w:val="210"/>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Subscription Rights</w:t>
            </w:r>
          </w:p>
        </w:tc>
        <w:tc>
          <w:tcPr>
            <w:tcW w:w="17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r>
      <w:tr>
        <w:trPr>
          <w:trHeight w:val="210"/>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Subtotal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$350,000,000</w:t>
            </w:r>
          </w:p>
        </w:tc>
        <w:tc>
          <w:tcPr>
            <w:tcW w:w="16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$350,000,000</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$43,575.00(4)</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____________________________</w:t>
            </w:r>
          </w:p>
        </w:tc>
        <w:tc>
          <w:tcPr>
            <w:tcW w:w="17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40" w:type="dxa"/>
            <w:vAlign w:val="bottom"/>
          </w:tcPr>
          <w:p>
            <w:pPr>
              <w:spacing w:after="0"/>
              <w:rPr>
                <w:sz w:val="19"/>
                <w:szCs w:val="19"/>
                <w:color w:val="auto"/>
              </w:rPr>
            </w:pPr>
          </w:p>
        </w:tc>
      </w:tr>
    </w:tbl>
    <w:p>
      <w:pPr>
        <w:spacing w:after="0" w:line="187" w:lineRule="exact"/>
        <w:rPr>
          <w:sz w:val="20"/>
          <w:szCs w:val="20"/>
          <w:color w:val="auto"/>
        </w:rPr>
      </w:pPr>
    </w:p>
    <w:p>
      <w:pPr>
        <w:ind w:left="340" w:right="30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are being registered hereunder such indeterminate number of securities of each identified class being registered as may be sold by the registrant from time to time at indeterminate prices, with any initial aggregate public offering price not to exceed $350,000,000.</w:t>
      </w:r>
    </w:p>
    <w:p>
      <w:pPr>
        <w:spacing w:after="0" w:line="170" w:lineRule="exact"/>
        <w:rPr>
          <w:rFonts w:ascii="Arial" w:cs="Arial" w:eastAsia="Arial" w:hAnsi="Arial"/>
          <w:sz w:val="18"/>
          <w:szCs w:val="18"/>
          <w:color w:val="auto"/>
        </w:rPr>
      </w:pPr>
    </w:p>
    <w:p>
      <w:pPr>
        <w:jc w:val="both"/>
        <w:ind w:left="340" w:right="4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proposed maximum aggregate offering price of each class of securities will be determined from time to time by the registrant in connection with the offer and sale of the securities registered hereunder and is not specified as to each class of securities pursuant to the General Instruction II.C. of Form F-3 under the Securities Act of 1933.</w:t>
      </w:r>
    </w:p>
    <w:p>
      <w:pPr>
        <w:spacing w:after="0" w:line="181" w:lineRule="exact"/>
        <w:rPr>
          <w:rFonts w:ascii="Arial" w:cs="Arial" w:eastAsia="Arial" w:hAnsi="Arial"/>
          <w:sz w:val="18"/>
          <w:szCs w:val="18"/>
          <w:color w:val="auto"/>
        </w:rPr>
      </w:pPr>
    </w:p>
    <w:p>
      <w:pPr>
        <w:ind w:left="340" w:right="10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457(o) under the Securities Act of 1933 with respect to the securities to be sold by the registrant. In no event will the aggregate offering price of all securities sold from time to time pursuant to this registration statement exceed $350,000,000.</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528955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both"/>
        <w:ind w:right="200"/>
        <w:spacing w:after="0"/>
        <w:rPr>
          <w:sz w:val="20"/>
          <w:szCs w:val="20"/>
          <w:color w:val="auto"/>
        </w:rPr>
      </w:pPr>
      <w:r>
        <w:rPr>
          <w:rFonts w:ascii="Arial" w:cs="Arial" w:eastAsia="Arial" w:hAnsi="Arial"/>
          <w:sz w:val="18"/>
          <w:szCs w:val="18"/>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jurisdiction where the offer or sale is not permitted.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May 25,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$350,000,000</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Shares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Purchase Contracts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191770</wp:posOffset>
            </wp:positionV>
            <wp:extent cx="1878330" cy="488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40"/>
        <w:spacing w:after="0"/>
        <w:rPr>
          <w:sz w:val="20"/>
          <w:szCs w:val="20"/>
          <w:color w:val="auto"/>
        </w:rPr>
      </w:pPr>
      <w:r>
        <w:rPr>
          <w:rFonts w:ascii="Arial" w:cs="Arial" w:eastAsia="Arial" w:hAnsi="Arial"/>
          <w:sz w:val="32"/>
          <w:szCs w:val="32"/>
          <w:b w:val="1"/>
          <w:bCs w:val="1"/>
          <w:color w:val="auto"/>
        </w:rPr>
        <w:t>AC IMMUNE SA</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in Switzerland)</w:t>
      </w:r>
    </w:p>
    <w:p>
      <w:pPr>
        <w:spacing w:after="0" w:line="20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may offer, from time to time, in one or more offerings, common shares, senior debt securities, subordinated debt securities, warrants, purchase contracts, units or subscription rights, which we collectively refer to as the “securities.” The aggregate initial offering price of the securities that we may offer and sell under this prospectus will not exceed $350,000,000. 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67"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securities covered by this prospectus may be offered through one or more underwriters, dealers and agents, or directly to purchasers. The names of any underwriters, dealers or agents, if any, will be included in a supplement to this prospectus. For general information about the distribution of securities offered, please see “Plan of Distribution” beginning on page 26.</w:t>
      </w:r>
    </w:p>
    <w:p>
      <w:pPr>
        <w:spacing w:after="0" w:line="181"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Our common shares are listed on the NASDAQ Global Market under the symbol “ACIU.” On May 22, 2018, the last sale price of our common shares as reported by the NASDAQ Global Market was $10.23 per common share. As of May 22, 2018, the aggregate market value of our outstanding common shares held by non-affiliates was approximately $238,164,456 based on approximately 57,400,565 shares of outstanding common shares, of which approximately 23,280,983 shares were held by non-affiliates. We have not offered any securities pursuant to General Instruction I.B.5 of Form F-3 during the prior 12 calendar month period that ends on, and includes, the date of this prospectus.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Investing in our securities involves risks. See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beginning on page 4 of this prospectus.</w:t>
      </w:r>
    </w:p>
    <w:p>
      <w:pPr>
        <w:spacing w:after="0" w:line="225" w:lineRule="exact"/>
        <w:rPr>
          <w:sz w:val="20"/>
          <w:szCs w:val="20"/>
          <w:color w:val="auto"/>
        </w:rPr>
      </w:pPr>
    </w:p>
    <w:p>
      <w:pPr>
        <w:ind w:right="280" w:firstLine="324"/>
        <w:spacing w:after="0" w:line="282"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ind w:left="4200"/>
              <w:spacing w:after="0"/>
              <w:rPr>
                <w:sz w:val="20"/>
                <w:szCs w:val="20"/>
                <w:color w:val="auto"/>
              </w:rPr>
            </w:pPr>
            <w:r>
              <w:rPr>
                <w:rFonts w:ascii="Arial" w:cs="Arial" w:eastAsia="Arial" w:hAnsi="Arial"/>
                <w:sz w:val="18"/>
                <w:szCs w:val="18"/>
                <w:b w:val="1"/>
                <w:bCs w:val="1"/>
                <w:color w:val="auto"/>
                <w:w w:val="92"/>
              </w:rPr>
              <w:t>The date of this prospectus is</w:t>
            </w:r>
          </w:p>
        </w:tc>
        <w:tc>
          <w:tcPr>
            <w:tcW w:w="4840" w:type="dxa"/>
            <w:vAlign w:val="bottom"/>
          </w:tcPr>
          <w:p>
            <w:pPr>
              <w:jc w:val="right"/>
              <w:ind w:right="4090"/>
              <w:spacing w:after="0"/>
              <w:rPr>
                <w:sz w:val="20"/>
                <w:szCs w:val="20"/>
                <w:color w:val="auto"/>
              </w:rPr>
            </w:pPr>
            <w:r>
              <w:rPr>
                <w:rFonts w:ascii="Arial" w:cs="Arial" w:eastAsia="Arial" w:hAnsi="Arial"/>
                <w:sz w:val="18"/>
                <w:szCs w:val="18"/>
                <w:b w:val="1"/>
                <w:bCs w:val="1"/>
                <w:color w:val="auto"/>
              </w:rPr>
              <w:t>, 2018.</w:t>
            </w:r>
          </w:p>
        </w:tc>
      </w:tr>
      <w:tr>
        <w:trPr>
          <w:trHeight w:val="567"/>
        </w:trPr>
        <w:tc>
          <w:tcPr>
            <w:tcW w:w="65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14" w:right="239" w:bottom="1440" w:gutter="0" w:footer="0" w:header="0"/>
        </w:sectPr>
      </w:pPr>
    </w:p>
    <w:bookmarkStart w:id="4" w:name="page5"/>
    <w:bookmarkEnd w:id="4"/>
    <w:p>
      <w:pPr>
        <w:ind w:right="80"/>
        <w:spacing w:after="0" w:line="276" w:lineRule="auto"/>
        <w:rPr>
          <w:sz w:val="20"/>
          <w:szCs w:val="20"/>
          <w:color w:val="auto"/>
        </w:rPr>
      </w:pPr>
      <w:r>
        <w:rPr>
          <w:rFonts w:ascii="Arial" w:cs="Arial" w:eastAsia="Arial" w:hAnsi="Arial"/>
          <w:sz w:val="17"/>
          <w:szCs w:val="17"/>
          <w:color w:val="auto"/>
        </w:rPr>
        <w:t>We have not authorized anyone to provide you with information different or additional to the information contained in or incorporated by reference in this prospectus or any related prospectus supplement we provide to you. We are not making an offer of securities in any jurisdiction where the offer is not permitted. You should not assume that the information contained in or incorporated by reference in this prospectus is accurate as of any date other than the date on the front of this prospectus. Unless otherwise noted or the context otherwise requires, references in this prospectus to “AC Immune,” “the Company,” “our company,” “we,” “us,” “our” or similar terms refer to AC Immune SA.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220" w:type="dxa"/>
            <w:vAlign w:val="bottom"/>
          </w:tcPr>
          <w:p>
            <w:pPr>
              <w:ind w:left="4560"/>
              <w:spacing w:after="0"/>
              <w:rPr>
                <w:sz w:val="20"/>
                <w:szCs w:val="20"/>
                <w:color w:val="auto"/>
              </w:rPr>
            </w:pPr>
            <w:r>
              <w:rPr>
                <w:rFonts w:ascii="Arial" w:cs="Arial" w:eastAsia="Arial" w:hAnsi="Arial"/>
                <w:sz w:val="22"/>
                <w:szCs w:val="22"/>
                <w:b w:val="1"/>
                <w:bCs w:val="1"/>
                <w:color w:val="auto"/>
              </w:rPr>
              <w:t>TABLE OF CONTENTS</w:t>
            </w:r>
          </w:p>
        </w:tc>
        <w:tc>
          <w:tcPr>
            <w:tcW w:w="1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9220" w:type="dxa"/>
            <w:vAlign w:val="bottom"/>
          </w:tcPr>
          <w:p>
            <w:pPr>
              <w:ind w:left="4040"/>
              <w:spacing w:after="0"/>
              <w:rPr>
                <w:sz w:val="20"/>
                <w:szCs w:val="20"/>
                <w:color w:val="auto"/>
              </w:rPr>
            </w:pPr>
            <w:r>
              <w:rPr>
                <w:rFonts w:ascii="Arial" w:cs="Arial" w:eastAsia="Arial" w:hAnsi="Arial"/>
                <w:sz w:val="22"/>
                <w:szCs w:val="22"/>
                <w:b w:val="1"/>
                <w:bCs w:val="1"/>
                <w:color w:val="auto"/>
              </w:rPr>
              <w:t>_______________________________</w:t>
            </w:r>
          </w:p>
        </w:tc>
        <w:tc>
          <w:tcPr>
            <w:tcW w:w="2200" w:type="dxa"/>
            <w:vAlign w:val="bottom"/>
            <w:gridSpan w:val="2"/>
            <w:vMerge w:val="restart"/>
          </w:tcPr>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c>
          <w:tcPr>
            <w:tcW w:w="0" w:type="dxa"/>
            <w:vAlign w:val="bottom"/>
          </w:tcPr>
          <w:p>
            <w:pPr>
              <w:spacing w:after="0"/>
              <w:rPr>
                <w:sz w:val="1"/>
                <w:szCs w:val="1"/>
                <w:color w:val="auto"/>
              </w:rPr>
            </w:pPr>
          </w:p>
        </w:tc>
      </w:tr>
      <w:tr>
        <w:trPr>
          <w:trHeight w:val="166"/>
        </w:trPr>
        <w:tc>
          <w:tcPr>
            <w:tcW w:w="922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38"/>
        </w:trPr>
        <w:tc>
          <w:tcPr>
            <w:tcW w:w="9220" w:type="dxa"/>
            <w:vAlign w:val="bottom"/>
          </w:tcPr>
          <w:p>
            <w:pPr>
              <w:spacing w:after="0"/>
              <w:rPr>
                <w:sz w:val="20"/>
                <w:szCs w:val="20"/>
                <w:color w:val="auto"/>
              </w:rPr>
            </w:pPr>
            <w:r>
              <w:rPr>
                <w:rFonts w:ascii="Arial" w:cs="Arial" w:eastAsia="Arial" w:hAnsi="Arial"/>
                <w:sz w:val="18"/>
                <w:szCs w:val="18"/>
                <w:color w:val="auto"/>
              </w:rPr>
              <w:t>About This Prospectus</w:t>
            </w:r>
          </w:p>
        </w:tc>
        <w:tc>
          <w:tcPr>
            <w:tcW w:w="186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Special Note Regarding Forward-Looking Statements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AC Immune SA</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Risk Factors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Use of Proceeds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Description of Share Capital and Articles of Association</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Comparison of Swiss Law and Delaware Law</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Description of Debt Securities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Description of Warrants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Description of Purchase Contracts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Description of Units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Description of Subscription Rights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Plan of Distribution</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Incorporation of Certain Information By Reference</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Enforcement of Judgments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Expenses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Legal Matters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Experts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Indemnification of Officers and Directors</w:t>
            </w:r>
          </w:p>
        </w:tc>
        <w:tc>
          <w:tcPr>
            <w:tcW w:w="18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Exhibits</w:t>
            </w:r>
          </w:p>
        </w:tc>
        <w:tc>
          <w:tcPr>
            <w:tcW w:w="18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230"/>
        </w:trPr>
        <w:tc>
          <w:tcPr>
            <w:tcW w:w="9220" w:type="dxa"/>
            <w:vAlign w:val="bottom"/>
          </w:tcPr>
          <w:p>
            <w:pPr>
              <w:spacing w:after="0"/>
              <w:rPr>
                <w:sz w:val="20"/>
                <w:szCs w:val="20"/>
                <w:color w:val="auto"/>
              </w:rPr>
            </w:pPr>
            <w:r>
              <w:rPr>
                <w:rFonts w:ascii="Arial" w:cs="Arial" w:eastAsia="Arial" w:hAnsi="Arial"/>
                <w:sz w:val="18"/>
                <w:szCs w:val="18"/>
                <w:color w:val="auto"/>
              </w:rPr>
              <w:t>Undertakings</w:t>
            </w:r>
          </w:p>
        </w:tc>
        <w:tc>
          <w:tcPr>
            <w:tcW w:w="18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II-2</w:t>
            </w:r>
          </w:p>
        </w:tc>
        <w:tc>
          <w:tcPr>
            <w:tcW w:w="0" w:type="dxa"/>
            <w:vAlign w:val="bottom"/>
          </w:tcPr>
          <w:p>
            <w:pPr>
              <w:spacing w:after="0"/>
              <w:rPr>
                <w:sz w:val="1"/>
                <w:szCs w:val="1"/>
                <w:color w:val="auto"/>
              </w:rPr>
            </w:pPr>
          </w:p>
        </w:tc>
      </w:tr>
      <w:tr>
        <w:trPr>
          <w:trHeight w:val="567"/>
        </w:trPr>
        <w:tc>
          <w:tcPr>
            <w:tcW w:w="9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headings “Where You Can Find More Information” and “Incorporation of Certain Information by Reference.”</w:t>
      </w:r>
    </w:p>
    <w:p>
      <w:pPr>
        <w:spacing w:after="0" w:line="17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We have filed or incorporated by reference exhibits to the registration statement of which this prospectus forms a part. You should read the exhibits carefully for provisions that may be important to you.</w:t>
      </w:r>
    </w:p>
    <w:p>
      <w:pPr>
        <w:spacing w:after="0" w:line="166" w:lineRule="exact"/>
        <w:rPr>
          <w:sz w:val="20"/>
          <w:szCs w:val="20"/>
          <w:color w:val="auto"/>
        </w:rPr>
      </w:pPr>
    </w:p>
    <w:p>
      <w:pPr>
        <w:ind w:right="80" w:firstLine="324"/>
        <w:spacing w:after="0" w:line="258" w:lineRule="auto"/>
        <w:rPr>
          <w:sz w:val="20"/>
          <w:szCs w:val="20"/>
          <w:color w:val="auto"/>
        </w:rPr>
      </w:pPr>
      <w:r>
        <w:rPr>
          <w:rFonts w:ascii="Arial" w:cs="Arial" w:eastAsia="Arial" w:hAnsi="Arial"/>
          <w:sz w:val="18"/>
          <w:szCs w:val="18"/>
          <w:b w:val="1"/>
          <w:bCs w:val="1"/>
          <w:color w:val="auto"/>
        </w:rPr>
        <w:t>Neither the delivery of this prospectus nor any sale made under it implies that there has been no change in our affairs or that the information in this prospectus is correct as of any date after the date of this prospectus. You should not assume that the information in this prospectus, including any information incorporated in this prospectus by reference, the accompanying prospectus supplement or any free writing prospectus prepared by us, is accurate as of any date other than the date on the front of those documents. Our business, financial condition, results of operations and prospects may have changed since that date.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should not assume that the information contained in this prospectus is accurate as of any other date.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file or furnish certain information with the SEC, including annual reports on Form 20-F and reports on Form 6-K under the Securities Exchange Act of 1934, as amended, or the Exchange Act. You may read and copy this information at the following location of the SEC: Public Reference Room, 100 F Street, N.E., Washington, D.C. 20549.</w:t>
      </w:r>
    </w:p>
    <w:p>
      <w:pPr>
        <w:spacing w:after="0" w:line="181"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 xml:space="preserve">You may obtain information on the operation of the SEC’s Public Reference Room by calling the SEC at 1-800-SEC-0330. The SEC also maintains an Internet site that contains reports and other information about issuers like us who file electronically with the SEC. The address of the 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managing directors, supervisory directors and principal shareholders are exempt from the reporting and short-swing profit recovery provisions contained in Section 16 of the Exchange Act.</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spacing w:after="0" w:line="19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These risks and uncertainties include factors relating to:</w:t>
      </w:r>
    </w:p>
    <w:p>
      <w:pPr>
        <w:spacing w:after="0" w:line="188" w:lineRule="exact"/>
        <w:rPr>
          <w:sz w:val="20"/>
          <w:szCs w:val="20"/>
          <w:color w:val="auto"/>
        </w:rPr>
      </w:pPr>
    </w:p>
    <w:p>
      <w:pPr>
        <w:ind w:left="660" w:right="3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our anti-Tau antibody candidate, ACI-24, ACI-35 and our Tau-PET Imaging tracer candidate;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Morphomer proprietary technology platform and its success in building additional product candidates for our pipeline;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Food and Drug Administration’s and applicable foreign regulatory authorities’ acceptance of data from studies we conduct outside the United States in the future;</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risk factors discussed in our most recent Annual Report on Form 20-F.</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796"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 IMMUNE SA</w:t>
      </w:r>
    </w:p>
    <w:p>
      <w:pPr>
        <w:spacing w:after="0" w:line="22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are a clinical stage biopharmaceutical company focused on neurodegenerative diseases with four product candidates in clinical trials. We leverage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and Tar Binding Protein (TDP-43). We believe that our large and diverse pipeline of nine therapeutic candidates and three diagnostic candidates has the potential to drive a paradigm shift in the treatment of a broad spectrum of neurodegenerative and other diseases related to protein misfolding.</w:t>
      </w:r>
    </w:p>
    <w:p>
      <w:pPr>
        <w:spacing w:after="0" w:line="165" w:lineRule="exact"/>
        <w:rPr>
          <w:sz w:val="20"/>
          <w:szCs w:val="20"/>
          <w:color w:val="auto"/>
        </w:rPr>
      </w:pPr>
    </w:p>
    <w:p>
      <w:pPr>
        <w:ind w:right="460" w:firstLine="324"/>
        <w:spacing w:after="0" w:line="276"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Swiss enterprise identification number is CHE-109.878.825. Our domicile and registered office is in Ecublens, near Lausanne, Canton of Vaud, Switzerland. Our common shares were admitted to trading on NASDAQ Global Market on September 23, 2016. Our shares are traded under the symbol “ACIU.”</w:t>
      </w:r>
    </w:p>
    <w:p>
      <w:pPr>
        <w:spacing w:after="0" w:line="17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registered and principal executive offices are located at EPFL Innovation Park, Building B, 1015 Lausanne, Switzerland, our general telephone number is (41) 21 345 91 21 and our internet address is www.acimmune.com. Our website and the information contained on or accessible through our website are not part of this prospectus.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Before making a decision to invest in our securities, you should carefully consider the risks described under “Risk Factors” in the applicable prospectus supplement and in our then most recent Annual Report on Form 20-F, and in any updates to those risk factors in our reports Form 6-K incorporated herein, together with all of the other information appearing or incorporated by reference in this prospectus and any applicable prospectus supplement, in light of your particular investment objectives and financial circumstances.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sets forth our ratio of earnings to fixed charges for each of the periods indicated. You should read this table in conjunction with the consolidated financial statements and notes incorporated by reference in this prospectus.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5"/>
              </w:rPr>
              <w:t>Fiscal Year Ended December 31,</w:t>
            </w:r>
          </w:p>
        </w:tc>
        <w:tc>
          <w:tcPr>
            <w:tcW w:w="1080" w:type="dxa"/>
            <w:vAlign w:val="bottom"/>
            <w:tcBorders>
              <w:bottom w:val="single" w:sz="8" w:color="auto"/>
            </w:tcBorders>
          </w:tcPr>
          <w:p>
            <w:pPr>
              <w:spacing w:after="0"/>
              <w:rPr>
                <w:sz w:val="20"/>
                <w:szCs w:val="20"/>
                <w:color w:val="auto"/>
              </w:rPr>
            </w:pPr>
          </w:p>
        </w:tc>
      </w:tr>
      <w:tr>
        <w:trPr>
          <w:trHeight w:val="210"/>
        </w:trPr>
        <w:tc>
          <w:tcPr>
            <w:tcW w:w="64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27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2016</w:t>
            </w: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10"/>
        </w:trPr>
        <w:tc>
          <w:tcPr>
            <w:tcW w:w="6400" w:type="dxa"/>
            <w:vAlign w:val="bottom"/>
            <w:shd w:val="clear" w:color="auto" w:fill="D5EAEA"/>
          </w:tcPr>
          <w:p>
            <w:pPr>
              <w:spacing w:after="0"/>
              <w:rPr>
                <w:sz w:val="20"/>
                <w:szCs w:val="20"/>
                <w:color w:val="auto"/>
              </w:rPr>
            </w:pPr>
            <w:r>
              <w:rPr>
                <w:rFonts w:ascii="Arial" w:cs="Arial" w:eastAsia="Arial" w:hAnsi="Arial"/>
                <w:sz w:val="18"/>
                <w:szCs w:val="18"/>
                <w:color w:val="auto"/>
              </w:rPr>
              <w:t>Ratio of earnings to fixed charges</w:t>
            </w:r>
          </w:p>
        </w:tc>
        <w:tc>
          <w:tcPr>
            <w:tcW w:w="124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2700" w:type="dxa"/>
            <w:vAlign w:val="bottom"/>
            <w:shd w:val="clear" w:color="auto" w:fill="D5EAEA"/>
          </w:tcPr>
          <w:p>
            <w:pPr>
              <w:jc w:val="right"/>
              <w:ind w:right="9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5EAEA"/>
          </w:tcPr>
          <w:p>
            <w:pPr>
              <w:jc w:val="right"/>
              <w:ind w:right="390"/>
              <w:spacing w:after="0"/>
              <w:rPr>
                <w:sz w:val="20"/>
                <w:szCs w:val="20"/>
                <w:color w:val="auto"/>
              </w:rPr>
            </w:pPr>
            <w:r>
              <w:rPr>
                <w:rFonts w:ascii="Arial" w:cs="Arial" w:eastAsia="Arial" w:hAnsi="Arial"/>
                <w:sz w:val="18"/>
                <w:szCs w:val="18"/>
                <w:color w:val="auto"/>
              </w:rPr>
              <w:t>1,062</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________________________</w:t>
            </w:r>
          </w:p>
        </w:tc>
        <w:tc>
          <w:tcPr>
            <w:tcW w:w="12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87" w:lineRule="exact"/>
        <w:rPr>
          <w:sz w:val="20"/>
          <w:szCs w:val="20"/>
          <w:color w:val="auto"/>
        </w:rPr>
      </w:pPr>
    </w:p>
    <w:p>
      <w:pPr>
        <w:ind w:right="280" w:firstLine="332"/>
        <w:spacing w:after="0" w:line="277" w:lineRule="auto"/>
        <w:tabs>
          <w:tab w:leader="none" w:pos="459"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earnings were insufficient to cover fixed charges of CHF 174 thousand and CHF 27 thousand for the years ended December 31, 2017 and 2016, respectively.</w:t>
      </w:r>
    </w:p>
    <w:p>
      <w:pPr>
        <w:spacing w:after="0" w:line="170"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For purposes of calculating the ratios in the table above, earnings consist of pre-tax income/(loss) from continuing operations plus fixed charges. Fixed charges consist of relevant interest expenses and an estimate of the interest expense (5% for all periods) within rental expense.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Unless otherwise indicated in a prospectus supplement, the net proceeds from our sale of the securities will be used for general corporate purposes and other business opportunities.</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domicile and registered office is in Ecublens, near Lausanne, Canton of Vaud, Switzerland. Our head office is currently located at EPFL Innovation Park, Building B, Lausanne, Switzerland.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As of the date of this prospectus, our issued share capital is CHF 1,147,253.80, consisting of 57,362,690 common shares. We have no dividend rights certificates (</w:t>
      </w:r>
      <w:r>
        <w:rPr>
          <w:rFonts w:ascii="Arial" w:cs="Arial" w:eastAsia="Arial" w:hAnsi="Arial"/>
          <w:sz w:val="18"/>
          <w:szCs w:val="18"/>
          <w:i w:val="1"/>
          <w:iCs w:val="1"/>
          <w:color w:val="auto"/>
        </w:rPr>
        <w:t>bons de jouissance</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On March 26, 2018, we adopted the articles of association and when we refer to our articles of association in this prospectus, we refer to the articles of association as filed as Exhibit 4.1 hereto.</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Purpose</w:t>
      </w:r>
    </w:p>
    <w:p>
      <w:pPr>
        <w:spacing w:after="0" w:line="225"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Under our articles of association, our purpose is the research, study, development, manufacture, promotion, sale and marketing of products and substances within the pharmaceutical and nutrition industry as well as the purchase, sale and exploitation of patents and licenses in this field. We may engage in any activities which are apt to favor our purpose directly or indirectly. We may also acquire and sell real estate. We may open branch offices in Switzerland and abroad and may also acquire participations in other companies. We may provide securities to its subsidiaries and supply guarantees.</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Ordinary Capital Increase, Authorized and Conditional Share Capital</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Under Swiss law, we may increase our share capital (</w:t>
      </w:r>
      <w:r>
        <w:rPr>
          <w:rFonts w:ascii="Arial" w:cs="Arial" w:eastAsia="Arial" w:hAnsi="Arial"/>
          <w:sz w:val="17"/>
          <w:szCs w:val="17"/>
          <w:i w:val="1"/>
          <w:iCs w:val="1"/>
          <w:color w:val="auto"/>
        </w:rPr>
        <w:t>capital-actions</w:t>
      </w:r>
      <w:r>
        <w:rPr>
          <w:rFonts w:ascii="Arial" w:cs="Arial" w:eastAsia="Arial" w:hAnsi="Arial"/>
          <w:sz w:val="17"/>
          <w:szCs w:val="17"/>
          <w:color w:val="auto"/>
        </w:rPr>
        <w:t>) with a resolution of the general meeting of shareholders (ordinary capital increase) that must be carried out by the board of directors within three months of the general meeting in order to become effective. Under our articles of association, in the case of subscription and increase against payment of contributions in cash, a resolution passed by a simple majority of the shares represented at the general meeting of shareholders regardless of abstentions or empty or invalid votes is required. In the case of subscription and increase against contributions in kind or to fund acquisitions in kind, when shareholders’ statutory pre-emptive subscription rights are withdrawn or where transformation of reserves into share capital is involved, a resolution passed by two-thirds of the shares represented at a general meeting of shareholders and the absolute majority of the nominal amount of the shares represented is required.</w:t>
      </w:r>
    </w:p>
    <w:p>
      <w:pPr>
        <w:spacing w:after="0" w:line="178" w:lineRule="exact"/>
        <w:rPr>
          <w:sz w:val="20"/>
          <w:szCs w:val="20"/>
          <w:color w:val="auto"/>
        </w:rPr>
      </w:pPr>
    </w:p>
    <w:p>
      <w:pPr>
        <w:ind w:right="420" w:firstLine="324"/>
        <w:spacing w:after="0" w:line="286" w:lineRule="auto"/>
        <w:rPr>
          <w:sz w:val="20"/>
          <w:szCs w:val="20"/>
          <w:color w:val="auto"/>
        </w:rPr>
      </w:pPr>
      <w:r>
        <w:rPr>
          <w:rFonts w:ascii="Arial" w:cs="Arial" w:eastAsia="Arial" w:hAnsi="Arial"/>
          <w:sz w:val="17"/>
          <w:szCs w:val="17"/>
          <w:color w:val="auto"/>
        </w:rPr>
        <w:t>Furthermore, under the Swiss Code of Obligations, or the CO, our shareholders, by a resolution passed by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w:t>
      </w:r>
    </w:p>
    <w:p>
      <w:pPr>
        <w:spacing w:after="0" w:line="166" w:lineRule="exact"/>
        <w:rPr>
          <w:sz w:val="20"/>
          <w:szCs w:val="20"/>
          <w:color w:val="auto"/>
        </w:rPr>
      </w:pPr>
    </w:p>
    <w:p>
      <w:pPr>
        <w:ind w:left="660" w:right="12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conditional capital (</w:t>
      </w:r>
      <w:r>
        <w:rPr>
          <w:rFonts w:ascii="Arial" w:cs="Arial" w:eastAsia="Arial" w:hAnsi="Arial"/>
          <w:sz w:val="18"/>
          <w:szCs w:val="18"/>
          <w:i w:val="1"/>
          <w:iCs w:val="1"/>
          <w:color w:val="auto"/>
        </w:rPr>
        <w:t>capital conditionnel</w:t>
      </w:r>
      <w:r>
        <w:rPr>
          <w:rFonts w:ascii="Arial" w:cs="Arial" w:eastAsia="Arial" w:hAnsi="Arial"/>
          <w:sz w:val="18"/>
          <w:szCs w:val="18"/>
          <w:color w:val="auto"/>
        </w:rPr>
        <w:t>) for the purpose of issuing shares in connection with, among other things, (i) option and conversion rights granted in connection with warrants and convertible bonds of the Company or one of our subsidiaries or (ii) grants of rights to employees, members of our board of directors or consultants or our subsidiaries or other persons providing services to the Company or a subsidiary to subscribe for new shares (conversion or option rights); or</w:t>
      </w:r>
    </w:p>
    <w:p>
      <w:pPr>
        <w:spacing w:after="0" w:line="18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authorized capital (</w:t>
      </w:r>
      <w:r>
        <w:rPr>
          <w:rFonts w:ascii="Arial" w:cs="Arial" w:eastAsia="Arial" w:hAnsi="Arial"/>
          <w:sz w:val="18"/>
          <w:szCs w:val="18"/>
          <w:i w:val="1"/>
          <w:iCs w:val="1"/>
          <w:color w:val="auto"/>
        </w:rPr>
        <w:t>capital-actions autorisé</w:t>
      </w:r>
      <w:r>
        <w:rPr>
          <w:rFonts w:ascii="Arial" w:cs="Arial" w:eastAsia="Arial" w:hAnsi="Arial"/>
          <w:sz w:val="18"/>
          <w:szCs w:val="18"/>
          <w:color w:val="auto"/>
        </w:rPr>
        <w:t>) to be utilized by the board of directors within a period determined by the shareholders but not exceeding two years from the date of the shareholder approval.</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25"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Pursuant to the CO, shareholders have pre-emptive subscription rights (</w:t>
      </w:r>
      <w:r>
        <w:rPr>
          <w:rFonts w:ascii="Arial" w:cs="Arial" w:eastAsia="Arial" w:hAnsi="Arial"/>
          <w:sz w:val="17"/>
          <w:szCs w:val="17"/>
          <w:i w:val="1"/>
          <w:iCs w:val="1"/>
          <w:color w:val="auto"/>
        </w:rPr>
        <w:t>droits de souscription</w:t>
      </w:r>
      <w:r>
        <w:rPr>
          <w:rFonts w:ascii="Arial" w:cs="Arial" w:eastAsia="Arial" w:hAnsi="Arial"/>
          <w:sz w:val="17"/>
          <w:szCs w:val="17"/>
          <w:color w:val="auto"/>
        </w:rPr>
        <w:t>) to subscribe for new issuances of shares. With respect to conditional capital in connection with the issuance of conversion rights, convertible bonds or similar debt instruments, shareholders have advance subscription rights (</w:t>
      </w:r>
      <w:r>
        <w:rPr>
          <w:rFonts w:ascii="Arial" w:cs="Arial" w:eastAsia="Arial" w:hAnsi="Arial"/>
          <w:sz w:val="17"/>
          <w:szCs w:val="17"/>
          <w:i w:val="1"/>
          <w:iCs w:val="1"/>
          <w:color w:val="auto"/>
        </w:rPr>
        <w:t>droit de souscrire préalablement</w:t>
      </w:r>
      <w:r>
        <w:rPr>
          <w:rFonts w:ascii="Arial" w:cs="Arial" w:eastAsia="Arial" w:hAnsi="Arial"/>
          <w:sz w:val="17"/>
          <w:szCs w:val="17"/>
          <w:color w:val="auto"/>
        </w:rPr>
        <w:t>) for the subscription of conversion rights, convertible bonds or similar debt instruments.</w:t>
      </w:r>
    </w:p>
    <w:p>
      <w:pPr>
        <w:spacing w:after="0" w:line="166"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A resolution passed at a general meeting of shareholders by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7"/>
          <w:szCs w:val="17"/>
          <w:color w:val="auto"/>
        </w:rPr>
        <w:t>If pre-emptive subscription rights are granted, but not exercised, the board of directors may allocate the pre-emptive subscription rights as it elects.</w:t>
      </w:r>
    </w:p>
    <w:p>
      <w:pPr>
        <w:spacing w:after="0" w:line="237"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The authorization previously granted to the board of directors to issue share capital has expired. A valid authorization to issue share capital in the articles of association of a Swiss stock corporation would typically provide for the withdrawal or limitation of preemptive subscription rights of shareholders, and their allocation to third parties or to the company, in the event that the newly issued shares are used for the following purposes:</w:t>
      </w:r>
    </w:p>
    <w:p>
      <w:pPr>
        <w:spacing w:after="0" w:line="16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issue price of the new registered shares is determined by reference to the market price;</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acquisition of an enterprise, part(s) of an enterprise or participations, or for the financing or refinancing of any of such transactions, or in the event of share placement for the financing or re-financing of such transactions;</w:t>
      </w:r>
    </w:p>
    <w:p>
      <w:pPr>
        <w:spacing w:after="0" w:line="170"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w:t>
      </w:r>
    </w:p>
    <w:p>
      <w:pPr>
        <w:spacing w:after="0" w:line="123" w:lineRule="exact"/>
        <w:rPr>
          <w:rFonts w:ascii="Arial" w:cs="Arial" w:eastAsia="Arial" w:hAnsi="Arial"/>
          <w:sz w:val="16"/>
          <w:szCs w:val="16"/>
          <w:color w:val="auto"/>
        </w:rPr>
      </w:pPr>
    </w:p>
    <w:p>
      <w:pPr>
        <w:ind w:left="660" w:right="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purposes of granting an over-allotment option of up to 20% of the total number of registered shares in a placement or sale of registered shares to the respective initial purchaser(s) or underwriter(s);</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raising of capital (including private placements) in a fast and flexible manner which probably could not be reached without the exclusion of the statutory pre-emptive right of the existing shareholders;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other valid grounds in the sense of Article 652b para. 2 of the CO.</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Authorized Share Capital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Article 3a of our articles of association, the authorization granted to our board of directors to increase our nominal share capital has expired.</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Conditional Share Capital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Conditional Share Capital for Bonds and Similar Debt Instruments</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Under Article 3b of our articles of association, our nominal share capital may be increased by a maximum aggregate amount of CHF 91,867.50 through the issuance of not more than 4,593,375 common shares, which would have to be fully paid-in, with a nominal value of CHF 0.02 each, by the exercise of option and conversion rights granted in connection with warrants and convertible bonds of the Company or one of our subsidiaries. Shareholders will not have pre-emptive subscription rights in such circumstances. The holders of convertible bonds are entitled to the new shares upon the occurrence of the applicable conversion feature.</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When issuing convertible bonds, the board of directors is authorized to withdraw or to limit the advance subscription right of shareholders to subscribe to the convertible bond issuance:</w:t>
      </w:r>
    </w:p>
    <w:p>
      <w:pPr>
        <w:spacing w:after="0" w:line="170" w:lineRule="exact"/>
        <w:rPr>
          <w:sz w:val="20"/>
          <w:szCs w:val="20"/>
          <w:color w:val="auto"/>
        </w:rPr>
      </w:pPr>
    </w:p>
    <w:p>
      <w:pPr>
        <w:ind w:left="660" w:right="2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purpose of financing or refinancing the acquisition of enterprises, divisions thereof, or of participations or of newly planned investments of the Company;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issuance occurs in domestic or international capital markets, including private placements.</w:t>
      </w:r>
    </w:p>
    <w:p>
      <w:pPr>
        <w:spacing w:after="0" w:line="22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To the extent that the advance subscription rights are withdrawn, (i) the convertible bonds are to be issued at market conditions; (ii) the term to exercise the option or conversion rights may not exceed ten years as of the date of the convertible bond issue and twenty years for conversion rights; and (iii) the exercise price for the new shares must at least correspond to the market conditions at the time of the convertible bond issuance.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i w:val="1"/>
          <w:iCs w:val="1"/>
          <w:color w:val="auto"/>
        </w:rPr>
        <w:t>Conditional Share Capital for Employee Benefit Plans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Under Article 3c of our articles of association, our nominal share capital may, to the exclusion of the pre-emptive subscription rights of shareholders, be increased by a maximum aggregate amount of CHF 57,073.04 through the issuance of not more than 2,853,652 common shares, which would have to be fully paid-in, with a nominal value of CHF 0.02 each, by the exercise of option or conversion rights that have been granted to employees, members of the board of directors or consultants of the Company or of one of our subsidiaries or other persons providing services to the Company or a subsidiary through one or more equity incentive plans created by the board of directors.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Uncertificated Securities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shares are uncertificated securities (</w:t>
      </w:r>
      <w:r>
        <w:rPr>
          <w:rFonts w:ascii="Arial" w:cs="Arial" w:eastAsia="Arial" w:hAnsi="Arial"/>
          <w:sz w:val="17"/>
          <w:szCs w:val="17"/>
          <w:i w:val="1"/>
          <w:iCs w:val="1"/>
          <w:color w:val="auto"/>
        </w:rPr>
        <w:t>droits-valeurs</w:t>
      </w:r>
      <w:r>
        <w:rPr>
          <w:rFonts w:ascii="Arial" w:cs="Arial" w:eastAsia="Arial" w:hAnsi="Arial"/>
          <w:sz w:val="17"/>
          <w:szCs w:val="17"/>
          <w:color w:val="auto"/>
        </w:rPr>
        <w:t>, within the meaning of Article 973c of the CO) and, when administered by a financial intermediary (</w:t>
      </w:r>
      <w:r>
        <w:rPr>
          <w:rFonts w:ascii="Arial" w:cs="Arial" w:eastAsia="Arial" w:hAnsi="Arial"/>
          <w:sz w:val="17"/>
          <w:szCs w:val="17"/>
          <w:i w:val="1"/>
          <w:iCs w:val="1"/>
          <w:color w:val="auto"/>
        </w:rPr>
        <w:t>dépositaire</w:t>
      </w:r>
      <w:r>
        <w:rPr>
          <w:rFonts w:ascii="Arial" w:cs="Arial" w:eastAsia="Arial" w:hAnsi="Arial"/>
          <w:sz w:val="17"/>
          <w:szCs w:val="17"/>
          <w:color w:val="auto"/>
        </w:rPr>
        <w:t>, within the meaning of the Federal Act on Intermediated Securities, “FISA”), qualify as intermediated securities (</w:t>
      </w:r>
      <w:r>
        <w:rPr>
          <w:rFonts w:ascii="Arial" w:cs="Arial" w:eastAsia="Arial" w:hAnsi="Arial"/>
          <w:sz w:val="17"/>
          <w:szCs w:val="17"/>
          <w:i w:val="1"/>
          <w:iCs w:val="1"/>
          <w:color w:val="auto"/>
        </w:rPr>
        <w:t>titres intermédiés</w:t>
      </w:r>
      <w:r>
        <w:rPr>
          <w:rFonts w:ascii="Arial" w:cs="Arial" w:eastAsia="Arial" w:hAnsi="Arial"/>
          <w:sz w:val="17"/>
          <w:szCs w:val="17"/>
          <w:color w:val="auto"/>
        </w:rPr>
        <w:t>, within the meaning of the FISA). In accordance with Article 973c of the CO, we will maintain a non-public register of uncertificated securities (</w:t>
      </w:r>
      <w:r>
        <w:rPr>
          <w:rFonts w:ascii="Arial" w:cs="Arial" w:eastAsia="Arial" w:hAnsi="Arial"/>
          <w:sz w:val="17"/>
          <w:szCs w:val="17"/>
          <w:i w:val="1"/>
          <w:iCs w:val="1"/>
          <w:color w:val="auto"/>
        </w:rPr>
        <w:t>registre des droits-valeurs</w:t>
      </w:r>
      <w:r>
        <w:rPr>
          <w:rFonts w:ascii="Arial" w:cs="Arial" w:eastAsia="Arial" w:hAnsi="Arial"/>
          <w:sz w:val="17"/>
          <w:szCs w:val="17"/>
          <w:color w:val="auto"/>
        </w:rPr>
        <w:t>). We may at any time convert uncertificated securities into share certificates (including global certificates), one kind of certificate into another, or</w:t>
      </w:r>
      <w:r>
        <w:rPr>
          <w:rFonts w:ascii="Arial" w:cs="Arial" w:eastAsia="Arial" w:hAnsi="Arial"/>
          <w:sz w:val="17"/>
          <w:szCs w:val="17"/>
          <w:i w:val="1"/>
          <w:iCs w:val="1"/>
          <w:color w:val="auto"/>
        </w:rPr>
        <w:t xml:space="preserve"> </w:t>
      </w:r>
      <w:r>
        <w:rPr>
          <w:rFonts w:ascii="Arial" w:cs="Arial" w:eastAsia="Arial" w:hAnsi="Arial"/>
          <w:sz w:val="17"/>
          <w:szCs w:val="17"/>
          <w:color w:val="auto"/>
        </w:rPr>
        <w:t>share certificates (including global certificates) into uncertificated securities. Following entry in the share register, a shareholder may at any time request from us a written confirmation in respect of the shares held by such shareholder, as reflected in the share register. Shareholders are not entitled, however, to request the printing and delivery of certificates. We may print and deliver certificates for shares at any time.</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 Meeting of Shareholders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Ordinary/Extraordinary Meetings, Powers</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corporation’s financial year. In our case, this generally means on or before June 30.</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powers are vested exclusively in the general meeting of shareholders:</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adopting and amending the articles of association, including change of a company’s purpose or domicile;</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electing the members of the board of directors, the chairman of the board of directors, the members of the compensation committee, the auditors and the independent proxy;</w:t>
      </w:r>
    </w:p>
    <w:p>
      <w:pPr>
        <w:spacing w:after="0" w:line="170"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approving the annual report, the annual statutory financial statements and (to the extent required) the financial statements, and deciding on the allocation of profits as shown on the balance sheet, in particular with regard to dividends;</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approving the compensation (basis, bonus and equity) of members of the board of directors and executive management, which under Swiss law is not necessarily limited to the executive officers;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discharging the members of the board of directors and executive management from liability with respect to their tenure in the previous financial year;</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dissolving a company with or without liquidation;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deciding matters reserved to the general meeting of shareholders by law or the articles of association or presented to it by the board of directors.</w:t>
      </w:r>
    </w:p>
    <w:p>
      <w:pPr>
        <w:spacing w:after="0" w:line="24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An extraordinary general meeting of shareholders may be called by a resolution of the board of directors or, under certain circumstances, by a company’s auditor, liquidator or the representatives of convertible bond 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1" w:name="page12"/>
    <w:bookmarkEnd w:id="11"/>
    <w:p>
      <w:pPr>
        <w:ind w:left="180"/>
        <w:spacing w:after="0"/>
        <w:rPr>
          <w:sz w:val="20"/>
          <w:szCs w:val="20"/>
          <w:color w:val="auto"/>
        </w:rPr>
      </w:pPr>
      <w:r>
        <w:rPr>
          <w:rFonts w:ascii="Arial" w:cs="Arial" w:eastAsia="Arial" w:hAnsi="Arial"/>
          <w:sz w:val="18"/>
          <w:szCs w:val="18"/>
          <w:b w:val="1"/>
          <w:bCs w:val="1"/>
          <w:i w:val="1"/>
          <w:iCs w:val="1"/>
          <w:color w:val="auto"/>
        </w:rPr>
        <w:t>Voting and Quorum Requirements</w:t>
      </w:r>
    </w:p>
    <w:p>
      <w:pPr>
        <w:spacing w:after="0" w:line="225"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Shareholder resolutions and elections (including elections of members of the board of directors) require the affirmative vote of the simple majority of shares represented at the general meeting of shareholders regardless of abstentions or empty or invalid votes, unless otherwise stipulated by law.</w:t>
      </w:r>
    </w:p>
    <w:p>
      <w:pPr>
        <w:spacing w:after="0" w:line="12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 resolution of the general meeting of the shareholders passed by two-thirds of the shares represented at the meeting, and the absolute majority of the nominal value of the shares represented is required for:</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amending a company’s corporate purpose;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creating or cancelling shares with preference rights or amending rights attached to such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cancelling or amending the transfer restrictions of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creating authorized or conditional share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increasing the share capital out of equity, against contributions in-kind or for the purpose of acquiring specific assets and granting specific benefits;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or suppressing shareholder’s pre-emptive subscription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changing a company’s domicile;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alleviating or withdrawing of restrictions upon the transfer of registered shares and the removal of the voting cap of 331⁄3%;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removing the indemnification provision for the board of directors and executive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converting registered shares into bearer shares and vice versa;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dissolving or liquidating a company.</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same voting requirements apply to resolutions regarding transactions among corporations based on Switzerland’s Federal Act on Mergers, Demergers, Transformations and the Transfer of Assets, or the Merger Act (including a merger, demerger or conversion of a corporation) see “—Compulsory Acquisitions; Appraisal Rights.”</w:t>
      </w:r>
    </w:p>
    <w:p>
      <w:pPr>
        <w:spacing w:after="0" w:line="181"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Notice</w:t>
      </w:r>
    </w:p>
    <w:p>
      <w:pPr>
        <w:spacing w:after="0" w:line="225"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General meetings of shareholders must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8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00" w:right="319" w:bottom="1440" w:gutter="0" w:footer="0" w:header="0"/>
        </w:sectPr>
      </w:pPr>
    </w:p>
    <w:bookmarkStart w:id="12" w:name="page13"/>
    <w:bookmarkEnd w:id="12"/>
    <w:p>
      <w:pPr>
        <w:ind w:left="180"/>
        <w:spacing w:after="0"/>
        <w:rPr>
          <w:sz w:val="20"/>
          <w:szCs w:val="20"/>
          <w:color w:val="auto"/>
        </w:rPr>
      </w:pPr>
      <w:r>
        <w:rPr>
          <w:rFonts w:ascii="Arial" w:cs="Arial" w:eastAsia="Arial" w:hAnsi="Arial"/>
          <w:sz w:val="18"/>
          <w:szCs w:val="18"/>
          <w:b w:val="1"/>
          <w:bCs w:val="1"/>
          <w:i w:val="1"/>
          <w:iCs w:val="1"/>
          <w:color w:val="auto"/>
        </w:rPr>
        <w:t>Agenda Requests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Pursuant to Swiss law, one or more shareholders, whose combined shareholdings represent the lower of (i) one tenth of the share capital or (ii) an aggregate nominal value of at least CHF 1,000,000, may request that an item be included in the agenda for an ordinary general meeting of shareholders. To be timely, the shareholder’s request must be received by us generally at least 120 calendar days in advance of the meeting. The request must be made in writing and contain, for each of the agenda items, the following information:</w:t>
      </w:r>
    </w:p>
    <w:p>
      <w:pPr>
        <w:spacing w:after="0" w:line="187" w:lineRule="exact"/>
        <w:rPr>
          <w:sz w:val="20"/>
          <w:szCs w:val="20"/>
          <w:color w:val="auto"/>
        </w:rPr>
      </w:pPr>
    </w:p>
    <w:p>
      <w:pPr>
        <w:ind w:left="660" w:right="3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 and address, as they appear in the share register, of the shareholder proposing such business;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other information required under the applicable laws and stock exchange rules.</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addition, if the shareholder intends to solicit proxies from the shareholders of a company, such shareholder shall notify the company of this intent in accordance with Securities and Exchange Commission Rule 14a-4 and/or Rule 14a-8.</w:t>
      </w:r>
    </w:p>
    <w:p>
      <w:pPr>
        <w:spacing w:after="0" w:line="17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400" w:firstLine="324"/>
        <w:spacing w:after="0" w:line="297" w:lineRule="auto"/>
        <w:rPr>
          <w:sz w:val="20"/>
          <w:szCs w:val="20"/>
          <w:color w:val="auto"/>
        </w:rPr>
      </w:pPr>
      <w:r>
        <w:rPr>
          <w:rFonts w:ascii="Arial" w:cs="Arial" w:eastAsia="Arial" w:hAnsi="Arial"/>
          <w:sz w:val="16"/>
          <w:szCs w:val="16"/>
          <w:color w:val="auto"/>
        </w:rPr>
        <w:t>Each of our shares entitles a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58"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Our articles of association contain provisions that prevent investors from acquiring voting rights exceeding 331⁄3% of the outstanding share capital. Specifically, no individual or legal entity may, directly or indirectly, control voting rights with respect to 331⁄3% or more of the registered share capital recorded in the Commercial Register. In the event that a shareholder should exceed the 331⁄3% ownership threshold, the registered shares exceeding the limit of 331⁄3% shall be entered in our share registered as shares without voting rights. The board of directors may in special cases approve exceptions to the above regulations. Additional voting caps apply to shareholders acquiring shares for other persons (nominees).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board of directors may propose to shareholders that a dividend or other distribution be paid but cannot itself authorize the distribution. Dividend payments require a resolution passed by a simple majority of the shares represented at a general meeting of shareholders regardless of abstentions or employ or invalid votes. In addition, our auditors must confirm that the dividend proposal of our board of directors conforms to Swiss statutory law and our articles of association.</w:t>
      </w:r>
    </w:p>
    <w:p>
      <w:pPr>
        <w:spacing w:after="0" w:line="18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Under Swiss law, we may pay dividends only if we have sufficient distributable profits brought forward from the previous business years (</w:t>
      </w:r>
      <w:r>
        <w:rPr>
          <w:rFonts w:ascii="Arial" w:cs="Arial" w:eastAsia="Arial" w:hAnsi="Arial"/>
          <w:sz w:val="18"/>
          <w:szCs w:val="18"/>
          <w:i w:val="1"/>
          <w:iCs w:val="1"/>
          <w:color w:val="auto"/>
        </w:rPr>
        <w:t>report des</w:t>
      </w:r>
      <w:r>
        <w:rPr>
          <w:rFonts w:ascii="Arial" w:cs="Arial" w:eastAsia="Arial" w:hAnsi="Arial"/>
          <w:sz w:val="18"/>
          <w:szCs w:val="18"/>
          <w:color w:val="auto"/>
        </w:rPr>
        <w:t xml:space="preserve"> </w:t>
      </w:r>
      <w:r>
        <w:rPr>
          <w:rFonts w:ascii="Arial" w:cs="Arial" w:eastAsia="Arial" w:hAnsi="Arial"/>
          <w:sz w:val="18"/>
          <w:szCs w:val="18"/>
          <w:i w:val="1"/>
          <w:iCs w:val="1"/>
          <w:color w:val="auto"/>
        </w:rPr>
        <w:t>bénéfices</w:t>
      </w:r>
      <w:r>
        <w:rPr>
          <w:rFonts w:ascii="Arial" w:cs="Arial" w:eastAsia="Arial" w:hAnsi="Arial"/>
          <w:sz w:val="18"/>
          <w:szCs w:val="18"/>
          <w:color w:val="auto"/>
        </w:rPr>
        <w:t>), or if we have distributable reserves (</w:t>
      </w:r>
      <w:r>
        <w:rPr>
          <w:rFonts w:ascii="Arial" w:cs="Arial" w:eastAsia="Arial" w:hAnsi="Arial"/>
          <w:sz w:val="18"/>
          <w:szCs w:val="18"/>
          <w:i w:val="1"/>
          <w:iCs w:val="1"/>
          <w:color w:val="auto"/>
        </w:rPr>
        <w:t>réserves à libre disposition</w:t>
      </w:r>
      <w:r>
        <w:rPr>
          <w:rFonts w:ascii="Arial" w:cs="Arial" w:eastAsia="Arial" w:hAnsi="Arial"/>
          <w:sz w:val="18"/>
          <w:szCs w:val="18"/>
          <w:color w:val="auto"/>
        </w:rPr>
        <w:t>), each as evidenced by our audited stand-alone statutory balance sheet prepared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Swiss law, and after allocations to reserves required by Swiss law and the articles of association have been deducted. We are not permitted to pay interim dividends out of profit of the current business year.</w:t>
      </w:r>
    </w:p>
    <w:p>
      <w:pPr>
        <w:spacing w:after="0" w:line="187"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Distributable reserves are generally booked either as “free reserves” (</w:t>
      </w:r>
      <w:r>
        <w:rPr>
          <w:rFonts w:ascii="Arial" w:cs="Arial" w:eastAsia="Arial" w:hAnsi="Arial"/>
          <w:sz w:val="18"/>
          <w:szCs w:val="18"/>
          <w:i w:val="1"/>
          <w:iCs w:val="1"/>
          <w:color w:val="auto"/>
        </w:rPr>
        <w:t>réserves libres</w:t>
      </w:r>
      <w:r>
        <w:rPr>
          <w:rFonts w:ascii="Arial" w:cs="Arial" w:eastAsia="Arial" w:hAnsi="Arial"/>
          <w:sz w:val="18"/>
          <w:szCs w:val="18"/>
          <w:color w:val="auto"/>
        </w:rPr>
        <w:t>) or as “reserve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Under the CO, if our general reserves (</w:t>
      </w:r>
      <w:r>
        <w:rPr>
          <w:rFonts w:ascii="Arial" w:cs="Arial" w:eastAsia="Arial" w:hAnsi="Arial"/>
          <w:sz w:val="18"/>
          <w:szCs w:val="18"/>
          <w:i w:val="1"/>
          <w:iCs w:val="1"/>
          <w:color w:val="auto"/>
        </w:rPr>
        <w:t>réserve générale</w:t>
      </w:r>
      <w:r>
        <w:rPr>
          <w:rFonts w:ascii="Arial" w:cs="Arial" w:eastAsia="Arial" w:hAnsi="Arial"/>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3" w:name="page14"/>
    <w:bookmarkEnd w:id="13"/>
    <w:p>
      <w:pPr>
        <w:ind w:firstLine="324"/>
        <w:spacing w:after="0" w:line="253" w:lineRule="auto"/>
        <w:rPr>
          <w:sz w:val="20"/>
          <w:szCs w:val="20"/>
          <w:color w:val="auto"/>
        </w:rPr>
      </w:pPr>
      <w:r>
        <w:rPr>
          <w:rFonts w:ascii="Arial" w:cs="Arial" w:eastAsia="Arial" w:hAnsi="Arial"/>
          <w:sz w:val="18"/>
          <w:szCs w:val="18"/>
          <w:color w:val="auto"/>
        </w:rPr>
        <w:t>Distributions out of issued share capital (i.e. the aggregate nominal value of our issued shares) are not allowed and may be made only by way of a share capital reduction. Such a capital reduction requires a resolution passed by a simple majority of the shares represented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9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Shares in uncertificated form (</w:t>
      </w:r>
      <w:r>
        <w:rPr>
          <w:rFonts w:ascii="Arial" w:cs="Arial" w:eastAsia="Arial" w:hAnsi="Arial"/>
          <w:sz w:val="18"/>
          <w:szCs w:val="18"/>
          <w:i w:val="1"/>
          <w:iCs w:val="1"/>
          <w:color w:val="auto"/>
        </w:rPr>
        <w:t>droits-valeurs</w:t>
      </w:r>
      <w:r>
        <w:rPr>
          <w:rFonts w:ascii="Arial" w:cs="Arial" w:eastAsia="Arial" w:hAnsi="Arial"/>
          <w:sz w:val="18"/>
          <w:szCs w:val="18"/>
          <w:color w:val="auto"/>
        </w:rPr>
        <w:t>) may only be transferred by way of assignment. Shares that constitute intermediated securities (</w:t>
      </w:r>
      <w:r>
        <w:rPr>
          <w:rFonts w:ascii="Arial" w:cs="Arial" w:eastAsia="Arial" w:hAnsi="Arial"/>
          <w:sz w:val="18"/>
          <w:szCs w:val="18"/>
          <w:i w:val="1"/>
          <w:iCs w:val="1"/>
          <w:color w:val="auto"/>
        </w:rPr>
        <w:t>titres</w:t>
      </w:r>
      <w:r>
        <w:rPr>
          <w:rFonts w:ascii="Arial" w:cs="Arial" w:eastAsia="Arial" w:hAnsi="Arial"/>
          <w:sz w:val="18"/>
          <w:szCs w:val="18"/>
          <w:color w:val="auto"/>
        </w:rPr>
        <w:t xml:space="preserve"> </w:t>
      </w:r>
      <w:r>
        <w:rPr>
          <w:rFonts w:ascii="Arial" w:cs="Arial" w:eastAsia="Arial" w:hAnsi="Arial"/>
          <w:sz w:val="18"/>
          <w:szCs w:val="18"/>
          <w:i w:val="1"/>
          <w:iCs w:val="1"/>
          <w:color w:val="auto"/>
        </w:rPr>
        <w:t>intermédiés</w:t>
      </w:r>
      <w:r>
        <w:rPr>
          <w:rFonts w:ascii="Arial" w:cs="Arial" w:eastAsia="Arial" w:hAnsi="Arial"/>
          <w:sz w:val="18"/>
          <w:szCs w:val="18"/>
          <w:color w:val="auto"/>
        </w:rPr>
        <w:t>) may only be transferred when a credit of the relevant intermediated securities to the acquirer’s securities account is made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provisions of the FISA. Article 5 of our articles of association provides that in the case of securities held with an intermediary such as a registrar, transfer agent, trust corporation, bank or similar entity, any transfer, grant of a security interest or usufructary right in such intermediated securities and the appurtenant rights associated therewith requires the cooperation of the intermediary in order for such transfer, grant of a security interest or usufructary right to be valid against us.</w:t>
      </w:r>
    </w:p>
    <w:p>
      <w:pPr>
        <w:spacing w:after="0" w:line="19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Voting rights may be exercised only after a shareholder has been entered in our share register (</w:t>
      </w:r>
      <w:r>
        <w:rPr>
          <w:rFonts w:ascii="Arial" w:cs="Arial" w:eastAsia="Arial" w:hAnsi="Arial"/>
          <w:sz w:val="18"/>
          <w:szCs w:val="18"/>
          <w:i w:val="1"/>
          <w:iCs w:val="1"/>
          <w:color w:val="auto"/>
        </w:rPr>
        <w:t>registre des actions</w:t>
      </w:r>
      <w:r>
        <w:rPr>
          <w:rFonts w:ascii="Arial" w:cs="Arial" w:eastAsia="Arial" w:hAnsi="Arial"/>
          <w:sz w:val="18"/>
          <w:szCs w:val="18"/>
          <w:color w:val="auto"/>
        </w:rPr>
        <w:t>) with his or her name and address (in the case of legal entities, the registered office) as a shareholder with voting rights. Our articles of association contain provisions that prevent investors from acquiring voting rights exceeding 331⁄3% of the outstanding share capital. Specifically, no individual or legal entity may, directly or indirectly, control voting rights with respect to 331⁄3% or more of the registered share capital recorded in the Commercial Register except if such individual or legal entity has submitted a tender offer to all shareholders. In the event that a shareholder should exceed the 331⁄3% ownership threshold, the registered shares exceeding the limit of 331⁄3% shall be entered in our share registered as shares without voting rights. Additional voting caps apply to shareholders acquiring shares for other persons (nominees).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 See “Comparison of Swiss Law and Delaware Law—Inspection of Books and Records.”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Special Investigation</w:t>
      </w:r>
    </w:p>
    <w:p>
      <w:pPr>
        <w:spacing w:after="0" w:line="225"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a court sitting in Lausanne, Switzerland, our registered office, to appoint a special commissioner. If the general meeting of shareholders rejects the request, one or more shareholders representing at least 10 percent of the share capital or holders of shares in an aggregate nominal value of at least CHF 2,000,000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4" w:name="page15"/>
    <w:bookmarkEnd w:id="14"/>
    <w:p>
      <w:pPr>
        <w:ind w:left="180"/>
        <w:spacing w:after="0"/>
        <w:rPr>
          <w:sz w:val="20"/>
          <w:szCs w:val="20"/>
          <w:color w:val="auto"/>
        </w:rPr>
      </w:pPr>
      <w:r>
        <w:rPr>
          <w:rFonts w:ascii="Arial" w:cs="Arial" w:eastAsia="Arial" w:hAnsi="Arial"/>
          <w:sz w:val="18"/>
          <w:szCs w:val="18"/>
          <w:b w:val="1"/>
          <w:bCs w:val="1"/>
          <w:i w:val="1"/>
          <w:iCs w:val="1"/>
          <w:color w:val="auto"/>
        </w:rPr>
        <w:t>Compulsory Acquisitions; Appraisal Rights</w:t>
      </w:r>
    </w:p>
    <w:p>
      <w:pPr>
        <w:spacing w:after="0" w:line="225"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Business combinations and other transactions that are governed by the Swiss Merger Act (i.e. mergers, demergers, transformations and certain asset transfers) are binding on all shareholders. A statutory merger or demerger requires approval of two-thirds of the shares represented at a general meeting of shareholders and the absolute majority of the nominal value of the shares represented.</w:t>
      </w:r>
    </w:p>
    <w:p>
      <w:pPr>
        <w:spacing w:after="0" w:line="18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If a transaction under the Swiss Merger Act receives all of the necessary consents, there are no appraisal rights and all shareholders are compelled to participate in such transaction.</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Swiss corporations may be acquired by an acquirer through the direct acquisition of the share capital of the Swiss corporation. The Swiss Merger Act provides for the possibility of a so-called “cash-out” or “squeeze-out” merger if the acquirer controls 90% of the outstanding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w:t>
      </w:r>
    </w:p>
    <w:p>
      <w:pPr>
        <w:spacing w:after="0" w:line="18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In addition, under Swiss law, the sale of “all or substantially all of our assets” by us may require the approval of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18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core part of our business is sold without which it is economically impracticable or unreasonable to continue to operate the remaining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assets, after the divestment, are not invested in accordance with our statutory business purpose;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70" w:lineRule="exact"/>
        <w:rPr>
          <w:sz w:val="20"/>
          <w:szCs w:val="20"/>
          <w:color w:val="auto"/>
        </w:rPr>
      </w:pPr>
    </w:p>
    <w:p>
      <w:pPr>
        <w:ind w:right="420" w:firstLine="324"/>
        <w:spacing w:after="0" w:line="257" w:lineRule="auto"/>
        <w:rPr>
          <w:sz w:val="20"/>
          <w:szCs w:val="20"/>
          <w:color w:val="auto"/>
        </w:rPr>
      </w:pPr>
      <w:r>
        <w:rPr>
          <w:rFonts w:ascii="Arial" w:cs="Arial" w:eastAsia="Arial" w:hAnsi="Arial"/>
          <w:sz w:val="18"/>
          <w:szCs w:val="18"/>
          <w:color w:val="auto"/>
        </w:rPr>
        <w:t>A shareholder of a Swiss corporation participating in certain major corporate transactions may, under certain circumstances, be entitled to appraisal rights. As a result, such shareholder may, in addition to the consideration (be it in shares or in cash) receive an additional amount to ensure that the shareholder receives the fair value of the shares held by the shareholder. Following a statutory merger or demerger, pursuant to the Swiss Merger Act, shareholders can file an appraisal action against the surviving company. If the consideration is deemed inadequate, the court will determine an adequate compensation payment.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articles of association provide that the board of directors shall consist of at least three and not more than nine members.</w:t>
      </w:r>
    </w:p>
    <w:p>
      <w:pPr>
        <w:spacing w:after="0" w:line="225" w:lineRule="exact"/>
        <w:rPr>
          <w:sz w:val="20"/>
          <w:szCs w:val="20"/>
          <w:color w:val="auto"/>
        </w:rPr>
      </w:pPr>
    </w:p>
    <w:p>
      <w:pPr>
        <w:jc w:val="both"/>
        <w:ind w:right="80" w:firstLine="324"/>
        <w:spacing w:after="0" w:line="342" w:lineRule="auto"/>
        <w:rPr>
          <w:sz w:val="20"/>
          <w:szCs w:val="20"/>
          <w:color w:val="auto"/>
        </w:rPr>
      </w:pPr>
      <w:r>
        <w:rPr>
          <w:rFonts w:ascii="Arial" w:cs="Arial" w:eastAsia="Arial" w:hAnsi="Arial"/>
          <w:sz w:val="16"/>
          <w:szCs w:val="16"/>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Powers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has the following non-delegable and inalienable powers and duties:</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ultimate direction of the business of the Company and issuing of the relevant directives;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laying down the organization of the Company;</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00" w:right="299" w:bottom="1440" w:gutter="0" w:footer="0" w:header="0"/>
        </w:sectPr>
      </w:pPr>
    </w:p>
    <w:bookmarkStart w:id="15" w:name="page16"/>
    <w:bookmarkEnd w:id="15"/>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formulating accounting procedures, financial controls and financial planning;</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nominating and removing persons entrusted with the management and representation of the Company and regulating the power to sign for the Company;</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ultimate supervision of those persons entrusted with management of the Company, with particular regard to adherence to law, our articles of association, and regulations and directives of the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issuing the annual report and the compensation report, and preparing for the general meeting of shareholders and carrying out its resolutions;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informing the court in case of over-indebtedness.</w:t>
      </w:r>
    </w:p>
    <w:p>
      <w:pPr>
        <w:spacing w:after="0" w:line="225"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The board of directors may, while retaining such non-delegable and inalienable powers and duties, delegate some of its powers, in particular direct management, to a single or to several of its members, managing directors, committees or to third parties who need be neither members of the board of directors nor shareholders. Pursuant to Swiss law and Article 25 of our articles of association, details of the delegation and other procedural rules such as quorum requirements must be set in the organizational rules issued by the board of directors.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Indemnification of Executive Management and Directors</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spacing w:after="0" w:line="166"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entered into indemnification agreements with each of the members of our board of directors and executive management.</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Conflict of Interest, Management Transactions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Swiss law does not have a general provision regarding conflicts of interest. However, the CO contains a provision that requires our directors and executive management to safeguard the Company’s interests and imposes a duty of loyalty and duty of care on our directors and executive management. This rule is generally understood to disqualify directors and executive management from participation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7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board of directors has adopted a Code of Business Conduct and Ethics that covers a broad range of matters, including the handling of conflicts of interest.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Principles of the Compensation of the Board of Directors and the Executive Management</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Pursuant to Swiss law, beginning at our first annual meeting as a public company in 2016 our shareholders must annually approve the compensation of the board of directors and the persons whom the board of directors has, fully or partially, entrusted with the management of the Company. The board of directors must issue, on an annual basis, a written compensation report that must be reviewed together with a report on our business by our auditor. The compensation report must disclose all compensation, loans and other forms of indebtedness granted by the Company, directly or indirectly, to current or former members of the board of directors and executive management to the extent related to their former role within the Company or not on customary market terms.</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27" w:right="319" w:bottom="1440" w:gutter="0" w:footer="0" w:header="0"/>
        </w:sectPr>
      </w:pPr>
    </w:p>
    <w:bookmarkStart w:id="16" w:name="page17"/>
    <w:bookmarkEnd w:id="16"/>
    <w:p>
      <w:pPr>
        <w:ind w:firstLine="324"/>
        <w:spacing w:after="0" w:line="264" w:lineRule="auto"/>
        <w:rPr>
          <w:sz w:val="20"/>
          <w:szCs w:val="20"/>
          <w:color w:val="auto"/>
        </w:rPr>
      </w:pPr>
      <w:r>
        <w:rPr>
          <w:rFonts w:ascii="Arial" w:cs="Arial" w:eastAsia="Arial" w:hAnsi="Arial"/>
          <w:sz w:val="18"/>
          <w:szCs w:val="18"/>
          <w:color w:val="auto"/>
        </w:rPr>
        <w:t>The disclosure concerning compensation, loans and other forms of indebtedness must include the aggregate amount for the board of directors and the executive management, as well as the particular amount for each member of the board of directors and executive officer, specifying the name and function of each person.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forms of compensation are prohibited for members of our board of directors and executive management, such as:</w:t>
      </w:r>
    </w:p>
    <w:p>
      <w:pPr>
        <w:spacing w:after="0" w:line="225" w:lineRule="exact"/>
        <w:rPr>
          <w:sz w:val="20"/>
          <w:szCs w:val="20"/>
          <w:color w:val="auto"/>
        </w:rPr>
      </w:pPr>
    </w:p>
    <w:p>
      <w:pPr>
        <w:ind w:left="660" w:right="5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incentive fees for the acquisition or transfer of corporations, or parts thereof, by the Company or by companies being, directly or indirectly, controlled by the us;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loans, other forms of indebtedness, pension benefits not based on occupational pension schemes and performance-based compensation not provided for in the articles of association;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in 2016, the general meeting of shareholders will annually vote on the proposals of the board of directors with respect to:</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board of directors for the subsequent term of office;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executive management for the subsequent financial year.</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board of directors may submit for approval at the general meeting of shareholders deviating or additional proposals relating to the same or different periods.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the event that, at the general meeting of shareholders, the shareholders do not approve a proposal of the board of directors, the board of directors must form a new proposal for the maximum aggregate compensation and the particular compensation for each individual, taking into account all relevant factors, and submit the new proposal for approval by the same general meeting of shareholders, at a subsequent extraordinary general meeting or the next ordinary general meeting of shareholders.</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to fixed compensation, members of the board of directors and executive management may be paid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188"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Compensation may be paid or granted in the form of cash, shares, financial instruments, in kind, or in the form of other types of benefits. The board of directors or, where delegated to it, the compensation committee shall determine grant, vesting, exercise and forfeiture conditions.</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00" w:right="339" w:bottom="1440" w:gutter="0" w:footer="0" w:header="0"/>
        </w:sectPr>
      </w:pPr>
    </w:p>
    <w:bookmarkStart w:id="17" w:name="page18"/>
    <w:bookmarkEnd w:id="17"/>
    <w:p>
      <w:pPr>
        <w:ind w:left="18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225"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Repurchases of Shares and Purchases of Own Shares</w:t>
      </w:r>
    </w:p>
    <w:p>
      <w:pPr>
        <w:spacing w:after="0" w:line="22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We currently do not have any transfer restriction in our articles of association. If we own shares that exceed the threshold of 10 percent of our share capital, the excess must be sold or cancelled by means of a capital reduction within two years.</w:t>
      </w:r>
    </w:p>
    <w:p>
      <w:pPr>
        <w:spacing w:after="0" w:line="173"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Shares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Notification and Disclosure of Substantial Share Interests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disclosure obligations generally applicable to shareholders of Swiss corporations under the Swiss Act on Stock Exchanges and Securities Trading do not apply to us since our shares are not listed on a Swiss exchange.</w:t>
      </w:r>
    </w:p>
    <w:p>
      <w:pPr>
        <w:spacing w:after="0" w:line="170"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Pursuant to Article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five percent of all voting rights.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shares are listed on the NASDAQ Global Market under the symbol “ACIU.”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of Shares</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Computershare Trust Company, N.A. acts as transfer agent and registrar for our common shares. The share register reflects only record owners of our shares. Swiss law does not recognize fractional share interests.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00" w:right="29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COMPARISON OF SWISS LAW AND DELAWARE LAW</w:t>
      </w:r>
    </w:p>
    <w:p>
      <w:pPr>
        <w:spacing w:after="0" w:line="22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Arial" w:cs="Arial" w:eastAsia="Arial" w:hAnsi="Arial"/>
          <w:sz w:val="17"/>
          <w:szCs w:val="17"/>
          <w:i w:val="1"/>
          <w:iCs w:val="1"/>
          <w:color w:val="auto"/>
        </w:rPr>
        <w:t>Code des Obligations</w:t>
      </w:r>
      <w:r>
        <w:rPr>
          <w:rFonts w:ascii="Arial" w:cs="Arial" w:eastAsia="Arial" w:hAnsi="Arial"/>
          <w:sz w:val="17"/>
          <w:szCs w:val="17"/>
          <w:color w:val="auto"/>
        </w:rPr>
        <w:t xml:space="preserve"> </w:t>
      </w:r>
      <w:r>
        <w:rPr>
          <w:rFonts w:ascii="Arial" w:cs="Arial" w:eastAsia="Arial" w:hAnsi="Arial"/>
          <w:sz w:val="17"/>
          <w:szCs w:val="17"/>
          <w:i w:val="1"/>
          <w:iCs w:val="1"/>
          <w:color w:val="auto"/>
        </w:rPr>
        <w:t>Suisse</w:t>
      </w:r>
      <w:r>
        <w:rPr>
          <w:rFonts w:ascii="Arial" w:cs="Arial" w:eastAsia="Arial" w:hAnsi="Arial"/>
          <w:sz w:val="17"/>
          <w:szCs w:val="17"/>
          <w:color w:val="auto"/>
        </w:rPr>
        <w:t>) and the Swiss Ordinance against excessive compensation in listed stock corporations applicable to our Company, as implemented by the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174" w:lineRule="exact"/>
        <w:rPr>
          <w:sz w:val="20"/>
          <w:szCs w:val="20"/>
          <w:color w:val="auto"/>
        </w:rPr>
      </w:pPr>
    </w:p>
    <w:p>
      <w:pPr>
        <w:ind w:left="1480"/>
        <w:spacing w:after="0"/>
        <w:tabs>
          <w:tab w:leader="none" w:pos="750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Mergers and similar arrangements</w:t>
      </w:r>
    </w:p>
    <w:p>
      <w:pPr>
        <w:sectPr>
          <w:pgSz w:w="11900" w:h="16838" w:orient="portrait"/>
          <w:cols w:equalWidth="0" w:num="1">
            <w:col w:w="11400"/>
          </w:cols>
          <w:pgMar w:left="240" w:top="1013" w:right="259" w:bottom="1440" w:gutter="0" w:footer="0" w:header="0"/>
        </w:sectPr>
      </w:pP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rFonts w:ascii="Arial" w:cs="Arial" w:eastAsia="Arial" w:hAnsi="Arial"/>
          <w:sz w:val="16"/>
          <w:szCs w:val="16"/>
          <w:i w:val="1"/>
          <w:iCs w:val="1"/>
          <w:color w:val="auto"/>
        </w:rPr>
        <w:t>Loi sur la fusion</w:t>
      </w:r>
      <w:r>
        <w:rPr>
          <w:rFonts w:ascii="Arial" w:cs="Arial" w:eastAsia="Arial" w:hAnsi="Arial"/>
          <w:sz w:val="16"/>
          <w:szCs w:val="16"/>
          <w:color w:val="auto"/>
        </w:rPr>
        <w:t>) can file a lawsuit against the surviving company. If the 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 90.0% of all members in the transferring legal entity, who are entitled to vote, shall approve the merger agreement.</w:t>
      </w:r>
    </w:p>
    <w:p>
      <w:pPr>
        <w:spacing w:after="0" w:line="172" w:lineRule="exact"/>
        <w:rPr>
          <w:sz w:val="20"/>
          <w:szCs w:val="20"/>
          <w:color w:val="auto"/>
        </w:rPr>
      </w:pPr>
    </w:p>
    <w:p>
      <w:pPr>
        <w:sectPr>
          <w:pgSz w:w="11900" w:h="16838" w:orient="portrait"/>
          <w:cols w:equalWidth="0" w:num="2">
            <w:col w:w="5600" w:space="220"/>
            <w:col w:w="5580"/>
          </w:cols>
          <w:pgMar w:left="240" w:top="1013"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Shareholders’ suits</w:t>
      </w:r>
    </w:p>
    <w:p>
      <w:pPr>
        <w:sectPr>
          <w:pgSz w:w="11900" w:h="16838" w:orient="portrait"/>
          <w:cols w:equalWidth="0" w:num="1">
            <w:col w:w="11400"/>
          </w:cols>
          <w:pgMar w:left="240" w:top="1013" w:right="259" w:bottom="1440" w:gutter="0" w:footer="0" w:header="0"/>
          <w:type w:val="continuous"/>
        </w:sectPr>
      </w:pPr>
    </w:p>
    <w:p>
      <w:pPr>
        <w:spacing w:after="0" w:line="24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subject to certain conditions, to the individual shareholder and creditors. Likewise, an appraisal lawsuit won by a shareholder may indirectly compensate all shareholders. In addition, to the extent that US laws and regulations provide a basis for liability and US courts have jurisdiction, a class action may be available.</w:t>
      </w:r>
    </w:p>
    <w:p>
      <w:pPr>
        <w:spacing w:after="0" w:line="182"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Under Swiss law, the winning party is generally entitled to recover or to partially recover attorneys’ fees incurred in connection with such action, provided, however, that the court has broad discretion to permit the shareholder whose claim has been dismissed to recover attorneys’ fees incurred to the extent he or she acted in good faith.</w:t>
      </w:r>
    </w:p>
    <w:p>
      <w:pPr>
        <w:spacing w:after="0" w:line="200" w:lineRule="exact"/>
        <w:rPr>
          <w:sz w:val="20"/>
          <w:szCs w:val="20"/>
          <w:color w:val="auto"/>
        </w:rPr>
      </w:pPr>
    </w:p>
    <w:p>
      <w:pPr>
        <w:sectPr>
          <w:pgSz w:w="11900" w:h="16838" w:orient="portrait"/>
          <w:cols w:equalWidth="0" w:num="2">
            <w:col w:w="5580" w:space="240"/>
            <w:col w:w="5580"/>
          </w:cols>
          <w:pgMar w:left="240" w:top="1013" w:right="259" w:bottom="1440" w:gutter="0" w:footer="0" w:header="0"/>
          <w:type w:val="continuous"/>
        </w:sectPr>
      </w:pPr>
    </w:p>
    <w:p>
      <w:pPr>
        <w:spacing w:after="0" w:line="8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13" w:right="259" w:bottom="1440" w:gutter="0" w:footer="0" w:header="0"/>
          <w:type w:val="continuous"/>
        </w:sectPr>
      </w:pPr>
    </w:p>
    <w:bookmarkStart w:id="19" w:name="page20"/>
    <w:bookmarkEnd w:id="19"/>
    <w:p>
      <w:pPr>
        <w:ind w:left="1480"/>
        <w:spacing w:after="0"/>
        <w:tabs>
          <w:tab w:leader="none" w:pos="750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Shareholder vote on board and management compensation</w:t>
      </w:r>
    </w:p>
    <w:p>
      <w:pPr>
        <w:sectPr>
          <w:pgSz w:w="11900" w:h="16838" w:orient="portrait"/>
          <w:cols w:equalWidth="0" w:num="1">
            <w:col w:w="11400"/>
          </w:cols>
          <w:pgMar w:left="240" w:top="796" w:right="259" w:bottom="1440" w:gutter="0" w:footer="0" w:header="0"/>
        </w:sectPr>
      </w:pP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Pursuant to the Swiss Ordinance against excessive compensation in listed stock corporations (</w:t>
      </w:r>
      <w:r>
        <w:rPr>
          <w:rFonts w:ascii="Arial" w:cs="Arial" w:eastAsia="Arial" w:hAnsi="Arial"/>
          <w:sz w:val="17"/>
          <w:szCs w:val="17"/>
          <w:i w:val="1"/>
          <w:iCs w:val="1"/>
          <w:color w:val="auto"/>
        </w:rPr>
        <w:t>Ordonnance contre les rémunérations abusives dans les</w:t>
      </w:r>
      <w:r>
        <w:rPr>
          <w:rFonts w:ascii="Arial" w:cs="Arial" w:eastAsia="Arial" w:hAnsi="Arial"/>
          <w:sz w:val="17"/>
          <w:szCs w:val="17"/>
          <w:color w:val="auto"/>
        </w:rPr>
        <w:t xml:space="preserve"> </w:t>
      </w:r>
      <w:r>
        <w:rPr>
          <w:rFonts w:ascii="Arial" w:cs="Arial" w:eastAsia="Arial" w:hAnsi="Arial"/>
          <w:sz w:val="17"/>
          <w:szCs w:val="17"/>
          <w:i w:val="1"/>
          <w:iCs w:val="1"/>
          <w:color w:val="auto"/>
        </w:rPr>
        <w:t>sociétés anonymes cotées en bourse</w:t>
      </w:r>
      <w:r>
        <w:rPr>
          <w:rFonts w:ascii="Arial" w:cs="Arial" w:eastAsia="Arial" w:hAnsi="Arial"/>
          <w:sz w:val="17"/>
          <w:szCs w:val="17"/>
          <w:color w:val="auto"/>
        </w:rPr>
        <w:t>), the general meeting of shareholders has</w:t>
      </w:r>
      <w:r>
        <w:rPr>
          <w:rFonts w:ascii="Arial" w:cs="Arial" w:eastAsia="Arial" w:hAnsi="Arial"/>
          <w:sz w:val="17"/>
          <w:szCs w:val="17"/>
          <w:i w:val="1"/>
          <w:iCs w:val="1"/>
          <w:color w:val="auto"/>
        </w:rPr>
        <w:t xml:space="preserve"> </w:t>
      </w:r>
      <w:r>
        <w:rPr>
          <w:rFonts w:ascii="Arial" w:cs="Arial" w:eastAsia="Arial" w:hAnsi="Arial"/>
          <w:sz w:val="17"/>
          <w:szCs w:val="17"/>
          <w:color w:val="auto"/>
        </w:rPr>
        <w:t>the non-transferable right, amongst others, to vote on the fixed and on the variable compensation of the members of the board of directors, of the executive management and of the advisory boards.</w:t>
      </w:r>
    </w:p>
    <w:p>
      <w:pPr>
        <w:spacing w:after="0" w:line="178" w:lineRule="exact"/>
        <w:rPr>
          <w:sz w:val="20"/>
          <w:szCs w:val="20"/>
          <w:color w:val="auto"/>
        </w:rPr>
      </w:pPr>
    </w:p>
    <w:p>
      <w:pPr>
        <w:sectPr>
          <w:pgSz w:w="11900" w:h="16838" w:orient="portrait"/>
          <w:cols w:equalWidth="0" w:num="2">
            <w:col w:w="5520" w:space="300"/>
            <w:col w:w="5580"/>
          </w:cols>
          <w:pgMar w:left="240" w:top="796"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Annual vote on board renewal</w:t>
      </w:r>
    </w:p>
    <w:p>
      <w:pPr>
        <w:sectPr>
          <w:pgSz w:w="11900" w:h="16838" w:orient="portrait"/>
          <w:cols w:equalWidth="0" w:num="1">
            <w:col w:w="11400"/>
          </w:cols>
          <w:pgMar w:left="240" w:top="796" w:right="259" w:bottom="1440" w:gutter="0" w:footer="0" w:header="0"/>
          <w:type w:val="continuous"/>
        </w:sectPr>
      </w:pP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general meeting of shareholders elects annually (i.e. term of office until the end of the following general meeting of shareholders) the members of the board of directors and the members of the compensation committee individually for a term of office of one year. Re-election is possible.</w:t>
      </w:r>
    </w:p>
    <w:p>
      <w:pPr>
        <w:spacing w:after="0" w:line="561" w:lineRule="exact"/>
        <w:rPr>
          <w:sz w:val="20"/>
          <w:szCs w:val="20"/>
          <w:color w:val="auto"/>
        </w:rPr>
      </w:pPr>
    </w:p>
    <w:p>
      <w:pPr>
        <w:sectPr>
          <w:pgSz w:w="11900" w:h="16838" w:orient="portrait"/>
          <w:cols w:equalWidth="0" w:num="2">
            <w:col w:w="5480" w:space="340"/>
            <w:col w:w="5580"/>
          </w:cols>
          <w:pgMar w:left="240" w:top="796" w:right="259" w:bottom="1440" w:gutter="0" w:footer="0" w:header="0"/>
          <w:type w:val="continuous"/>
        </w:sectPr>
      </w:pP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Indemnification of directors and executive management and limitation of liability</w:t>
      </w:r>
    </w:p>
    <w:p>
      <w:pPr>
        <w:sectPr>
          <w:pgSz w:w="11900" w:h="16838" w:orient="portrait"/>
          <w:cols w:equalWidth="0" w:num="1">
            <w:col w:w="11400"/>
          </w:cols>
          <w:pgMar w:left="240" w:top="796" w:right="259" w:bottom="1440" w:gutter="0" w:footer="0" w:header="0"/>
          <w:type w:val="continuous"/>
        </w:sectPr>
      </w:pPr>
    </w:p>
    <w:p>
      <w:pPr>
        <w:spacing w:after="0" w:line="2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(but not other controlling persons) of the corporation for monetary damages for breach of a fiduciary duty as a director, except no provision in the certificate of incorporation may eliminate or limit the liability of a director for:</w:t>
      </w:r>
    </w:p>
    <w:p>
      <w:pPr>
        <w:spacing w:after="0" w:line="193" w:lineRule="exact"/>
        <w:rPr>
          <w:sz w:val="20"/>
          <w:szCs w:val="20"/>
          <w:color w:val="auto"/>
        </w:rPr>
      </w:pPr>
    </w:p>
    <w:p>
      <w:pPr>
        <w:ind w:left="160" w:right="760" w:hanging="152"/>
        <w:spacing w:after="0" w:line="277" w:lineRule="auto"/>
        <w:tabs>
          <w:tab w:leader="none" w:pos="13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170" w:lineRule="exact"/>
        <w:rPr>
          <w:rFonts w:ascii="Arial" w:cs="Arial" w:eastAsia="Arial" w:hAnsi="Arial"/>
          <w:sz w:val="18"/>
          <w:szCs w:val="18"/>
          <w:color w:val="auto"/>
        </w:rPr>
      </w:pPr>
    </w:p>
    <w:p>
      <w:pPr>
        <w:ind w:left="160" w:hanging="152"/>
        <w:spacing w:after="0" w:line="277" w:lineRule="auto"/>
        <w:tabs>
          <w:tab w:leader="none" w:pos="13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170" w:lineRule="exact"/>
        <w:rPr>
          <w:rFonts w:ascii="Arial" w:cs="Arial" w:eastAsia="Arial" w:hAnsi="Arial"/>
          <w:sz w:val="18"/>
          <w:szCs w:val="18"/>
          <w:color w:val="auto"/>
        </w:rPr>
      </w:pPr>
    </w:p>
    <w:p>
      <w:pPr>
        <w:ind w:left="160" w:right="360" w:hanging="152"/>
        <w:spacing w:after="0" w:line="277" w:lineRule="auto"/>
        <w:tabs>
          <w:tab w:leader="none" w:pos="139"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stock purchase or redemption; or</w:t>
      </w:r>
    </w:p>
    <w:p>
      <w:pPr>
        <w:spacing w:after="0" w:line="170" w:lineRule="exact"/>
        <w:rPr>
          <w:rFonts w:ascii="Arial" w:cs="Arial" w:eastAsia="Arial" w:hAnsi="Arial"/>
          <w:sz w:val="18"/>
          <w:szCs w:val="18"/>
          <w:color w:val="auto"/>
        </w:rPr>
      </w:pPr>
    </w:p>
    <w:p>
      <w:pPr>
        <w:ind w:left="160" w:right="440" w:hanging="152"/>
        <w:spacing w:after="0" w:line="277" w:lineRule="auto"/>
        <w:tabs>
          <w:tab w:leader="none" w:pos="13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 corporate law, including shareholders of the corporation.</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w:t>
      </w:r>
    </w:p>
    <w:p>
      <w:pPr>
        <w:spacing w:after="0" w:line="17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Also, a corporation may enter into and pay for directors’ and officers’ liability insurance which may cover negligent acts as well.</w:t>
      </w:r>
    </w:p>
    <w:p>
      <w:pPr>
        <w:spacing w:after="0" w:line="828" w:lineRule="exact"/>
        <w:rPr>
          <w:sz w:val="20"/>
          <w:szCs w:val="20"/>
          <w:color w:val="auto"/>
        </w:rPr>
      </w:pPr>
    </w:p>
    <w:p>
      <w:pPr>
        <w:sectPr>
          <w:pgSz w:w="11900" w:h="16838" w:orient="portrait"/>
          <w:cols w:equalWidth="0" w:num="2">
            <w:col w:w="5580" w:space="240"/>
            <w:col w:w="5580"/>
          </w:cols>
          <w:pgMar w:left="240" w:top="796" w:right="259" w:bottom="1440" w:gutter="0" w:footer="0" w:header="0"/>
          <w:type w:val="continuous"/>
        </w:sectPr>
      </w:pPr>
    </w:p>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type w:val="continuous"/>
        </w:sectPr>
      </w:pPr>
    </w:p>
    <w:bookmarkStart w:id="20" w:name="page21"/>
    <w:bookmarkEnd w:id="20"/>
    <w:p>
      <w:pPr>
        <w:ind w:left="1480"/>
        <w:spacing w:after="0"/>
        <w:tabs>
          <w:tab w:leader="none" w:pos="750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Directors’ fiduciary duties</w:t>
      </w:r>
    </w:p>
    <w:p>
      <w:pPr>
        <w:sectPr>
          <w:pgSz w:w="11900" w:h="16838" w:orient="portrait"/>
          <w:cols w:equalWidth="0" w:num="1">
            <w:col w:w="11420"/>
          </w:cols>
          <w:pgMar w:left="240" w:top="796" w:right="239" w:bottom="1440" w:gutter="0" w:footer="0" w:header="0"/>
        </w:sectPr>
      </w:pP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w:t>
      </w:r>
    </w:p>
    <w:p>
      <w:pPr>
        <w:spacing w:after="0" w:line="170" w:lineRule="exact"/>
        <w:rPr>
          <w:sz w:val="20"/>
          <w:szCs w:val="20"/>
          <w:color w:val="auto"/>
        </w:rPr>
      </w:pPr>
    </w:p>
    <w:p>
      <w:pPr>
        <w:ind w:left="280" w:hanging="14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duty of care; and</w:t>
      </w:r>
    </w:p>
    <w:p>
      <w:pPr>
        <w:spacing w:after="0" w:line="225" w:lineRule="exact"/>
        <w:rPr>
          <w:rFonts w:ascii="Arial" w:cs="Arial" w:eastAsia="Arial" w:hAnsi="Arial"/>
          <w:sz w:val="18"/>
          <w:szCs w:val="18"/>
          <w:color w:val="auto"/>
        </w:rPr>
      </w:pPr>
    </w:p>
    <w:p>
      <w:pPr>
        <w:ind w:left="280" w:hanging="14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duty of loyalty.</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8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5" w:right="20"/>
        <w:spacing w:after="0" w:line="257" w:lineRule="auto"/>
        <w:rPr>
          <w:sz w:val="20"/>
          <w:szCs w:val="20"/>
          <w:color w:val="auto"/>
        </w:rPr>
      </w:pPr>
      <w:r>
        <w:rPr>
          <w:rFonts w:ascii="Arial" w:cs="Arial" w:eastAsia="Arial" w:hAnsi="Arial"/>
          <w:sz w:val="18"/>
          <w:szCs w:val="18"/>
          <w:color w:val="auto"/>
        </w:rPr>
        <w:t>The board of directors of a Swiss corporation manages the business of the corporation, unless responsibility for such management has been delegated to the executive management (for example by organizational rules and comparable bylaws). However, there are several non-transferable duties of the board of directors:</w:t>
      </w:r>
    </w:p>
    <w:p>
      <w:pPr>
        <w:spacing w:after="0" w:line="188" w:lineRule="exact"/>
        <w:rPr>
          <w:sz w:val="20"/>
          <w:szCs w:val="20"/>
          <w:color w:val="auto"/>
        </w:rPr>
      </w:pPr>
    </w:p>
    <w:p>
      <w:pPr>
        <w:ind w:left="165" w:right="120" w:hanging="165"/>
        <w:spacing w:after="0" w:line="277" w:lineRule="auto"/>
        <w:tabs>
          <w:tab w:leader="none" w:pos="1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overall management of the corporation and the issuing of all necessary directives;</w:t>
      </w:r>
    </w:p>
    <w:p>
      <w:pPr>
        <w:spacing w:after="0" w:line="170" w:lineRule="exact"/>
        <w:rPr>
          <w:rFonts w:ascii="Arial" w:cs="Arial" w:eastAsia="Arial" w:hAnsi="Arial"/>
          <w:sz w:val="18"/>
          <w:szCs w:val="18"/>
          <w:color w:val="auto"/>
        </w:rPr>
      </w:pPr>
    </w:p>
    <w:p>
      <w:pPr>
        <w:ind w:left="145" w:hanging="145"/>
        <w:spacing w:after="0"/>
        <w:tabs>
          <w:tab w:leader="none" w:pos="1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determination of the corporation’s organization;</w:t>
      </w:r>
    </w:p>
    <w:p>
      <w:pPr>
        <w:spacing w:after="0" w:line="225" w:lineRule="exact"/>
        <w:rPr>
          <w:rFonts w:ascii="Arial" w:cs="Arial" w:eastAsia="Arial" w:hAnsi="Arial"/>
          <w:sz w:val="18"/>
          <w:szCs w:val="18"/>
          <w:color w:val="auto"/>
        </w:rPr>
      </w:pPr>
    </w:p>
    <w:p>
      <w:pPr>
        <w:ind w:left="165" w:right="80" w:hanging="165"/>
        <w:spacing w:after="0" w:line="277" w:lineRule="auto"/>
        <w:tabs>
          <w:tab w:leader="none" w:pos="1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organization of the accounting, financial control and financial planning systems as required for management of the corporation;</w:t>
      </w:r>
    </w:p>
    <w:p>
      <w:pPr>
        <w:spacing w:after="0" w:line="170" w:lineRule="exact"/>
        <w:rPr>
          <w:rFonts w:ascii="Arial" w:cs="Arial" w:eastAsia="Arial" w:hAnsi="Arial"/>
          <w:sz w:val="18"/>
          <w:szCs w:val="18"/>
          <w:color w:val="auto"/>
        </w:rPr>
      </w:pPr>
    </w:p>
    <w:p>
      <w:pPr>
        <w:ind w:left="165" w:right="360" w:hanging="165"/>
        <w:spacing w:after="0" w:line="277" w:lineRule="auto"/>
        <w:tabs>
          <w:tab w:leader="none" w:pos="1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appointment and dismissal of persons entrusted with managing and representing the corporation;</w:t>
      </w:r>
    </w:p>
    <w:p>
      <w:pPr>
        <w:spacing w:after="0" w:line="170" w:lineRule="exact"/>
        <w:rPr>
          <w:rFonts w:ascii="Arial" w:cs="Arial" w:eastAsia="Arial" w:hAnsi="Arial"/>
          <w:sz w:val="18"/>
          <w:szCs w:val="18"/>
          <w:color w:val="auto"/>
        </w:rPr>
      </w:pPr>
    </w:p>
    <w:p>
      <w:pPr>
        <w:jc w:val="both"/>
        <w:ind w:left="165" w:right="20" w:hanging="165"/>
        <w:spacing w:after="0" w:line="264" w:lineRule="auto"/>
        <w:tabs>
          <w:tab w:leader="none" w:pos="1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overall supervision of the persons entrusted with managing the corporation, in particular with regard to compliance with the law, articles of association, operational regulations and directives;</w:t>
      </w:r>
    </w:p>
    <w:p>
      <w:pPr>
        <w:spacing w:after="0" w:line="181" w:lineRule="exact"/>
        <w:rPr>
          <w:rFonts w:ascii="Arial" w:cs="Arial" w:eastAsia="Arial" w:hAnsi="Arial"/>
          <w:sz w:val="18"/>
          <w:szCs w:val="18"/>
          <w:color w:val="auto"/>
        </w:rPr>
      </w:pPr>
    </w:p>
    <w:p>
      <w:pPr>
        <w:ind w:left="165" w:right="220" w:hanging="165"/>
        <w:spacing w:after="0" w:line="308" w:lineRule="auto"/>
        <w:tabs>
          <w:tab w:leader="none" w:pos="144"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compilation of the annual report, preparation for the general meeting, the compensation report and implementation of its resolutions; and</w:t>
      </w:r>
    </w:p>
    <w:p>
      <w:pPr>
        <w:spacing w:after="0" w:line="146" w:lineRule="exact"/>
        <w:rPr>
          <w:rFonts w:ascii="Arial" w:cs="Arial" w:eastAsia="Arial" w:hAnsi="Arial"/>
          <w:sz w:val="17"/>
          <w:szCs w:val="17"/>
          <w:color w:val="auto"/>
        </w:rPr>
      </w:pPr>
    </w:p>
    <w:p>
      <w:pPr>
        <w:ind w:left="145" w:hanging="145"/>
        <w:spacing w:after="0"/>
        <w:tabs>
          <w:tab w:leader="none" w:pos="145"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notification of the court in the event that the company is overindebted.</w:t>
      </w:r>
    </w:p>
    <w:p>
      <w:pPr>
        <w:spacing w:after="0" w:line="237" w:lineRule="exact"/>
        <w:rPr>
          <w:sz w:val="20"/>
          <w:szCs w:val="20"/>
          <w:color w:val="auto"/>
        </w:rPr>
      </w:pPr>
    </w:p>
    <w:p>
      <w:pPr>
        <w:ind w:left="5" w:right="80"/>
        <w:spacing w:after="0" w:line="312" w:lineRule="auto"/>
        <w:rPr>
          <w:sz w:val="20"/>
          <w:szCs w:val="20"/>
          <w:color w:val="auto"/>
        </w:rPr>
      </w:pPr>
      <w:r>
        <w:rPr>
          <w:rFonts w:ascii="Arial" w:cs="Arial" w:eastAsia="Arial" w:hAnsi="Arial"/>
          <w:sz w:val="16"/>
          <w:szCs w:val="16"/>
          <w:color w:val="auto"/>
        </w:rPr>
        <w:t>The members of the board of directors must perform their duties with all due diligence and safeguard the interests of the corporation in good faith. They must afford the shareholders equal treatment in equal circumstances.</w:t>
      </w:r>
    </w:p>
    <w:p>
      <w:pPr>
        <w:spacing w:after="0" w:line="147" w:lineRule="exact"/>
        <w:rPr>
          <w:sz w:val="20"/>
          <w:szCs w:val="20"/>
          <w:color w:val="auto"/>
        </w:rPr>
      </w:pPr>
    </w:p>
    <w:p>
      <w:pPr>
        <w:ind w:left="5" w:firstLine="324"/>
        <w:spacing w:after="0" w:line="277" w:lineRule="auto"/>
        <w:rPr>
          <w:sz w:val="20"/>
          <w:szCs w:val="20"/>
          <w:color w:val="auto"/>
        </w:rPr>
      </w:pPr>
      <w:r>
        <w:rPr>
          <w:rFonts w:ascii="Arial" w:cs="Arial" w:eastAsia="Arial" w:hAnsi="Arial"/>
          <w:sz w:val="18"/>
          <w:szCs w:val="18"/>
          <w:color w:val="auto"/>
        </w:rPr>
        <w:t>The burden of proof for a violation of these duties is with the corporation or with the shareholder bringing a suit against the director.</w:t>
      </w:r>
    </w:p>
    <w:p>
      <w:pPr>
        <w:spacing w:after="0" w:line="170" w:lineRule="exact"/>
        <w:rPr>
          <w:sz w:val="20"/>
          <w:szCs w:val="20"/>
          <w:color w:val="auto"/>
        </w:rPr>
      </w:pPr>
    </w:p>
    <w:p>
      <w:pPr>
        <w:sectPr>
          <w:pgSz w:w="11900" w:h="16838" w:orient="portrait"/>
          <w:cols w:equalWidth="0" w:num="2">
            <w:col w:w="5560" w:space="255"/>
            <w:col w:w="5605"/>
          </w:cols>
          <w:pgMar w:left="240" w:top="796"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 action by written consent</w:t>
      </w:r>
    </w:p>
    <w:p>
      <w:pPr>
        <w:sectPr>
          <w:pgSz w:w="11900" w:h="16838" w:orient="portrait"/>
          <w:cols w:equalWidth="0" w:num="1">
            <w:col w:w="11420"/>
          </w:cols>
          <w:pgMar w:left="240" w:top="796" w:right="239" w:bottom="1440" w:gutter="0" w:footer="0" w:header="0"/>
          <w:type w:val="continuous"/>
        </w:sectPr>
      </w:pP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Shareholders of a Swiss corporation may only exercise their voting rights in a general meeting of shareholders and may not act by written consents. The articles of association must allow for (independent) proxies to be present at a general meeting of shareholders. The instruction of such (independent) proxies may occur in writing or electronically.</w:t>
      </w:r>
    </w:p>
    <w:p>
      <w:pPr>
        <w:spacing w:after="0" w:line="200" w:lineRule="exact"/>
        <w:rPr>
          <w:sz w:val="20"/>
          <w:szCs w:val="20"/>
          <w:color w:val="auto"/>
        </w:rPr>
      </w:pPr>
    </w:p>
    <w:p>
      <w:pPr>
        <w:sectPr>
          <w:pgSz w:w="11900" w:h="16838" w:orient="portrait"/>
          <w:cols w:equalWidth="0" w:num="2">
            <w:col w:w="5540" w:space="280"/>
            <w:col w:w="5600"/>
          </w:cols>
          <w:pgMar w:left="240" w:top="796" w:right="239" w:bottom="1440" w:gutter="0" w:footer="0" w:header="0"/>
          <w:type w:val="continuous"/>
        </w:sectPr>
      </w:pPr>
    </w:p>
    <w:p>
      <w:pPr>
        <w:spacing w:after="0" w:line="8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21" w:name="page22"/>
    <w:bookmarkEnd w:id="21"/>
    <w:p>
      <w:pPr>
        <w:ind w:left="1480"/>
        <w:spacing w:after="0"/>
        <w:tabs>
          <w:tab w:leader="none" w:pos="750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Shareholder proposals</w:t>
      </w:r>
    </w:p>
    <w:p>
      <w:pPr>
        <w:sectPr>
          <w:pgSz w:w="11900" w:h="16838" w:orient="portrait"/>
          <w:cols w:equalWidth="0" w:num="1">
            <w:col w:w="11380"/>
          </w:cols>
          <w:pgMar w:left="240" w:top="796" w:right="279" w:bottom="1440" w:gutter="0" w:footer="0" w:header="0"/>
        </w:sectPr>
      </w:pP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5"/>
        <w:spacing w:after="0" w:line="257" w:lineRule="auto"/>
        <w:rPr>
          <w:sz w:val="20"/>
          <w:szCs w:val="20"/>
          <w:color w:val="auto"/>
        </w:rPr>
      </w:pPr>
      <w:r>
        <w:rPr>
          <w:rFonts w:ascii="Arial" w:cs="Arial" w:eastAsia="Arial" w:hAnsi="Arial"/>
          <w:sz w:val="18"/>
          <w:szCs w:val="18"/>
          <w:color w:val="auto"/>
        </w:rPr>
        <w:t>At any general meeting of shareholders any shareholder may put proposals to the meeting if the proposal is part of an agenda item. No resolution may be made on proposals relating to the agenda items that were not duly notified. Unless the articles of association provide for a lower threshold or for additional shareholders’ rights:</w:t>
      </w:r>
    </w:p>
    <w:p>
      <w:pPr>
        <w:spacing w:after="0" w:line="188" w:lineRule="exact"/>
        <w:rPr>
          <w:sz w:val="20"/>
          <w:szCs w:val="20"/>
          <w:color w:val="auto"/>
        </w:rPr>
      </w:pPr>
    </w:p>
    <w:p>
      <w:pPr>
        <w:ind w:left="165" w:right="260" w:hanging="165"/>
        <w:spacing w:after="0" w:line="264" w:lineRule="auto"/>
        <w:tabs>
          <w:tab w:leader="none" w:pos="1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shareholders together representing at least 10% of the share capital may demand that a general meeting of shareholders be called for specific agenda items and specific proposals; and</w:t>
      </w:r>
    </w:p>
    <w:p>
      <w:pPr>
        <w:spacing w:after="0" w:line="181" w:lineRule="exact"/>
        <w:rPr>
          <w:rFonts w:ascii="Arial" w:cs="Arial" w:eastAsia="Arial" w:hAnsi="Arial"/>
          <w:sz w:val="18"/>
          <w:szCs w:val="18"/>
          <w:color w:val="auto"/>
        </w:rPr>
      </w:pPr>
    </w:p>
    <w:p>
      <w:pPr>
        <w:ind w:left="165" w:right="20" w:hanging="165"/>
        <w:spacing w:after="0" w:line="302" w:lineRule="auto"/>
        <w:tabs>
          <w:tab w:leader="none" w:pos="144" w:val="left"/>
        </w:tabs>
        <w:numPr>
          <w:ilvl w:val="0"/>
          <w:numId w:val="20"/>
        </w:numPr>
        <w:rPr>
          <w:rFonts w:ascii="Arial" w:cs="Arial" w:eastAsia="Arial" w:hAnsi="Arial"/>
          <w:sz w:val="16"/>
          <w:szCs w:val="16"/>
          <w:color w:val="auto"/>
        </w:rPr>
      </w:pPr>
      <w:r>
        <w:rPr>
          <w:rFonts w:ascii="Arial" w:cs="Arial" w:eastAsia="Arial" w:hAnsi="Arial"/>
          <w:sz w:val="16"/>
          <w:szCs w:val="16"/>
          <w:color w:val="auto"/>
        </w:rPr>
        <w:t>shareholders together representing shares with a nominal value of at least CHF 1.0 million may demand that an agenda item including a specific proposal be put on the agenda for a regularly scheduled general meeting of shareholders, provided such request is made with appropriate notice.</w:t>
      </w:r>
    </w:p>
    <w:p>
      <w:pPr>
        <w:spacing w:after="0" w:line="154" w:lineRule="exact"/>
        <w:rPr>
          <w:sz w:val="20"/>
          <w:szCs w:val="20"/>
          <w:color w:val="auto"/>
        </w:rPr>
      </w:pPr>
    </w:p>
    <w:p>
      <w:pPr>
        <w:ind w:left="5" w:right="40" w:firstLine="324"/>
        <w:spacing w:after="0" w:line="264" w:lineRule="auto"/>
        <w:rPr>
          <w:sz w:val="20"/>
          <w:szCs w:val="20"/>
          <w:color w:val="auto"/>
        </w:rPr>
      </w:pPr>
      <w:r>
        <w:rPr>
          <w:rFonts w:ascii="Arial" w:cs="Arial" w:eastAsia="Arial" w:hAnsi="Arial"/>
          <w:sz w:val="18"/>
          <w:szCs w:val="18"/>
          <w:color w:val="auto"/>
        </w:rPr>
        <w:t>Any shareholder can propose candidates for election as directors provided that the election of board members and the names of the candidates have been included as an agenda item.</w:t>
      </w:r>
    </w:p>
    <w:p>
      <w:pPr>
        <w:spacing w:after="0" w:line="181" w:lineRule="exact"/>
        <w:rPr>
          <w:sz w:val="20"/>
          <w:szCs w:val="20"/>
          <w:color w:val="auto"/>
        </w:rPr>
      </w:pPr>
    </w:p>
    <w:p>
      <w:pPr>
        <w:ind w:left="5" w:right="60"/>
        <w:spacing w:after="0" w:line="272" w:lineRule="auto"/>
        <w:rPr>
          <w:sz w:val="20"/>
          <w:szCs w:val="20"/>
          <w:color w:val="auto"/>
        </w:rPr>
      </w:pPr>
      <w:r>
        <w:rPr>
          <w:rFonts w:ascii="Arial" w:cs="Arial" w:eastAsia="Arial" w:hAnsi="Arial"/>
          <w:sz w:val="17"/>
          <w:szCs w:val="17"/>
          <w:color w:val="auto"/>
        </w:rPr>
        <w:t>In addition, any shareholder is entitled, at a general meeting of shareholders and without advance notice, to (i) request information from the Board on the affairs of the company (note, however, that the right to obtain such information is limited), (ii) request information from the auditors on the methods and results of their audit, (iii) request to convene an extraordinary general meeting or (iv) to carry out a special audit and to appoint an auditor at the request of a shareholder.</w:t>
      </w:r>
    </w:p>
    <w:p>
      <w:pPr>
        <w:spacing w:after="0" w:line="178" w:lineRule="exact"/>
        <w:rPr>
          <w:sz w:val="20"/>
          <w:szCs w:val="20"/>
          <w:color w:val="auto"/>
        </w:rPr>
      </w:pPr>
    </w:p>
    <w:p>
      <w:pPr>
        <w:sectPr>
          <w:pgSz w:w="11900" w:h="16838" w:orient="portrait"/>
          <w:cols w:equalWidth="0" w:num="2">
            <w:col w:w="5560" w:space="255"/>
            <w:col w:w="5565"/>
          </w:cols>
          <w:pgMar w:left="240" w:top="796" w:right="279" w:bottom="1440" w:gutter="0" w:footer="0" w:header="0"/>
          <w:type w:val="continuous"/>
        </w:sectPr>
      </w:pPr>
    </w:p>
    <w:p>
      <w:pPr>
        <w:jc w:val="center"/>
        <w:ind w:right="-59"/>
        <w:spacing w:after="0"/>
        <w:rPr>
          <w:sz w:val="20"/>
          <w:szCs w:val="20"/>
          <w:color w:val="auto"/>
        </w:rPr>
      </w:pPr>
      <w:r>
        <w:rPr>
          <w:rFonts w:ascii="Arial" w:cs="Arial" w:eastAsia="Arial" w:hAnsi="Arial"/>
          <w:sz w:val="16"/>
          <w:szCs w:val="16"/>
          <w:i w:val="1"/>
          <w:iCs w:val="1"/>
          <w:color w:val="auto"/>
        </w:rPr>
        <w:t>Cumulative voting</w:t>
      </w:r>
    </w:p>
    <w:p>
      <w:pPr>
        <w:sectPr>
          <w:pgSz w:w="11900" w:h="16838" w:orient="portrait"/>
          <w:cols w:equalWidth="0" w:num="1">
            <w:col w:w="11380"/>
          </w:cols>
          <w:pgMar w:left="240" w:top="796" w:right="279" w:bottom="1440" w:gutter="0" w:footer="0" w:header="0"/>
          <w:type w:val="continuous"/>
        </w:sectPr>
      </w:pPr>
    </w:p>
    <w:p>
      <w:pPr>
        <w:spacing w:after="0" w:line="2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compensation for the members of the board of directors and the executive committee as well as for the members of the advisory board, if applicable, is mandatory for listed companies. Re-election is permitted.</w:t>
      </w:r>
    </w:p>
    <w:p>
      <w:pPr>
        <w:spacing w:after="0" w:line="169" w:lineRule="exact"/>
        <w:rPr>
          <w:sz w:val="20"/>
          <w:szCs w:val="20"/>
          <w:color w:val="auto"/>
        </w:rPr>
      </w:pPr>
    </w:p>
    <w:p>
      <w:pPr>
        <w:sectPr>
          <w:pgSz w:w="11900" w:h="16838" w:orient="portrait"/>
          <w:cols w:equalWidth="0" w:num="2">
            <w:col w:w="5400" w:space="420"/>
            <w:col w:w="5560"/>
          </w:cols>
          <w:pgMar w:left="240" w:top="796"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i w:val="1"/>
          <w:iCs w:val="1"/>
          <w:color w:val="auto"/>
        </w:rPr>
        <w:t>Removal of directors</w:t>
      </w:r>
    </w:p>
    <w:p>
      <w:pPr>
        <w:sectPr>
          <w:pgSz w:w="11900" w:h="16838" w:orient="portrait"/>
          <w:cols w:equalWidth="0" w:num="1">
            <w:col w:w="11380"/>
          </w:cols>
          <w:pgMar w:left="240" w:top="796" w:right="279" w:bottom="1440" w:gutter="0" w:footer="0" w:header="0"/>
          <w:type w:val="continuous"/>
        </w:sectPr>
      </w:pPr>
    </w:p>
    <w:p>
      <w:pPr>
        <w:spacing w:after="0" w:line="2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 Swiss corporation may remove, with or without cause, any director at any time with a resolution passed by a simple majority of the shares represented at a general meeting of shareholders concerned. The articles of association may require the approval by a qualified majority of the shares represented at a meeting for the removal of a director.</w:t>
      </w:r>
    </w:p>
    <w:p>
      <w:pPr>
        <w:spacing w:after="0" w:line="200" w:lineRule="exact"/>
        <w:rPr>
          <w:sz w:val="20"/>
          <w:szCs w:val="20"/>
          <w:color w:val="auto"/>
        </w:rPr>
      </w:pPr>
    </w:p>
    <w:p>
      <w:pPr>
        <w:sectPr>
          <w:pgSz w:w="11900" w:h="16838" w:orient="portrait"/>
          <w:cols w:equalWidth="0" w:num="2">
            <w:col w:w="5300" w:space="520"/>
            <w:col w:w="5560"/>
          </w:cols>
          <w:pgMar w:left="240" w:top="796" w:right="279" w:bottom="1440" w:gutter="0" w:footer="0" w:header="0"/>
          <w:type w:val="continuous"/>
        </w:sectPr>
      </w:pPr>
    </w:p>
    <w:p>
      <w:pPr>
        <w:spacing w:after="0" w:line="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type w:val="continuous"/>
        </w:sectPr>
      </w:pPr>
    </w:p>
    <w:bookmarkStart w:id="22" w:name="page23"/>
    <w:bookmarkEnd w:id="22"/>
    <w:p>
      <w:pPr>
        <w:ind w:left="1480"/>
        <w:spacing w:after="0"/>
        <w:tabs>
          <w:tab w:leader="none" w:pos="750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Transactions with interested shareholders</w:t>
      </w:r>
    </w:p>
    <w:p>
      <w:pPr>
        <w:sectPr>
          <w:pgSz w:w="11900" w:h="16838" w:orient="portrait"/>
          <w:cols w:equalWidth="0" w:num="1">
            <w:col w:w="11420"/>
          </w:cols>
          <w:pgMar w:left="240" w:top="796" w:right="239" w:bottom="1440" w:gutter="0" w:footer="0" w:header="0"/>
        </w:sectPr>
      </w:pP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Delaware General Corporation Law generally prohibits a Delaware 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such rule applies to a Swiss corporation.</w:t>
      </w:r>
    </w:p>
    <w:p>
      <w:pPr>
        <w:spacing w:after="0" w:line="1328" w:lineRule="exact"/>
        <w:rPr>
          <w:sz w:val="20"/>
          <w:szCs w:val="20"/>
          <w:color w:val="auto"/>
        </w:rPr>
      </w:pPr>
    </w:p>
    <w:p>
      <w:pPr>
        <w:sectPr>
          <w:pgSz w:w="11900" w:h="16838" w:orient="portrait"/>
          <w:cols w:equalWidth="0" w:num="2">
            <w:col w:w="5420" w:space="400"/>
            <w:col w:w="5600"/>
          </w:cols>
          <w:pgMar w:left="240" w:top="796"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Dissolution; Winding up</w:t>
      </w:r>
    </w:p>
    <w:p>
      <w:pPr>
        <w:sectPr>
          <w:pgSz w:w="11900" w:h="16838" w:orient="portrait"/>
          <w:cols w:equalWidth="0" w:num="1">
            <w:col w:w="11420"/>
          </w:cols>
          <w:pgMar w:left="240" w:top="796" w:right="239" w:bottom="1440" w:gutter="0" w:footer="0" w:header="0"/>
          <w:type w:val="continuous"/>
        </w:sectPr>
      </w:pPr>
    </w:p>
    <w:p>
      <w:pPr>
        <w:spacing w:after="0" w:line="2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 dissolution of a Swiss corporation requires the approval by two-thirds of the shares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p>
      <w:pPr>
        <w:spacing w:after="0" w:line="590" w:lineRule="exact"/>
        <w:rPr>
          <w:sz w:val="20"/>
          <w:szCs w:val="20"/>
          <w:color w:val="auto"/>
        </w:rPr>
      </w:pPr>
    </w:p>
    <w:p>
      <w:pPr>
        <w:sectPr>
          <w:pgSz w:w="11900" w:h="16838" w:orient="portrait"/>
          <w:cols w:equalWidth="0" w:num="2">
            <w:col w:w="5600" w:space="220"/>
            <w:col w:w="5600"/>
          </w:cols>
          <w:pgMar w:left="240" w:top="796"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Variation of rights of shares</w:t>
      </w:r>
    </w:p>
    <w:p>
      <w:pPr>
        <w:sectPr>
          <w:pgSz w:w="11900" w:h="16838" w:orient="portrait"/>
          <w:cols w:equalWidth="0" w:num="1">
            <w:col w:w="11420"/>
          </w:cols>
          <w:pgMar w:left="240" w:top="796" w:right="239" w:bottom="1440" w:gutter="0" w:footer="0" w:header="0"/>
          <w:type w:val="continuous"/>
        </w:sectPr>
      </w:pP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general shareholder meeting of a Swiss corporation may resolve that preference shares be issued or that existing shares be converted into preference shares with a resolution passed by a simple majority of the shares represented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16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Shares with preferential voting rights are not regarded a special class for these purposes.</w:t>
      </w:r>
    </w:p>
    <w:p>
      <w:pPr>
        <w:spacing w:after="0" w:line="170" w:lineRule="exact"/>
        <w:rPr>
          <w:sz w:val="20"/>
          <w:szCs w:val="20"/>
          <w:color w:val="auto"/>
        </w:rPr>
      </w:pPr>
    </w:p>
    <w:p>
      <w:pPr>
        <w:sectPr>
          <w:pgSz w:w="11900" w:h="16838" w:orient="portrait"/>
          <w:cols w:equalWidth="0" w:num="2">
            <w:col w:w="5220" w:space="600"/>
            <w:col w:w="5600"/>
          </w:cols>
          <w:pgMar w:left="240" w:top="796"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Amendment of governing documents</w:t>
      </w:r>
    </w:p>
    <w:p>
      <w:pPr>
        <w:sectPr>
          <w:pgSz w:w="11900" w:h="16838" w:orient="portrait"/>
          <w:cols w:equalWidth="0" w:num="1">
            <w:col w:w="11420"/>
          </w:cols>
          <w:pgMar w:left="240" w:top="796" w:right="239" w:bottom="1440" w:gutter="0" w:footer="0" w:header="0"/>
          <w:type w:val="continuous"/>
        </w:sectPr>
      </w:pP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articles of association of a Swiss corporation may be amended with a resolution passed by a simple majority of the shares represented at such meeting, unless otherwise provided in the articles of association. There are a number of resolutions, such as an amendment of the stated purpose of the corporation, the introduction of authorized and conditional capital and the introduction of shares with preferential voting rights that require the approval by two-thirds of the votes and an absolute majority of the nominal value of the shares represented at a shareholders’ meeting. The articles of association may increase the voting thresholds.</w:t>
      </w:r>
    </w:p>
    <w:p>
      <w:pPr>
        <w:spacing w:after="0" w:line="200" w:lineRule="exact"/>
        <w:rPr>
          <w:sz w:val="20"/>
          <w:szCs w:val="20"/>
          <w:color w:val="auto"/>
        </w:rPr>
      </w:pPr>
    </w:p>
    <w:p>
      <w:pPr>
        <w:sectPr>
          <w:pgSz w:w="11900" w:h="16838" w:orient="portrait"/>
          <w:cols w:equalWidth="0" w:num="2">
            <w:col w:w="5380" w:space="440"/>
            <w:col w:w="5600"/>
          </w:cols>
          <w:pgMar w:left="240" w:top="796" w:right="239" w:bottom="1440" w:gutter="0" w:footer="0" w:header="0"/>
          <w:type w:val="continuous"/>
        </w:sectPr>
      </w:pP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23" w:name="page24"/>
    <w:bookmarkEnd w:id="23"/>
    <w:p>
      <w:pPr>
        <w:ind w:left="1480"/>
        <w:spacing w:after="0"/>
        <w:tabs>
          <w:tab w:leader="none" w:pos="750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Inspection of Books and Records</w:t>
      </w:r>
    </w:p>
    <w:p>
      <w:pPr>
        <w:sectPr>
          <w:pgSz w:w="11900" w:h="16838" w:orient="portrait"/>
          <w:cols w:equalWidth="0" w:num="1">
            <w:col w:w="11360"/>
          </w:cols>
          <w:pgMar w:left="240" w:top="796" w:right="299" w:bottom="1440" w:gutter="0" w:footer="0" w:header="0"/>
        </w:sectPr>
      </w:pP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Shareholders of a Swiss corporation may only inspect books and records if the general meeting of shareholders or the board of directors approved such inspection. The information may be refused where providing it would jeopardize the corporation’s trade secrets or other interests warranting protection. A shareholder is only entitled to receive information to the extent required to exercise such shareholders’ rights, subject to the interests of the corporation. The right to inspect the share register is limited to the right to inspect that shareholder’s own entry in the share register.</w:t>
      </w:r>
    </w:p>
    <w:p>
      <w:pPr>
        <w:spacing w:after="0" w:line="166" w:lineRule="exact"/>
        <w:rPr>
          <w:sz w:val="20"/>
          <w:szCs w:val="20"/>
          <w:color w:val="auto"/>
        </w:rPr>
      </w:pPr>
    </w:p>
    <w:p>
      <w:pPr>
        <w:sectPr>
          <w:pgSz w:w="11900" w:h="16838" w:orient="portrait"/>
          <w:cols w:equalWidth="0" w:num="2">
            <w:col w:w="5560" w:space="260"/>
            <w:col w:w="5540"/>
          </w:cols>
          <w:pgMar w:left="240" w:top="796"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i w:val="1"/>
          <w:iCs w:val="1"/>
          <w:color w:val="auto"/>
        </w:rPr>
        <w:t>Payment of dividends</w:t>
      </w:r>
    </w:p>
    <w:p>
      <w:pPr>
        <w:sectPr>
          <w:pgSz w:w="11900" w:h="16838" w:orient="portrait"/>
          <w:cols w:equalWidth="0" w:num="1">
            <w:col w:w="11360"/>
          </w:cols>
          <w:pgMar w:left="240" w:top="796" w:right="299" w:bottom="1440" w:gutter="0" w:footer="0" w:header="0"/>
          <w:type w:val="continuous"/>
        </w:sectPr>
      </w:pP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187"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225" w:lineRule="exact"/>
        <w:rPr>
          <w:rFonts w:ascii="Arial" w:cs="Arial" w:eastAsia="Arial" w:hAnsi="Arial"/>
          <w:sz w:val="18"/>
          <w:szCs w:val="18"/>
          <w:color w:val="auto"/>
        </w:rPr>
      </w:pPr>
    </w:p>
    <w:p>
      <w:pPr>
        <w:ind w:left="160" w:right="220" w:hanging="152"/>
        <w:spacing w:after="0" w:line="342" w:lineRule="auto"/>
        <w:tabs>
          <w:tab w:leader="none" w:pos="139"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Stockholder approval is required to authorize capital stock in excess of that provided in the charter. Directors may issue authorized shares without stockholder approval.</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Dividend payments are subject to the approval of the general meeting of shareholders. The board of directors may propose to shareholders that a dividend shall be paid but cannot itself authorize the distribution.</w:t>
      </w:r>
    </w:p>
    <w:p>
      <w:pPr>
        <w:spacing w:after="0" w:line="14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Payments out of the Company’s share capital (in other words, the aggregate nominal value of the Company’s registered share capital) in the form of dividends are not allowed; however, payments out of share capital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spacing w:after="0" w:line="200" w:lineRule="exact"/>
        <w:rPr>
          <w:sz w:val="20"/>
          <w:szCs w:val="20"/>
          <w:color w:val="auto"/>
        </w:rPr>
      </w:pPr>
    </w:p>
    <w:p>
      <w:pPr>
        <w:sectPr>
          <w:pgSz w:w="11900" w:h="16838" w:orient="portrait"/>
          <w:cols w:equalWidth="0" w:num="2">
            <w:col w:w="5600" w:space="220"/>
            <w:col w:w="5540"/>
          </w:cols>
          <w:pgMar w:left="240" w:top="796" w:right="299" w:bottom="1440" w:gutter="0" w:footer="0" w:header="0"/>
          <w:type w:val="continuous"/>
        </w:sectPr>
      </w:pP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6"/>
          <w:szCs w:val="16"/>
          <w:i w:val="1"/>
          <w:iCs w:val="1"/>
          <w:color w:val="auto"/>
        </w:rPr>
        <w:t>Creation and issuance of new shares</w:t>
      </w:r>
    </w:p>
    <w:p>
      <w:pPr>
        <w:sectPr>
          <w:pgSz w:w="11900" w:h="16838" w:orient="portrait"/>
          <w:cols w:equalWidth="0" w:num="1">
            <w:col w:w="11360"/>
          </w:cols>
          <w:pgMar w:left="240" w:top="796" w:right="299" w:bottom="1440" w:gutter="0" w:footer="0" w:header="0"/>
          <w:type w:val="continuous"/>
        </w:sectPr>
      </w:pP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All creation of shares require a shareholders’ resolution. An authorized or contingent capital increase requires at least two-thirds of the voting rights represented at the general meeting of shareholders and an absolute majority of the nominal value of shares represented. Authorized shares can be, once created by shareholder resolution, issued by the board of directors (subject to fulfillment of the authorization). Conditional shares are created and issued through the exercise of options and conversion rights related to debt instruments issued by the board of directors or such rights issued to employees.</w:t>
      </w:r>
    </w:p>
    <w:p>
      <w:pPr>
        <w:spacing w:after="0" w:line="200" w:lineRule="exact"/>
        <w:rPr>
          <w:sz w:val="20"/>
          <w:szCs w:val="20"/>
          <w:color w:val="auto"/>
        </w:rPr>
      </w:pPr>
    </w:p>
    <w:p>
      <w:pPr>
        <w:sectPr>
          <w:pgSz w:w="11900" w:h="16838" w:orient="portrait"/>
          <w:cols w:equalWidth="0" w:num="2">
            <w:col w:w="5420" w:space="400"/>
            <w:col w:w="5540"/>
          </w:cols>
          <w:pgMar w:left="240" w:top="796" w:right="299" w:bottom="1440" w:gutter="0" w:footer="0" w:header="0"/>
          <w:type w:val="continuous"/>
        </w:sectPr>
      </w:pP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96" w:right="299" w:bottom="1440" w:gutter="0" w:footer="0" w:header="0"/>
          <w:type w:val="continuous"/>
        </w:sectPr>
      </w:pPr>
    </w:p>
    <w:bookmarkStart w:id="24" w:name="page25"/>
    <w:bookmarkEnd w:id="24"/>
    <w:p>
      <w:pPr>
        <w:jc w:val="center"/>
        <w:ind w:right="-15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debt securities will be either senior debt securities or subordinated debt securities and may be secured or unsecured and may be exchangeable for and/or convertible into other securities, including our common shares. The debt securities will be issued under one or more separate indentures between us and a designated trustee. We will include in a prospectus supplement the specific terms of each series of senior or subordinated debt securities being offered, including the terms, if any, on which a series of senior or subordinated debt securities may be convertible into or exchangeable for other securities. In addition, the material terms of any indenture, which will govern the rights of the holders of our senior or subordinated debt securities will be set forth in the applicable prospectus supplement.</w:t>
      </w: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796" w:right="379" w:bottom="1440" w:gutter="0" w:footer="0" w:header="0"/>
        </w:sectPr>
      </w:pPr>
    </w:p>
    <w:bookmarkStart w:id="25" w:name="page26"/>
    <w:bookmarkEnd w:id="25"/>
    <w:p>
      <w:pPr>
        <w:jc w:val="center"/>
        <w:ind w:right="-7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may issue warrants to purchase debt securities, common shares or other securities. We may issue warrants independently or together with other securities. Warrants sold with other securities may be attached to or separate from the other securities. We will issue warrants under one or more warrant agreements between our company and a warrant agent that we will name in the applicable prospectus supplement. The terms of any warrants to be issued and a description of the material provisions of the applicable warrant agreement will be set forth in the applicable prospectus supplement.</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96" w:right="299" w:bottom="1440" w:gutter="0" w:footer="0" w:header="0"/>
        </w:sectPr>
      </w:pPr>
    </w:p>
    <w:bookmarkStart w:id="26" w:name="page27"/>
    <w:bookmarkEnd w:id="26"/>
    <w:p>
      <w:pPr>
        <w:ind w:left="3840"/>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issue purchase contracts for the purchase or sale of equity securities issued by us.</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Each purchase contract will entitle the holder thereof to purchase or sell, and obligate us to sell or purchase, on specified dates, such equity securities issued by us at a specified purchase price, which may be based on a formula, as set forth in the applicable prospectus supplement. The applicable prospectus supplement will also specify the methods by which the holders may purchase or sell such securities and any acceleration, cancellation or termination provisions or other provisions relating to the settlement of a purchase contract.</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Any purchase contracts we issue will be physically settled by delivery of the securities.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27" w:name="page28"/>
    <w:bookmarkEnd w:id="27"/>
    <w:p>
      <w:pPr>
        <w:jc w:val="center"/>
        <w:ind w:right="-4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common shares, debt securities, warrants or any combination of such securities.</w:t>
      </w:r>
    </w:p>
    <w:p>
      <w:pPr>
        <w:spacing w:after="0" w:line="27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796" w:right="659" w:bottom="1440" w:gutter="0" w:footer="0" w:header="0"/>
        </w:sectPr>
      </w:pPr>
    </w:p>
    <w:bookmarkStart w:id="28" w:name="page29"/>
    <w:bookmarkEnd w:id="28"/>
    <w:p>
      <w:pPr>
        <w:jc w:val="center"/>
        <w:ind w:right="-13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following is a general description of the terms of the subscription rights we may issue from time to time. Particular terms of any subscription rights we offer will be described in the prospectus supplement or free writing prospectus relating to such subscription rights, and may differ from the terms described herein.</w:t>
      </w:r>
    </w:p>
    <w:p>
      <w:pPr>
        <w:spacing w:after="0" w:line="18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may issue subscription rights to purchase our securities. These subscription rights may be issued independently or together with any other security offered hereby and may or may not be transferable by the shareholder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applicable prospectus supplement will describe the specific terms of any offering of subscription rights for which this prospectus is being delivered, including the following:</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common shares or warrants for those securities will be offered under the shareholder subscription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price, if any, for the subscription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exercise price payable for each security upon the exercise of the subscription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subscription rights issued to each shareholder;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and terms of the securities which may be purchased per each subscription right;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the subscription rights are transferable;</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the terms, procedures and limitations relating to the exchange and exercise of the subscription rights;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date on which the right to exercise the subscription rights shall commence, and the date on which the subscription rights shall expire;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the subscription rights may include an over-subscription privilege with respect to unsubscribed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appropriate, a discussion of material U.S. federal income tax considerations; and</w:t>
      </w:r>
    </w:p>
    <w:p>
      <w:pPr>
        <w:spacing w:after="0" w:line="225"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purchase arrangement entered into by us in connection with the offering of subscription rights.</w:t>
      </w:r>
    </w:p>
    <w:p>
      <w:pPr>
        <w:spacing w:after="0" w:line="17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description in the applicable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Standby Arrangements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If fewer than all of the subscription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796" w:right="359" w:bottom="1440" w:gutter="0" w:footer="0" w:header="0"/>
        </w:sectPr>
      </w:pPr>
    </w:p>
    <w:bookmarkStart w:id="29" w:name="page30"/>
    <w:bookmarkEnd w:id="29"/>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sell the securities in one or more of the following ways (or in any combination) from time to time:</w:t>
      </w:r>
    </w:p>
    <w:p>
      <w:pPr>
        <w:spacing w:after="0" w:line="225"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directly to a limited number of purchasers or to a single purchaser;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225" w:lineRule="exact"/>
        <w:rPr>
          <w:rFonts w:ascii="Arial" w:cs="Arial" w:eastAsia="Arial" w:hAnsi="Arial"/>
          <w:sz w:val="18"/>
          <w:szCs w:val="18"/>
          <w:color w:val="auto"/>
        </w:rPr>
      </w:pPr>
    </w:p>
    <w:p>
      <w:pPr>
        <w:ind w:left="340" w:right="2380" w:firstLine="316"/>
        <w:spacing w:after="0" w:line="501" w:lineRule="auto"/>
        <w:tabs>
          <w:tab w:leader="none" w:pos="9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any other method permitted by applicable law and described in the applicable prospectus supplement. The prospectus supplement will state the terms of the offering of the securities, including:</w:t>
      </w: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 price of such securities and the proceeds to be received by us,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Any initial public offering price and any discounts or concessions allowed or reallowed or paid to dealers may be changed from time to time.</w:t>
      </w:r>
    </w:p>
    <w:p>
      <w:pPr>
        <w:spacing w:after="0" w:line="23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If underwriters are used in in the sale, the securities will be acquired by the underwriters for their own account and may be resold from time to time in one or more transactions, including:</w:t>
      </w:r>
    </w:p>
    <w:p>
      <w:pPr>
        <w:spacing w:after="0" w:line="170"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negotiated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a fixed public offering price or prices, which may be changed;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prices related to prevailing market prices;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70" w:lineRule="exact"/>
        <w:rPr>
          <w:sz w:val="20"/>
          <w:szCs w:val="20"/>
          <w:color w:val="auto"/>
        </w:rPr>
      </w:pPr>
    </w:p>
    <w:p>
      <w:pPr>
        <w:ind w:right="560" w:firstLine="324"/>
        <w:spacing w:after="0" w:line="342" w:lineRule="auto"/>
        <w:rPr>
          <w:sz w:val="20"/>
          <w:szCs w:val="20"/>
          <w:color w:val="auto"/>
        </w:rPr>
      </w:pPr>
      <w:r>
        <w:rPr>
          <w:rFonts w:ascii="Arial" w:cs="Arial" w:eastAsia="Arial" w:hAnsi="Arial"/>
          <w:sz w:val="16"/>
          <w:szCs w:val="16"/>
          <w:color w:val="auto"/>
        </w:rPr>
        <w:t>The securities may be sold through agents from time to time. The prospectus supplement will name any agent involved in the offer or sale of the securities and any commissions paid to them. Generally, any agent will be acting on a best efforts basis for the period of its appointment.</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796" w:right="379" w:bottom="1440" w:gutter="0" w:footer="0" w:header="0"/>
        </w:sectPr>
      </w:pPr>
    </w:p>
    <w:bookmarkStart w:id="30" w:name="page31"/>
    <w:bookmarkEnd w:id="30"/>
    <w:p>
      <w:pPr>
        <w:ind w:right="640" w:firstLine="324"/>
        <w:spacing w:after="0" w:line="342" w:lineRule="auto"/>
        <w:rPr>
          <w:sz w:val="20"/>
          <w:szCs w:val="20"/>
          <w:color w:val="auto"/>
        </w:rPr>
      </w:pPr>
      <w:r>
        <w:rPr>
          <w:rFonts w:ascii="Arial" w:cs="Arial" w:eastAsia="Arial" w:hAnsi="Arial"/>
          <w:sz w:val="16"/>
          <w:szCs w:val="16"/>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12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Underwriters and agents may be customers of, engage in transactions with, or perform services for us and our affiliates in the ordinary course of business.</w:t>
      </w:r>
    </w:p>
    <w:p>
      <w:pPr>
        <w:spacing w:after="0" w:line="24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Each series of securities will be a new issue of securities and will have no established trading market, other than our common shares, which are listed on the NASDAQ Global Market. Any underwriters to whom securities are sold for public offering and sale may make a market in the securities, but such underwriters will not be obligated to do so and may discontinue any market making at any time without notice. The securities, other than our common shares, may or may not be listed on a national securities exchange.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or incorporated by reference subsequent to the date of this prospectus.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incorporate by reference herein:</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2017 Annual Report on Form 20-F for the fiscal year ended December 31, 2017;</w:t>
      </w:r>
    </w:p>
    <w:p>
      <w:pPr>
        <w:spacing w:after="0" w:line="225"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reports on Form 6-K furnished to the SEC on March 20, 2018 (only with respect to “Item 1.C—2017 Board Compensation” and “Item 2.C— 2017 Executive Compensation” of Exhibit 99.3), March 22, 2018, March 26, 2018, April 27, 2018, and May 2, 2018 (only with respect to Exhibits 99.1 and 99.2); and</w:t>
      </w:r>
    </w:p>
    <w:p>
      <w:pPr>
        <w:spacing w:after="0" w:line="181"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registration statement on Form 8-A filed with the SEC on September 23, 2016, including any amendments or reports filed for the purpose of updating such description.</w:t>
      </w:r>
    </w:p>
    <w:p>
      <w:pPr>
        <w:spacing w:after="0" w:line="17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All annual reports we file with the SEC pursuant to the Exchange Act on Form 20-F after the date of this prospectus and prior to termination or expiration of this registration statement shall be deemed incorporated by reference into this prospectus and to be part hereof from the date of filing of such documents. We may incorporate by reference any Form 6-K subsequently submitted to the SEC by identifying in such Form that it is being incorporated by reference into this prospectus.</w:t>
      </w:r>
    </w:p>
    <w:p>
      <w:pPr>
        <w:spacing w:after="0" w:line="18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Documents incorporated by reference in this prospectus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or at AC Immune SA, EPFL Innovation Park, Building B, 1015 Lausanne, Switzerland, or via telephone at +41 21 345 91 21.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ENFORCEMENT OF JUDGMENTS</w:t>
      </w:r>
    </w:p>
    <w:p>
      <w:pPr>
        <w:spacing w:after="0" w:line="22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1" w:name="page32"/>
    <w:bookmarkEnd w:id="31"/>
    <w:p>
      <w:pPr>
        <w:ind w:right="80"/>
        <w:spacing w:after="0" w:line="293" w:lineRule="auto"/>
        <w:rPr>
          <w:sz w:val="20"/>
          <w:szCs w:val="20"/>
          <w:color w:val="auto"/>
        </w:rPr>
      </w:pPr>
      <w:r>
        <w:rPr>
          <w:rFonts w:ascii="Arial" w:cs="Arial" w:eastAsia="Arial" w:hAnsi="Arial"/>
          <w:sz w:val="16"/>
          <w:szCs w:val="16"/>
          <w:color w:val="auto"/>
        </w:rPr>
        <w:t>securities laws are governed, among other things, by the principles set forth in the Swiss Federal Act on Private International Law. This statute provides that the application of provisions of non-Swiss law by the courts in Switzerland shall be precluded if the result would be incompatible with Swiss public policy. Also, mandatory provisions of Swiss law may be applicable regardless of any other law that would otherwise apply. Switzerland and the United States do not have a treaty providing for reciprocal recognition of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16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proceeding involving the same parties and the same subject matter was first brought in Switzerland, or adjudicated in Switzerland, or was earlier adjudicated in a third state and this decision is recognizable in Switzerland.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FINRA filing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Transfer agent’s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Printing and engraving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Accounting fees and expenses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Paid</w:t>
      </w:r>
    </w:p>
    <w:p>
      <w:pPr>
        <w:spacing w:after="0" w:line="9" w:lineRule="exact"/>
        <w:rPr>
          <w:sz w:val="20"/>
          <w:szCs w:val="20"/>
          <w:color w:val="auto"/>
        </w:rPr>
      </w:pPr>
    </w:p>
    <w:p>
      <w:pPr>
        <w:jc w:val="both"/>
        <w:spacing w:after="0"/>
        <w:tabs>
          <w:tab w:leader="none" w:pos="1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43,575.00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53,000.00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408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5"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408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8440" w:space="720"/>
            <w:col w:w="2260"/>
          </w:cols>
          <w:pgMar w:left="240" w:top="800" w:right="239" w:bottom="1440" w:gutter="0" w:footer="0" w:header="0"/>
          <w:type w:val="continuous"/>
        </w:sectPr>
      </w:pPr>
    </w:p>
    <w:p>
      <w:pPr>
        <w:spacing w:after="0"/>
        <w:rPr>
          <w:sz w:val="20"/>
          <w:szCs w:val="20"/>
          <w:color w:val="auto"/>
        </w:rPr>
      </w:pPr>
      <w:r>
        <w:rPr>
          <w:rFonts w:ascii="Arial" w:cs="Arial" w:eastAsia="Arial" w:hAnsi="Arial"/>
          <w:sz w:val="22"/>
          <w:szCs w:val="22"/>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-154940</wp:posOffset>
            </wp:positionV>
            <wp:extent cx="14408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20"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be provided by a prospectus supplement or as an exhibit to a Report on Form 6-K that is incorporated by reference into this prospectus.</w:t>
      </w:r>
    </w:p>
    <w:p>
      <w:pPr>
        <w:spacing w:after="0" w:line="221" w:lineRule="exact"/>
        <w:rPr>
          <w:rFonts w:ascii="Arial" w:cs="Arial" w:eastAsia="Arial" w:hAnsi="Arial"/>
          <w:sz w:val="18"/>
          <w:szCs w:val="18"/>
          <w:color w:val="auto"/>
        </w:rPr>
      </w:pPr>
    </w:p>
    <w:p>
      <w:pPr>
        <w:ind w:left="4940"/>
        <w:spacing w:after="0"/>
        <w:rPr>
          <w:rFonts w:ascii="Arial" w:cs="Arial" w:eastAsia="Arial" w:hAnsi="Arial"/>
          <w:sz w:val="18"/>
          <w:szCs w:val="18"/>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validity of our common shares and certain other matters of Swiss law will be passed upon for us by Vischer AG, Zurich, Switzerland. Certain matters of U.S. federal and New York State law will be passed upon for us by Davis Polk &amp; Wardwell LLP, New York,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financial statements of AC Immune SA appearing in AC Immune SA’s Annual Report (Form 20-F) for the year ended December 31, 2017 have been audited by Ernst &amp; Young AG, Switzerland, an independent registered public accounting firm, as set forth in their report thereon, included therein, and incorporated herein by reference. Such financial statements are incorporated herein by reference in reliance upon such report given the authority of such firm as experts in accounting and auditing.</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current address of Ernst &amp; Young AG is Route de Chancy 59, 1213 Petit-Lancy, Switzerland.</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type w:val="continuous"/>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2841625</wp:posOffset>
            </wp:positionH>
            <wp:positionV relativeFrom="page">
              <wp:posOffset>972185</wp:posOffset>
            </wp:positionV>
            <wp:extent cx="1878330" cy="4889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87833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AC IMMUNE SA</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Contracts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Subscription Rights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___________________________</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ind w:left="3300"/>
        <w:spacing w:after="0"/>
        <w:rPr>
          <w:sz w:val="20"/>
          <w:szCs w:val="20"/>
          <w:color w:val="auto"/>
        </w:rPr>
      </w:pPr>
      <w:r>
        <w:rPr>
          <w:rFonts w:ascii="Arial" w:cs="Arial" w:eastAsia="Arial" w:hAnsi="Arial"/>
          <w:sz w:val="16"/>
          <w:szCs w:val="16"/>
          <w:b w:val="1"/>
          <w:bCs w:val="1"/>
          <w:color w:val="auto"/>
        </w:rPr>
        <w:t>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715010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732155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1521460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3" w:name="page34"/>
    <w:bookmarkEnd w:id="33"/>
    <w:p>
      <w:pPr>
        <w:jc w:val="center"/>
        <w:ind w:right="-139"/>
        <w:spacing w:after="0"/>
        <w:rPr>
          <w:sz w:val="20"/>
          <w:szCs w:val="20"/>
          <w:color w:val="auto"/>
        </w:rPr>
      </w:pPr>
      <w:r>
        <w:rPr>
          <w:rFonts w:ascii="Arial" w:cs="Arial" w:eastAsia="Arial" w:hAnsi="Arial"/>
          <w:sz w:val="18"/>
          <w:szCs w:val="18"/>
          <w:b w:val="1"/>
          <w:bCs w:val="1"/>
          <w:color w:val="auto"/>
        </w:rPr>
        <w:t>PART II – INFORMATION NOT REQUIRED IN PROSPECTUS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INDEMNIFICATION OF OFFICERS AND DIRECTORS</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spacing w:after="0" w:line="166"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entered or will enter into indemnification agreements with each of the members of our board of directors and executive management.</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part of this registration statement: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gridSpan w:val="2"/>
          </w:tcPr>
          <w:p>
            <w:pPr>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20" w:type="dxa"/>
            <w:vAlign w:val="bottom"/>
            <w:gridSpan w:val="10"/>
          </w:tcPr>
          <w:p>
            <w:pPr>
              <w:spacing w:after="0"/>
              <w:rPr>
                <w:sz w:val="20"/>
                <w:szCs w:val="20"/>
                <w:color w:val="auto"/>
              </w:rPr>
            </w:pPr>
            <w:r>
              <w:rPr>
                <w:rFonts w:ascii="Arial" w:cs="Arial" w:eastAsia="Arial" w:hAnsi="Arial"/>
                <w:sz w:val="18"/>
                <w:szCs w:val="18"/>
                <w:color w:val="auto"/>
              </w:rPr>
              <w:t>Form of Underwriting Agreement</w:t>
            </w:r>
          </w:p>
        </w:tc>
      </w:tr>
      <w:tr>
        <w:trPr>
          <w:trHeight w:val="392"/>
        </w:trPr>
        <w:tc>
          <w:tcPr>
            <w:tcW w:w="420" w:type="dxa"/>
            <w:vAlign w:val="bottom"/>
            <w:gridSpan w:val="2"/>
          </w:tcPr>
          <w:p>
            <w:pPr>
              <w:spacing w:after="0"/>
              <w:rPr>
                <w:rFonts w:ascii="Arial" w:cs="Arial" w:eastAsia="Arial" w:hAnsi="Arial"/>
                <w:sz w:val="18"/>
                <w:szCs w:val="18"/>
                <w:color w:val="0000EE"/>
              </w:rPr>
            </w:pPr>
            <w:hyperlink r:id="rId60">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20" w:type="dxa"/>
            <w:vAlign w:val="bottom"/>
            <w:gridSpan w:val="10"/>
          </w:tcPr>
          <w:p>
            <w:pPr>
              <w:spacing w:after="0"/>
              <w:rPr>
                <w:rFonts w:ascii="Arial" w:cs="Arial" w:eastAsia="Arial" w:hAnsi="Arial"/>
                <w:sz w:val="18"/>
                <w:szCs w:val="18"/>
                <w:color w:val="0000EE"/>
                <w:w w:val="92"/>
              </w:rPr>
            </w:pPr>
            <w:hyperlink r:id="rId60">
              <w:r>
                <w:rPr>
                  <w:rFonts w:ascii="Arial" w:cs="Arial" w:eastAsia="Arial" w:hAnsi="Arial"/>
                  <w:sz w:val="18"/>
                  <w:szCs w:val="18"/>
                  <w:color w:val="0000EE"/>
                  <w:w w:val="92"/>
                </w:rPr>
                <w:t>Articles of Association (incorporated herein by reference to Exhibit 99.2 to the Company’s Report of Foreign Private Issuer on Form 6-K filed with</w:t>
              </w:r>
            </w:hyperlink>
          </w:p>
        </w:tc>
      </w:tr>
      <w:tr>
        <w:trPr>
          <w:trHeight w:val="196"/>
        </w:trPr>
        <w:tc>
          <w:tcPr>
            <w:tcW w:w="2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the SEC on April 27, 2018)</w:t>
              </w:r>
            </w:hyperlink>
          </w:p>
        </w:tc>
        <w:tc>
          <w:tcPr>
            <w:tcW w:w="8640" w:type="dxa"/>
            <w:vAlign w:val="bottom"/>
            <w:tcBorders>
              <w:top w:val="single" w:sz="8" w:color="0000EE"/>
            </w:tcBorders>
            <w:gridSpan w:val="8"/>
          </w:tcPr>
          <w:p>
            <w:pPr>
              <w:spacing w:after="0"/>
              <w:rPr>
                <w:sz w:val="17"/>
                <w:szCs w:val="17"/>
                <w:color w:val="auto"/>
              </w:rPr>
            </w:pPr>
          </w:p>
        </w:tc>
      </w:tr>
      <w:tr>
        <w:trPr>
          <w:trHeight w:val="588"/>
        </w:trPr>
        <w:tc>
          <w:tcPr>
            <w:tcW w:w="420" w:type="dxa"/>
            <w:vAlign w:val="bottom"/>
            <w:tcBorders>
              <w:bottom w:val="single" w:sz="8" w:color="0000FF"/>
            </w:tcBorders>
            <w:gridSpan w:val="2"/>
          </w:tcPr>
          <w:p>
            <w:pPr>
              <w:spacing w:after="0"/>
              <w:rPr>
                <w:rFonts w:ascii="Arial" w:cs="Arial" w:eastAsia="Arial" w:hAnsi="Arial"/>
                <w:sz w:val="18"/>
                <w:szCs w:val="18"/>
                <w:color w:val="0000FF"/>
              </w:rPr>
            </w:pPr>
            <w:hyperlink r:id="rId61">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Borders>
              <w:bottom w:val="single" w:sz="8" w:color="0000FF"/>
            </w:tcBorders>
          </w:tcPr>
          <w:p>
            <w:pPr>
              <w:spacing w:after="0"/>
              <w:rPr>
                <w:rFonts w:ascii="Arial" w:cs="Arial" w:eastAsia="Arial" w:hAnsi="Arial"/>
                <w:sz w:val="18"/>
                <w:szCs w:val="18"/>
                <w:color w:val="0000FF"/>
                <w:w w:val="90"/>
              </w:rPr>
            </w:pPr>
            <w:hyperlink r:id="rId61">
              <w:r>
                <w:rPr>
                  <w:rFonts w:ascii="Arial" w:cs="Arial" w:eastAsia="Arial" w:hAnsi="Arial"/>
                  <w:sz w:val="18"/>
                  <w:szCs w:val="18"/>
                  <w:color w:val="0000FF"/>
                  <w:w w:val="90"/>
                </w:rPr>
                <w:t>Form of Senior Indenture</w:t>
              </w:r>
            </w:hyperlink>
          </w:p>
        </w:tc>
        <w:tc>
          <w:tcPr>
            <w:tcW w:w="8780" w:type="dxa"/>
            <w:vAlign w:val="bottom"/>
            <w:gridSpan w:val="9"/>
          </w:tcPr>
          <w:p>
            <w:pPr>
              <w:spacing w:after="0"/>
              <w:rPr>
                <w:sz w:val="24"/>
                <w:szCs w:val="24"/>
                <w:color w:val="auto"/>
              </w:rPr>
            </w:pPr>
          </w:p>
        </w:tc>
      </w:tr>
      <w:tr>
        <w:trPr>
          <w:trHeight w:val="412"/>
        </w:trPr>
        <w:tc>
          <w:tcPr>
            <w:tcW w:w="420" w:type="dxa"/>
            <w:vAlign w:val="bottom"/>
            <w:gridSpan w:val="2"/>
          </w:tcPr>
          <w:p>
            <w:pPr>
              <w:spacing w:after="0"/>
              <w:rPr>
                <w:rFonts w:ascii="Arial" w:cs="Arial" w:eastAsia="Arial" w:hAnsi="Arial"/>
                <w:sz w:val="18"/>
                <w:szCs w:val="18"/>
                <w:color w:val="0000FF"/>
              </w:rPr>
            </w:pPr>
            <w:hyperlink r:id="rId62">
              <w:r>
                <w:rPr>
                  <w:rFonts w:ascii="Arial" w:cs="Arial" w:eastAsia="Arial" w:hAnsi="Arial"/>
                  <w:sz w:val="18"/>
                  <w:szCs w:val="18"/>
                  <w:color w:val="0000FF"/>
                </w:rPr>
                <w:t>4.</w:t>
              </w:r>
              <w:r>
                <w:rPr>
                  <w:rFonts w:ascii="Arial" w:cs="Arial" w:eastAsia="Arial" w:hAnsi="Arial"/>
                  <w:sz w:val="18"/>
                  <w:szCs w:val="18"/>
                  <w:u w:val="single" w:color="auto"/>
                  <w:color w:val="0000FF"/>
                </w:rPr>
                <w:t>3**</w:t>
              </w:r>
            </w:hyperlink>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20" w:type="dxa"/>
            <w:vAlign w:val="bottom"/>
            <w:gridSpan w:val="10"/>
          </w:tcPr>
          <w:p>
            <w:pPr>
              <w:spacing w:after="0"/>
              <w:rPr>
                <w:rFonts w:ascii="Arial" w:cs="Arial" w:eastAsia="Arial" w:hAnsi="Arial"/>
                <w:sz w:val="18"/>
                <w:szCs w:val="18"/>
                <w:color w:val="0000FF"/>
              </w:rPr>
            </w:pPr>
            <w:hyperlink r:id="rId62">
              <w:r>
                <w:rPr>
                  <w:rFonts w:ascii="Arial" w:cs="Arial" w:eastAsia="Arial" w:hAnsi="Arial"/>
                  <w:sz w:val="18"/>
                  <w:szCs w:val="18"/>
                  <w:color w:val="0000FF"/>
                </w:rPr>
                <w:t>Form of Subordinated Indenture</w:t>
              </w:r>
            </w:hyperlink>
          </w:p>
        </w:tc>
      </w:tr>
      <w:tr>
        <w:trPr>
          <w:trHeight w:val="453"/>
        </w:trPr>
        <w:tc>
          <w:tcPr>
            <w:tcW w:w="4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Form of Senior Note</w:t>
            </w:r>
          </w:p>
        </w:tc>
        <w:tc>
          <w:tcPr>
            <w:tcW w:w="8300" w:type="dxa"/>
            <w:vAlign w:val="bottom"/>
            <w:gridSpan w:val="6"/>
          </w:tcPr>
          <w:p>
            <w:pPr>
              <w:spacing w:after="0"/>
              <w:rPr>
                <w:sz w:val="24"/>
                <w:szCs w:val="24"/>
                <w:color w:val="auto"/>
              </w:rPr>
            </w:pPr>
          </w:p>
        </w:tc>
      </w:tr>
      <w:tr>
        <w:trPr>
          <w:trHeight w:val="432"/>
        </w:trPr>
        <w:tc>
          <w:tcPr>
            <w:tcW w:w="420" w:type="dxa"/>
            <w:vAlign w:val="bottom"/>
            <w:gridSpan w:val="2"/>
          </w:tcPr>
          <w:p>
            <w:pPr>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20" w:type="dxa"/>
            <w:vAlign w:val="bottom"/>
            <w:gridSpan w:val="10"/>
          </w:tcPr>
          <w:p>
            <w:pPr>
              <w:spacing w:after="0"/>
              <w:rPr>
                <w:sz w:val="20"/>
                <w:szCs w:val="20"/>
                <w:color w:val="auto"/>
              </w:rPr>
            </w:pPr>
            <w:r>
              <w:rPr>
                <w:rFonts w:ascii="Arial" w:cs="Arial" w:eastAsia="Arial" w:hAnsi="Arial"/>
                <w:sz w:val="18"/>
                <w:szCs w:val="18"/>
                <w:color w:val="auto"/>
              </w:rPr>
              <w:t>Form of Subordinated Note</w:t>
            </w:r>
          </w:p>
        </w:tc>
      </w:tr>
      <w:tr>
        <w:trPr>
          <w:trHeight w:val="432"/>
        </w:trPr>
        <w:tc>
          <w:tcPr>
            <w:tcW w:w="420" w:type="dxa"/>
            <w:vAlign w:val="bottom"/>
            <w:gridSpan w:val="2"/>
          </w:tcPr>
          <w:p>
            <w:pPr>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20" w:type="dxa"/>
            <w:vAlign w:val="bottom"/>
            <w:gridSpan w:val="10"/>
          </w:tcPr>
          <w:p>
            <w:pPr>
              <w:spacing w:after="0"/>
              <w:rPr>
                <w:sz w:val="20"/>
                <w:szCs w:val="20"/>
                <w:color w:val="auto"/>
              </w:rPr>
            </w:pPr>
            <w:r>
              <w:rPr>
                <w:rFonts w:ascii="Arial" w:cs="Arial" w:eastAsia="Arial" w:hAnsi="Arial"/>
                <w:sz w:val="18"/>
                <w:szCs w:val="18"/>
                <w:color w:val="auto"/>
              </w:rPr>
              <w:t>Form of Warrant Agreement</w:t>
            </w:r>
          </w:p>
        </w:tc>
      </w:tr>
      <w:tr>
        <w:trPr>
          <w:trHeight w:val="432"/>
        </w:trPr>
        <w:tc>
          <w:tcPr>
            <w:tcW w:w="420" w:type="dxa"/>
            <w:vAlign w:val="bottom"/>
            <w:gridSpan w:val="2"/>
          </w:tcPr>
          <w:p>
            <w:pPr>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20" w:type="dxa"/>
            <w:vAlign w:val="bottom"/>
            <w:gridSpan w:val="10"/>
          </w:tcPr>
          <w:p>
            <w:pPr>
              <w:spacing w:after="0"/>
              <w:rPr>
                <w:sz w:val="20"/>
                <w:szCs w:val="20"/>
                <w:color w:val="auto"/>
              </w:rPr>
            </w:pPr>
            <w:r>
              <w:rPr>
                <w:rFonts w:ascii="Arial" w:cs="Arial" w:eastAsia="Arial" w:hAnsi="Arial"/>
                <w:sz w:val="18"/>
                <w:szCs w:val="18"/>
                <w:color w:val="auto"/>
              </w:rPr>
              <w:t>Form of Purchase Contract</w:t>
            </w:r>
          </w:p>
        </w:tc>
      </w:tr>
      <w:tr>
        <w:trPr>
          <w:trHeight w:val="432"/>
        </w:trPr>
        <w:tc>
          <w:tcPr>
            <w:tcW w:w="420" w:type="dxa"/>
            <w:vAlign w:val="bottom"/>
            <w:gridSpan w:val="2"/>
          </w:tcPr>
          <w:p>
            <w:pPr>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20" w:type="dxa"/>
            <w:vAlign w:val="bottom"/>
            <w:gridSpan w:val="10"/>
          </w:tcPr>
          <w:p>
            <w:pPr>
              <w:spacing w:after="0"/>
              <w:rPr>
                <w:sz w:val="20"/>
                <w:szCs w:val="20"/>
                <w:color w:val="auto"/>
              </w:rPr>
            </w:pPr>
            <w:r>
              <w:rPr>
                <w:rFonts w:ascii="Arial" w:cs="Arial" w:eastAsia="Arial" w:hAnsi="Arial"/>
                <w:sz w:val="18"/>
                <w:szCs w:val="18"/>
                <w:color w:val="auto"/>
              </w:rPr>
              <w:t>Form of Unit Agreement</w:t>
            </w:r>
          </w:p>
        </w:tc>
      </w:tr>
      <w:tr>
        <w:trPr>
          <w:trHeight w:val="432"/>
        </w:trPr>
        <w:tc>
          <w:tcPr>
            <w:tcW w:w="420" w:type="dxa"/>
            <w:vAlign w:val="bottom"/>
            <w:gridSpan w:val="2"/>
          </w:tcPr>
          <w:p>
            <w:pPr>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20" w:type="dxa"/>
            <w:vAlign w:val="bottom"/>
            <w:gridSpan w:val="10"/>
          </w:tcPr>
          <w:p>
            <w:pPr>
              <w:spacing w:after="0"/>
              <w:rPr>
                <w:sz w:val="20"/>
                <w:szCs w:val="20"/>
                <w:color w:val="auto"/>
              </w:rPr>
            </w:pPr>
            <w:r>
              <w:rPr>
                <w:rFonts w:ascii="Arial" w:cs="Arial" w:eastAsia="Arial" w:hAnsi="Arial"/>
                <w:sz w:val="18"/>
                <w:szCs w:val="18"/>
                <w:color w:val="auto"/>
              </w:rPr>
              <w:t>Form of Subscription Rights Agreement (including form of Subscription Rights Certificate)</w:t>
            </w:r>
          </w:p>
        </w:tc>
      </w:tr>
      <w:tr>
        <w:trPr>
          <w:trHeight w:val="392"/>
        </w:trPr>
        <w:tc>
          <w:tcPr>
            <w:tcW w:w="420" w:type="dxa"/>
            <w:vAlign w:val="bottom"/>
            <w:tcBorders>
              <w:bottom w:val="single" w:sz="8" w:color="0000FF"/>
            </w:tcBorders>
            <w:gridSpan w:val="2"/>
          </w:tcPr>
          <w:p>
            <w:pPr>
              <w:spacing w:after="0"/>
              <w:rPr>
                <w:rFonts w:ascii="Arial" w:cs="Arial" w:eastAsia="Arial" w:hAnsi="Arial"/>
                <w:sz w:val="18"/>
                <w:szCs w:val="18"/>
                <w:color w:val="0000FF"/>
              </w:rPr>
            </w:pPr>
            <w:hyperlink r:id="rId63">
              <w:r>
                <w:rPr>
                  <w:rFonts w:ascii="Arial" w:cs="Arial" w:eastAsia="Arial" w:hAnsi="Arial"/>
                  <w:sz w:val="18"/>
                  <w:szCs w:val="18"/>
                  <w:color w:val="0000FF"/>
                </w:rPr>
                <w:t>5.</w:t>
              </w:r>
              <w:r>
                <w:rPr>
                  <w:rFonts w:ascii="Arial" w:cs="Arial" w:eastAsia="Arial" w:hAnsi="Arial"/>
                  <w:sz w:val="18"/>
                  <w:szCs w:val="18"/>
                  <w:u w:val="single" w:color="auto"/>
                  <w:color w:val="0000FF"/>
                </w:rPr>
                <w:t>1**</w:t>
              </w:r>
            </w:hyperlink>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40" w:type="dxa"/>
            <w:vAlign w:val="bottom"/>
            <w:tcBorders>
              <w:bottom w:val="single" w:sz="8" w:color="0000FF"/>
            </w:tcBorders>
            <w:gridSpan w:val="6"/>
          </w:tcPr>
          <w:p>
            <w:pPr>
              <w:spacing w:after="0"/>
              <w:rPr>
                <w:rFonts w:ascii="Arial" w:cs="Arial" w:eastAsia="Arial" w:hAnsi="Arial"/>
                <w:sz w:val="18"/>
                <w:szCs w:val="18"/>
                <w:color w:val="0000FF"/>
                <w:w w:val="92"/>
              </w:rPr>
            </w:pPr>
            <w:hyperlink r:id="rId63">
              <w:r>
                <w:rPr>
                  <w:rFonts w:ascii="Arial" w:cs="Arial" w:eastAsia="Arial" w:hAnsi="Arial"/>
                  <w:sz w:val="18"/>
                  <w:szCs w:val="18"/>
                  <w:color w:val="0000FF"/>
                  <w:w w:val="92"/>
                </w:rPr>
                <w:t>Opinion of Vischer AG, Swiss Counsel of AC Immune SA</w:t>
              </w:r>
            </w:hyperlink>
          </w:p>
        </w:tc>
        <w:tc>
          <w:tcPr>
            <w:tcW w:w="6380" w:type="dxa"/>
            <w:vAlign w:val="bottom"/>
            <w:gridSpan w:val="4"/>
          </w:tcPr>
          <w:p>
            <w:pPr>
              <w:spacing w:after="0"/>
              <w:rPr>
                <w:sz w:val="24"/>
                <w:szCs w:val="24"/>
                <w:color w:val="auto"/>
              </w:rPr>
            </w:pPr>
          </w:p>
        </w:tc>
      </w:tr>
      <w:tr>
        <w:trPr>
          <w:trHeight w:val="412"/>
        </w:trPr>
        <w:tc>
          <w:tcPr>
            <w:tcW w:w="420" w:type="dxa"/>
            <w:vAlign w:val="bottom"/>
            <w:tcBorders>
              <w:bottom w:val="single" w:sz="8" w:color="0000FF"/>
            </w:tcBorders>
            <w:gridSpan w:val="2"/>
          </w:tcPr>
          <w:p>
            <w:pPr>
              <w:spacing w:after="0"/>
              <w:rPr>
                <w:rFonts w:ascii="Arial" w:cs="Arial" w:eastAsia="Arial" w:hAnsi="Arial"/>
                <w:sz w:val="18"/>
                <w:szCs w:val="18"/>
                <w:color w:val="0000FF"/>
              </w:rPr>
            </w:pPr>
            <w:hyperlink r:id="rId64">
              <w:r>
                <w:rPr>
                  <w:rFonts w:ascii="Arial" w:cs="Arial" w:eastAsia="Arial" w:hAnsi="Arial"/>
                  <w:sz w:val="18"/>
                  <w:szCs w:val="18"/>
                  <w:color w:val="0000FF"/>
                </w:rPr>
                <w:t>5.</w:t>
              </w:r>
              <w:r>
                <w:rPr>
                  <w:rFonts w:ascii="Arial" w:cs="Arial" w:eastAsia="Arial" w:hAnsi="Arial"/>
                  <w:sz w:val="18"/>
                  <w:szCs w:val="18"/>
                  <w:u w:val="single" w:color="auto"/>
                  <w:color w:val="0000FF"/>
                </w:rPr>
                <w:t>2**</w:t>
              </w:r>
            </w:hyperlink>
          </w:p>
        </w:tc>
        <w:tc>
          <w:tcPr>
            <w:tcW w:w="80" w:type="dxa"/>
            <w:vAlign w:val="bottom"/>
            <w:tcBorders>
              <w:bottom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920" w:type="dxa"/>
            <w:vAlign w:val="bottom"/>
            <w:tcBorders>
              <w:bottom w:val="single" w:sz="8" w:color="0000FF"/>
            </w:tcBorders>
            <w:gridSpan w:val="5"/>
          </w:tcPr>
          <w:p>
            <w:pPr>
              <w:spacing w:after="0"/>
              <w:rPr>
                <w:rFonts w:ascii="Arial" w:cs="Arial" w:eastAsia="Arial" w:hAnsi="Arial"/>
                <w:sz w:val="18"/>
                <w:szCs w:val="18"/>
                <w:color w:val="0000FF"/>
                <w:w w:val="95"/>
              </w:rPr>
            </w:pPr>
            <w:hyperlink r:id="rId64">
              <w:r>
                <w:rPr>
                  <w:rFonts w:ascii="Arial" w:cs="Arial" w:eastAsia="Arial" w:hAnsi="Arial"/>
                  <w:sz w:val="18"/>
                  <w:szCs w:val="18"/>
                  <w:color w:val="0000FF"/>
                  <w:w w:val="95"/>
                </w:rPr>
                <w:t>Opinion of Davis Polk &amp; Wardwell LLP</w:t>
              </w:r>
            </w:hyperlink>
          </w:p>
        </w:tc>
        <w:tc>
          <w:tcPr>
            <w:tcW w:w="7700" w:type="dxa"/>
            <w:vAlign w:val="bottom"/>
            <w:gridSpan w:val="5"/>
          </w:tcPr>
          <w:p>
            <w:pPr>
              <w:spacing w:after="0"/>
              <w:rPr>
                <w:sz w:val="24"/>
                <w:szCs w:val="24"/>
                <w:color w:val="auto"/>
              </w:rPr>
            </w:pPr>
          </w:p>
        </w:tc>
      </w:tr>
      <w:tr>
        <w:trPr>
          <w:trHeight w:val="412"/>
        </w:trPr>
        <w:tc>
          <w:tcPr>
            <w:tcW w:w="500" w:type="dxa"/>
            <w:vAlign w:val="bottom"/>
            <w:tcBorders>
              <w:bottom w:val="single" w:sz="8" w:color="0000FF"/>
            </w:tcBorders>
            <w:gridSpan w:val="3"/>
          </w:tcPr>
          <w:p>
            <w:pPr>
              <w:spacing w:after="0"/>
              <w:rPr>
                <w:rFonts w:ascii="Arial" w:cs="Arial" w:eastAsia="Arial" w:hAnsi="Arial"/>
                <w:sz w:val="18"/>
                <w:szCs w:val="18"/>
                <w:color w:val="0000FF"/>
                <w:w w:val="97"/>
              </w:rPr>
            </w:pPr>
            <w:hyperlink r:id="rId65">
              <w:r>
                <w:rPr>
                  <w:rFonts w:ascii="Arial" w:cs="Arial" w:eastAsia="Arial" w:hAnsi="Arial"/>
                  <w:sz w:val="18"/>
                  <w:szCs w:val="18"/>
                  <w:color w:val="0000FF"/>
                  <w:w w:val="97"/>
                </w:rPr>
                <w:t>23.</w:t>
              </w:r>
              <w:r>
                <w:rPr>
                  <w:rFonts w:ascii="Arial" w:cs="Arial" w:eastAsia="Arial" w:hAnsi="Arial"/>
                  <w:sz w:val="18"/>
                  <w:szCs w:val="18"/>
                  <w:u w:val="single" w:color="auto"/>
                  <w:color w:val="0000FF"/>
                  <w:w w:val="97"/>
                </w:rPr>
                <w:t>1**</w:t>
              </w:r>
            </w:hyperlink>
          </w:p>
        </w:tc>
        <w:tc>
          <w:tcPr>
            <w:tcW w:w="160" w:type="dxa"/>
            <w:vAlign w:val="bottom"/>
          </w:tcPr>
          <w:p>
            <w:pPr>
              <w:spacing w:after="0"/>
              <w:rPr>
                <w:sz w:val="24"/>
                <w:szCs w:val="24"/>
                <w:color w:val="auto"/>
              </w:rPr>
            </w:pPr>
          </w:p>
        </w:tc>
        <w:tc>
          <w:tcPr>
            <w:tcW w:w="2220" w:type="dxa"/>
            <w:vAlign w:val="bottom"/>
            <w:tcBorders>
              <w:bottom w:val="single" w:sz="8" w:color="0000FF"/>
            </w:tcBorders>
            <w:gridSpan w:val="3"/>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Consent of Ernst &amp; Young AG</w:t>
              </w:r>
            </w:hyperlink>
          </w:p>
        </w:tc>
        <w:tc>
          <w:tcPr>
            <w:tcW w:w="8400" w:type="dxa"/>
            <w:vAlign w:val="bottom"/>
            <w:gridSpan w:val="7"/>
          </w:tcPr>
          <w:p>
            <w:pPr>
              <w:spacing w:after="0"/>
              <w:rPr>
                <w:sz w:val="24"/>
                <w:szCs w:val="24"/>
                <w:color w:val="auto"/>
              </w:rPr>
            </w:pPr>
          </w:p>
        </w:tc>
      </w:tr>
      <w:tr>
        <w:trPr>
          <w:trHeight w:val="412"/>
        </w:trPr>
        <w:tc>
          <w:tcPr>
            <w:tcW w:w="500" w:type="dxa"/>
            <w:vAlign w:val="bottom"/>
            <w:tcBorders>
              <w:bottom w:val="single" w:sz="8" w:color="0000FF"/>
            </w:tcBorders>
            <w:gridSpan w:val="3"/>
          </w:tcPr>
          <w:p>
            <w:pPr>
              <w:spacing w:after="0"/>
              <w:rPr>
                <w:rFonts w:ascii="Arial" w:cs="Arial" w:eastAsia="Arial" w:hAnsi="Arial"/>
                <w:sz w:val="18"/>
                <w:szCs w:val="18"/>
                <w:color w:val="0000FF"/>
                <w:w w:val="97"/>
              </w:rPr>
            </w:pPr>
            <w:hyperlink r:id="rId63">
              <w:r>
                <w:rPr>
                  <w:rFonts w:ascii="Arial" w:cs="Arial" w:eastAsia="Arial" w:hAnsi="Arial"/>
                  <w:sz w:val="18"/>
                  <w:szCs w:val="18"/>
                  <w:color w:val="0000FF"/>
                  <w:w w:val="97"/>
                </w:rPr>
                <w:t>23.</w:t>
              </w:r>
              <w:r>
                <w:rPr>
                  <w:rFonts w:ascii="Arial" w:cs="Arial" w:eastAsia="Arial" w:hAnsi="Arial"/>
                  <w:sz w:val="18"/>
                  <w:szCs w:val="18"/>
                  <w:u w:val="single" w:color="auto"/>
                  <w:color w:val="0000FF"/>
                  <w:w w:val="97"/>
                </w:rPr>
                <w:t>2**</w:t>
              </w:r>
            </w:hyperlink>
          </w:p>
        </w:tc>
        <w:tc>
          <w:tcPr>
            <w:tcW w:w="160" w:type="dxa"/>
            <w:vAlign w:val="bottom"/>
          </w:tcPr>
          <w:p>
            <w:pPr>
              <w:spacing w:after="0"/>
              <w:rPr>
                <w:sz w:val="24"/>
                <w:szCs w:val="24"/>
                <w:color w:val="auto"/>
              </w:rPr>
            </w:pPr>
          </w:p>
        </w:tc>
        <w:tc>
          <w:tcPr>
            <w:tcW w:w="5980" w:type="dxa"/>
            <w:vAlign w:val="bottom"/>
            <w:tcBorders>
              <w:bottom w:val="single" w:sz="8" w:color="0000FF"/>
            </w:tcBorders>
            <w:gridSpan w:val="8"/>
          </w:tcPr>
          <w:p>
            <w:pPr>
              <w:spacing w:after="0"/>
              <w:rPr>
                <w:rFonts w:ascii="Arial" w:cs="Arial" w:eastAsia="Arial" w:hAnsi="Arial"/>
                <w:sz w:val="18"/>
                <w:szCs w:val="18"/>
                <w:color w:val="0000FF"/>
                <w:w w:val="92"/>
              </w:rPr>
            </w:pPr>
            <w:hyperlink r:id="rId63">
              <w:r>
                <w:rPr>
                  <w:rFonts w:ascii="Arial" w:cs="Arial" w:eastAsia="Arial" w:hAnsi="Arial"/>
                  <w:sz w:val="18"/>
                  <w:szCs w:val="18"/>
                  <w:color w:val="0000FF"/>
                  <w:w w:val="92"/>
                </w:rPr>
                <w:t>Consent of Vischer AG, Swiss counsel of AC Immune SA (included in exhibit 5.1)</w:t>
              </w:r>
            </w:hyperlink>
          </w:p>
        </w:tc>
        <w:tc>
          <w:tcPr>
            <w:tcW w:w="4640" w:type="dxa"/>
            <w:vAlign w:val="bottom"/>
            <w:gridSpan w:val="2"/>
          </w:tcPr>
          <w:p>
            <w:pPr>
              <w:spacing w:after="0"/>
              <w:rPr>
                <w:sz w:val="24"/>
                <w:szCs w:val="24"/>
                <w:color w:val="auto"/>
              </w:rPr>
            </w:pPr>
          </w:p>
        </w:tc>
      </w:tr>
      <w:tr>
        <w:trPr>
          <w:trHeight w:val="412"/>
        </w:trPr>
        <w:tc>
          <w:tcPr>
            <w:tcW w:w="500" w:type="dxa"/>
            <w:vAlign w:val="bottom"/>
            <w:tcBorders>
              <w:bottom w:val="single" w:sz="8" w:color="0000FF"/>
            </w:tcBorders>
            <w:gridSpan w:val="3"/>
          </w:tcPr>
          <w:p>
            <w:pPr>
              <w:spacing w:after="0"/>
              <w:rPr>
                <w:rFonts w:ascii="Arial" w:cs="Arial" w:eastAsia="Arial" w:hAnsi="Arial"/>
                <w:sz w:val="18"/>
                <w:szCs w:val="18"/>
                <w:color w:val="0000FF"/>
                <w:w w:val="97"/>
              </w:rPr>
            </w:pPr>
            <w:hyperlink r:id="rId64">
              <w:r>
                <w:rPr>
                  <w:rFonts w:ascii="Arial" w:cs="Arial" w:eastAsia="Arial" w:hAnsi="Arial"/>
                  <w:sz w:val="18"/>
                  <w:szCs w:val="18"/>
                  <w:color w:val="0000FF"/>
                  <w:w w:val="97"/>
                </w:rPr>
                <w:t>23.</w:t>
              </w:r>
              <w:r>
                <w:rPr>
                  <w:rFonts w:ascii="Arial" w:cs="Arial" w:eastAsia="Arial" w:hAnsi="Arial"/>
                  <w:sz w:val="18"/>
                  <w:szCs w:val="18"/>
                  <w:u w:val="single" w:color="auto"/>
                  <w:color w:val="0000FF"/>
                  <w:w w:val="97"/>
                </w:rPr>
                <w:t>3**</w:t>
              </w:r>
            </w:hyperlink>
          </w:p>
        </w:tc>
        <w:tc>
          <w:tcPr>
            <w:tcW w:w="160" w:type="dxa"/>
            <w:vAlign w:val="bottom"/>
          </w:tcPr>
          <w:p>
            <w:pPr>
              <w:spacing w:after="0"/>
              <w:rPr>
                <w:sz w:val="24"/>
                <w:szCs w:val="24"/>
                <w:color w:val="auto"/>
              </w:rPr>
            </w:pPr>
          </w:p>
        </w:tc>
        <w:tc>
          <w:tcPr>
            <w:tcW w:w="4700" w:type="dxa"/>
            <w:vAlign w:val="bottom"/>
            <w:tcBorders>
              <w:bottom w:val="single" w:sz="8" w:color="0000FF"/>
            </w:tcBorders>
            <w:gridSpan w:val="7"/>
          </w:tcPr>
          <w:p>
            <w:pPr>
              <w:spacing w:after="0"/>
              <w:rPr>
                <w:rFonts w:ascii="Arial" w:cs="Arial" w:eastAsia="Arial" w:hAnsi="Arial"/>
                <w:sz w:val="18"/>
                <w:szCs w:val="18"/>
                <w:color w:val="0000FF"/>
                <w:w w:val="93"/>
              </w:rPr>
            </w:pPr>
            <w:hyperlink r:id="rId64">
              <w:r>
                <w:rPr>
                  <w:rFonts w:ascii="Arial" w:cs="Arial" w:eastAsia="Arial" w:hAnsi="Arial"/>
                  <w:sz w:val="18"/>
                  <w:szCs w:val="18"/>
                  <w:color w:val="0000FF"/>
                  <w:w w:val="93"/>
                </w:rPr>
                <w:t>Consent of Davis Polk &amp; Wardwell LLP (included in exhibit 5.2)</w:t>
              </w:r>
            </w:hyperlink>
          </w:p>
        </w:tc>
        <w:tc>
          <w:tcPr>
            <w:tcW w:w="5920" w:type="dxa"/>
            <w:vAlign w:val="bottom"/>
            <w:gridSpan w:val="3"/>
          </w:tcPr>
          <w:p>
            <w:pPr>
              <w:spacing w:after="0"/>
              <w:rPr>
                <w:sz w:val="24"/>
                <w:szCs w:val="24"/>
                <w:color w:val="auto"/>
              </w:rPr>
            </w:pPr>
          </w:p>
        </w:tc>
      </w:tr>
      <w:tr>
        <w:trPr>
          <w:trHeight w:val="412"/>
        </w:trPr>
        <w:tc>
          <w:tcPr>
            <w:tcW w:w="500" w:type="dxa"/>
            <w:vAlign w:val="bottom"/>
            <w:gridSpan w:val="3"/>
          </w:tcPr>
          <w:p>
            <w:pPr>
              <w:spacing w:after="0"/>
              <w:rPr>
                <w:rFonts w:ascii="Arial" w:cs="Arial" w:eastAsia="Arial" w:hAnsi="Arial"/>
                <w:sz w:val="18"/>
                <w:szCs w:val="18"/>
                <w:color w:val="0000EE"/>
                <w:w w:val="97"/>
              </w:rPr>
            </w:pPr>
            <w:hyperlink r:id="rId66">
              <w:r>
                <w:rPr>
                  <w:rFonts w:ascii="Arial" w:cs="Arial" w:eastAsia="Arial" w:hAnsi="Arial"/>
                  <w:sz w:val="18"/>
                  <w:szCs w:val="18"/>
                  <w:color w:val="0000EE"/>
                  <w:w w:val="97"/>
                </w:rPr>
                <w:t>24.</w:t>
              </w:r>
              <w:r>
                <w:rPr>
                  <w:rFonts w:ascii="Arial" w:cs="Arial" w:eastAsia="Arial" w:hAnsi="Arial"/>
                  <w:sz w:val="18"/>
                  <w:szCs w:val="18"/>
                  <w:u w:val="single" w:color="auto"/>
                  <w:color w:val="0000EE"/>
                  <w:w w:val="97"/>
                </w:rPr>
                <w:t>1**</w:t>
              </w:r>
            </w:hyperlink>
          </w:p>
        </w:tc>
        <w:tc>
          <w:tcPr>
            <w:tcW w:w="160" w:type="dxa"/>
            <w:vAlign w:val="bottom"/>
          </w:tcPr>
          <w:p>
            <w:pPr>
              <w:spacing w:after="0"/>
              <w:rPr>
                <w:sz w:val="24"/>
                <w:szCs w:val="24"/>
                <w:color w:val="auto"/>
              </w:rPr>
            </w:pPr>
          </w:p>
        </w:tc>
        <w:tc>
          <w:tcPr>
            <w:tcW w:w="10620" w:type="dxa"/>
            <w:vAlign w:val="bottom"/>
            <w:gridSpan w:val="10"/>
          </w:tcPr>
          <w:p>
            <w:pPr>
              <w:spacing w:after="0"/>
              <w:rPr>
                <w:rFonts w:ascii="Arial" w:cs="Arial" w:eastAsia="Arial" w:hAnsi="Arial"/>
                <w:sz w:val="18"/>
                <w:szCs w:val="18"/>
                <w:color w:val="0000EE"/>
              </w:rPr>
            </w:pPr>
            <w:hyperlink r:id="rId66">
              <w:r>
                <w:rPr>
                  <w:rFonts w:ascii="Arial" w:cs="Arial" w:eastAsia="Arial" w:hAnsi="Arial"/>
                  <w:sz w:val="18"/>
                  <w:szCs w:val="18"/>
                  <w:color w:val="0000EE"/>
                </w:rPr>
                <w:t>Powers of attorney (included on signature page to the registration statement filed on May 4, 2018)</w:t>
              </w:r>
            </w:hyperlink>
          </w:p>
        </w:tc>
      </w:tr>
      <w:tr>
        <w:trPr>
          <w:trHeight w:val="453"/>
        </w:trPr>
        <w:tc>
          <w:tcPr>
            <w:tcW w:w="4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w w:val="95"/>
              </w:rPr>
              <w:t>25.1*</w:t>
            </w: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Statement of Eligibility on Form T-1 for Senior Indenture</w:t>
            </w:r>
          </w:p>
        </w:tc>
        <w:tc>
          <w:tcPr>
            <w:tcW w:w="3560" w:type="dxa"/>
            <w:vAlign w:val="bottom"/>
          </w:tcPr>
          <w:p>
            <w:pPr>
              <w:spacing w:after="0"/>
              <w:rPr>
                <w:sz w:val="24"/>
                <w:szCs w:val="24"/>
                <w:color w:val="auto"/>
              </w:rPr>
            </w:pPr>
          </w:p>
        </w:tc>
      </w:tr>
      <w:tr>
        <w:trPr>
          <w:trHeight w:val="432"/>
        </w:trPr>
        <w:tc>
          <w:tcPr>
            <w:tcW w:w="420" w:type="dxa"/>
            <w:vAlign w:val="bottom"/>
            <w:gridSpan w:val="2"/>
          </w:tcPr>
          <w:p>
            <w:pPr>
              <w:spacing w:after="0"/>
              <w:rPr>
                <w:sz w:val="20"/>
                <w:szCs w:val="20"/>
                <w:color w:val="auto"/>
              </w:rPr>
            </w:pPr>
            <w:r>
              <w:rPr>
                <w:rFonts w:ascii="Arial" w:cs="Arial" w:eastAsia="Arial" w:hAnsi="Arial"/>
                <w:sz w:val="18"/>
                <w:szCs w:val="18"/>
                <w:color w:val="auto"/>
                <w:w w:val="95"/>
              </w:rPr>
              <w:t>25.2*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20" w:type="dxa"/>
            <w:vAlign w:val="bottom"/>
            <w:gridSpan w:val="10"/>
          </w:tcPr>
          <w:p>
            <w:pPr>
              <w:spacing w:after="0"/>
              <w:rPr>
                <w:sz w:val="20"/>
                <w:szCs w:val="20"/>
                <w:color w:val="auto"/>
              </w:rPr>
            </w:pPr>
            <w:r>
              <w:rPr>
                <w:rFonts w:ascii="Arial" w:cs="Arial" w:eastAsia="Arial" w:hAnsi="Arial"/>
                <w:sz w:val="18"/>
                <w:szCs w:val="18"/>
                <w:color w:val="auto"/>
              </w:rPr>
              <w:t>Statement of Eligibility on Form T-1 for Subordinated Indenture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To be filed, if necessary, by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 as part of this registration statement on May 4, 2018.</w:t>
      </w:r>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796" w:right="379" w:bottom="1440" w:gutter="0" w:footer="0" w:header="0"/>
        </w:sectPr>
      </w:pPr>
    </w:p>
    <w:bookmarkStart w:id="34" w:name="page35"/>
    <w:bookmarkEnd w:id="34"/>
    <w:p>
      <w:pPr>
        <w:jc w:val="center"/>
        <w:ind w:right="-31"/>
        <w:spacing w:after="0"/>
        <w:rPr>
          <w:sz w:val="20"/>
          <w:szCs w:val="20"/>
          <w:color w:val="auto"/>
        </w:rPr>
      </w:pPr>
      <w:r>
        <w:rPr>
          <w:rFonts w:ascii="Arial" w:cs="Arial" w:eastAsia="Arial" w:hAnsi="Arial"/>
          <w:sz w:val="18"/>
          <w:szCs w:val="18"/>
          <w:b w:val="1"/>
          <w:bCs w:val="1"/>
          <w:color w:val="auto"/>
        </w:rPr>
        <w:t>UNDERTAKINGS</w:t>
      </w:r>
    </w:p>
    <w:p>
      <w:pPr>
        <w:spacing w:after="0" w:line="229" w:lineRule="exact"/>
        <w:rPr>
          <w:sz w:val="20"/>
          <w:szCs w:val="20"/>
          <w:color w:val="auto"/>
        </w:rPr>
      </w:pPr>
    </w:p>
    <w:p>
      <w:pPr>
        <w:ind w:left="252" w:hanging="252"/>
        <w:spacing w:after="0"/>
        <w:tabs>
          <w:tab w:leader="none" w:pos="2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572" w:hanging="248"/>
        <w:spacing w:after="0"/>
        <w:tabs>
          <w:tab w:leader="none" w:pos="57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872" w:hanging="224"/>
        <w:spacing w:after="0"/>
        <w:tabs>
          <w:tab w:leader="none" w:pos="872"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332" w:right="220" w:firstLine="316"/>
        <w:spacing w:after="0" w:line="255" w:lineRule="auto"/>
        <w:tabs>
          <w:tab w:leader="none" w:pos="921"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 chapter) if, in the aggregate, the changes in volume and price represent no more than 20% change in the maximum aggregate offering price set forth in the “Calculation of Registration Fee” table in the effective registration statement.</w:t>
      </w:r>
    </w:p>
    <w:p>
      <w:pPr>
        <w:spacing w:after="0" w:line="189" w:lineRule="exact"/>
        <w:rPr>
          <w:rFonts w:ascii="Arial" w:cs="Arial" w:eastAsia="Arial" w:hAnsi="Arial"/>
          <w:sz w:val="18"/>
          <w:szCs w:val="18"/>
          <w:color w:val="auto"/>
        </w:rPr>
      </w:pPr>
    </w:p>
    <w:p>
      <w:pPr>
        <w:ind w:left="332" w:right="60" w:firstLine="316"/>
        <w:spacing w:after="0" w:line="277" w:lineRule="auto"/>
        <w:tabs>
          <w:tab w:leader="none" w:pos="971"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652"/>
        <w:spacing w:after="0"/>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225" w:lineRule="exact"/>
        <w:rPr>
          <w:sz w:val="20"/>
          <w:szCs w:val="20"/>
          <w:color w:val="auto"/>
        </w:rPr>
      </w:pPr>
    </w:p>
    <w:p>
      <w:pPr>
        <w:ind w:left="652" w:firstLine="320"/>
        <w:spacing w:after="0" w:line="259" w:lineRule="auto"/>
        <w:tabs>
          <w:tab w:leader="none" w:pos="1271" w:val="left"/>
        </w:tabs>
        <w:numPr>
          <w:ilvl w:val="1"/>
          <w:numId w:val="29"/>
        </w:numPr>
        <w:rPr>
          <w:rFonts w:ascii="Arial" w:cs="Arial" w:eastAsia="Arial" w:hAnsi="Arial"/>
          <w:sz w:val="18"/>
          <w:szCs w:val="18"/>
          <w:color w:val="auto"/>
        </w:rPr>
      </w:pPr>
      <w:r>
        <w:rPr>
          <w:rFonts w:ascii="Arial" w:cs="Arial" w:eastAsia="Arial" w:hAnsi="Arial"/>
          <w:sz w:val="18"/>
          <w:szCs w:val="18"/>
          <w:color w:val="auto"/>
        </w:rPr>
        <w:t>Paragraphs (a)(1)(i) and (a)(1)(ii) of this section do not apply if the registration statement is on Form S-8 (§ 239.16b of this chapter), and the information required to be included in a post-effective amendment by those paragraphs is contained in reports filed with or furnished to the Commission by the registrant pursuant to section 13 or section 15(d) of the Securities Exchange Act of 1934 (15 U.S.C. 78m or 78o(d)) that are incorporated by reference in the registration statement; and</w:t>
      </w:r>
    </w:p>
    <w:p>
      <w:pPr>
        <w:spacing w:after="0" w:line="186" w:lineRule="exact"/>
        <w:rPr>
          <w:rFonts w:ascii="Arial" w:cs="Arial" w:eastAsia="Arial" w:hAnsi="Arial"/>
          <w:sz w:val="18"/>
          <w:szCs w:val="18"/>
          <w:color w:val="auto"/>
        </w:rPr>
      </w:pPr>
    </w:p>
    <w:p>
      <w:pPr>
        <w:ind w:left="652" w:right="160" w:firstLine="320"/>
        <w:spacing w:after="0" w:line="257" w:lineRule="auto"/>
        <w:tabs>
          <w:tab w:leader="none" w:pos="1261" w:val="left"/>
        </w:tabs>
        <w:numPr>
          <w:ilvl w:val="1"/>
          <w:numId w:val="29"/>
        </w:numPr>
        <w:rPr>
          <w:rFonts w:ascii="Arial" w:cs="Arial" w:eastAsia="Arial" w:hAnsi="Arial"/>
          <w:sz w:val="18"/>
          <w:szCs w:val="18"/>
          <w:color w:val="auto"/>
        </w:rPr>
      </w:pPr>
      <w:r>
        <w:rPr>
          <w:rFonts w:ascii="Arial" w:cs="Arial" w:eastAsia="Arial" w:hAnsi="Arial"/>
          <w:sz w:val="18"/>
          <w:szCs w:val="18"/>
          <w:color w:val="auto"/>
        </w:rPr>
        <w:t>Paragraphs (a)(1)(i), (a)(1)(ii) and (a)(1)(iii) of this section do not apply if the registration statement is on Form S-3 (§ 239.13 of this chapter) or Form F-3 (§ 239.33 of this chapter)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 230.424(b) of this chapter) that is part of the registration statement.</w:t>
      </w:r>
    </w:p>
    <w:p>
      <w:pPr>
        <w:spacing w:after="0" w:line="188" w:lineRule="exact"/>
        <w:rPr>
          <w:rFonts w:ascii="Arial" w:cs="Arial" w:eastAsia="Arial" w:hAnsi="Arial"/>
          <w:sz w:val="18"/>
          <w:szCs w:val="18"/>
          <w:color w:val="auto"/>
        </w:rPr>
      </w:pPr>
    </w:p>
    <w:p>
      <w:pPr>
        <w:ind w:left="652" w:right="80" w:firstLine="320"/>
        <w:spacing w:after="0" w:line="264" w:lineRule="auto"/>
        <w:tabs>
          <w:tab w:leader="none" w:pos="1261" w:val="left"/>
        </w:tabs>
        <w:numPr>
          <w:ilvl w:val="1"/>
          <w:numId w:val="29"/>
        </w:numPr>
        <w:rPr>
          <w:rFonts w:ascii="Arial" w:cs="Arial" w:eastAsia="Arial" w:hAnsi="Arial"/>
          <w:sz w:val="18"/>
          <w:szCs w:val="18"/>
          <w:color w:val="auto"/>
        </w:rPr>
      </w:pPr>
      <w:r>
        <w:rPr>
          <w:rFonts w:ascii="Arial" w:cs="Arial" w:eastAsia="Arial" w:hAnsi="Arial"/>
          <w:sz w:val="18"/>
          <w:szCs w:val="18"/>
          <w:color w:val="auto"/>
        </w:rPr>
        <w:t>Provided further, however, that paragraphs (a)(1)(i) and (a)(1)(ii) do not apply if the registration statement is for an offering of asset-backed securities on Form S-1 (§ 239.11 of this chapter) or Form S-3 (§ 239.13 of this chapter), and the information required to be included in a post-effective amendment is provided pursuant to Item 1100(c) of Regulation AB (§ 229.1100(c)).</w:t>
      </w:r>
    </w:p>
    <w:p>
      <w:pPr>
        <w:spacing w:after="0" w:line="181" w:lineRule="exact"/>
        <w:rPr>
          <w:rFonts w:ascii="Arial" w:cs="Arial" w:eastAsia="Arial" w:hAnsi="Arial"/>
          <w:sz w:val="18"/>
          <w:szCs w:val="18"/>
          <w:color w:val="auto"/>
        </w:rPr>
      </w:pPr>
    </w:p>
    <w:p>
      <w:pPr>
        <w:ind w:left="-8" w:right="120" w:firstLine="332"/>
        <w:spacing w:after="0" w:line="264" w:lineRule="auto"/>
        <w:tabs>
          <w:tab w:leader="none" w:pos="5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8" w:right="60" w:firstLine="332"/>
        <w:spacing w:after="0" w:line="277" w:lineRule="auto"/>
        <w:tabs>
          <w:tab w:leader="none" w:pos="5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8" w:right="80" w:firstLine="332"/>
        <w:spacing w:after="0" w:line="271" w:lineRule="auto"/>
        <w:tabs>
          <w:tab w:leader="none" w:pos="571"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 239.33 of this chapter), a post-effective amendment need not be filed to include financial statements and information required by Section 10(a)(3) of the Act or § 210.3-19 of this chapter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28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796" w:right="259" w:bottom="1440" w:gutter="0" w:footer="0" w:header="0"/>
        </w:sectPr>
      </w:pPr>
    </w:p>
    <w:bookmarkStart w:id="35" w:name="page36"/>
    <w:bookmarkEnd w:id="35"/>
    <w:p>
      <w:pPr>
        <w:ind w:left="580" w:hanging="248"/>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340" w:right="80" w:firstLine="316"/>
        <w:spacing w:after="0" w:line="277" w:lineRule="auto"/>
        <w:tabs>
          <w:tab w:leader="none" w:pos="959" w:val="left"/>
        </w:tabs>
        <w:numPr>
          <w:ilvl w:val="1"/>
          <w:numId w:val="3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340" w:right="20" w:firstLine="316"/>
        <w:spacing w:after="0" w:line="269" w:lineRule="auto"/>
        <w:tabs>
          <w:tab w:leader="none" w:pos="949" w:val="left"/>
        </w:tabs>
        <w:numPr>
          <w:ilvl w:val="1"/>
          <w:numId w:val="31"/>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82" w:lineRule="exact"/>
        <w:rPr>
          <w:rFonts w:ascii="Arial" w:cs="Arial" w:eastAsia="Arial" w:hAnsi="Arial"/>
          <w:sz w:val="17"/>
          <w:szCs w:val="17"/>
          <w:color w:val="auto"/>
        </w:rPr>
      </w:pPr>
    </w:p>
    <w:p>
      <w:pPr>
        <w:ind w:right="540" w:firstLine="332"/>
        <w:spacing w:after="0" w:line="277" w:lineRule="auto"/>
        <w:tabs>
          <w:tab w:leader="none" w:pos="57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70"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7" w:lineRule="exact"/>
        <w:rPr>
          <w:sz w:val="20"/>
          <w:szCs w:val="20"/>
          <w:color w:val="auto"/>
        </w:rPr>
      </w:pPr>
    </w:p>
    <w:p>
      <w:pPr>
        <w:ind w:left="880" w:hanging="224"/>
        <w:spacing w:after="0"/>
        <w:tabs>
          <w:tab w:leader="none" w:pos="88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left="340" w:right="820" w:firstLine="316"/>
        <w:spacing w:after="0" w:line="277" w:lineRule="auto"/>
        <w:tabs>
          <w:tab w:leader="none" w:pos="929"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340" w:right="200" w:firstLine="316"/>
        <w:spacing w:after="0" w:line="277" w:lineRule="auto"/>
        <w:tabs>
          <w:tab w:leader="none" w:pos="979"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firstLine="8"/>
        <w:spacing w:after="0" w:line="257"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6" w:name="page37"/>
    <w:bookmarkEnd w:id="36"/>
    <w:p>
      <w:pPr>
        <w:ind w:left="-8" w:right="100" w:firstLine="8"/>
        <w:spacing w:after="0" w:line="254" w:lineRule="auto"/>
        <w:tabs>
          <w:tab w:leader="none" w:pos="237"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rFonts w:ascii="Arial" w:cs="Arial" w:eastAsia="Arial" w:hAnsi="Arial"/>
          <w:sz w:val="18"/>
          <w:szCs w:val="18"/>
          <w:color w:val="auto"/>
        </w:rPr>
      </w:pPr>
    </w:p>
    <w:p>
      <w:pPr>
        <w:ind w:left="252" w:hanging="252"/>
        <w:spacing w:after="0"/>
        <w:tabs>
          <w:tab w:leader="none" w:pos="2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jc w:val="both"/>
        <w:ind w:left="-8" w:right="200" w:firstLine="332"/>
        <w:spacing w:after="0" w:line="286" w:lineRule="auto"/>
        <w:tabs>
          <w:tab w:leader="none" w:pos="571" w:val="left"/>
        </w:tabs>
        <w:numPr>
          <w:ilvl w:val="1"/>
          <w:numId w:val="34"/>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jc w:val="both"/>
        <w:ind w:left="-8" w:firstLine="332"/>
        <w:spacing w:after="0" w:line="264" w:lineRule="auto"/>
        <w:tabs>
          <w:tab w:leader="none" w:pos="571" w:val="left"/>
        </w:tabs>
        <w:numPr>
          <w:ilvl w:val="1"/>
          <w:numId w:val="3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8" w:right="120" w:firstLine="8"/>
        <w:spacing w:after="0" w:line="264" w:lineRule="auto"/>
        <w:tabs>
          <w:tab w:leader="none" w:pos="23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289"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800" w:right="27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F-3 and has duly caused this Amendment No. 1 to the registration statement to be signed on its behalf by the undersigned, thereunto duly authorized, in the City of Lausanne, Switzerland on May 25, 2018.</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 IMMUNE SA</w:t>
      </w:r>
    </w:p>
    <w:p>
      <w:pPr>
        <w:spacing w:after="0" w:line="200" w:lineRule="exact"/>
        <w:rPr>
          <w:sz w:val="20"/>
          <w:szCs w:val="20"/>
          <w:color w:val="auto"/>
        </w:rPr>
      </w:pPr>
    </w:p>
    <w:p>
      <w:pPr>
        <w:spacing w:after="0" w:line="24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Andrea Pfeifer</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Andrea Pfeifer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Joerg Hornstein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Joerg Hornstein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Amendment No. 1 to the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Name</w:t>
            </w:r>
          </w:p>
        </w:tc>
        <w:tc>
          <w:tcPr>
            <w:tcW w:w="240" w:type="dxa"/>
            <w:vAlign w:val="bottom"/>
          </w:tcPr>
          <w:p>
            <w:pPr>
              <w:spacing w:after="0"/>
              <w:rPr>
                <w:sz w:val="20"/>
                <w:szCs w:val="20"/>
                <w:color w:val="auto"/>
              </w:rPr>
            </w:pP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195"/>
        </w:trPr>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80" w:type="dxa"/>
            <w:vAlign w:val="bottom"/>
          </w:tcPr>
          <w:p>
            <w:pPr>
              <w:jc w:val="center"/>
              <w:spacing w:after="0" w:line="195" w:lineRule="exact"/>
              <w:rPr>
                <w:sz w:val="20"/>
                <w:szCs w:val="20"/>
                <w:color w:val="auto"/>
              </w:rPr>
            </w:pPr>
            <w:r>
              <w:rPr>
                <w:rFonts w:ascii="Arial" w:cs="Arial" w:eastAsia="Arial" w:hAnsi="Arial"/>
                <w:sz w:val="18"/>
                <w:szCs w:val="18"/>
                <w:color w:val="auto"/>
                <w:w w:val="93"/>
              </w:rPr>
              <w:t>Chief Executive Officer</w:t>
            </w:r>
          </w:p>
        </w:tc>
        <w:tc>
          <w:tcPr>
            <w:tcW w:w="22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30"/>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Andrea Pfeifer</w:t>
            </w:r>
          </w:p>
        </w:tc>
        <w:tc>
          <w:tcPr>
            <w:tcW w:w="24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2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May 25,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2"/>
              </w:rPr>
              <w:t>Andrea Pfeifer</w:t>
            </w:r>
          </w:p>
        </w:tc>
        <w:tc>
          <w:tcPr>
            <w:tcW w:w="2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04"/>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80" w:type="dxa"/>
            <w:vAlign w:val="bottom"/>
          </w:tcPr>
          <w:p>
            <w:pPr>
              <w:ind w:left="1480"/>
              <w:spacing w:after="0"/>
              <w:rPr>
                <w:sz w:val="20"/>
                <w:szCs w:val="20"/>
                <w:color w:val="auto"/>
              </w:rPr>
            </w:pPr>
            <w:r>
              <w:rPr>
                <w:rFonts w:ascii="Arial" w:cs="Arial" w:eastAsia="Arial" w:hAnsi="Arial"/>
                <w:sz w:val="18"/>
                <w:szCs w:val="18"/>
                <w:color w:val="auto"/>
              </w:rPr>
              <w:t>Chief Financial Officer</w:t>
            </w: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Joerg Hornstein</w:t>
            </w:r>
          </w:p>
        </w:tc>
        <w:tc>
          <w:tcPr>
            <w:tcW w:w="24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4"/>
              </w:rPr>
              <w:t>(principal financial officer and principal accounting officer)</w:t>
            </w:r>
          </w:p>
        </w:tc>
        <w:tc>
          <w:tcPr>
            <w:tcW w:w="2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May 25,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89"/>
              </w:rPr>
              <w:t>Joerg Hornstein</w:t>
            </w:r>
          </w:p>
        </w:tc>
        <w:tc>
          <w:tcPr>
            <w:tcW w:w="2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1"/>
              </w:rPr>
              <w:t>Chairman and Director</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May 25,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2"/>
              </w:rPr>
              <w:t>Martin Velasco</w:t>
            </w:r>
          </w:p>
        </w:tc>
        <w:tc>
          <w:tcPr>
            <w:tcW w:w="2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May 25,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1"/>
              </w:rPr>
              <w:t>Detlev Riesner</w:t>
            </w:r>
          </w:p>
        </w:tc>
        <w:tc>
          <w:tcPr>
            <w:tcW w:w="2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May 25,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89"/>
              </w:rPr>
              <w:t>Thomas Graney</w:t>
            </w:r>
          </w:p>
        </w:tc>
        <w:tc>
          <w:tcPr>
            <w:tcW w:w="2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May 25,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1"/>
              </w:rPr>
              <w:t>Peter Bollman</w:t>
            </w:r>
          </w:p>
        </w:tc>
        <w:tc>
          <w:tcPr>
            <w:tcW w:w="2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634"/>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May 25,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3"/>
              </w:rPr>
              <w:t>Douglas E. Williams</w:t>
            </w:r>
          </w:p>
        </w:tc>
        <w:tc>
          <w:tcPr>
            <w:tcW w:w="2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634"/>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0"/>
              </w:rPr>
              <w:t>Authorized Representative in the United States</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May 25, 2018</w:t>
            </w:r>
          </w:p>
        </w:tc>
      </w:tr>
      <w:tr>
        <w:trPr>
          <w:trHeight w:val="211"/>
        </w:trPr>
        <w:tc>
          <w:tcPr>
            <w:tcW w:w="4000" w:type="dxa"/>
            <w:vAlign w:val="bottom"/>
          </w:tcPr>
          <w:p>
            <w:pPr>
              <w:jc w:val="center"/>
              <w:spacing w:after="0"/>
              <w:rPr>
                <w:sz w:val="20"/>
                <w:szCs w:val="20"/>
                <w:color w:val="auto"/>
              </w:rPr>
            </w:pPr>
            <w:r>
              <w:rPr>
                <w:rFonts w:ascii="Arial" w:cs="Arial" w:eastAsia="Arial" w:hAnsi="Arial"/>
                <w:sz w:val="18"/>
                <w:szCs w:val="18"/>
                <w:color w:val="auto"/>
                <w:w w:val="92"/>
              </w:rPr>
              <w:t>Colleen A. De Vries</w:t>
            </w:r>
          </w:p>
        </w:tc>
        <w:tc>
          <w:tcPr>
            <w:tcW w:w="2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r>
    </w:tbl>
    <w:p>
      <w:pPr>
        <w:ind w:left="620"/>
        <w:spacing w:after="0"/>
        <w:rPr>
          <w:sz w:val="20"/>
          <w:szCs w:val="20"/>
          <w:color w:val="auto"/>
        </w:rPr>
      </w:pPr>
      <w:r>
        <w:rPr>
          <w:rFonts w:ascii="Arial" w:cs="Arial" w:eastAsia="Arial" w:hAnsi="Arial"/>
          <w:sz w:val="18"/>
          <w:szCs w:val="18"/>
          <w:color w:val="auto"/>
        </w:rPr>
        <w:t>SVP on behalf of Cogency Global Inc.</w:t>
      </w:r>
    </w:p>
    <w:p>
      <w:pPr>
        <w:spacing w:after="0" w:line="209"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By: /s/ Andrea Pfeifer</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21697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By: /s/ Joerg Hornstein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21697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212"/>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8">
    <w:nsid w:val="737B8DDC"/>
    <w:multiLevelType w:val="hybridMultilevel"/>
    <w:lvl w:ilvl="0">
      <w:lvlJc w:val="left"/>
      <w:lvlText w:val="%1"/>
      <w:numFmt w:val="decimal"/>
      <w:start w:val="1"/>
    </w:lvl>
    <w:lvl w:ilvl="1">
      <w:lvlJc w:val="left"/>
      <w:lvlText w:val="(%2)"/>
      <w:numFmt w:val="upperLetter"/>
      <w:start w:val="1"/>
    </w:lvl>
  </w:abstractNum>
  <w:abstractNum w:abstractNumId="29">
    <w:nsid w:val="6CEAF087"/>
    <w:multiLevelType w:val="hybridMultilevel"/>
    <w:lvl w:ilvl="0">
      <w:lvlJc w:val="left"/>
      <w:lvlText w:val="(%1)"/>
      <w:numFmt w:val="decimal"/>
      <w:start w:val="2"/>
    </w:lvl>
    <w:lvl w:ilvl="1">
      <w:lvlJc w:val="left"/>
      <w:lvlText w:val="%2"/>
      <w:numFmt w:val="upperLetter"/>
      <w:start w:val="1"/>
    </w:lvl>
  </w:abstractNum>
  <w:abstractNum w:abstractNumId="30">
    <w:nsid w:val="22221A70"/>
    <w:multiLevelType w:val="hybridMultilevel"/>
    <w:lvl w:ilvl="0">
      <w:lvlJc w:val="left"/>
      <w:lvlText w:val="(%1)"/>
      <w:numFmt w:val="decimal"/>
      <w:start w:val="5"/>
    </w:lvl>
    <w:lvl w:ilvl="1">
      <w:lvlJc w:val="left"/>
      <w:lvlText w:val="(%2)"/>
      <w:numFmt w:val="upperLetter"/>
      <w:start w:val="1"/>
    </w:lvl>
  </w:abstractNum>
  <w:abstractNum w:abstractNumId="31">
    <w:nsid w:val="4516DDE9"/>
    <w:multiLevelType w:val="hybridMultilevel"/>
    <w:lvl w:ilvl="0">
      <w:lvlJc w:val="left"/>
      <w:lvlText w:val="%1"/>
      <w:numFmt w:val="lowerLetter"/>
      <w:start w:val="1"/>
    </w:lvl>
    <w:lvl w:ilvl="1">
      <w:lvlJc w:val="left"/>
      <w:lvlText w:val="(%2)"/>
      <w:numFmt w:val="lowerRoman"/>
      <w:start w:val="1"/>
    </w:lvl>
  </w:abstractNum>
  <w:abstractNum w:abstractNumId="32">
    <w:nsid w:val="3006C83E"/>
    <w:multiLevelType w:val="hybridMultilevel"/>
    <w:lvl w:ilvl="0">
      <w:lvlJc w:val="left"/>
      <w:lvlText w:val="(%1)"/>
      <w:numFmt w:val="lowerLetter"/>
      <w:start w:val="2"/>
    </w:lvl>
    <w:lvl w:ilvl="1">
      <w:lvlJc w:val="left"/>
      <w:lvlText w:val="%2"/>
      <w:numFmt w:val="lowerRoman"/>
      <w:start w:val="1"/>
    </w:lvl>
  </w:abstractNum>
  <w:abstractNum w:abstractNumId="33">
    <w:nsid w:val="614FD4A1"/>
    <w:multiLevelType w:val="hybridMultilevel"/>
    <w:lvl w:ilvl="0">
      <w:lvlJc w:val="left"/>
      <w:lvlText w:val="(%1)"/>
      <w:numFmt w:val="lowerLetter"/>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60" Type="http://schemas.openxmlformats.org/officeDocument/2006/relationships/hyperlink" Target="http://www.sec.gov/Archives/edgar/data/1651625/000095010318005330/dp90034_ex9902.htm" TargetMode="External"/><Relationship Id="rId61" Type="http://schemas.openxmlformats.org/officeDocument/2006/relationships/hyperlink" Target="http://www.sec.gov/Archives/edgar/data/1651625/000095010318005925/dp90135_ex402.htm" TargetMode="External"/><Relationship Id="rId62" Type="http://schemas.openxmlformats.org/officeDocument/2006/relationships/hyperlink" Target="http://www.sec.gov/Archives/edgar/data/1651625/000095010318005925/dp90135_ex403.htm" TargetMode="External"/><Relationship Id="rId63" Type="http://schemas.openxmlformats.org/officeDocument/2006/relationships/hyperlink" Target="http://www.sec.gov/Archives/edgar/data/1651625/000095010318005925/dp90135_ex501.htm" TargetMode="External"/><Relationship Id="rId64" Type="http://schemas.openxmlformats.org/officeDocument/2006/relationships/hyperlink" Target="http://www.sec.gov/Archives/edgar/data/1651625/000095010318005925/dp90135_ex502.htm" TargetMode="External"/><Relationship Id="rId65" Type="http://schemas.openxmlformats.org/officeDocument/2006/relationships/hyperlink" Target="http://www.sec.gov/Archives/edgar/data/1651625/000095010318005925/dp90135_ex2301.htm" TargetMode="External"/><Relationship Id="rId66" Type="http://schemas.openxmlformats.org/officeDocument/2006/relationships/hyperlink" Target="http://www.sec.gov/Archives/edgar/data/1651625/000095010318005925/dp90135_f3.htm#po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2019-12-08T14:04:32Z</dcterms:created>
  <dcterms:modified xsi:type="dcterms:W3CDTF">2019-12-08T14:04:32Z</dcterms:modified>
</cp:coreProperties>
</file>