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142240</wp:posOffset>
            </wp:positionV>
            <wp:extent cx="727646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3365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182880</wp:posOffset>
            </wp:positionV>
            <wp:extent cx="72764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6985"/>
                    </a:xfrm>
                    <a:prstGeom prst="rect">
                      <a:avLst/>
                    </a:prstGeom>
                    <a:noFill/>
                  </pic:spPr>
                </pic:pic>
              </a:graphicData>
            </a:graphic>
          </wp:anchor>
        </w:drawing>
        <w:t>UNITED STATES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6-K</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 PURSUANT TO RULE 13a-16 OR 15d-16 UNDER THE SECURITIES EXCHANGE ACT OF 1934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month of December 2016</w:t>
      </w:r>
    </w:p>
    <w:p>
      <w:pPr>
        <w:spacing w:after="0" w:line="8"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AC IMMUNE SA</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EPFL Innovation Park</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Building B</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1015 Lausanne, Switzerland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Indicate by check mark whether the registrant files or will file annual reports under cover of Form 20-F or Form 40-F:</w:t>
      </w:r>
    </w:p>
    <w:p>
      <w:pPr>
        <w:spacing w:after="0" w:line="177" w:lineRule="exact"/>
        <w:rPr>
          <w:sz w:val="24"/>
          <w:szCs w:val="24"/>
          <w:color w:val="auto"/>
        </w:rPr>
      </w:pPr>
    </w:p>
    <w:p>
      <w:pPr>
        <w:ind w:left="2920"/>
        <w:spacing w:after="0"/>
        <w:tabs>
          <w:tab w:leader="none" w:pos="4380" w:val="left"/>
          <w:tab w:leader="none" w:pos="6200" w:val="left"/>
        </w:tabs>
        <w:rPr>
          <w:sz w:val="20"/>
          <w:szCs w:val="20"/>
          <w:color w:val="auto"/>
        </w:rPr>
      </w:pPr>
      <w:r>
        <w:rPr>
          <w:rFonts w:ascii="Arial" w:cs="Arial" w:eastAsia="Arial" w:hAnsi="Arial"/>
          <w:sz w:val="14"/>
          <w:szCs w:val="14"/>
          <w:color w:val="auto"/>
        </w:rPr>
        <w:t>Form 20-F</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12065</wp:posOffset>
            </wp:positionV>
            <wp:extent cx="5092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9270" cy="698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18415</wp:posOffset>
            </wp:positionV>
            <wp:extent cx="5092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9270" cy="698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101(b)(1):</w:t>
      </w:r>
    </w:p>
    <w:p>
      <w:pPr>
        <w:spacing w:after="0" w:line="177" w:lineRule="exact"/>
        <w:rPr>
          <w:sz w:val="24"/>
          <w:szCs w:val="24"/>
          <w:color w:val="auto"/>
        </w:rPr>
      </w:pPr>
    </w:p>
    <w:p>
      <w:pPr>
        <w:ind w:left="3120"/>
        <w:spacing w:after="0"/>
        <w:tabs>
          <w:tab w:leader="none" w:pos="6400" w:val="left"/>
          <w:tab w:leader="none" w:pos="76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4649470</wp:posOffset>
            </wp:positionH>
            <wp:positionV relativeFrom="paragraph">
              <wp:posOffset>12065</wp:posOffset>
            </wp:positionV>
            <wp:extent cx="5092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9270" cy="6985"/>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18415</wp:posOffset>
            </wp:positionV>
            <wp:extent cx="5092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9270" cy="698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101(b)(7):</w:t>
      </w:r>
    </w:p>
    <w:p>
      <w:pPr>
        <w:spacing w:after="0" w:line="177" w:lineRule="exact"/>
        <w:rPr>
          <w:sz w:val="24"/>
          <w:szCs w:val="24"/>
          <w:color w:val="auto"/>
        </w:rPr>
      </w:pPr>
    </w:p>
    <w:p>
      <w:pPr>
        <w:ind w:left="3120"/>
        <w:spacing w:after="0"/>
        <w:tabs>
          <w:tab w:leader="none" w:pos="6400" w:val="left"/>
          <w:tab w:leader="none" w:pos="764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4649470</wp:posOffset>
            </wp:positionH>
            <wp:positionV relativeFrom="paragraph">
              <wp:posOffset>12065</wp:posOffset>
            </wp:positionV>
            <wp:extent cx="5092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9270" cy="6985"/>
                    </a:xfrm>
                    <a:prstGeom prst="rect">
                      <a:avLst/>
                    </a:prstGeom>
                    <a:noFill/>
                  </pic:spPr>
                </pic:pic>
              </a:graphicData>
            </a:graphic>
          </wp:anchor>
        </w:drawing>
        <w:drawing>
          <wp:anchor simplePos="0" relativeHeight="251657728" behindDoc="1" locked="0" layoutInCell="0" allowOverlap="1">
            <wp:simplePos x="0" y="0"/>
            <wp:positionH relativeFrom="column">
              <wp:posOffset>2579370</wp:posOffset>
            </wp:positionH>
            <wp:positionV relativeFrom="paragraph">
              <wp:posOffset>18415</wp:posOffset>
            </wp:positionV>
            <wp:extent cx="5092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9270" cy="698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172720</wp:posOffset>
            </wp:positionV>
            <wp:extent cx="72764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186055</wp:posOffset>
            </wp:positionV>
            <wp:extent cx="727646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20320"/>
                    </a:xfrm>
                    <a:prstGeom prst="rect">
                      <a:avLst/>
                    </a:prstGeom>
                    <a:noFill/>
                  </pic:spPr>
                </pic:pic>
              </a:graphicData>
            </a:graphic>
          </wp:anchor>
        </w:drawing>
      </w:r>
    </w:p>
    <w:p>
      <w:pPr>
        <w:sectPr>
          <w:pgSz w:w="11900" w:h="16838" w:orient="portrait"/>
          <w:cols w:equalWidth="0" w:num="1">
            <w:col w:w="10500"/>
          </w:cols>
          <w:pgMar w:left="700" w:top="520" w:right="6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77" w:lineRule="exact"/>
        <w:rPr>
          <w:sz w:val="20"/>
          <w:szCs w:val="20"/>
          <w:color w:val="auto"/>
        </w:rPr>
      </w:pPr>
    </w:p>
    <w:p>
      <w:pPr>
        <w:ind w:right="240" w:firstLine="506"/>
        <w:spacing w:after="0" w:line="268" w:lineRule="auto"/>
        <w:rPr>
          <w:sz w:val="20"/>
          <w:szCs w:val="20"/>
          <w:color w:val="auto"/>
        </w:rPr>
      </w:pPr>
      <w:r>
        <w:rPr>
          <w:rFonts w:ascii="Arial" w:cs="Arial" w:eastAsia="Arial" w:hAnsi="Arial"/>
          <w:sz w:val="14"/>
          <w:szCs w:val="14"/>
          <w:color w:val="auto"/>
        </w:rPr>
        <w:t>AC Immune SA (“</w:t>
      </w:r>
      <w:r>
        <w:rPr>
          <w:rFonts w:ascii="Arial" w:cs="Arial" w:eastAsia="Arial" w:hAnsi="Arial"/>
          <w:sz w:val="14"/>
          <w:szCs w:val="14"/>
          <w:b w:val="1"/>
          <w:bCs w:val="1"/>
          <w:color w:val="auto"/>
        </w:rPr>
        <w:t>AC Immune</w:t>
      </w:r>
      <w:r>
        <w:rPr>
          <w:rFonts w:ascii="Arial" w:cs="Arial" w:eastAsia="Arial" w:hAnsi="Arial"/>
          <w:sz w:val="14"/>
          <w:szCs w:val="14"/>
          <w:color w:val="auto"/>
        </w:rPr>
        <w:t>”) has updated its investor presentation with recent data presented by its partner Genentech, a member of the Roche group, at the 9th Clinical Trials on Alzheimer’s Disease Conference (CTAD) in San Diego. The updated investor presentation and informational poster that summarizes the data are attached hereto as Exhibit 99.1 and 99.2, respectively. From time to time, AC Immune will use this updated presentation and the informational poster in conversations with investors, analysts and others.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 Number</w:t>
            </w:r>
          </w:p>
        </w:tc>
        <w:tc>
          <w:tcPr>
            <w:tcW w:w="10260" w:type="dxa"/>
            <w:vAlign w:val="bottom"/>
            <w:tcBorders>
              <w:bottom w:val="single" w:sz="8" w:color="auto"/>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149"/>
        </w:trPr>
        <w:tc>
          <w:tcPr>
            <w:tcW w:w="1200" w:type="dxa"/>
            <w:vAlign w:val="bottom"/>
          </w:tcPr>
          <w:p>
            <w:pPr>
              <w:jc w:val="center"/>
              <w:ind w:left="10"/>
              <w:spacing w:after="0" w:line="149" w:lineRule="exact"/>
              <w:rPr>
                <w:sz w:val="20"/>
                <w:szCs w:val="20"/>
                <w:color w:val="auto"/>
              </w:rPr>
            </w:pPr>
            <w:r>
              <w:rPr>
                <w:rFonts w:ascii="Arial" w:cs="Arial" w:eastAsia="Arial" w:hAnsi="Arial"/>
                <w:sz w:val="14"/>
                <w:szCs w:val="14"/>
                <w:color w:val="auto"/>
                <w:w w:val="87"/>
              </w:rPr>
              <w:t>99.1</w:t>
            </w:r>
          </w:p>
        </w:tc>
        <w:tc>
          <w:tcPr>
            <w:tcW w:w="10260" w:type="dxa"/>
            <w:vAlign w:val="bottom"/>
          </w:tcPr>
          <w:p>
            <w:pPr>
              <w:ind w:left="80"/>
              <w:spacing w:after="0" w:line="149" w:lineRule="exact"/>
              <w:rPr>
                <w:sz w:val="20"/>
                <w:szCs w:val="20"/>
                <w:color w:val="auto"/>
              </w:rPr>
            </w:pPr>
            <w:r>
              <w:rPr>
                <w:rFonts w:ascii="Arial" w:cs="Arial" w:eastAsia="Arial" w:hAnsi="Arial"/>
                <w:sz w:val="14"/>
                <w:szCs w:val="14"/>
                <w:color w:val="auto"/>
              </w:rPr>
              <w:t>AC Immune SA Investor Presentation</w:t>
            </w:r>
          </w:p>
        </w:tc>
      </w:tr>
      <w:tr>
        <w:trPr>
          <w:trHeight w:val="179"/>
        </w:trPr>
        <w:tc>
          <w:tcPr>
            <w:tcW w:w="1200" w:type="dxa"/>
            <w:vAlign w:val="bottom"/>
          </w:tcPr>
          <w:p>
            <w:pPr>
              <w:jc w:val="center"/>
              <w:ind w:left="10"/>
              <w:spacing w:after="0"/>
              <w:rPr>
                <w:sz w:val="20"/>
                <w:szCs w:val="20"/>
                <w:color w:val="auto"/>
              </w:rPr>
            </w:pPr>
            <w:r>
              <w:rPr>
                <w:rFonts w:ascii="Arial" w:cs="Arial" w:eastAsia="Arial" w:hAnsi="Arial"/>
                <w:sz w:val="14"/>
                <w:szCs w:val="14"/>
                <w:color w:val="auto"/>
                <w:w w:val="87"/>
              </w:rPr>
              <w:t>99.2</w:t>
            </w:r>
          </w:p>
        </w:tc>
        <w:tc>
          <w:tcPr>
            <w:tcW w:w="10260" w:type="dxa"/>
            <w:vAlign w:val="bottom"/>
          </w:tcPr>
          <w:p>
            <w:pPr>
              <w:ind w:left="80"/>
              <w:spacing w:after="0"/>
              <w:rPr>
                <w:sz w:val="20"/>
                <w:szCs w:val="20"/>
                <w:color w:val="auto"/>
              </w:rPr>
            </w:pPr>
            <w:r>
              <w:rPr>
                <w:rFonts w:ascii="Arial" w:cs="Arial" w:eastAsia="Arial" w:hAnsi="Arial"/>
                <w:sz w:val="14"/>
                <w:szCs w:val="14"/>
                <w:color w:val="auto"/>
              </w:rPr>
              <w:t>Informational Poster</w:t>
            </w:r>
          </w:p>
        </w:tc>
      </w:tr>
      <w:tr>
        <w:trPr>
          <w:trHeight w:val="464"/>
        </w:trPr>
        <w:tc>
          <w:tcPr>
            <w:tcW w:w="120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48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140" w:type="dxa"/>
        <w:tblCellMar>
          <w:top w:w="0" w:type="dxa"/>
          <w:left w:w="0" w:type="dxa"/>
          <w:bottom w:w="0" w:type="dxa"/>
          <w:right w:w="0" w:type="dxa"/>
        </w:tblCellMar>
      </w:tblPr>
      <w:tr>
        <w:trPr>
          <w:trHeight w:val="183"/>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AC IMMUNE SA</w:t>
            </w:r>
          </w:p>
        </w:tc>
        <w:tc>
          <w:tcPr>
            <w:tcW w:w="5620" w:type="dxa"/>
            <w:vAlign w:val="bottom"/>
          </w:tcPr>
          <w:p>
            <w:pPr>
              <w:spacing w:after="0"/>
              <w:rPr>
                <w:sz w:val="15"/>
                <w:szCs w:val="15"/>
                <w:color w:val="auto"/>
              </w:rPr>
            </w:pPr>
          </w:p>
        </w:tc>
      </w:tr>
      <w:tr>
        <w:trPr>
          <w:trHeight w:val="507"/>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 Andrea Pfeifer</w:t>
            </w:r>
          </w:p>
        </w:tc>
        <w:tc>
          <w:tcPr>
            <w:tcW w:w="5620" w:type="dxa"/>
            <w:vAlign w:val="bottom"/>
            <w:tcBorders>
              <w:bottom w:val="single" w:sz="8" w:color="auto"/>
            </w:tcBorders>
          </w:tcPr>
          <w:p>
            <w:pPr>
              <w:spacing w:after="0"/>
              <w:rPr>
                <w:sz w:val="24"/>
                <w:szCs w:val="24"/>
                <w:color w:val="auto"/>
              </w:rPr>
            </w:pPr>
          </w:p>
        </w:tc>
      </w:tr>
      <w:tr>
        <w:trPr>
          <w:trHeight w:val="149"/>
        </w:trPr>
        <w:tc>
          <w:tcPr>
            <w:tcW w:w="68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5620" w:type="dxa"/>
            <w:vAlign w:val="bottom"/>
          </w:tcPr>
          <w:p>
            <w:pPr>
              <w:ind w:left="20"/>
              <w:spacing w:after="0" w:line="149" w:lineRule="exact"/>
              <w:rPr>
                <w:sz w:val="20"/>
                <w:szCs w:val="20"/>
                <w:color w:val="auto"/>
              </w:rPr>
            </w:pPr>
            <w:r>
              <w:rPr>
                <w:rFonts w:ascii="Arial" w:cs="Arial" w:eastAsia="Arial" w:hAnsi="Arial"/>
                <w:sz w:val="14"/>
                <w:szCs w:val="14"/>
                <w:color w:val="auto"/>
              </w:rPr>
              <w:t>Andrea Pfeifer</w:t>
            </w:r>
          </w:p>
        </w:tc>
      </w:tr>
      <w:tr>
        <w:trPr>
          <w:trHeight w:val="179"/>
        </w:trPr>
        <w:tc>
          <w:tcPr>
            <w:tcW w:w="6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Title:</w:t>
            </w:r>
          </w:p>
        </w:tc>
        <w:tc>
          <w:tcPr>
            <w:tcW w:w="562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675"/>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/s/ Martin Velasco</w:t>
            </w:r>
          </w:p>
        </w:tc>
        <w:tc>
          <w:tcPr>
            <w:tcW w:w="5620" w:type="dxa"/>
            <w:vAlign w:val="bottom"/>
            <w:tcBorders>
              <w:bottom w:val="single" w:sz="8" w:color="auto"/>
            </w:tcBorders>
          </w:tcPr>
          <w:p>
            <w:pPr>
              <w:spacing w:after="0"/>
              <w:rPr>
                <w:sz w:val="24"/>
                <w:szCs w:val="24"/>
                <w:color w:val="auto"/>
              </w:rPr>
            </w:pPr>
          </w:p>
        </w:tc>
      </w:tr>
      <w:tr>
        <w:trPr>
          <w:trHeight w:val="149"/>
        </w:trPr>
        <w:tc>
          <w:tcPr>
            <w:tcW w:w="680" w:type="dxa"/>
            <w:vAlign w:val="bottom"/>
          </w:tcPr>
          <w:p>
            <w:pPr>
              <w:spacing w:after="0"/>
              <w:rPr>
                <w:sz w:val="12"/>
                <w:szCs w:val="12"/>
                <w:color w:val="auto"/>
              </w:rPr>
            </w:pPr>
          </w:p>
        </w:tc>
        <w:tc>
          <w:tcPr>
            <w:tcW w:w="102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5620" w:type="dxa"/>
            <w:vAlign w:val="bottom"/>
          </w:tcPr>
          <w:p>
            <w:pPr>
              <w:ind w:left="20"/>
              <w:spacing w:after="0" w:line="149" w:lineRule="exact"/>
              <w:rPr>
                <w:sz w:val="20"/>
                <w:szCs w:val="20"/>
                <w:color w:val="auto"/>
              </w:rPr>
            </w:pPr>
            <w:r>
              <w:rPr>
                <w:rFonts w:ascii="Arial" w:cs="Arial" w:eastAsia="Arial" w:hAnsi="Arial"/>
                <w:sz w:val="14"/>
                <w:szCs w:val="14"/>
                <w:color w:val="auto"/>
              </w:rPr>
              <w:t>Martin Velasco</w:t>
            </w:r>
          </w:p>
        </w:tc>
      </w:tr>
      <w:tr>
        <w:trPr>
          <w:trHeight w:val="179"/>
        </w:trPr>
        <w:tc>
          <w:tcPr>
            <w:tcW w:w="6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Title:</w:t>
            </w:r>
          </w:p>
        </w:tc>
        <w:tc>
          <w:tcPr>
            <w:tcW w:w="5620" w:type="dxa"/>
            <w:vAlign w:val="bottom"/>
          </w:tcPr>
          <w:p>
            <w:pPr>
              <w:ind w:left="20"/>
              <w:spacing w:after="0"/>
              <w:rPr>
                <w:sz w:val="20"/>
                <w:szCs w:val="20"/>
                <w:color w:val="auto"/>
              </w:rPr>
            </w:pPr>
            <w:r>
              <w:rPr>
                <w:rFonts w:ascii="Arial" w:cs="Arial" w:eastAsia="Arial" w:hAnsi="Arial"/>
                <w:sz w:val="14"/>
                <w:szCs w:val="14"/>
                <w:color w:val="auto"/>
              </w:rPr>
              <w:t>Chairman</w:t>
            </w:r>
          </w:p>
        </w:tc>
      </w:tr>
    </w:tbl>
    <w:p>
      <w:pPr>
        <w:spacing w:after="0"/>
        <w:rPr>
          <w:sz w:val="20"/>
          <w:szCs w:val="20"/>
          <w:color w:val="auto"/>
        </w:rPr>
      </w:pPr>
      <w:r>
        <w:rPr>
          <w:rFonts w:ascii="Arial" w:cs="Arial" w:eastAsia="Arial" w:hAnsi="Arial"/>
          <w:sz w:val="14"/>
          <w:szCs w:val="14"/>
          <w:color w:val="auto"/>
        </w:rPr>
        <w:t>Date: December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727646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8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3"/>
        </w:trPr>
        <w:tc>
          <w:tcPr>
            <w:tcW w:w="1200" w:type="dxa"/>
            <w:vAlign w:val="bottom"/>
          </w:tcPr>
          <w:p>
            <w:pPr>
              <w:spacing w:after="0"/>
              <w:rPr>
                <w:sz w:val="15"/>
                <w:szCs w:val="15"/>
                <w:color w:val="auto"/>
              </w:rPr>
            </w:pPr>
          </w:p>
        </w:tc>
        <w:tc>
          <w:tcPr>
            <w:tcW w:w="10260" w:type="dxa"/>
            <w:vAlign w:val="bottom"/>
          </w:tcPr>
          <w:p>
            <w:pPr>
              <w:ind w:left="3980"/>
              <w:spacing w:after="0"/>
              <w:rPr>
                <w:sz w:val="20"/>
                <w:szCs w:val="20"/>
                <w:color w:val="auto"/>
              </w:rPr>
            </w:pPr>
            <w:r>
              <w:rPr>
                <w:rFonts w:ascii="Arial" w:cs="Arial" w:eastAsia="Arial" w:hAnsi="Arial"/>
                <w:sz w:val="14"/>
                <w:szCs w:val="14"/>
                <w:b w:val="1"/>
                <w:bCs w:val="1"/>
                <w:color w:val="auto"/>
              </w:rPr>
              <w:t>EXHIBIT INDEX</w:t>
            </w:r>
          </w:p>
        </w:tc>
      </w:tr>
      <w:tr>
        <w:trPr>
          <w:trHeight w:val="338"/>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 Number</w:t>
            </w:r>
          </w:p>
        </w:tc>
        <w:tc>
          <w:tcPr>
            <w:tcW w:w="10260" w:type="dxa"/>
            <w:vAlign w:val="bottom"/>
            <w:tcBorders>
              <w:bottom w:val="single" w:sz="8" w:color="auto"/>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149"/>
        </w:trPr>
        <w:tc>
          <w:tcPr>
            <w:tcW w:w="1200" w:type="dxa"/>
            <w:vAlign w:val="bottom"/>
          </w:tcPr>
          <w:p>
            <w:pPr>
              <w:jc w:val="center"/>
              <w:ind w:left="10"/>
              <w:spacing w:after="0" w:line="149" w:lineRule="exact"/>
              <w:rPr>
                <w:sz w:val="20"/>
                <w:szCs w:val="20"/>
                <w:color w:val="auto"/>
              </w:rPr>
            </w:pPr>
            <w:r>
              <w:rPr>
                <w:rFonts w:ascii="Arial" w:cs="Arial" w:eastAsia="Arial" w:hAnsi="Arial"/>
                <w:sz w:val="14"/>
                <w:szCs w:val="14"/>
                <w:color w:val="auto"/>
                <w:w w:val="87"/>
              </w:rPr>
              <w:t>99.1</w:t>
            </w:r>
          </w:p>
        </w:tc>
        <w:tc>
          <w:tcPr>
            <w:tcW w:w="10260" w:type="dxa"/>
            <w:vAlign w:val="bottom"/>
          </w:tcPr>
          <w:p>
            <w:pPr>
              <w:ind w:left="80"/>
              <w:spacing w:after="0" w:line="149" w:lineRule="exact"/>
              <w:rPr>
                <w:sz w:val="20"/>
                <w:szCs w:val="20"/>
                <w:color w:val="auto"/>
              </w:rPr>
            </w:pPr>
            <w:r>
              <w:rPr>
                <w:rFonts w:ascii="Arial" w:cs="Arial" w:eastAsia="Arial" w:hAnsi="Arial"/>
                <w:sz w:val="14"/>
                <w:szCs w:val="14"/>
                <w:color w:val="auto"/>
              </w:rPr>
              <w:t>AC Immune SA Investor Presentation</w:t>
            </w:r>
          </w:p>
        </w:tc>
      </w:tr>
      <w:tr>
        <w:trPr>
          <w:trHeight w:val="179"/>
        </w:trPr>
        <w:tc>
          <w:tcPr>
            <w:tcW w:w="1200" w:type="dxa"/>
            <w:vAlign w:val="bottom"/>
          </w:tcPr>
          <w:p>
            <w:pPr>
              <w:jc w:val="center"/>
              <w:ind w:left="10"/>
              <w:spacing w:after="0"/>
              <w:rPr>
                <w:sz w:val="20"/>
                <w:szCs w:val="20"/>
                <w:color w:val="auto"/>
              </w:rPr>
            </w:pPr>
            <w:r>
              <w:rPr>
                <w:rFonts w:ascii="Arial" w:cs="Arial" w:eastAsia="Arial" w:hAnsi="Arial"/>
                <w:sz w:val="14"/>
                <w:szCs w:val="14"/>
                <w:color w:val="auto"/>
                <w:w w:val="87"/>
              </w:rPr>
              <w:t>99.2</w:t>
            </w:r>
          </w:p>
        </w:tc>
        <w:tc>
          <w:tcPr>
            <w:tcW w:w="10260" w:type="dxa"/>
            <w:vAlign w:val="bottom"/>
          </w:tcPr>
          <w:p>
            <w:pPr>
              <w:ind w:left="80"/>
              <w:spacing w:after="0"/>
              <w:rPr>
                <w:sz w:val="20"/>
                <w:szCs w:val="20"/>
                <w:color w:val="auto"/>
              </w:rPr>
            </w:pPr>
            <w:r>
              <w:rPr>
                <w:rFonts w:ascii="Arial" w:cs="Arial" w:eastAsia="Arial" w:hAnsi="Arial"/>
                <w:sz w:val="14"/>
                <w:szCs w:val="14"/>
                <w:color w:val="auto"/>
              </w:rPr>
              <w:t>Informational Poster</w:t>
            </w:r>
          </w:p>
        </w:tc>
      </w:tr>
      <w:tr>
        <w:trPr>
          <w:trHeight w:val="422"/>
        </w:trPr>
        <w:tc>
          <w:tcPr>
            <w:tcW w:w="120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484" w:right="219" w:bottom="1440" w:gutter="0" w:footer="0" w:header="0"/>
        </w:sectPr>
      </w:pPr>
    </w:p>
    <w:bookmarkStart w:id="4" w:name="page5"/>
    <w:bookmarkEnd w:id="4"/>
    <w:p>
      <w:pPr>
        <w:ind w:left="93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140970</wp:posOffset>
            </wp:positionV>
            <wp:extent cx="6452235" cy="4569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2235" cy="4569460"/>
                    </a:xfrm>
                    <a:prstGeom prst="rect">
                      <a:avLst/>
                    </a:prstGeom>
                    <a:noFill/>
                  </pic:spPr>
                </pic:pic>
              </a:graphicData>
            </a:graphic>
          </wp:anchor>
        </w:drawing>
      </w:r>
    </w:p>
    <w:p>
      <w:pPr>
        <w:sectPr>
          <w:pgSz w:w="11900" w:h="16838" w:orient="portrait"/>
          <w:cols w:equalWidth="0" w:num="1">
            <w:col w:w="10240"/>
          </w:cols>
          <w:pgMar w:left="1440" w:top="114" w:right="2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59220" cy="4542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459220" cy="4542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38900" cy="4536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438900" cy="4536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38900" cy="4556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438900" cy="4556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45885" cy="4549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445885" cy="4549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52235" cy="4549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452235" cy="4549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38900" cy="4549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438900" cy="4549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45885" cy="4549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445885" cy="4549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6459220" cy="4542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459220" cy="4542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262890</wp:posOffset>
            </wp:positionV>
            <wp:extent cx="7276465" cy="4623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623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17"/>
          <w:szCs w:val="17"/>
          <w:b w:val="1"/>
          <w:bCs w:val="1"/>
          <w:color w:val="auto"/>
        </w:rPr>
        <w:t>Exhibit 99.2</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Crenezumab exposure-response across AD endpoints supports a higher dose for Phase 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Dan Polhamus PhD</w:t>
      </w:r>
      <w:r>
        <w:rPr>
          <w:rFonts w:ascii="Arial" w:cs="Arial" w:eastAsia="Arial" w:hAnsi="Arial"/>
          <w:sz w:val="23"/>
          <w:szCs w:val="23"/>
          <w:color w:val="auto"/>
          <w:vertAlign w:val="superscript"/>
        </w:rPr>
        <w:t>1</w:t>
      </w:r>
      <w:r>
        <w:rPr>
          <w:rFonts w:ascii="Arial" w:cs="Arial" w:eastAsia="Arial" w:hAnsi="Arial"/>
          <w:sz w:val="14"/>
          <w:szCs w:val="14"/>
          <w:color w:val="auto"/>
        </w:rPr>
        <w:t>, James Rogers PhD</w:t>
      </w:r>
      <w:r>
        <w:rPr>
          <w:rFonts w:ascii="Arial" w:cs="Arial" w:eastAsia="Arial" w:hAnsi="Arial"/>
          <w:sz w:val="23"/>
          <w:szCs w:val="23"/>
          <w:color w:val="auto"/>
          <w:vertAlign w:val="superscript"/>
        </w:rPr>
        <w:t>2</w:t>
      </w:r>
      <w:r>
        <w:rPr>
          <w:rFonts w:ascii="Arial" w:cs="Arial" w:eastAsia="Arial" w:hAnsi="Arial"/>
          <w:sz w:val="14"/>
          <w:szCs w:val="14"/>
          <w:color w:val="auto"/>
        </w:rPr>
        <w:t>, Robert Paul MD</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Smita Kshirsagar </w:t>
      </w:r>
      <w:r>
        <w:rPr>
          <w:rFonts w:ascii="Arial" w:cs="Arial" w:eastAsia="Arial" w:hAnsi="Arial"/>
          <w:sz w:val="16"/>
          <w:szCs w:val="16"/>
          <w:color w:val="auto"/>
        </w:rPr>
        <w:t>PhD</w:t>
      </w:r>
      <w:r>
        <w:rPr>
          <w:rFonts w:ascii="Arial" w:cs="Arial" w:eastAsia="Arial" w:hAnsi="Arial"/>
          <w:sz w:val="28"/>
          <w:szCs w:val="28"/>
          <w:color w:val="auto"/>
          <w:vertAlign w:val="superscript"/>
        </w:rPr>
        <w:t>2</w:t>
      </w:r>
      <w:r>
        <w:rPr>
          <w:rFonts w:ascii="Arial" w:cs="Arial" w:eastAsia="Arial" w:hAnsi="Arial"/>
          <w:sz w:val="16"/>
          <w:szCs w:val="16"/>
          <w:color w:val="auto"/>
        </w:rPr>
        <w:t>, Srikumar Sahasranaman PhD</w:t>
      </w:r>
      <w:r>
        <w:rPr>
          <w:rFonts w:ascii="Arial" w:cs="Arial" w:eastAsia="Arial" w:hAnsi="Arial"/>
          <w:sz w:val="28"/>
          <w:szCs w:val="28"/>
          <w:color w:val="auto"/>
          <w:vertAlign w:val="superscript"/>
        </w:rPr>
        <w:t>2</w:t>
      </w:r>
      <w:r>
        <w:rPr>
          <w:rFonts w:ascii="Arial" w:cs="Arial" w:eastAsia="Arial" w:hAnsi="Arial"/>
          <w:sz w:val="16"/>
          <w:szCs w:val="16"/>
          <w:color w:val="auto"/>
        </w:rPr>
        <w:t>, Jin Y Jin PhD</w:t>
      </w:r>
      <w:r>
        <w:rPr>
          <w:rFonts w:ascii="Arial" w:cs="Arial" w:eastAsia="Arial" w:hAnsi="Arial"/>
          <w:sz w:val="28"/>
          <w:szCs w:val="28"/>
          <w:color w:val="auto"/>
          <w:vertAlign w:val="superscript"/>
        </w:rPr>
        <w:t>2</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u w:val="single" w:color="auto"/>
          <w:color w:val="auto"/>
        </w:rPr>
        <w:t>Angelica L Quartino PhD</w:t>
      </w:r>
      <w:r>
        <w:rPr>
          <w:rFonts w:ascii="Arial" w:cs="Arial" w:eastAsia="Arial" w:hAnsi="Arial"/>
          <w:sz w:val="28"/>
          <w:szCs w:val="28"/>
          <w:color w:val="auto"/>
          <w:vertAlign w:val="superscript"/>
        </w:rPr>
        <w:t>2</w:t>
      </w:r>
    </w:p>
    <w:p>
      <w:pPr>
        <w:ind w:left="220" w:hanging="216"/>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Metrum Research Group, Tariffville, CT. USA</w:t>
      </w:r>
    </w:p>
    <w:p>
      <w:pPr>
        <w:spacing w:after="0" w:line="39" w:lineRule="exact"/>
        <w:rPr>
          <w:rFonts w:ascii="Arial" w:cs="Arial" w:eastAsia="Arial" w:hAnsi="Arial"/>
          <w:sz w:val="14"/>
          <w:szCs w:val="14"/>
          <w:color w:val="auto"/>
        </w:rPr>
      </w:pPr>
    </w:p>
    <w:p>
      <w:pPr>
        <w:ind w:left="220" w:hanging="216"/>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Genentech, Inc., San Francisco, CA.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325360" cy="4958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5360" cy="4958080"/>
                    </a:xfrm>
                    <a:prstGeom prst="rect">
                      <a:avLst/>
                    </a:prstGeom>
                    <a:noFill/>
                  </pic:spPr>
                </pic:pic>
              </a:graphicData>
            </a:graphic>
          </wp:anchor>
        </w:drawing>
      </w:r>
    </w:p>
    <w:sectPr>
      <w:pgSz w:w="11900" w:h="16838" w:orient="portrait"/>
      <w:cols w:equalWidth="0" w:num="1">
        <w:col w:w="11460"/>
      </w:cols>
      <w:pgMar w:left="220" w:top="11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2019-12-09T03:05:27Z</dcterms:created>
  <dcterms:modified xsi:type="dcterms:W3CDTF">2019-12-09T03:05:27Z</dcterms:modified>
</cp:coreProperties>
</file>