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7)</w:t>
      </w:r>
      <w:r>
        <w:rPr>
          <w:rFonts w:ascii="Times New Roman" w:cs="Times New Roman" w:eastAsia="Times New Roman" w:hAnsi="Times New Roman"/>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Shares, nominal value CHF 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Biotechnology Value Fund, L.P.</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7,650,259</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7,650,259</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7,650,259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BVF I GP LLC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7,650,259</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7,650,259</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7,650,259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Biotechnology Value Trading Fund II, L.P.</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5,964,663</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5,964,663</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5,964,663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5,964,663</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5,964,663</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5,964,663</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56"/>
        </w:trPr>
        <w:tc>
          <w:tcPr>
            <w:tcW w:w="17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3"/>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1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747,488</w:t>
            </w:r>
          </w:p>
        </w:tc>
        <w:tc>
          <w:tcPr>
            <w:tcW w:w="17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747,488</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747,488</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9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-4357370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BVF Partners OS Ltd.</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747,488</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747,488</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747,488</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Less than 1%</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BVF GP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13,614,922</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13,614,922</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13,614,922</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13.8%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8</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BVF Partners L.P.</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14,571,236</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14,571,236</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14,571,236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9</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BVF Inc.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14,571,236</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14,571,236</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14,571,236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p>
      <w:pPr>
        <w:ind w:left="1840" w:hanging="1026"/>
        <w:spacing w:after="0"/>
        <w:tabs>
          <w:tab w:leader="none" w:pos="1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7120" w:type="dxa"/>
            <w:vAlign w:val="bottom"/>
          </w:tcPr>
          <w:p>
            <w:pPr>
              <w:ind w:left="4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840" w:hanging="1026"/>
        <w:spacing w:after="0"/>
        <w:tabs>
          <w:tab w:leader="none" w:pos="1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14,571,236</w:t>
            </w:r>
          </w:p>
        </w:tc>
        <w:tc>
          <w:tcPr>
            <w:tcW w:w="164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64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4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14,571,236</w:t>
            </w: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14,571,236</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9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 Immune SA, a Switzerland corporation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EPFL Innovation Park, Building B</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1015 Lausanne, Switzerland</w:t>
            </w:r>
          </w:p>
        </w:tc>
      </w:tr>
      <w:tr>
        <w:trPr>
          <w:trHeight w:val="41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Biotechnology Value Fund, L.P. (“BVF”)</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I GP LLC (“BVF GP”)</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Biotechnology Value Fund II, L.P. (“BVF2”)</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II GP LLC (“BVF2 GP”)</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Biotechnology Value Trading Fund OS LP (“Trading Fund OS”)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 Box 309 Ugland House</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Cayman Islands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Partners OS Ltd. (“Partners OS”)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 Box 309 Ugland House</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Cayman Islands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GP Holdings LLC (“BVF GPH”)</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BVF Partners L.P. (“Partners”)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324"/>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50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BVF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Mark N. Lampert (“Mr. Lampert”)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United States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Shares, nominal value CHF 0.02 per share (the “Shares”).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H00263105</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(f)</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(g)</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(h)</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414"/>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Act.</w:t>
            </w:r>
          </w:p>
        </w:tc>
      </w:tr>
      <w:tr>
        <w:trPr>
          <w:trHeight w:val="432"/>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(j)</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non-U.S. institution in accordance with Rule 13d-1(b)(1)(ii)(J).</w:t>
            </w:r>
          </w:p>
        </w:tc>
      </w:tr>
      <w:tr>
        <w:trPr>
          <w:trHeight w:val="414"/>
        </w:trPr>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(k)</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in accordance with Rule 13d-1(b)(1)(ii)(K). If filing as a non-U.S. institution in accordance with Rule</w:t>
            </w:r>
          </w:p>
        </w:tc>
      </w:tr>
      <w:tr>
        <w:trPr>
          <w:trHeight w:val="234"/>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13d-1(b)(1)(ii)(J), please specify the type of institution: ____</w:t>
            </w:r>
          </w:p>
        </w:tc>
      </w:tr>
      <w:tr>
        <w:trPr>
          <w:trHeight w:val="540"/>
        </w:trPr>
        <w:tc>
          <w:tcPr>
            <w:tcW w:w="1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1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December 19, 2023 (i) BVF beneficially owned 7,650,259 Shares, (ii) BVF2 beneficially owned 5,964,663 Shares, and (iii) Trading Fund OS beneficially owned 747,488 Shares.</w:t>
      </w:r>
    </w:p>
    <w:p>
      <w:pPr>
        <w:spacing w:after="0" w:line="161" w:lineRule="exact"/>
        <w:rPr>
          <w:rFonts w:ascii="Times New Roman" w:cs="Times New Roman" w:eastAsia="Times New Roman" w:hAnsi="Times New Roman"/>
          <w:sz w:val="18"/>
          <w:szCs w:val="18"/>
          <w:color w:val="auto"/>
        </w:rPr>
      </w:pPr>
    </w:p>
    <w:p>
      <w:pPr>
        <w:ind w:left="1300" w:right="54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BVF GP, as the general partner of BVF, may be deemed to beneficially own the 7,650,259 Shares beneficially owned by BVF. BVF2 GP, as the general partner of BVF2, may be deemed to beneficially own the 5,964,663 Shares beneficially owned by BVF2.</w:t>
      </w: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OS, as the general partner of Trading Fund OS, may be deemed to beneficially own the 747,488 Shares beneficially owned by Trading Fund OS.</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BVF GPH, as the sole member of each of BVF GP and BVF2 GP, may be deemed to beneficially own the 13,614,922 Shares beneficially owned in the aggregate by BVF and BVF2.</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as the investment manager of BVF, BVF2 and Trading Fund OS, and the sole member of Partners OS, may be deemed to beneficially own the 14,571,236 Shares beneficially owned in the aggregate by BVF, BVF2 and Trading Fund OS and held in a certain Partners managed account (the “Partners Managed Account”), including 208,826 Shares held in the Partners Managed Account.</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BVF Inc., as the general partner of Partners, may be deemed to beneficially own the 14,571,236 Shares beneficially owned by Partners.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Lampert, as a director and officer of BVF Inc., may be deemed to beneficially own the 14,571,236 Shares beneficially owned by BVF Inc.</w:t>
      </w:r>
    </w:p>
    <w:p>
      <w:pPr>
        <w:spacing w:after="0" w:line="161"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2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percentages are based on 98,749,352 Shares outstanding as of December 19, 2023, as disclosed in the Issuer’s Prospectus Supplement on Form 424B5 filed with the Securities and Exchange Commission on December 15, 2023.</w:t>
      </w:r>
    </w:p>
    <w:p>
      <w:pPr>
        <w:spacing w:after="0" w:line="161"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December 19, 2023, (i) BVF beneficially owned approximately 7.7% of the outstanding Shares, (ii) BVF2 beneficially owned approximately 6.0% of the outstanding Shares, (iii) Trading Fund OS beneficially owned less than 1% of the outstanding Shares, (iv) BVF GP may be deemed to beneficially own approximately 7.7% of the outstanding Shares, (v) BVF2 GP may be deemed to beneficially own approximately 6.0% of the outstanding Shares, (vi) Partners OS may be deemed to beneficially own less than 1% of the outstanding Shares, (vii) BVF GPH may be deemed to beneficially own approximately 13.8% of the outstanding Shares, and (viii) each of Partners, BVF Inc. and Mr. Lampert may be deemed to beneficially own approximately 14.8% of the outstanding Shares (less than 1% of the outstanding Shares are held in the Partners Managed Account).</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940" w:hanging="644"/>
        <w:spacing w:after="0" w:line="50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220" w:hanging="644"/>
        <w:spacing w:after="0" w:line="50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spacing w:after="0" w:line="1" w:lineRule="exact"/>
        <w:rPr>
          <w:rFonts w:ascii="Times New Roman" w:cs="Times New Roman" w:eastAsia="Times New Roman" w:hAnsi="Times New Roman"/>
          <w:sz w:val="18"/>
          <w:szCs w:val="18"/>
          <w:color w:val="auto"/>
        </w:rPr>
      </w:pPr>
    </w:p>
    <w:p>
      <w:pPr>
        <w:ind w:left="1300" w:right="6040" w:hanging="644"/>
        <w:spacing w:after="0" w:line="498"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Cover Pages Items 5-9.</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BVF GP, BVF GPH, Partners, BVF Inc. and Mr. Lampert share voting and dispositive power over the Shares beneficially owned by BVF. BVF2 GP,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19"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That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99.1 to Amendment No. 3 to the Schedule 13G filed with the Securities and Exchange Commission on February 14, 2020.</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CUSIP No. H00263105</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0" w:right="3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Partners L.P., its sole member</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BIOTECHNOLOGY VALUE TRADING FUND OS LP</w:t>
      </w:r>
    </w:p>
    <w:p>
      <w:pPr>
        <w:spacing w:after="0" w:line="23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BVF Partners L.P., its investment manager</w:t>
      </w:r>
    </w:p>
    <w:p>
      <w:pPr>
        <w:spacing w:after="0" w:line="2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17145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GP HOLDINGS LLC</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-127635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PARTNERS L.P.</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3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17145</wp:posOffset>
            </wp:positionV>
            <wp:extent cx="32746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INC.</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-127635</wp:posOffset>
            </wp:positionV>
            <wp:extent cx="3274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557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N. LAMPERT</w:t>
      </w:r>
    </w:p>
    <w:p>
      <w:pPr>
        <w:spacing w:after="0" w:line="1307" w:lineRule="exact"/>
        <w:rPr>
          <w:sz w:val="20"/>
          <w:szCs w:val="20"/>
          <w:color w:val="auto"/>
        </w:rPr>
      </w:pPr>
    </w:p>
    <w:p>
      <w:pPr>
        <w:sectPr>
          <w:pgSz w:w="11900" w:h="16838" w:orient="portrait"/>
          <w:cols w:equalWidth="0" w:num="2">
            <w:col w:w="4920" w:space="720"/>
            <w:col w:w="5580"/>
          </w:cols>
          <w:pgMar w:left="320" w:top="220" w:right="359" w:bottom="1440" w:gutter="0" w:footer="0" w:header="0"/>
          <w:type w:val="continuous"/>
        </w:sectPr>
      </w:pP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2023-12-19T15:55:57Z</dcterms:created>
  <dcterms:modified xsi:type="dcterms:W3CDTF">2023-12-19T15:55:57Z</dcterms:modified>
</cp:coreProperties>
</file>