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49" w:lineRule="exact"/>
        <w:rPr>
          <w:sz w:val="24"/>
          <w:szCs w:val="24"/>
          <w:color w:val="auto"/>
        </w:rPr>
      </w:pPr>
    </w:p>
    <w:p>
      <w:pPr>
        <w:ind w:left="860" w:right="439" w:hanging="493"/>
        <w:spacing w:after="0" w:line="258"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For the month of September,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191770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Commission File Number: 001-37891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 IMMUNE SA</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EPFL Innovation Park</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Building B</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1015 Lausanne, Switzerland</w:t>
      </w: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2180"/>
        <w:spacing w:after="0" w:line="207" w:lineRule="exact"/>
        <w:tabs>
          <w:tab w:leader="none" w:pos="3700" w:val="left"/>
          <w:tab w:leader="none" w:pos="5400" w:val="left"/>
          <w:tab w:leader="none" w:pos="68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8"/>
          <w:szCs w:val="18"/>
          <w:color w:val="auto"/>
        </w:rPr>
        <w:t>☐</w:t>
      </w: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ind w:left="2440"/>
        <w:spacing w:after="0" w:line="207" w:lineRule="exact"/>
        <w:tabs>
          <w:tab w:leader="none" w:pos="3740" w:val="left"/>
          <w:tab w:leader="none" w:pos="5680" w:val="left"/>
          <w:tab w:leader="none" w:pos="6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6" w:lineRule="exact"/>
        <w:rPr>
          <w:sz w:val="24"/>
          <w:szCs w:val="24"/>
          <w:color w:val="auto"/>
        </w:rPr>
      </w:pPr>
    </w:p>
    <w:p>
      <w:pPr>
        <w:ind w:left="2440"/>
        <w:spacing w:after="0" w:line="207" w:lineRule="exact"/>
        <w:tabs>
          <w:tab w:leader="none" w:pos="3740" w:val="left"/>
          <w:tab w:leader="none" w:pos="5680" w:val="left"/>
          <w:tab w:leader="none" w:pos="6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241300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462" w:right="1440"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1842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1842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Joerg Hornstein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36" w:right="979" w:bottom="1440" w:gutter="0" w:footer="0" w:header="0"/>
        </w:sectPr>
      </w:pPr>
    </w:p>
    <w:bookmarkStart w:id="2" w:name="page3"/>
    <w:bookmarkEnd w:id="2"/>
    <w:p>
      <w:pPr>
        <w:ind w:left="47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ind w:left="160"/>
        <w:spacing w:after="0"/>
        <w:tabs>
          <w:tab w:leader="none" w:pos="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September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211455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39"/>
          </w:cols>
          <w:pgMar w:left="520" w:top="536"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76" w:lineRule="exact"/>
        <w:rPr>
          <w:sz w:val="20"/>
          <w:szCs w:val="20"/>
          <w:color w:val="auto"/>
        </w:rPr>
      </w:pPr>
    </w:p>
    <w:p>
      <w:pPr>
        <w:jc w:val="center"/>
        <w:spacing w:after="0" w:line="280" w:lineRule="auto"/>
        <w:rPr>
          <w:sz w:val="20"/>
          <w:szCs w:val="20"/>
          <w:color w:val="auto"/>
        </w:rPr>
      </w:pPr>
      <w:r>
        <w:rPr>
          <w:rFonts w:ascii="Arial" w:cs="Arial" w:eastAsia="Arial" w:hAnsi="Arial"/>
          <w:sz w:val="22"/>
          <w:szCs w:val="22"/>
          <w:b w:val="1"/>
          <w:bCs w:val="1"/>
          <w:color w:val="auto"/>
        </w:rPr>
        <w:t>AC Immune Reports Top Line Results from TAURIEL Phase 2 Trial Evaluating Semorinemab in Early Alzheimer’s Disease</w:t>
      </w:r>
    </w:p>
    <w:p>
      <w:pPr>
        <w:spacing w:after="0" w:line="154" w:lineRule="exact"/>
        <w:rPr>
          <w:sz w:val="20"/>
          <w:szCs w:val="20"/>
          <w:color w:val="auto"/>
        </w:rPr>
      </w:pPr>
    </w:p>
    <w:p>
      <w:pPr>
        <w:jc w:val="center"/>
        <w:ind w:left="340" w:right="140"/>
        <w:spacing w:after="0" w:line="274" w:lineRule="auto"/>
        <w:rPr>
          <w:sz w:val="20"/>
          <w:szCs w:val="20"/>
          <w:color w:val="auto"/>
        </w:rPr>
      </w:pPr>
      <w:r>
        <w:rPr>
          <w:rFonts w:ascii="Arial" w:cs="Arial" w:eastAsia="Arial" w:hAnsi="Arial"/>
          <w:sz w:val="18"/>
          <w:szCs w:val="18"/>
          <w:i w:val="1"/>
          <w:iCs w:val="1"/>
          <w:color w:val="auto"/>
        </w:rPr>
        <w:t>Genentech disclosed that the anti-Tau antibody did not meet the co-primary efficacy endpoint or two secondary endpoints in the TAURIEL study; the primary safety endpoint was met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Multiple other clinical stage programs progressing as planned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Investigational new drug (IND) enabling studies ongoing for first-in-class therapeutic candidates targeting TDP-43 and alpha-synuclein</w:t>
      </w:r>
    </w:p>
    <w:p>
      <w:pPr>
        <w:spacing w:after="0" w:line="202" w:lineRule="exact"/>
        <w:rPr>
          <w:sz w:val="20"/>
          <w:szCs w:val="20"/>
          <w:color w:val="auto"/>
        </w:rPr>
      </w:pPr>
    </w:p>
    <w:p>
      <w:pPr>
        <w:jc w:val="center"/>
        <w:ind w:left="340" w:right="120"/>
        <w:spacing w:after="0" w:line="213" w:lineRule="auto"/>
        <w:rPr>
          <w:sz w:val="20"/>
          <w:szCs w:val="20"/>
          <w:color w:val="auto"/>
        </w:rPr>
      </w:pPr>
      <w:r>
        <w:rPr>
          <w:rFonts w:ascii="Arial" w:cs="Arial" w:eastAsia="Arial" w:hAnsi="Arial"/>
          <w:sz w:val="18"/>
          <w:szCs w:val="18"/>
          <w:i w:val="1"/>
          <w:iCs w:val="1"/>
          <w:color w:val="auto"/>
        </w:rPr>
        <w:t>Discovery on novel neuroinflammation target NLRP3-ASC inflammasome, including antibody and small molecule Morphomer</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inhibitors, advancing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 Immune remains in a strong financial position with operations fully financed through Q1 2024</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Lausanne, Switzerland, September 23, 2020 – </w:t>
      </w:r>
      <w:r>
        <w:rPr>
          <w:rFonts w:ascii="Arial" w:cs="Arial" w:eastAsia="Arial" w:hAnsi="Arial"/>
          <w:sz w:val="18"/>
          <w:szCs w:val="18"/>
          <w:color w:val="auto"/>
        </w:rPr>
        <w:t>AC Immune SA (NASDAQ: ACIU), a Swiss-based,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 broad pipeline focused on neurodegenerative diseases, today announced that Genentech, a member of the Roche Group, has informed the Company of top line results from a Phase 2 trial of the anti-Tau antibody, semorinemab, in early (prodromal to mild) Alzheimer’s disease (AD) which show that semorinemab did not meet its primary efficacy endpoint of reducing decline on Clinical Dementia Rating-Sum of Boxes (CDR-SB) compared to placebo. Two secondary endpoints, Alzheimer’s Disease Assessment Scale-Cognitive Subscale 13 (ADAS-Cog13) and Alzheimer’s Disease Cooperative Study Group – Activities of Daily Living Inventory (ADCS-ADL) were also not met.</w:t>
      </w:r>
    </w:p>
    <w:p>
      <w:pPr>
        <w:spacing w:after="0" w:line="16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Additional data analyses are ongoing and Genentech plans to present the results from TAURIEL at an upcoming medical congress. The second Phase 2 (LAURIET) study of semorinemab in patients with moderate AD remains ongoing.</w:t>
      </w:r>
    </w:p>
    <w:p>
      <w:pPr>
        <w:spacing w:after="0" w:line="12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Prof. Andrea Pfeifer, CEO of AC Immune SA, commented: </w:t>
      </w:r>
      <w:r>
        <w:rPr>
          <w:rFonts w:ascii="Arial" w:cs="Arial" w:eastAsia="Arial" w:hAnsi="Arial"/>
          <w:sz w:val="18"/>
          <w:szCs w:val="18"/>
          <w:color w:val="auto"/>
        </w:rPr>
        <w:t>“Today’s news is surprising and disappointing, given what we as a field know</w:t>
      </w:r>
      <w:r>
        <w:rPr>
          <w:rFonts w:ascii="Arial" w:cs="Arial" w:eastAsia="Arial" w:hAnsi="Arial"/>
          <w:sz w:val="18"/>
          <w:szCs w:val="18"/>
          <w:b w:val="1"/>
          <w:bCs w:val="1"/>
          <w:color w:val="auto"/>
        </w:rPr>
        <w:t xml:space="preserve"> </w:t>
      </w:r>
      <w:r>
        <w:rPr>
          <w:rFonts w:ascii="Arial" w:cs="Arial" w:eastAsia="Arial" w:hAnsi="Arial"/>
          <w:sz w:val="18"/>
          <w:szCs w:val="18"/>
          <w:color w:val="auto"/>
        </w:rPr>
        <w:t>about Tau and its strong spatiotemporal correlation with both symptoms and pathology in AD. We believe the full data analysis of this first-of-its-kind study will yield information about this promising target that will advance our understanding and inform future efforts to successfully develop effective therapeutics for neurodegenerative diseases (NDD). We would like to thank the patients, caregivers and investigators who participated in this important, ground-breaking trial and look forward to the final results from our partner, Genentech.”</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Prof. Pfeifer continued</w:t>
      </w:r>
      <w:r>
        <w:rPr>
          <w:rFonts w:ascii="Arial" w:cs="Arial" w:eastAsia="Arial" w:hAnsi="Arial"/>
          <w:sz w:val="18"/>
          <w:szCs w:val="18"/>
          <w:color w:val="auto"/>
        </w:rPr>
        <w:t>, “Our proprietary technology platforms and proven business model of discovery, early development and partnering</w:t>
      </w:r>
      <w:r>
        <w:rPr>
          <w:rFonts w:ascii="Arial" w:cs="Arial" w:eastAsia="Arial" w:hAnsi="Arial"/>
          <w:sz w:val="18"/>
          <w:szCs w:val="18"/>
          <w:b w:val="1"/>
          <w:bCs w:val="1"/>
          <w:color w:val="auto"/>
        </w:rPr>
        <w:t xml:space="preserve"> </w:t>
      </w:r>
      <w:r>
        <w:rPr>
          <w:rFonts w:ascii="Arial" w:cs="Arial" w:eastAsia="Arial" w:hAnsi="Arial"/>
          <w:sz w:val="18"/>
          <w:szCs w:val="18"/>
          <w:color w:val="auto"/>
        </w:rPr>
        <w:t>high-risk therapeutic candidates for AD have successfully generated CHF 334 million in non-dilutive funding and enabled us to accelerate clinical development of our product candidates in collaboration with world-leading partners. This strategy enables us to focus our resources on advancing the next generation of first-in-class or best-in-class assets. With current funding through Q1 2024, this robust risk-and-financial-sharing strategy will continue unaffected as we work diligently to mature our proprietary candidates and generate substantial future value for the Company.”</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jc w:val="both"/>
        <w:spacing w:after="0" w:line="251" w:lineRule="auto"/>
        <w:rPr>
          <w:sz w:val="20"/>
          <w:szCs w:val="20"/>
          <w:color w:val="auto"/>
        </w:rPr>
      </w:pPr>
      <w:r>
        <w:rPr>
          <w:rFonts w:ascii="Arial" w:cs="Arial" w:eastAsia="Arial" w:hAnsi="Arial"/>
          <w:sz w:val="18"/>
          <w:szCs w:val="18"/>
          <w:color w:val="auto"/>
        </w:rPr>
        <w:t>“One of AC Immune’s key strengths is our diversified approach and our broad pipeline of assets, fueled by our remarkably efficient SupraAntigen™ and Morphomer™ platforms and staff. This is evidenced by our novel therapeutic candidates targeting TDP-43 and alpha-synuclein, which have advanced rapidly from discovery into IND-enabling studies. Furthermore, we are particularly pleased with progress in our recently disclosed discovery program targeting the NLRP3</w:t>
      </w:r>
      <w:r>
        <w:rPr>
          <w:rFonts w:ascii="Arial" w:cs="Arial" w:eastAsia="Arial" w:hAnsi="Arial"/>
          <w:sz w:val="18"/>
          <w:szCs w:val="18"/>
          <w:i w:val="1"/>
          <w:iCs w:val="1"/>
          <w:color w:val="auto"/>
        </w:rPr>
        <w:t>-</w:t>
      </w:r>
      <w:r>
        <w:rPr>
          <w:rFonts w:ascii="Arial" w:cs="Arial" w:eastAsia="Arial" w:hAnsi="Arial"/>
          <w:sz w:val="18"/>
          <w:szCs w:val="18"/>
          <w:color w:val="auto"/>
        </w:rPr>
        <w:t xml:space="preserve">ASC inflammasome,” </w:t>
      </w:r>
      <w:r>
        <w:rPr>
          <w:rFonts w:ascii="Arial" w:cs="Arial" w:eastAsia="Arial" w:hAnsi="Arial"/>
          <w:sz w:val="18"/>
          <w:szCs w:val="18"/>
          <w:b w:val="1"/>
          <w:bCs w:val="1"/>
          <w:color w:val="auto"/>
        </w:rPr>
        <w:t>Prof. Pfeifer added.</w:t>
      </w:r>
    </w:p>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Both TDP-43 and alpha-synuclein are major pathologies in NDD and are increasingly thought to be important co-pathologies in AD. AC Immune’s programs directed towards these targets are the most advanced and comprehensive in the field. AC Immune’s alpha-synuclein positron emission tomography (PET) tracer program for Parkinson’s disease (PD) diagnostics was recently </w:t>
      </w:r>
      <w:r>
        <w:rPr>
          <w:rFonts w:ascii="Arial" w:cs="Arial" w:eastAsia="Arial" w:hAnsi="Arial"/>
          <w:sz w:val="18"/>
          <w:szCs w:val="18"/>
          <w:u w:val="single" w:color="auto"/>
          <w:color w:val="0000FF"/>
        </w:rPr>
        <w:t>recognized by the Michael J. Fox</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Foundation (MJFF)</w:t>
      </w:r>
      <w:r>
        <w:rPr>
          <w:rFonts w:ascii="Arial" w:cs="Arial" w:eastAsia="Arial" w:hAnsi="Arial"/>
          <w:sz w:val="18"/>
          <w:szCs w:val="18"/>
          <w:color w:val="0000FF"/>
        </w:rPr>
        <w:t xml:space="preserve"> </w:t>
      </w:r>
      <w:r>
        <w:rPr>
          <w:rFonts w:ascii="Arial" w:cs="Arial" w:eastAsia="Arial" w:hAnsi="Arial"/>
          <w:sz w:val="18"/>
          <w:szCs w:val="18"/>
          <w:color w:val="000000"/>
        </w:rPr>
        <w:t>award. Activation of the NLRP3-ASC inflammasome leads to chronic and uncontrolled inflammation, which is understood</w:t>
      </w:r>
      <w:r>
        <w:rPr>
          <w:rFonts w:ascii="Arial" w:cs="Arial" w:eastAsia="Arial" w:hAnsi="Arial"/>
          <w:sz w:val="18"/>
          <w:szCs w:val="18"/>
          <w:color w:val="0000FF"/>
        </w:rPr>
        <w:t xml:space="preserve"> </w:t>
      </w:r>
      <w:r>
        <w:rPr>
          <w:rFonts w:ascii="Arial" w:cs="Arial" w:eastAsia="Arial" w:hAnsi="Arial"/>
          <w:sz w:val="18"/>
          <w:szCs w:val="18"/>
          <w:color w:val="000000"/>
        </w:rPr>
        <w:t>to drive a number of neurodegenerative and inflammatory diseases. AC Immune’s approach has high potential for effective therapies, in NDD and non-NDD as mono- and/or combination therapy.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 Pipeline and Upcoming Milestones in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AC Immune’s additional anti-Tau clinical assets are outlined below as well as additional milestone tables from the broader pipeline.</w:t>
      </w:r>
    </w:p>
    <w:p>
      <w:pPr>
        <w:spacing w:after="0" w:line="196" w:lineRule="exact"/>
        <w:rPr>
          <w:sz w:val="20"/>
          <w:szCs w:val="20"/>
          <w:color w:val="auto"/>
        </w:rPr>
      </w:pPr>
    </w:p>
    <w:p>
      <w:pPr>
        <w:jc w:val="both"/>
        <w:ind w:left="660" w:hanging="331"/>
        <w:spacing w:after="0" w:line="245" w:lineRule="auto"/>
        <w:tabs>
          <w:tab w:leader="none" w:pos="997" w:val="left"/>
        </w:tabs>
        <w:numPr>
          <w:ilvl w:val="0"/>
          <w:numId w:val="1"/>
        </w:numPr>
        <w:rPr>
          <w:rFonts w:ascii="Arial" w:cs="Arial" w:eastAsia="Arial" w:hAnsi="Arial"/>
          <w:sz w:val="18"/>
          <w:szCs w:val="18"/>
          <w:color w:val="C00000"/>
        </w:rPr>
      </w:pPr>
      <w:r>
        <w:rPr>
          <w:rFonts w:ascii="Arial" w:cs="Arial" w:eastAsia="Arial" w:hAnsi="Arial"/>
          <w:sz w:val="18"/>
          <w:szCs w:val="18"/>
          <w:b w:val="1"/>
          <w:bCs w:val="1"/>
          <w:color w:val="auto"/>
        </w:rPr>
        <w:t xml:space="preserve">ACI-35.030 (anti-Tau vaccine): </w:t>
      </w:r>
      <w:r>
        <w:rPr>
          <w:rFonts w:ascii="Arial" w:cs="Arial" w:eastAsia="Arial" w:hAnsi="Arial"/>
          <w:sz w:val="18"/>
          <w:szCs w:val="18"/>
          <w:color w:val="auto"/>
        </w:rPr>
        <w:t>ACI-35.030 is the first anti-phospho-Tau (pTau) vaccine to reach Phase 2 clinical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vaccine generates a polyclonal antibody response that targets epitopes that differ from the epitope targeted by the monoclonal semorinemab. Importantly, these epitopes include an epitope specific to pTau, which is the pathological form of Tau protein responsible for the formation of tangles in AD. Additionally, the antibodies generated by this active immunization approach have pharmacokinetic properties that differ from those of injected semorinemab</w:t>
      </w:r>
    </w:p>
    <w:p>
      <w:pPr>
        <w:spacing w:after="0" w:line="158" w:lineRule="exact"/>
        <w:rPr>
          <w:rFonts w:ascii="Arial" w:cs="Arial" w:eastAsia="Arial" w:hAnsi="Arial"/>
          <w:sz w:val="18"/>
          <w:szCs w:val="18"/>
          <w:color w:val="C00000"/>
        </w:rPr>
      </w:pPr>
    </w:p>
    <w:p>
      <w:pPr>
        <w:jc w:val="both"/>
        <w:ind w:left="660" w:hanging="331"/>
        <w:spacing w:after="0" w:line="256" w:lineRule="auto"/>
        <w:tabs>
          <w:tab w:leader="none" w:pos="1024" w:val="left"/>
        </w:tabs>
        <w:numPr>
          <w:ilvl w:val="0"/>
          <w:numId w:val="1"/>
        </w:numPr>
        <w:rPr>
          <w:rFonts w:ascii="Arial" w:cs="Arial" w:eastAsia="Arial" w:hAnsi="Arial"/>
          <w:sz w:val="18"/>
          <w:szCs w:val="18"/>
          <w:color w:val="C00000"/>
        </w:rPr>
      </w:pPr>
      <w:r>
        <w:rPr>
          <w:rFonts w:ascii="Arial" w:cs="Arial" w:eastAsia="Arial" w:hAnsi="Arial"/>
          <w:sz w:val="18"/>
          <w:szCs w:val="18"/>
          <w:b w:val="1"/>
          <w:bCs w:val="1"/>
          <w:color w:val="auto"/>
        </w:rPr>
        <w:t xml:space="preserve">ACI-3024 (anti-Tau inhibitor): </w:t>
      </w:r>
      <w:r>
        <w:rPr>
          <w:rFonts w:ascii="Arial" w:cs="Arial" w:eastAsia="Arial" w:hAnsi="Arial"/>
          <w:sz w:val="18"/>
          <w:szCs w:val="18"/>
          <w:color w:val="auto"/>
        </w:rPr>
        <w:t>ACI-3024 is a first-in-class small molecule that passes through cell membranes to allow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inhibition of intracellular Tau aggregates, which is not easily achieved with a large antibody like semorinemab. Phase 1 results in healthy volunteers and data disclosure are expected by Eli Lilly and Company in 2020</w:t>
      </w:r>
    </w:p>
    <w:p>
      <w:pPr>
        <w:spacing w:after="0" w:line="147" w:lineRule="exact"/>
        <w:rPr>
          <w:rFonts w:ascii="Arial" w:cs="Arial" w:eastAsia="Arial" w:hAnsi="Arial"/>
          <w:sz w:val="18"/>
          <w:szCs w:val="18"/>
          <w:color w:val="C00000"/>
        </w:rPr>
      </w:pPr>
    </w:p>
    <w:p>
      <w:pPr>
        <w:jc w:val="both"/>
        <w:ind w:left="660" w:hanging="331"/>
        <w:spacing w:after="0" w:line="245" w:lineRule="auto"/>
        <w:tabs>
          <w:tab w:leader="none" w:pos="983" w:val="left"/>
        </w:tabs>
        <w:numPr>
          <w:ilvl w:val="0"/>
          <w:numId w:val="1"/>
        </w:numPr>
        <w:rPr>
          <w:rFonts w:ascii="Arial" w:cs="Arial" w:eastAsia="Arial" w:hAnsi="Arial"/>
          <w:sz w:val="18"/>
          <w:szCs w:val="18"/>
          <w:color w:val="C00000"/>
        </w:rPr>
      </w:pPr>
      <w:r>
        <w:rPr>
          <w:rFonts w:ascii="Arial" w:cs="Arial" w:eastAsia="Arial" w:hAnsi="Arial"/>
          <w:sz w:val="18"/>
          <w:szCs w:val="18"/>
          <w:b w:val="1"/>
          <w:bCs w:val="1"/>
          <w:color w:val="auto"/>
        </w:rPr>
        <w:t xml:space="preserve">Tau- PET tracer: </w:t>
      </w:r>
      <w:r>
        <w:rPr>
          <w:rFonts w:ascii="Arial" w:cs="Arial" w:eastAsia="Arial" w:hAnsi="Arial"/>
          <w:sz w:val="18"/>
          <w:szCs w:val="18"/>
          <w:color w:val="auto"/>
        </w:rPr>
        <w:t>AC Immune’s Tau-PET tracer has the potential to work as a critical tool in the further development of anti-Tau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approaches by facilitating the design of clinical trials that hit on two key aspects of AC Immune’s </w:t>
      </w:r>
      <w:r>
        <w:rPr>
          <w:rFonts w:ascii="Arial" w:cs="Arial" w:eastAsia="Arial" w:hAnsi="Arial"/>
          <w:sz w:val="18"/>
          <w:szCs w:val="18"/>
          <w:i w:val="1"/>
          <w:iCs w:val="1"/>
          <w:u w:val="single" w:color="auto"/>
          <w:color w:val="0000FF"/>
        </w:rPr>
        <w:t>Roadmap to Successful Therapies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for Neurodegenerative Diseases</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w:t>
      </w:r>
      <w:r>
        <w:rPr>
          <w:rFonts w:ascii="Arial" w:cs="Arial" w:eastAsia="Arial" w:hAnsi="Arial"/>
          <w:sz w:val="18"/>
          <w:szCs w:val="18"/>
          <w:i w:val="1"/>
          <w:iCs w:val="1"/>
          <w:color w:val="0000FF"/>
        </w:rPr>
        <w:t xml:space="preserve"> </w:t>
      </w:r>
      <w:r>
        <w:rPr>
          <w:rFonts w:ascii="Arial" w:cs="Arial" w:eastAsia="Arial" w:hAnsi="Arial"/>
          <w:sz w:val="18"/>
          <w:szCs w:val="18"/>
          <w:color w:val="000000"/>
        </w:rPr>
        <w:t>treating earlier and targeting more homogeneous populations. PI-2620 is currently being</w:t>
      </w:r>
      <w:r>
        <w:rPr>
          <w:rFonts w:ascii="Arial" w:cs="Arial" w:eastAsia="Arial" w:hAnsi="Arial"/>
          <w:sz w:val="18"/>
          <w:szCs w:val="18"/>
          <w:i w:val="1"/>
          <w:iCs w:val="1"/>
          <w:color w:val="0000FF"/>
        </w:rPr>
        <w:t xml:space="preserve"> </w:t>
      </w:r>
      <w:r>
        <w:rPr>
          <w:rFonts w:ascii="Arial" w:cs="Arial" w:eastAsia="Arial" w:hAnsi="Arial"/>
          <w:sz w:val="18"/>
          <w:szCs w:val="18"/>
          <w:color w:val="000000"/>
        </w:rPr>
        <w:t>evaluated in a longitudinal Phase 2 study in patients with AD and a Phase 1 study (test/retest) in patients with progressive supranuclear palsy (PSP).</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5374640" cy="5254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4640" cy="525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the TAURIEL study</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Phase 2 TAURIEL study of semorinemab is a 73-week, double-blind, placebo-controlled trial to determine if it can slow the rate of clinical decline in early (prodromal to mild) AD. The study followed 457 participants across 97 study centers. The study did not meet the primary efficacy endpoint of reducing decline on Clinical Dementia Rating-Sum of Boxes (CDR-SB) compared to placebo, but did meet the primary safety endpoint. Overall, the incidence of adverse events was similar between semorinemab and placebo arms and further analysis of these safety data are currently underway. Two secondary endpoints, Alzheimer’s Disease Assessment Scale-Cognitive Subscale 13 (ADAS-Cog13) and Alzheimer’s Disease Cooperative Study Group – Activities of Daily Living Inventory (ADCS-ADL) also were not met. Analysis of additional data, including biomarkers such as Tau-PET, are ongoing and Genentech plans to present the results from the study at an upcoming medical congress. The second Phase 2 (LAURIET) study of semorinemab, in a different patient population, moderate AD, is ongoing.</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AC Immune SA</w:t>
      </w:r>
    </w:p>
    <w:p>
      <w:pPr>
        <w:spacing w:after="0" w:line="20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utilizes two proprietary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Genentech, a member of the Roche Group, Eli Lilly and Company and Janssen Pharmaceuticals.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573"/>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Head of Investor Relations</w:t>
            </w:r>
          </w:p>
        </w:tc>
        <w:tc>
          <w:tcPr>
            <w:tcW w:w="4420" w:type="dxa"/>
            <w:vAlign w:val="bottom"/>
            <w:gridSpan w:val="2"/>
          </w:tcPr>
          <w:p>
            <w:pPr>
              <w:ind w:left="9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LaVoie Health Science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+1 917 809 0814</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+1 617 792 3937</w:t>
            </w:r>
          </w:p>
        </w:tc>
      </w:tr>
      <w:tr>
        <w:trPr>
          <w:trHeight w:val="198"/>
        </w:trPr>
        <w:tc>
          <w:tcPr>
            <w:tcW w:w="4280" w:type="dxa"/>
            <w:vAlign w:val="bottom"/>
            <w:gridSpan w:val="3"/>
          </w:tcPr>
          <w:p>
            <w:pPr>
              <w:spacing w:after="0" w:line="198" w:lineRule="exact"/>
              <w:rPr>
                <w:sz w:val="20"/>
                <w:szCs w:val="20"/>
                <w:color w:val="auto"/>
              </w:rPr>
            </w:pPr>
            <w:r>
              <w:rPr>
                <w:rFonts w:ascii="Arial" w:cs="Arial" w:eastAsia="Arial" w:hAnsi="Arial"/>
                <w:sz w:val="18"/>
                <w:szCs w:val="18"/>
                <w:color w:val="auto"/>
              </w:rPr>
              <w:t>Email: joshua.drumm@acimmune.com</w:t>
            </w:r>
          </w:p>
        </w:tc>
        <w:tc>
          <w:tcPr>
            <w:tcW w:w="4420" w:type="dxa"/>
            <w:vAlign w:val="bottom"/>
            <w:gridSpan w:val="2"/>
          </w:tcPr>
          <w:p>
            <w:pPr>
              <w:ind w:left="900"/>
              <w:spacing w:after="0" w:line="198" w:lineRule="exact"/>
              <w:rPr>
                <w:sz w:val="20"/>
                <w:szCs w:val="20"/>
                <w:color w:val="auto"/>
              </w:rPr>
            </w:pPr>
            <w:r>
              <w:rPr>
                <w:rFonts w:ascii="Arial" w:cs="Arial" w:eastAsia="Arial" w:hAnsi="Arial"/>
                <w:sz w:val="18"/>
                <w:szCs w:val="18"/>
                <w:color w:val="auto"/>
                <w:w w:val="99"/>
              </w:rPr>
              <w:t>Email: kgallagher@lavoiehealthscience.com</w:t>
            </w:r>
          </w:p>
        </w:tc>
      </w:tr>
      <w:tr>
        <w:trPr>
          <w:trHeight w:val="20"/>
        </w:trPr>
        <w:tc>
          <w:tcPr>
            <w:tcW w:w="56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Global Head of Communications</w:t>
            </w:r>
          </w:p>
        </w:tc>
        <w:tc>
          <w:tcPr>
            <w:tcW w:w="4840" w:type="dxa"/>
            <w:vAlign w:val="bottom"/>
            <w:gridSpan w:val="2"/>
          </w:tcPr>
          <w:p>
            <w:pPr>
              <w:ind w:left="2220"/>
              <w:spacing w:after="0"/>
              <w:rPr>
                <w:sz w:val="20"/>
                <w:szCs w:val="20"/>
                <w:color w:val="auto"/>
              </w:rPr>
            </w:pPr>
            <w:r>
              <w:rPr>
                <w:rFonts w:ascii="Arial" w:cs="Arial" w:eastAsia="Arial" w:hAnsi="Arial"/>
                <w:sz w:val="18"/>
                <w:szCs w:val="18"/>
                <w:b w:val="1"/>
                <w:bCs w:val="1"/>
                <w:color w:val="auto"/>
              </w:rPr>
              <w:t>European Investors &amp; Media</w:t>
            </w: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Judith Moore</w:t>
            </w:r>
          </w:p>
        </w:tc>
        <w:tc>
          <w:tcPr>
            <w:tcW w:w="484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AC Immune</w:t>
            </w:r>
          </w:p>
        </w:tc>
        <w:tc>
          <w:tcPr>
            <w:tcW w:w="484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Phone: +41 79 826 63 82</w:t>
            </w:r>
          </w:p>
        </w:tc>
        <w:tc>
          <w:tcPr>
            <w:tcW w:w="484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Phone: +41 79 367 6254</w:t>
            </w:r>
          </w:p>
        </w:tc>
      </w:tr>
      <w:tr>
        <w:trPr>
          <w:trHeight w:val="198"/>
        </w:trPr>
        <w:tc>
          <w:tcPr>
            <w:tcW w:w="2960" w:type="dxa"/>
            <w:vAlign w:val="bottom"/>
            <w:gridSpan w:val="2"/>
          </w:tcPr>
          <w:p>
            <w:pPr>
              <w:spacing w:after="0" w:line="198" w:lineRule="exact"/>
              <w:rPr>
                <w:sz w:val="20"/>
                <w:szCs w:val="20"/>
                <w:color w:val="auto"/>
              </w:rPr>
            </w:pPr>
            <w:r>
              <w:rPr>
                <w:rFonts w:ascii="Arial" w:cs="Arial" w:eastAsia="Arial" w:hAnsi="Arial"/>
                <w:sz w:val="18"/>
                <w:szCs w:val="18"/>
                <w:color w:val="auto"/>
                <w:w w:val="99"/>
              </w:rPr>
              <w:t>Email: judith.moore@acimmune.com</w:t>
            </w:r>
          </w:p>
        </w:tc>
        <w:tc>
          <w:tcPr>
            <w:tcW w:w="4840" w:type="dxa"/>
            <w:vAlign w:val="bottom"/>
            <w:gridSpan w:val="2"/>
          </w:tcPr>
          <w:p>
            <w:pPr>
              <w:ind w:left="2220"/>
              <w:spacing w:after="0" w:line="198" w:lineRule="exact"/>
              <w:rPr>
                <w:sz w:val="20"/>
                <w:szCs w:val="20"/>
                <w:color w:val="auto"/>
              </w:rPr>
            </w:pPr>
            <w:r>
              <w:rPr>
                <w:rFonts w:ascii="Arial" w:cs="Arial" w:eastAsia="Arial" w:hAnsi="Arial"/>
                <w:sz w:val="18"/>
                <w:szCs w:val="18"/>
                <w:color w:val="auto"/>
                <w:w w:val="99"/>
              </w:rPr>
              <w:t>Email: chris@lifesciadvisors.com</w:t>
            </w:r>
          </w:p>
        </w:tc>
      </w:tr>
      <w:tr>
        <w:trPr>
          <w:trHeight w:val="20"/>
        </w:trPr>
        <w:tc>
          <w:tcPr>
            <w:tcW w:w="5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2020-09-23T06:57:55Z</dcterms:created>
  <dcterms:modified xsi:type="dcterms:W3CDTF">2020-09-23T06:57:55Z</dcterms:modified>
</cp:coreProperties>
</file>